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C5BC9" w14:textId="3920CDB1" w:rsidR="00280050" w:rsidRDefault="00A14E9E" w:rsidP="00AD6A80">
      <w:r>
        <w:rPr>
          <w:noProof/>
        </w:rPr>
        <mc:AlternateContent>
          <mc:Choice Requires="wps">
            <w:drawing>
              <wp:anchor distT="0" distB="0" distL="114300" distR="114300" simplePos="0" relativeHeight="251658243" behindDoc="0" locked="0" layoutInCell="1" allowOverlap="1" wp14:anchorId="28CA5673" wp14:editId="4D86953E">
                <wp:simplePos x="0" y="0"/>
                <wp:positionH relativeFrom="column">
                  <wp:posOffset>-563880</wp:posOffset>
                </wp:positionH>
                <wp:positionV relativeFrom="paragraph">
                  <wp:posOffset>28575</wp:posOffset>
                </wp:positionV>
                <wp:extent cx="7277735" cy="1263650"/>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735" cy="1263650"/>
                        </a:xfrm>
                        <a:prstGeom prst="rect">
                          <a:avLst/>
                        </a:prstGeom>
                        <a:noFill/>
                      </wps:spPr>
                      <wps:txbx>
                        <w:txbxContent>
                          <w:p w14:paraId="7735D5C6" w14:textId="77777777" w:rsidR="004C1126" w:rsidRPr="008D02FC" w:rsidRDefault="004C1126" w:rsidP="00942347">
                            <w:pPr>
                              <w:pStyle w:val="Title"/>
                              <w:rPr>
                                <w:rFonts w:asciiTheme="minorHAnsi" w:hAnsiTheme="minorHAnsi" w:cstheme="minorHAnsi"/>
                                <w:color w:val="auto"/>
                                <w:sz w:val="64"/>
                                <w:szCs w:val="64"/>
                                <w:lang w:val="en-US"/>
                              </w:rPr>
                            </w:pPr>
                            <w:r w:rsidRPr="008D02FC">
                              <w:rPr>
                                <w:rFonts w:asciiTheme="minorHAnsi" w:hAnsiTheme="minorHAnsi" w:cstheme="minorHAnsi"/>
                                <w:color w:val="auto"/>
                                <w:sz w:val="64"/>
                                <w:szCs w:val="64"/>
                                <w:lang w:val="en-US"/>
                              </w:rPr>
                              <w:t>Health Technology Assessment Policy and Methods Review</w:t>
                            </w:r>
                          </w:p>
                        </w:txbxContent>
                      </wps:txbx>
                      <wps:bodyPr wrap="square" lIns="0" rtlCol="0">
                        <a:noAutofit/>
                      </wps:bodyPr>
                    </wps:wsp>
                  </a:graphicData>
                </a:graphic>
                <wp14:sizeRelH relativeFrom="page">
                  <wp14:pctWidth>0</wp14:pctWidth>
                </wp14:sizeRelH>
                <wp14:sizeRelV relativeFrom="page">
                  <wp14:pctHeight>0</wp14:pctHeight>
                </wp14:sizeRelV>
              </wp:anchor>
            </w:drawing>
          </mc:Choice>
          <mc:Fallback>
            <w:pict>
              <v:shapetype w14:anchorId="28CA5673" id="_x0000_t202" coordsize="21600,21600" o:spt="202" path="m,l,21600r21600,l21600,xe">
                <v:stroke joinstyle="miter"/>
                <v:path gradientshapeok="t" o:connecttype="rect"/>
              </v:shapetype>
              <v:shape id="Text Box 6" o:spid="_x0000_s1026" type="#_x0000_t202" alt="&quot;&quot;" style="position:absolute;margin-left:-44.4pt;margin-top:2.25pt;width:573.05pt;height:9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" filled="f" stroked="f">
                <v:textbox inset="0">
                  <w:txbxContent>
                    <w:p w14:paraId="7735D5C6" w14:textId="77777777" w:rsidR="004C1126" w:rsidRPr="008D02FC" w:rsidRDefault="004C1126" w:rsidP="00942347">
                      <w:pPr>
                        <w:pStyle w:val="Title"/>
                        <w:rPr>
                          <w:rFonts w:asciiTheme="minorHAnsi" w:hAnsiTheme="minorHAnsi" w:cstheme="minorHAnsi"/>
                          <w:color w:val="auto"/>
                          <w:sz w:val="64"/>
                          <w:szCs w:val="64"/>
                          <w:lang w:val="en-US"/>
                        </w:rPr>
                      </w:pPr>
                      <w:r w:rsidRPr="008D02FC">
                        <w:rPr>
                          <w:rFonts w:asciiTheme="minorHAnsi" w:hAnsiTheme="minorHAnsi" w:cstheme="minorHAnsi"/>
                          <w:color w:val="auto"/>
                          <w:sz w:val="64"/>
                          <w:szCs w:val="64"/>
                          <w:lang w:val="en-US"/>
                        </w:rPr>
                        <w:t>Health Technology Assessment Policy and Methods Review</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14CF5E16" wp14:editId="1338D437">
                <wp:simplePos x="0" y="0"/>
                <wp:positionH relativeFrom="column">
                  <wp:posOffset>-571500</wp:posOffset>
                </wp:positionH>
                <wp:positionV relativeFrom="paragraph">
                  <wp:posOffset>28575</wp:posOffset>
                </wp:positionV>
                <wp:extent cx="6858000" cy="2383155"/>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383155"/>
                        </a:xfrm>
                        <a:prstGeom prst="rect">
                          <a:avLst/>
                        </a:prstGeom>
                        <a:gradFill>
                          <a:gsLst>
                            <a:gs pos="20000">
                              <a:srgbClr val="D6DBE2"/>
                            </a:gs>
                            <a:gs pos="6000">
                              <a:srgbClr val="BAC4D1"/>
                            </a:gs>
                            <a:gs pos="0">
                              <a:schemeClr val="tx2">
                                <a:lumMod val="40000"/>
                                <a:lumOff val="60000"/>
                              </a:schemeClr>
                            </a:gs>
                            <a:gs pos="100000">
                              <a:srgbClr val="F1F2F2">
                                <a:alpha val="0"/>
                              </a:srgb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C669943" id="Rectangle 4" o:spid="_x0000_s1026" alt="&quot;&quot;" style="position:absolute;margin-left:-45pt;margin-top:2.25pt;width:540pt;height:187.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" fillcolor="#acb9ca [1311]" stroked="f" strokeweight="1pt">
                <v:fill opacity="0" color2="#f1f2f2" angle="90" colors="0 #adb9ca;3932f #bac4d1;13107f #d6dbe2;1 #f1f2f2" focus="100%" type="gradient">
                  <o:fill v:ext="view" type="gradientUnscaled"/>
                </v:fill>
              </v:rect>
            </w:pict>
          </mc:Fallback>
        </mc:AlternateContent>
      </w:r>
    </w:p>
    <w:p w14:paraId="1832FDAC" w14:textId="773A70D2" w:rsidR="004C1126" w:rsidRPr="004C1126" w:rsidRDefault="004C1126" w:rsidP="00AD6A80"/>
    <w:p w14:paraId="1807111E" w14:textId="622863DE" w:rsidR="004C1126" w:rsidRPr="004C1126" w:rsidRDefault="004C1126" w:rsidP="00AD6A80"/>
    <w:p w14:paraId="428C2FCA" w14:textId="13343AF1" w:rsidR="004C1126" w:rsidRPr="004C1126" w:rsidRDefault="004C1126" w:rsidP="00AD6A80"/>
    <w:p w14:paraId="2D7CE4A5" w14:textId="7AEBF293" w:rsidR="004C1126" w:rsidRPr="004C1126" w:rsidRDefault="00A14E9E" w:rsidP="00AD6A80">
      <w:r>
        <w:rPr>
          <w:noProof/>
        </w:rPr>
        <mc:AlternateContent>
          <mc:Choice Requires="wps">
            <w:drawing>
              <wp:anchor distT="0" distB="0" distL="114300" distR="114300" simplePos="0" relativeHeight="251658244" behindDoc="0" locked="0" layoutInCell="1" allowOverlap="1" wp14:anchorId="586C8424" wp14:editId="3F184F54">
                <wp:simplePos x="0" y="0"/>
                <wp:positionH relativeFrom="column">
                  <wp:posOffset>-572135</wp:posOffset>
                </wp:positionH>
                <wp:positionV relativeFrom="paragraph">
                  <wp:posOffset>100965</wp:posOffset>
                </wp:positionV>
                <wp:extent cx="7014845" cy="162687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4845" cy="1626870"/>
                        </a:xfrm>
                        <a:prstGeom prst="rect">
                          <a:avLst/>
                        </a:prstGeom>
                        <a:noFill/>
                      </wps:spPr>
                      <wps:txbx>
                        <w:txbxContent>
                          <w:p w14:paraId="66562F88" w14:textId="364E7A0B" w:rsidR="004C1126" w:rsidRPr="00167323" w:rsidRDefault="001873C1" w:rsidP="00AD6A80">
                            <w:pPr>
                              <w:rPr>
                                <w:color w:val="008A96"/>
                                <w:sz w:val="40"/>
                                <w:szCs w:val="40"/>
                                <w:lang w:val="en-US"/>
                              </w:rPr>
                            </w:pPr>
                            <w:r w:rsidRPr="00167323">
                              <w:rPr>
                                <w:color w:val="008A96"/>
                                <w:sz w:val="40"/>
                                <w:szCs w:val="40"/>
                                <w:lang w:val="en-US"/>
                              </w:rPr>
                              <w:t xml:space="preserve">Australian market </w:t>
                            </w:r>
                            <w:proofErr w:type="spellStart"/>
                            <w:r w:rsidRPr="00167323">
                              <w:rPr>
                                <w:color w:val="008A96"/>
                                <w:sz w:val="40"/>
                                <w:szCs w:val="40"/>
                                <w:lang w:val="en-US"/>
                              </w:rPr>
                              <w:t>a</w:t>
                            </w:r>
                            <w:r w:rsidR="001A0B13" w:rsidRPr="00167323">
                              <w:rPr>
                                <w:color w:val="008A96"/>
                                <w:sz w:val="40"/>
                                <w:szCs w:val="40"/>
                                <w:lang w:val="en-US"/>
                              </w:rPr>
                              <w:t>uthorisation</w:t>
                            </w:r>
                            <w:proofErr w:type="spellEnd"/>
                            <w:r w:rsidRPr="00167323">
                              <w:rPr>
                                <w:color w:val="008A96"/>
                                <w:sz w:val="40"/>
                                <w:szCs w:val="40"/>
                                <w:lang w:val="en-US"/>
                              </w:rPr>
                              <w:t>, funding and assessment pathways and timelines</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586C8424" id="Text Box 3" o:spid="_x0000_s1027" type="#_x0000_t202" alt="&quot;&quot;" style="position:absolute;margin-left:-45.05pt;margin-top:7.95pt;width:552.35pt;height:128.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" filled="f" stroked="f">
                <v:textbox>
                  <w:txbxContent>
                    <w:p w14:paraId="66562F88" w14:textId="364E7A0B" w:rsidR="004C1126" w:rsidRPr="00167323" w:rsidRDefault="001873C1" w:rsidP="00AD6A80">
                      <w:pPr>
                        <w:rPr>
                          <w:color w:val="008A96"/>
                          <w:sz w:val="40"/>
                          <w:szCs w:val="40"/>
                          <w:lang w:val="en-US"/>
                        </w:rPr>
                      </w:pPr>
                      <w:r w:rsidRPr="00167323">
                        <w:rPr>
                          <w:color w:val="008A96"/>
                          <w:sz w:val="40"/>
                          <w:szCs w:val="40"/>
                          <w:lang w:val="en-US"/>
                        </w:rPr>
                        <w:t xml:space="preserve">Australian market </w:t>
                      </w:r>
                      <w:proofErr w:type="spellStart"/>
                      <w:r w:rsidRPr="00167323">
                        <w:rPr>
                          <w:color w:val="008A96"/>
                          <w:sz w:val="40"/>
                          <w:szCs w:val="40"/>
                          <w:lang w:val="en-US"/>
                        </w:rPr>
                        <w:t>a</w:t>
                      </w:r>
                      <w:r w:rsidR="001A0B13" w:rsidRPr="00167323">
                        <w:rPr>
                          <w:color w:val="008A96"/>
                          <w:sz w:val="40"/>
                          <w:szCs w:val="40"/>
                          <w:lang w:val="en-US"/>
                        </w:rPr>
                        <w:t>uthorisation</w:t>
                      </w:r>
                      <w:proofErr w:type="spellEnd"/>
                      <w:r w:rsidRPr="00167323">
                        <w:rPr>
                          <w:color w:val="008A96"/>
                          <w:sz w:val="40"/>
                          <w:szCs w:val="40"/>
                          <w:lang w:val="en-US"/>
                        </w:rPr>
                        <w:t>, funding and assessment pathways and timelines</w:t>
                      </w:r>
                    </w:p>
                  </w:txbxContent>
                </v:textbox>
              </v:shape>
            </w:pict>
          </mc:Fallback>
        </mc:AlternateContent>
      </w:r>
    </w:p>
    <w:p w14:paraId="0DFE6F45" w14:textId="74FF61E3" w:rsidR="004C1126" w:rsidRPr="004C1126" w:rsidRDefault="004C1126" w:rsidP="00AD6A80"/>
    <w:p w14:paraId="045B27AC" w14:textId="380D9BAB" w:rsidR="004C1126" w:rsidRPr="004C1126" w:rsidRDefault="004C1126" w:rsidP="00AD6A80"/>
    <w:p w14:paraId="7D19D312" w14:textId="739F29DC" w:rsidR="004C1126" w:rsidRPr="004C1126" w:rsidRDefault="004C1126" w:rsidP="00AD6A80"/>
    <w:p w14:paraId="7D1CCB55" w14:textId="2B3371ED" w:rsidR="004C1126" w:rsidRPr="004C1126" w:rsidRDefault="00D55A21" w:rsidP="00AD6A80">
      <w:r w:rsidRPr="004C1126">
        <w:rPr>
          <w:noProof/>
        </w:rPr>
        <w:drawing>
          <wp:anchor distT="0" distB="0" distL="114300" distR="114300" simplePos="0" relativeHeight="251658240" behindDoc="0" locked="0" layoutInCell="1" allowOverlap="1" wp14:anchorId="051C8441" wp14:editId="0631EB45">
            <wp:simplePos x="0" y="0"/>
            <wp:positionH relativeFrom="column">
              <wp:posOffset>475615</wp:posOffset>
            </wp:positionH>
            <wp:positionV relativeFrom="paragraph">
              <wp:posOffset>135890</wp:posOffset>
            </wp:positionV>
            <wp:extent cx="4930968" cy="179999"/>
            <wp:effectExtent l="0" t="0" r="0" b="0"/>
            <wp:wrapNone/>
            <wp:docPr id="10" name="Picture 10">
              <a:extLst xmlns:a="http://schemas.openxmlformats.org/drawingml/2006/main">
                <a:ext uri="{FF2B5EF4-FFF2-40B4-BE49-F238E27FC236}">
                  <a16:creationId xmlns:a16="http://schemas.microsoft.com/office/drawing/2014/main" id="{7967C53B-EAD4-4F2C-83BB-EA890ADD93A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FF2B5EF4-FFF2-40B4-BE49-F238E27FC236}">
                          <a16:creationId xmlns:a16="http://schemas.microsoft.com/office/drawing/2014/main" id="{7967C53B-EAD4-4F2C-83BB-EA890ADD93AC}"/>
                        </a:ext>
                        <a:ext uri="{C183D7F6-B498-43B3-948B-1728B52AA6E4}">
                          <adec:decorative xmlns:adec="http://schemas.microsoft.com/office/drawing/2017/decorative" val="1"/>
                        </a:ext>
                      </a:extLst>
                    </pic:cNvPr>
                    <pic:cNvPicPr>
                      <a:picLocks noChangeAspect="1"/>
                    </pic:cNvPicPr>
                  </pic:nvPicPr>
                  <pic:blipFill rotWithShape="1">
                    <a:blip r:embed="rId11"/>
                    <a:srcRect l="60" t="6303" r="315" b="5131"/>
                    <a:stretch/>
                  </pic:blipFill>
                  <pic:spPr>
                    <a:xfrm>
                      <a:off x="0" y="0"/>
                      <a:ext cx="4930968" cy="179999"/>
                    </a:xfrm>
                    <a:prstGeom prst="rect">
                      <a:avLst/>
                    </a:prstGeom>
                  </pic:spPr>
                </pic:pic>
              </a:graphicData>
            </a:graphic>
            <wp14:sizeRelH relativeFrom="margin">
              <wp14:pctWidth>0</wp14:pctWidth>
            </wp14:sizeRelH>
            <wp14:sizeRelV relativeFrom="margin">
              <wp14:pctHeight>0</wp14:pctHeight>
            </wp14:sizeRelV>
          </wp:anchor>
        </w:drawing>
      </w:r>
      <w:r w:rsidR="00A14E9E">
        <w:rPr>
          <w:noProof/>
        </w:rPr>
        <mc:AlternateContent>
          <mc:Choice Requires="wps">
            <w:drawing>
              <wp:anchor distT="0" distB="0" distL="114300" distR="114300" simplePos="0" relativeHeight="251658242" behindDoc="0" locked="0" layoutInCell="1" allowOverlap="1" wp14:anchorId="5EB0227E" wp14:editId="441B6CC4">
                <wp:simplePos x="0" y="0"/>
                <wp:positionH relativeFrom="margin">
                  <wp:align>center</wp:align>
                </wp:positionH>
                <wp:positionV relativeFrom="paragraph">
                  <wp:posOffset>139700</wp:posOffset>
                </wp:positionV>
                <wp:extent cx="6858000" cy="1797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79705"/>
                        </a:xfrm>
                        <a:prstGeom prst="rect">
                          <a:avLst/>
                        </a:prstGeom>
                        <a:solidFill>
                          <a:srgbClr val="008A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8DCAD08" id="Rectangle 2" o:spid="_x0000_s1026" alt="&quot;&quot;" style="position:absolute;margin-left:0;margin-top:11pt;width:540pt;height:14.1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" fillcolor="#008a96" stroked="f" strokeweight="1pt">
                <w10:wrap anchorx="margin"/>
              </v:rect>
            </w:pict>
          </mc:Fallback>
        </mc:AlternateContent>
      </w:r>
    </w:p>
    <w:p w14:paraId="3914563D" w14:textId="4C25D2C1" w:rsidR="004C1126" w:rsidRPr="004C1126" w:rsidRDefault="004C1126" w:rsidP="00AD6A80"/>
    <w:p w14:paraId="5BC8B533" w14:textId="77777777" w:rsidR="00651D54" w:rsidRDefault="00651D54" w:rsidP="00592640">
      <w:pPr>
        <w:spacing w:after="240"/>
      </w:pPr>
    </w:p>
    <w:p w14:paraId="4854C9D8" w14:textId="77777777" w:rsidR="00651D54" w:rsidRDefault="00651D54" w:rsidP="00592640">
      <w:pPr>
        <w:spacing w:after="240"/>
      </w:pPr>
    </w:p>
    <w:p w14:paraId="0879CC25" w14:textId="77777777" w:rsidR="00651D54" w:rsidRDefault="00651D54" w:rsidP="00592640">
      <w:pPr>
        <w:spacing w:after="240"/>
      </w:pPr>
    </w:p>
    <w:p w14:paraId="6E8F2C0A" w14:textId="77777777" w:rsidR="00651D54" w:rsidRDefault="00651D54" w:rsidP="00592640">
      <w:pPr>
        <w:spacing w:after="240"/>
      </w:pPr>
    </w:p>
    <w:p w14:paraId="6978F1C9" w14:textId="77777777" w:rsidR="00651D54" w:rsidRDefault="00651D54" w:rsidP="00592640">
      <w:pPr>
        <w:spacing w:after="240"/>
      </w:pPr>
    </w:p>
    <w:p w14:paraId="44706F9A" w14:textId="77777777" w:rsidR="00651D54" w:rsidRDefault="00651D54" w:rsidP="00592640">
      <w:pPr>
        <w:spacing w:after="240"/>
      </w:pPr>
    </w:p>
    <w:p w14:paraId="5ACE5A21" w14:textId="77777777" w:rsidR="00651D54" w:rsidRDefault="00651D54" w:rsidP="00592640">
      <w:pPr>
        <w:spacing w:after="240"/>
      </w:pPr>
    </w:p>
    <w:p w14:paraId="6401A8B9" w14:textId="77777777" w:rsidR="00651D54" w:rsidRDefault="00651D54" w:rsidP="00592640">
      <w:pPr>
        <w:spacing w:after="240"/>
      </w:pPr>
    </w:p>
    <w:p w14:paraId="16DE76EB" w14:textId="77777777" w:rsidR="00651D54" w:rsidRDefault="00651D54" w:rsidP="00592640">
      <w:pPr>
        <w:spacing w:after="240"/>
      </w:pPr>
    </w:p>
    <w:p w14:paraId="57A93582" w14:textId="77777777" w:rsidR="00651D54" w:rsidRDefault="00651D54" w:rsidP="00592640">
      <w:pPr>
        <w:spacing w:after="240"/>
      </w:pPr>
    </w:p>
    <w:p w14:paraId="0D0BDFFD" w14:textId="77777777" w:rsidR="00651D54" w:rsidRDefault="00651D54" w:rsidP="00592640">
      <w:pPr>
        <w:spacing w:after="240"/>
      </w:pPr>
    </w:p>
    <w:p w14:paraId="65346B71" w14:textId="77777777" w:rsidR="00651D54" w:rsidRDefault="00651D54" w:rsidP="00592640">
      <w:pPr>
        <w:spacing w:after="240"/>
      </w:pPr>
    </w:p>
    <w:p w14:paraId="621F01BC" w14:textId="77777777" w:rsidR="00651D54" w:rsidRDefault="00651D54" w:rsidP="00592640">
      <w:pPr>
        <w:spacing w:after="240"/>
      </w:pPr>
    </w:p>
    <w:p w14:paraId="40841E43" w14:textId="77777777" w:rsidR="00651D54" w:rsidRDefault="00651D54" w:rsidP="00592640">
      <w:pPr>
        <w:spacing w:after="240"/>
      </w:pPr>
    </w:p>
    <w:p w14:paraId="6B2123C3" w14:textId="77777777" w:rsidR="00651D54" w:rsidRDefault="00651D54" w:rsidP="00592640">
      <w:pPr>
        <w:spacing w:after="240"/>
      </w:pPr>
    </w:p>
    <w:p w14:paraId="6B808CBA" w14:textId="77777777" w:rsidR="00651D54" w:rsidRDefault="00651D54" w:rsidP="00592640">
      <w:pPr>
        <w:spacing w:after="240"/>
      </w:pPr>
    </w:p>
    <w:p w14:paraId="4CCC33A9" w14:textId="77777777" w:rsidR="00651D54" w:rsidRDefault="00651D54" w:rsidP="00592640">
      <w:pPr>
        <w:spacing w:after="240"/>
      </w:pPr>
    </w:p>
    <w:p w14:paraId="3D721569" w14:textId="03BDC48E" w:rsidR="00651D54" w:rsidRDefault="003A333F" w:rsidP="00592640">
      <w:pPr>
        <w:spacing w:after="240"/>
      </w:pPr>
      <w:sdt>
        <w:sdtPr>
          <w:rPr>
            <w:rFonts w:cs="Segoe UI"/>
            <w:color w:val="44546A"/>
          </w:rPr>
          <w:id w:val="777995787"/>
          <w15:color w:val="FF0000"/>
          <w:date w:fullDate="2024-01-19T00:00:00Z">
            <w:dateFormat w:val="MMMM yyyy"/>
            <w:lid w:val="en-AU"/>
            <w:storeMappedDataAs w:val="dateTime"/>
            <w:calendar w:val="gregorian"/>
          </w:date>
        </w:sdtPr>
        <w:sdtEndPr/>
        <w:sdtContent>
          <w:r w:rsidR="00651D54">
            <w:rPr>
              <w:rFonts w:cs="Segoe UI"/>
              <w:color w:val="44546A"/>
            </w:rPr>
            <w:t>January 2024</w:t>
          </w:r>
        </w:sdtContent>
      </w:sdt>
    </w:p>
    <w:p w14:paraId="6707FC73" w14:textId="5CAC279F" w:rsidR="00592640" w:rsidRPr="006D55B2" w:rsidRDefault="004C1126" w:rsidP="00592640">
      <w:pPr>
        <w:spacing w:after="240"/>
        <w:rPr>
          <w:rFonts w:cs="Arial"/>
        </w:rPr>
      </w:pPr>
      <w:r>
        <w:br w:type="page"/>
      </w:r>
      <w:r w:rsidR="00592640" w:rsidRPr="52A0037B">
        <w:rPr>
          <w:rFonts w:cs="Arial"/>
        </w:rPr>
        <w:lastRenderedPageBreak/>
        <w:t>© Commonwealth of Australia as represented by the Department of Health and Aged Care 20</w:t>
      </w:r>
      <w:r w:rsidR="00592640">
        <w:rPr>
          <w:rFonts w:cs="Arial"/>
        </w:rPr>
        <w:t>24</w:t>
      </w:r>
    </w:p>
    <w:p w14:paraId="386CA3A4" w14:textId="77777777" w:rsidR="00592640" w:rsidRPr="006D55B2" w:rsidRDefault="00592640" w:rsidP="00592640">
      <w:pPr>
        <w:pBdr>
          <w:top w:val="single" w:sz="4" w:space="1" w:color="auto"/>
          <w:bottom w:val="single" w:sz="4" w:space="1" w:color="auto"/>
        </w:pBdr>
        <w:rPr>
          <w:rFonts w:cs="Arial"/>
        </w:rPr>
      </w:pPr>
      <w:r w:rsidRPr="006D55B2">
        <w:rPr>
          <w:rFonts w:cs="Arial"/>
        </w:rPr>
        <w:t xml:space="preserve">Title: </w:t>
      </w:r>
      <w:r w:rsidRPr="003A5802">
        <w:rPr>
          <w:rFonts w:cs="Arial"/>
        </w:rPr>
        <w:t>Health Technology Assessment Policy and Methods Review</w:t>
      </w:r>
      <w:r>
        <w:rPr>
          <w:rFonts w:cs="Arial"/>
        </w:rPr>
        <w:t xml:space="preserve">: </w:t>
      </w:r>
      <w:r w:rsidRPr="008A171D">
        <w:rPr>
          <w:rFonts w:cs="Arial"/>
        </w:rPr>
        <w:t>Australian market authorisation, funding and assessment pathways and timelines</w:t>
      </w:r>
    </w:p>
    <w:p w14:paraId="3ACE9894" w14:textId="77777777" w:rsidR="00592640" w:rsidRPr="006D55B2" w:rsidRDefault="00592640" w:rsidP="00592640">
      <w:pPr>
        <w:rPr>
          <w:rFonts w:cs="Arial"/>
        </w:rPr>
      </w:pPr>
    </w:p>
    <w:p w14:paraId="22C042FB" w14:textId="77777777" w:rsidR="00592640" w:rsidRPr="006D55B2" w:rsidRDefault="00592640" w:rsidP="00592640">
      <w:pPr>
        <w:spacing w:after="240"/>
        <w:rPr>
          <w:rFonts w:cs="Arial"/>
          <w:b/>
        </w:rPr>
      </w:pPr>
      <w:r w:rsidRPr="006D55B2">
        <w:rPr>
          <w:rFonts w:cs="Arial"/>
          <w:b/>
        </w:rPr>
        <w:t>Creative Commons Licence</w:t>
      </w:r>
    </w:p>
    <w:p w14:paraId="44D64929" w14:textId="77777777" w:rsidR="00592640" w:rsidRPr="006D55B2" w:rsidRDefault="00592640" w:rsidP="00592640">
      <w:pPr>
        <w:rPr>
          <w:rFonts w:cs="Arial"/>
        </w:rPr>
      </w:pPr>
      <w:r w:rsidRPr="006D55B2">
        <w:rPr>
          <w:rFonts w:cs="Arial"/>
          <w:noProof/>
        </w:rPr>
        <w:drawing>
          <wp:inline distT="0" distB="0" distL="0" distR="0" wp14:anchorId="75775C6C" wp14:editId="0FC92BFF">
            <wp:extent cx="1026160" cy="356870"/>
            <wp:effectExtent l="0" t="0" r="2540" b="5080"/>
            <wp:docPr id="7" name="Picture 7"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6BC189A7" w14:textId="77777777" w:rsidR="00592640" w:rsidRPr="006D55B2" w:rsidRDefault="00592640" w:rsidP="00592640">
      <w:pPr>
        <w:autoSpaceDE w:val="0"/>
        <w:autoSpaceDN w:val="0"/>
        <w:spacing w:before="240" w:after="240" w:line="181" w:lineRule="atLeast"/>
        <w:rPr>
          <w:rFonts w:cs="Arial"/>
        </w:rPr>
      </w:pPr>
      <w:r w:rsidRPr="006D55B2">
        <w:rPr>
          <w:rFonts w:cs="Arial"/>
        </w:rPr>
        <w:t xml:space="preserve">This publication is licensed under the Creative Commons Attribution 4.0 International Public License available from </w:t>
      </w:r>
      <w:hyperlink r:id="rId14" w:history="1">
        <w:r w:rsidRPr="006D55B2">
          <w:rPr>
            <w:rStyle w:val="Hyperlink"/>
            <w:rFonts w:cs="Arial"/>
          </w:rPr>
          <w:t>https://creativecommons.org/licenses/by/4.0/legalcode</w:t>
        </w:r>
      </w:hyperlink>
      <w:r w:rsidRPr="006D55B2">
        <w:rPr>
          <w:rStyle w:val="Hyperlink"/>
          <w:rFonts w:cs="Arial"/>
        </w:rPr>
        <w:t xml:space="preserve"> </w:t>
      </w:r>
      <w:r w:rsidRPr="006D55B2">
        <w:rPr>
          <w:rFonts w:cs="Arial"/>
        </w:rPr>
        <w:t xml:space="preserve">(“Licence”). You must read and understand the Licence before using any material from this publication. </w:t>
      </w:r>
    </w:p>
    <w:p w14:paraId="7ACAAAC0" w14:textId="77777777" w:rsidR="00592640" w:rsidRPr="006D55B2" w:rsidRDefault="00592640" w:rsidP="00592640">
      <w:pPr>
        <w:autoSpaceDE w:val="0"/>
        <w:autoSpaceDN w:val="0"/>
        <w:spacing w:before="100" w:after="240" w:line="181" w:lineRule="atLeast"/>
        <w:rPr>
          <w:rFonts w:cs="Arial"/>
        </w:rPr>
      </w:pPr>
      <w:r w:rsidRPr="006D55B2">
        <w:rPr>
          <w:rFonts w:cs="Arial"/>
        </w:rPr>
        <w:t>Restrictions</w:t>
      </w:r>
    </w:p>
    <w:p w14:paraId="4C0574EC" w14:textId="77777777" w:rsidR="00592640" w:rsidRPr="006D55B2" w:rsidRDefault="00592640" w:rsidP="00592640">
      <w:pPr>
        <w:autoSpaceDE w:val="0"/>
        <w:autoSpaceDN w:val="0"/>
        <w:spacing w:before="100" w:after="240" w:line="181" w:lineRule="atLeast"/>
        <w:rPr>
          <w:rFonts w:cs="Arial"/>
        </w:rPr>
      </w:pPr>
      <w:r w:rsidRPr="006D55B2">
        <w:rPr>
          <w:rFonts w:cs="Arial"/>
        </w:rPr>
        <w:t xml:space="preserve">The Licence may not give you all the permissions necessary for your intended use. For example, other rights (such as publicity, privacy and moral rights) may limit how you use the material found in this publication.  </w:t>
      </w:r>
    </w:p>
    <w:p w14:paraId="08634E3D" w14:textId="77777777" w:rsidR="00592640" w:rsidRPr="006D55B2" w:rsidRDefault="00592640" w:rsidP="00592640">
      <w:pPr>
        <w:autoSpaceDE w:val="0"/>
        <w:autoSpaceDN w:val="0"/>
        <w:spacing w:before="100" w:line="181" w:lineRule="atLeast"/>
        <w:rPr>
          <w:rFonts w:cs="Arial"/>
        </w:rPr>
      </w:pPr>
      <w:r w:rsidRPr="006D55B2">
        <w:rPr>
          <w:rFonts w:cs="Arial"/>
        </w:rPr>
        <w:t xml:space="preserve">The Licence does not cover, and there is no permission given for, use of any of the following material found in this publication: </w:t>
      </w:r>
    </w:p>
    <w:p w14:paraId="64BD3F18" w14:textId="77777777" w:rsidR="00592640" w:rsidRPr="006D55B2" w:rsidRDefault="00592640" w:rsidP="00651D54">
      <w:pPr>
        <w:pStyle w:val="ListParagraph"/>
        <w:numPr>
          <w:ilvl w:val="0"/>
          <w:numId w:val="48"/>
        </w:numPr>
        <w:spacing w:before="0" w:line="240" w:lineRule="auto"/>
        <w:rPr>
          <w:rFonts w:ascii="Arial" w:hAnsi="Arial" w:cs="Arial"/>
          <w:sz w:val="20"/>
          <w:szCs w:val="20"/>
        </w:rPr>
      </w:pPr>
      <w:r w:rsidRPr="006D55B2">
        <w:rPr>
          <w:rFonts w:ascii="Arial" w:hAnsi="Arial" w:cs="Arial"/>
          <w:sz w:val="20"/>
          <w:szCs w:val="20"/>
        </w:rPr>
        <w:t>the Commonwealth Coat of Arms. (by way of information, the terms under which the Coat of Arms may be used can be found</w:t>
      </w:r>
      <w:r>
        <w:rPr>
          <w:rFonts w:ascii="Arial" w:hAnsi="Arial" w:cs="Arial"/>
          <w:sz w:val="20"/>
          <w:szCs w:val="20"/>
        </w:rPr>
        <w:t xml:space="preserve"> on the</w:t>
      </w:r>
      <w:r w:rsidRPr="00F23010">
        <w:rPr>
          <w:rFonts w:ascii="Arial" w:hAnsi="Arial" w:cs="Arial"/>
          <w:sz w:val="20"/>
          <w:szCs w:val="20"/>
        </w:rPr>
        <w:t xml:space="preserve"> Department of Prime Minister and Cabinet website</w:t>
      </w:r>
      <w:r>
        <w:rPr>
          <w:rFonts w:ascii="Arial" w:hAnsi="Arial" w:cs="Arial"/>
          <w:sz w:val="20"/>
          <w:szCs w:val="20"/>
        </w:rPr>
        <w:t xml:space="preserve"> </w:t>
      </w:r>
      <w:r w:rsidRPr="00F23010">
        <w:rPr>
          <w:rStyle w:val="Hyperlink"/>
          <w:rFonts w:ascii="Arial" w:hAnsi="Arial" w:cs="Arial"/>
          <w:sz w:val="20"/>
          <w:szCs w:val="20"/>
          <w:lang w:eastAsia="en-AU"/>
        </w:rPr>
        <w:t>http://www.dpmc.gov.au/government/commonwealth-coat-arms</w:t>
      </w:r>
      <w:r>
        <w:rPr>
          <w:rFonts w:ascii="Arial" w:hAnsi="Arial" w:cs="Arial"/>
          <w:sz w:val="20"/>
          <w:szCs w:val="20"/>
        </w:rPr>
        <w:t>);</w:t>
      </w:r>
    </w:p>
    <w:p w14:paraId="4B2A59C1" w14:textId="77777777" w:rsidR="00592640" w:rsidRPr="006D55B2" w:rsidRDefault="00592640" w:rsidP="00651D54">
      <w:pPr>
        <w:pStyle w:val="ListParagraph"/>
        <w:numPr>
          <w:ilvl w:val="0"/>
          <w:numId w:val="48"/>
        </w:numPr>
        <w:spacing w:before="0" w:line="240" w:lineRule="auto"/>
        <w:rPr>
          <w:rFonts w:ascii="Arial" w:hAnsi="Arial" w:cs="Arial"/>
          <w:sz w:val="20"/>
          <w:szCs w:val="20"/>
        </w:rPr>
      </w:pPr>
      <w:r w:rsidRPr="006D55B2">
        <w:rPr>
          <w:rFonts w:ascii="Arial" w:hAnsi="Arial" w:cs="Arial"/>
          <w:sz w:val="20"/>
          <w:szCs w:val="20"/>
        </w:rPr>
        <w:t>any logos and trademarks;</w:t>
      </w:r>
    </w:p>
    <w:p w14:paraId="32C21961" w14:textId="77777777" w:rsidR="00592640" w:rsidRPr="006D55B2" w:rsidRDefault="00592640" w:rsidP="00651D54">
      <w:pPr>
        <w:pStyle w:val="ListParagraph"/>
        <w:numPr>
          <w:ilvl w:val="0"/>
          <w:numId w:val="48"/>
        </w:numPr>
        <w:spacing w:before="0" w:line="240" w:lineRule="auto"/>
        <w:rPr>
          <w:rFonts w:ascii="Arial" w:hAnsi="Arial" w:cs="Arial"/>
          <w:sz w:val="20"/>
          <w:szCs w:val="20"/>
        </w:rPr>
      </w:pPr>
      <w:r w:rsidRPr="006D55B2">
        <w:rPr>
          <w:rFonts w:ascii="Arial" w:hAnsi="Arial" w:cs="Arial"/>
          <w:sz w:val="20"/>
          <w:szCs w:val="20"/>
        </w:rPr>
        <w:t xml:space="preserve">any photographs and images; </w:t>
      </w:r>
    </w:p>
    <w:p w14:paraId="5B547707" w14:textId="77777777" w:rsidR="00592640" w:rsidRPr="006D55B2" w:rsidRDefault="00592640" w:rsidP="00651D54">
      <w:pPr>
        <w:pStyle w:val="ListParagraph"/>
        <w:numPr>
          <w:ilvl w:val="0"/>
          <w:numId w:val="48"/>
        </w:numPr>
        <w:spacing w:before="0" w:line="240" w:lineRule="auto"/>
        <w:rPr>
          <w:rFonts w:ascii="Arial" w:hAnsi="Arial" w:cs="Arial"/>
          <w:sz w:val="20"/>
          <w:szCs w:val="20"/>
        </w:rPr>
      </w:pPr>
      <w:r w:rsidRPr="006D55B2">
        <w:rPr>
          <w:rFonts w:ascii="Arial" w:hAnsi="Arial" w:cs="Arial"/>
          <w:sz w:val="20"/>
          <w:szCs w:val="20"/>
        </w:rPr>
        <w:t>any signatures; and</w:t>
      </w:r>
    </w:p>
    <w:p w14:paraId="52672ABF" w14:textId="77777777" w:rsidR="00592640" w:rsidRPr="006D55B2" w:rsidRDefault="00592640" w:rsidP="00651D54">
      <w:pPr>
        <w:pStyle w:val="ListParagraph"/>
        <w:numPr>
          <w:ilvl w:val="0"/>
          <w:numId w:val="48"/>
        </w:numPr>
        <w:spacing w:before="0" w:line="240" w:lineRule="auto"/>
        <w:rPr>
          <w:rFonts w:ascii="Arial" w:hAnsi="Arial" w:cs="Arial"/>
          <w:sz w:val="20"/>
          <w:szCs w:val="20"/>
        </w:rPr>
      </w:pPr>
      <w:r w:rsidRPr="006D55B2">
        <w:rPr>
          <w:rFonts w:ascii="Arial" w:hAnsi="Arial" w:cs="Arial"/>
          <w:sz w:val="20"/>
          <w:szCs w:val="20"/>
        </w:rPr>
        <w:t>any material belonging to third parties.</w:t>
      </w:r>
    </w:p>
    <w:p w14:paraId="5ADFCE1B" w14:textId="77777777" w:rsidR="00592640" w:rsidRPr="006D55B2" w:rsidRDefault="00592640" w:rsidP="00592640">
      <w:pPr>
        <w:autoSpaceDE w:val="0"/>
        <w:autoSpaceDN w:val="0"/>
        <w:spacing w:before="240" w:line="181" w:lineRule="atLeast"/>
        <w:ind w:right="-766"/>
        <w:rPr>
          <w:rFonts w:cs="Arial"/>
        </w:rPr>
      </w:pPr>
      <w:r w:rsidRPr="006D55B2">
        <w:rPr>
          <w:rFonts w:cs="Arial"/>
        </w:rPr>
        <w:t>Attribution</w:t>
      </w:r>
    </w:p>
    <w:p w14:paraId="56F2D127" w14:textId="77777777" w:rsidR="00592640" w:rsidRPr="006D55B2" w:rsidRDefault="00592640" w:rsidP="00592640">
      <w:pPr>
        <w:autoSpaceDE w:val="0"/>
        <w:autoSpaceDN w:val="0"/>
        <w:spacing w:before="240" w:line="181" w:lineRule="atLeast"/>
        <w:rPr>
          <w:rFonts w:cs="Arial"/>
        </w:rPr>
      </w:pPr>
      <w:r w:rsidRPr="52A0037B">
        <w:rPr>
          <w:rFonts w:cs="Arial"/>
        </w:rPr>
        <w:t>Without limiting your obligations under the Licence, the Department of Health and Aged Care requests that you attribute this publication in your work. Any reasonable form of words may be used provided that you:</w:t>
      </w:r>
    </w:p>
    <w:p w14:paraId="3C4E9BDC" w14:textId="77777777" w:rsidR="00592640" w:rsidRPr="006D55B2" w:rsidRDefault="00592640" w:rsidP="00651D54">
      <w:pPr>
        <w:pStyle w:val="ListParagraph"/>
        <w:numPr>
          <w:ilvl w:val="0"/>
          <w:numId w:val="49"/>
        </w:numPr>
        <w:autoSpaceDE w:val="0"/>
        <w:autoSpaceDN w:val="0"/>
        <w:spacing w:before="0" w:line="181" w:lineRule="atLeast"/>
        <w:jc w:val="both"/>
        <w:rPr>
          <w:rFonts w:ascii="Arial" w:hAnsi="Arial" w:cs="Arial"/>
          <w:sz w:val="20"/>
          <w:szCs w:val="20"/>
        </w:rPr>
      </w:pPr>
      <w:r w:rsidRPr="006D55B2">
        <w:rPr>
          <w:rFonts w:ascii="Arial" w:hAnsi="Arial" w:cs="Arial"/>
          <w:sz w:val="20"/>
          <w:szCs w:val="20"/>
        </w:rPr>
        <w:t xml:space="preserve">include a reference to this publication and where, practicable, the relevant page numbers; </w:t>
      </w:r>
    </w:p>
    <w:p w14:paraId="2EBE26D5" w14:textId="77777777" w:rsidR="00592640" w:rsidRPr="006D55B2" w:rsidRDefault="00592640" w:rsidP="00651D54">
      <w:pPr>
        <w:pStyle w:val="ListParagraph"/>
        <w:numPr>
          <w:ilvl w:val="0"/>
          <w:numId w:val="49"/>
        </w:numPr>
        <w:autoSpaceDE w:val="0"/>
        <w:autoSpaceDN w:val="0"/>
        <w:spacing w:before="0" w:line="181" w:lineRule="atLeast"/>
        <w:jc w:val="both"/>
        <w:rPr>
          <w:rFonts w:ascii="Arial" w:hAnsi="Arial" w:cs="Arial"/>
          <w:sz w:val="20"/>
          <w:szCs w:val="20"/>
        </w:rPr>
      </w:pPr>
      <w:r w:rsidRPr="006D55B2">
        <w:rPr>
          <w:rFonts w:ascii="Arial" w:hAnsi="Arial" w:cs="Arial"/>
          <w:sz w:val="20"/>
          <w:szCs w:val="20"/>
        </w:rPr>
        <w:t>make it clear that you have permission to use the material under the Creative Commons Attribution 4.0 International Public License;</w:t>
      </w:r>
    </w:p>
    <w:p w14:paraId="4FE48009" w14:textId="77777777" w:rsidR="00592640" w:rsidRPr="006D55B2" w:rsidRDefault="00592640" w:rsidP="00651D54">
      <w:pPr>
        <w:pStyle w:val="ListParagraph"/>
        <w:numPr>
          <w:ilvl w:val="0"/>
          <w:numId w:val="49"/>
        </w:numPr>
        <w:autoSpaceDE w:val="0"/>
        <w:autoSpaceDN w:val="0"/>
        <w:spacing w:before="0" w:line="181" w:lineRule="atLeast"/>
        <w:jc w:val="both"/>
        <w:rPr>
          <w:rFonts w:ascii="Arial" w:hAnsi="Arial" w:cs="Arial"/>
          <w:sz w:val="20"/>
          <w:szCs w:val="20"/>
        </w:rPr>
      </w:pPr>
      <w:r w:rsidRPr="006D55B2">
        <w:rPr>
          <w:rFonts w:ascii="Arial" w:hAnsi="Arial" w:cs="Arial"/>
          <w:sz w:val="20"/>
          <w:szCs w:val="20"/>
        </w:rPr>
        <w:t xml:space="preserve">make it clear whether or not you have changed the material used from this publication; </w:t>
      </w:r>
    </w:p>
    <w:p w14:paraId="0C10BE20" w14:textId="77777777" w:rsidR="00592640" w:rsidRPr="006D55B2" w:rsidRDefault="00592640" w:rsidP="00651D54">
      <w:pPr>
        <w:pStyle w:val="ListParagraph"/>
        <w:numPr>
          <w:ilvl w:val="0"/>
          <w:numId w:val="49"/>
        </w:numPr>
        <w:autoSpaceDE w:val="0"/>
        <w:autoSpaceDN w:val="0"/>
        <w:spacing w:before="0" w:line="181" w:lineRule="atLeast"/>
        <w:jc w:val="both"/>
        <w:rPr>
          <w:rFonts w:ascii="Arial" w:hAnsi="Arial" w:cs="Arial"/>
          <w:sz w:val="20"/>
          <w:szCs w:val="20"/>
        </w:rPr>
      </w:pPr>
      <w:r w:rsidRPr="52A0037B">
        <w:rPr>
          <w:rFonts w:ascii="Arial" w:hAnsi="Arial" w:cs="Arial"/>
          <w:sz w:val="20"/>
          <w:szCs w:val="20"/>
        </w:rPr>
        <w:t>include a copyright notice in relation to the material used. In the case of no change to the material, the words “© Commonwealth of Australia (Department of Health and Aged Care) 20</w:t>
      </w:r>
      <w:r>
        <w:rPr>
          <w:rFonts w:ascii="Arial" w:hAnsi="Arial" w:cs="Arial"/>
          <w:sz w:val="20"/>
          <w:szCs w:val="20"/>
        </w:rPr>
        <w:t>24</w:t>
      </w:r>
      <w:r w:rsidRPr="52A0037B">
        <w:rPr>
          <w:rFonts w:ascii="Arial" w:hAnsi="Arial" w:cs="Arial"/>
          <w:sz w:val="20"/>
          <w:szCs w:val="20"/>
        </w:rPr>
        <w:t>” may be used. In the case where the material has been changed or adapted, the words: “Based on Commonwealth of Australia (Department of Health and Aged Care) material” may be used; and</w:t>
      </w:r>
    </w:p>
    <w:p w14:paraId="795A97D4" w14:textId="77777777" w:rsidR="00592640" w:rsidRPr="006D55B2" w:rsidRDefault="00592640" w:rsidP="00651D54">
      <w:pPr>
        <w:pStyle w:val="ListParagraph"/>
        <w:numPr>
          <w:ilvl w:val="0"/>
          <w:numId w:val="49"/>
        </w:numPr>
        <w:autoSpaceDE w:val="0"/>
        <w:autoSpaceDN w:val="0"/>
        <w:spacing w:before="0" w:line="181" w:lineRule="atLeast"/>
        <w:jc w:val="both"/>
        <w:rPr>
          <w:rFonts w:ascii="Arial" w:hAnsi="Arial" w:cs="Arial"/>
          <w:sz w:val="20"/>
          <w:szCs w:val="20"/>
        </w:rPr>
      </w:pPr>
      <w:r w:rsidRPr="52A0037B">
        <w:rPr>
          <w:rFonts w:ascii="Arial" w:hAnsi="Arial" w:cs="Arial"/>
          <w:sz w:val="20"/>
          <w:szCs w:val="20"/>
        </w:rPr>
        <w:t>do not suggest that the Department of Health and Aged Care endorses you or your use of the material.</w:t>
      </w:r>
    </w:p>
    <w:p w14:paraId="237FA7CA" w14:textId="77777777" w:rsidR="00592640" w:rsidRPr="006D55B2" w:rsidRDefault="00592640" w:rsidP="00592640">
      <w:pPr>
        <w:pStyle w:val="ListParagraph"/>
        <w:tabs>
          <w:tab w:val="left" w:pos="426"/>
          <w:tab w:val="left" w:pos="1560"/>
        </w:tabs>
        <w:autoSpaceDE w:val="0"/>
        <w:autoSpaceDN w:val="0"/>
        <w:spacing w:line="181" w:lineRule="atLeast"/>
        <w:ind w:left="780" w:right="-766"/>
        <w:rPr>
          <w:rFonts w:ascii="Arial" w:hAnsi="Arial" w:cs="Arial"/>
          <w:sz w:val="20"/>
          <w:szCs w:val="20"/>
        </w:rPr>
      </w:pPr>
      <w:r w:rsidRPr="006D55B2">
        <w:rPr>
          <w:rFonts w:ascii="Arial" w:hAnsi="Arial" w:cs="Arial"/>
          <w:sz w:val="20"/>
          <w:szCs w:val="20"/>
        </w:rPr>
        <w:t>.</w:t>
      </w:r>
    </w:p>
    <w:p w14:paraId="7354A8F3" w14:textId="77777777" w:rsidR="00592640" w:rsidRPr="006D55B2" w:rsidRDefault="00592640" w:rsidP="00592640">
      <w:pPr>
        <w:autoSpaceDE w:val="0"/>
        <w:autoSpaceDN w:val="0"/>
        <w:spacing w:after="240"/>
        <w:rPr>
          <w:rFonts w:cs="Arial"/>
        </w:rPr>
      </w:pPr>
      <w:r w:rsidRPr="006D55B2">
        <w:rPr>
          <w:rFonts w:cs="Arial"/>
        </w:rPr>
        <w:t>Enquiries</w:t>
      </w:r>
    </w:p>
    <w:p w14:paraId="42B23750" w14:textId="4D41FDB1" w:rsidR="00592640" w:rsidRDefault="00592640" w:rsidP="00592640">
      <w:r w:rsidRPr="52A0037B">
        <w:rPr>
          <w:rFonts w:cs="Arial"/>
        </w:rPr>
        <w:t xml:space="preserve">Enquiries regarding any other use of this publication should be addressed to the Branch Manager, Communication Branch, Department of Health and Aged Care, GPO Box 9848, Canberra ACT 2601, or via e-mail to </w:t>
      </w:r>
      <w:hyperlink r:id="rId15" w:history="1">
        <w:r w:rsidRPr="52A0037B">
          <w:rPr>
            <w:rStyle w:val="Hyperlink"/>
            <w:rFonts w:cs="Arial"/>
          </w:rPr>
          <w:t>copyright@health.gov.au</w:t>
        </w:r>
      </w:hyperlink>
      <w:r>
        <w:br w:type="page"/>
      </w:r>
    </w:p>
    <w:p w14:paraId="319CCA41" w14:textId="77777777" w:rsidR="004C1126" w:rsidRDefault="004C1126" w:rsidP="00AD6A80"/>
    <w:sdt>
      <w:sdtPr>
        <w:rPr>
          <w:rFonts w:asciiTheme="minorHAnsi" w:eastAsiaTheme="minorHAnsi" w:hAnsiTheme="minorHAnsi" w:cstheme="minorBidi"/>
          <w:sz w:val="22"/>
          <w:szCs w:val="22"/>
          <w:lang w:val="en-GB"/>
        </w:rPr>
        <w:id w:val="11263538"/>
        <w:docPartObj>
          <w:docPartGallery w:val="Table of Contents"/>
          <w:docPartUnique/>
        </w:docPartObj>
      </w:sdtPr>
      <w:sdtEndPr>
        <w:rPr>
          <w:b/>
          <w:bCs/>
          <w:noProof/>
          <w:lang w:val="en-AU"/>
        </w:rPr>
      </w:sdtEndPr>
      <w:sdtContent>
        <w:p w14:paraId="04DFB711" w14:textId="77777777" w:rsidR="00CD61B4" w:rsidRDefault="00CD61B4">
          <w:pPr>
            <w:pStyle w:val="TOCHeading"/>
          </w:pPr>
          <w:r>
            <w:t>Contents</w:t>
          </w:r>
        </w:p>
        <w:p w14:paraId="47BAB52A" w14:textId="0FF2E881" w:rsidR="000031FE" w:rsidRDefault="00CD61B4" w:rsidP="000031FE">
          <w:pPr>
            <w:pStyle w:val="TOC1"/>
            <w:rPr>
              <w:rFonts w:eastAsiaTheme="minorEastAsia"/>
              <w:noProof/>
              <w:lang w:eastAsia="en-AU"/>
            </w:rPr>
          </w:pPr>
          <w:r>
            <w:fldChar w:fldCharType="begin"/>
          </w:r>
          <w:r>
            <w:instrText xml:space="preserve"> TOC \o "1-2" \h \z \u </w:instrText>
          </w:r>
          <w:r>
            <w:fldChar w:fldCharType="separate"/>
          </w:r>
          <w:hyperlink w:anchor="_Toc156576940" w:history="1">
            <w:r w:rsidR="000031FE" w:rsidRPr="00680ECC">
              <w:rPr>
                <w:rStyle w:val="Hyperlink"/>
                <w:noProof/>
              </w:rPr>
              <w:t>2</w:t>
            </w:r>
            <w:r w:rsidR="000031FE">
              <w:rPr>
                <w:rFonts w:eastAsiaTheme="minorEastAsia"/>
                <w:noProof/>
                <w:lang w:eastAsia="en-AU"/>
              </w:rPr>
              <w:tab/>
            </w:r>
            <w:r w:rsidR="000031FE" w:rsidRPr="00680ECC">
              <w:rPr>
                <w:rStyle w:val="Hyperlink"/>
                <w:noProof/>
              </w:rPr>
              <w:t>Introduction</w:t>
            </w:r>
            <w:r w:rsidR="000031FE">
              <w:rPr>
                <w:noProof/>
                <w:webHidden/>
              </w:rPr>
              <w:tab/>
            </w:r>
            <w:r w:rsidR="000031FE">
              <w:rPr>
                <w:noProof/>
                <w:webHidden/>
              </w:rPr>
              <w:fldChar w:fldCharType="begin"/>
            </w:r>
            <w:r w:rsidR="000031FE">
              <w:rPr>
                <w:noProof/>
                <w:webHidden/>
              </w:rPr>
              <w:instrText xml:space="preserve"> PAGEREF _Toc156576940 \h </w:instrText>
            </w:r>
            <w:r w:rsidR="000031FE">
              <w:rPr>
                <w:noProof/>
                <w:webHidden/>
              </w:rPr>
            </w:r>
            <w:r w:rsidR="000031FE">
              <w:rPr>
                <w:noProof/>
                <w:webHidden/>
              </w:rPr>
              <w:fldChar w:fldCharType="separate"/>
            </w:r>
            <w:r w:rsidR="00A71271">
              <w:rPr>
                <w:noProof/>
                <w:webHidden/>
              </w:rPr>
              <w:t>5</w:t>
            </w:r>
            <w:r w:rsidR="000031FE">
              <w:rPr>
                <w:noProof/>
                <w:webHidden/>
              </w:rPr>
              <w:fldChar w:fldCharType="end"/>
            </w:r>
          </w:hyperlink>
        </w:p>
        <w:p w14:paraId="60C4D815" w14:textId="105DB045" w:rsidR="000031FE" w:rsidRDefault="003A333F">
          <w:pPr>
            <w:pStyle w:val="TOC2"/>
            <w:rPr>
              <w:rFonts w:eastAsiaTheme="minorEastAsia"/>
              <w:noProof/>
              <w:lang w:eastAsia="en-AU"/>
            </w:rPr>
          </w:pPr>
          <w:hyperlink w:anchor="_Toc156576941" w:history="1">
            <w:r w:rsidR="000031FE" w:rsidRPr="00680ECC">
              <w:rPr>
                <w:rStyle w:val="Hyperlink"/>
                <w:noProof/>
              </w:rPr>
              <w:t>2.1</w:t>
            </w:r>
            <w:r w:rsidR="000031FE">
              <w:rPr>
                <w:rFonts w:eastAsiaTheme="minorEastAsia"/>
                <w:noProof/>
                <w:lang w:eastAsia="en-AU"/>
              </w:rPr>
              <w:tab/>
            </w:r>
            <w:r w:rsidR="000031FE" w:rsidRPr="00680ECC">
              <w:rPr>
                <w:rStyle w:val="Hyperlink"/>
                <w:noProof/>
              </w:rPr>
              <w:t>Purpose and structure of paper</w:t>
            </w:r>
            <w:r w:rsidR="000031FE">
              <w:rPr>
                <w:noProof/>
                <w:webHidden/>
              </w:rPr>
              <w:tab/>
            </w:r>
            <w:r w:rsidR="000031FE">
              <w:rPr>
                <w:noProof/>
                <w:webHidden/>
              </w:rPr>
              <w:fldChar w:fldCharType="begin"/>
            </w:r>
            <w:r w:rsidR="000031FE">
              <w:rPr>
                <w:noProof/>
                <w:webHidden/>
              </w:rPr>
              <w:instrText xml:space="preserve"> PAGEREF _Toc156576941 \h </w:instrText>
            </w:r>
            <w:r w:rsidR="000031FE">
              <w:rPr>
                <w:noProof/>
                <w:webHidden/>
              </w:rPr>
            </w:r>
            <w:r w:rsidR="000031FE">
              <w:rPr>
                <w:noProof/>
                <w:webHidden/>
              </w:rPr>
              <w:fldChar w:fldCharType="separate"/>
            </w:r>
            <w:r w:rsidR="00A71271">
              <w:rPr>
                <w:noProof/>
                <w:webHidden/>
              </w:rPr>
              <w:t>5</w:t>
            </w:r>
            <w:r w:rsidR="000031FE">
              <w:rPr>
                <w:noProof/>
                <w:webHidden/>
              </w:rPr>
              <w:fldChar w:fldCharType="end"/>
            </w:r>
          </w:hyperlink>
        </w:p>
        <w:p w14:paraId="7AA296EF" w14:textId="34306483" w:rsidR="000031FE" w:rsidRDefault="003A333F">
          <w:pPr>
            <w:pStyle w:val="TOC2"/>
            <w:rPr>
              <w:rFonts w:eastAsiaTheme="minorEastAsia"/>
              <w:noProof/>
              <w:lang w:eastAsia="en-AU"/>
            </w:rPr>
          </w:pPr>
          <w:hyperlink w:anchor="_Toc156576942" w:history="1">
            <w:r w:rsidR="000031FE" w:rsidRPr="00680ECC">
              <w:rPr>
                <w:rStyle w:val="Hyperlink"/>
                <w:noProof/>
              </w:rPr>
              <w:t>2.2</w:t>
            </w:r>
            <w:r w:rsidR="000031FE">
              <w:rPr>
                <w:rFonts w:eastAsiaTheme="minorEastAsia"/>
                <w:noProof/>
                <w:lang w:eastAsia="en-AU"/>
              </w:rPr>
              <w:tab/>
            </w:r>
            <w:r w:rsidR="000031FE" w:rsidRPr="00680ECC">
              <w:rPr>
                <w:rStyle w:val="Hyperlink"/>
                <w:noProof/>
              </w:rPr>
              <w:t>Overview of the pathway from development to public funding</w:t>
            </w:r>
            <w:r w:rsidR="000031FE">
              <w:rPr>
                <w:noProof/>
                <w:webHidden/>
              </w:rPr>
              <w:tab/>
            </w:r>
            <w:r w:rsidR="000031FE">
              <w:rPr>
                <w:noProof/>
                <w:webHidden/>
              </w:rPr>
              <w:fldChar w:fldCharType="begin"/>
            </w:r>
            <w:r w:rsidR="000031FE">
              <w:rPr>
                <w:noProof/>
                <w:webHidden/>
              </w:rPr>
              <w:instrText xml:space="preserve"> PAGEREF _Toc156576942 \h </w:instrText>
            </w:r>
            <w:r w:rsidR="000031FE">
              <w:rPr>
                <w:noProof/>
                <w:webHidden/>
              </w:rPr>
            </w:r>
            <w:r w:rsidR="000031FE">
              <w:rPr>
                <w:noProof/>
                <w:webHidden/>
              </w:rPr>
              <w:fldChar w:fldCharType="separate"/>
            </w:r>
            <w:r w:rsidR="00A71271">
              <w:rPr>
                <w:noProof/>
                <w:webHidden/>
              </w:rPr>
              <w:t>5</w:t>
            </w:r>
            <w:r w:rsidR="000031FE">
              <w:rPr>
                <w:noProof/>
                <w:webHidden/>
              </w:rPr>
              <w:fldChar w:fldCharType="end"/>
            </w:r>
          </w:hyperlink>
        </w:p>
        <w:p w14:paraId="4A8551F3" w14:textId="161016E1" w:rsidR="000031FE" w:rsidRDefault="003A333F">
          <w:pPr>
            <w:pStyle w:val="TOC2"/>
            <w:rPr>
              <w:rFonts w:eastAsiaTheme="minorEastAsia"/>
              <w:noProof/>
              <w:lang w:eastAsia="en-AU"/>
            </w:rPr>
          </w:pPr>
          <w:hyperlink w:anchor="_Toc156576943" w:history="1">
            <w:r w:rsidR="000031FE" w:rsidRPr="00680ECC">
              <w:rPr>
                <w:rStyle w:val="Hyperlink"/>
                <w:noProof/>
              </w:rPr>
              <w:t>2.3</w:t>
            </w:r>
            <w:r w:rsidR="000031FE">
              <w:rPr>
                <w:rFonts w:eastAsiaTheme="minorEastAsia"/>
                <w:noProof/>
                <w:lang w:eastAsia="en-AU"/>
              </w:rPr>
              <w:tab/>
            </w:r>
            <w:r w:rsidR="000031FE" w:rsidRPr="00680ECC">
              <w:rPr>
                <w:rStyle w:val="Hyperlink"/>
                <w:noProof/>
              </w:rPr>
              <w:t>Assessment and funding of health technologies</w:t>
            </w:r>
            <w:r w:rsidR="000031FE">
              <w:rPr>
                <w:noProof/>
                <w:webHidden/>
              </w:rPr>
              <w:tab/>
            </w:r>
            <w:r w:rsidR="000031FE">
              <w:rPr>
                <w:noProof/>
                <w:webHidden/>
              </w:rPr>
              <w:fldChar w:fldCharType="begin"/>
            </w:r>
            <w:r w:rsidR="000031FE">
              <w:rPr>
                <w:noProof/>
                <w:webHidden/>
              </w:rPr>
              <w:instrText xml:space="preserve"> PAGEREF _Toc156576943 \h </w:instrText>
            </w:r>
            <w:r w:rsidR="000031FE">
              <w:rPr>
                <w:noProof/>
                <w:webHidden/>
              </w:rPr>
            </w:r>
            <w:r w:rsidR="000031FE">
              <w:rPr>
                <w:noProof/>
                <w:webHidden/>
              </w:rPr>
              <w:fldChar w:fldCharType="separate"/>
            </w:r>
            <w:r w:rsidR="00A71271">
              <w:rPr>
                <w:noProof/>
                <w:webHidden/>
              </w:rPr>
              <w:t>7</w:t>
            </w:r>
            <w:r w:rsidR="000031FE">
              <w:rPr>
                <w:noProof/>
                <w:webHidden/>
              </w:rPr>
              <w:fldChar w:fldCharType="end"/>
            </w:r>
          </w:hyperlink>
        </w:p>
        <w:p w14:paraId="77A5AC51" w14:textId="7E5F55DF" w:rsidR="000031FE" w:rsidRDefault="003A333F" w:rsidP="000031FE">
          <w:pPr>
            <w:pStyle w:val="TOC1"/>
            <w:rPr>
              <w:rFonts w:eastAsiaTheme="minorEastAsia"/>
              <w:noProof/>
              <w:lang w:eastAsia="en-AU"/>
            </w:rPr>
          </w:pPr>
          <w:hyperlink w:anchor="_Toc156576944" w:history="1">
            <w:r w:rsidR="000031FE" w:rsidRPr="00680ECC">
              <w:rPr>
                <w:rStyle w:val="Hyperlink"/>
                <w:noProof/>
              </w:rPr>
              <w:t>3</w:t>
            </w:r>
            <w:r w:rsidR="000031FE">
              <w:rPr>
                <w:rFonts w:eastAsiaTheme="minorEastAsia"/>
                <w:noProof/>
                <w:lang w:eastAsia="en-AU"/>
              </w:rPr>
              <w:tab/>
            </w:r>
            <w:r w:rsidR="000031FE" w:rsidRPr="00680ECC">
              <w:rPr>
                <w:rStyle w:val="Hyperlink"/>
                <w:noProof/>
              </w:rPr>
              <w:t>Market authorisation for therapeutic goods in Australia</w:t>
            </w:r>
            <w:r w:rsidR="000031FE">
              <w:rPr>
                <w:noProof/>
                <w:webHidden/>
              </w:rPr>
              <w:tab/>
            </w:r>
            <w:r w:rsidR="000031FE">
              <w:rPr>
                <w:noProof/>
                <w:webHidden/>
              </w:rPr>
              <w:fldChar w:fldCharType="begin"/>
            </w:r>
            <w:r w:rsidR="000031FE">
              <w:rPr>
                <w:noProof/>
                <w:webHidden/>
              </w:rPr>
              <w:instrText xml:space="preserve"> PAGEREF _Toc156576944 \h </w:instrText>
            </w:r>
            <w:r w:rsidR="000031FE">
              <w:rPr>
                <w:noProof/>
                <w:webHidden/>
              </w:rPr>
            </w:r>
            <w:r w:rsidR="000031FE">
              <w:rPr>
                <w:noProof/>
                <w:webHidden/>
              </w:rPr>
              <w:fldChar w:fldCharType="separate"/>
            </w:r>
            <w:r w:rsidR="00A71271">
              <w:rPr>
                <w:noProof/>
                <w:webHidden/>
              </w:rPr>
              <w:t>12</w:t>
            </w:r>
            <w:r w:rsidR="000031FE">
              <w:rPr>
                <w:noProof/>
                <w:webHidden/>
              </w:rPr>
              <w:fldChar w:fldCharType="end"/>
            </w:r>
          </w:hyperlink>
        </w:p>
        <w:p w14:paraId="29D0A5D9" w14:textId="611BE8EF" w:rsidR="000031FE" w:rsidRDefault="003A333F">
          <w:pPr>
            <w:pStyle w:val="TOC2"/>
            <w:rPr>
              <w:rFonts w:eastAsiaTheme="minorEastAsia"/>
              <w:noProof/>
              <w:lang w:eastAsia="en-AU"/>
            </w:rPr>
          </w:pPr>
          <w:hyperlink w:anchor="_Toc156576945" w:history="1">
            <w:r w:rsidR="000031FE" w:rsidRPr="00680ECC">
              <w:rPr>
                <w:rStyle w:val="Hyperlink"/>
                <w:noProof/>
              </w:rPr>
              <w:t>3.1</w:t>
            </w:r>
            <w:r w:rsidR="000031FE">
              <w:rPr>
                <w:rFonts w:eastAsiaTheme="minorEastAsia"/>
                <w:noProof/>
                <w:lang w:eastAsia="en-AU"/>
              </w:rPr>
              <w:tab/>
            </w:r>
            <w:r w:rsidR="000031FE" w:rsidRPr="00680ECC">
              <w:rPr>
                <w:rStyle w:val="Hyperlink"/>
                <w:noProof/>
              </w:rPr>
              <w:t>Background</w:t>
            </w:r>
            <w:r w:rsidR="000031FE">
              <w:rPr>
                <w:noProof/>
                <w:webHidden/>
              </w:rPr>
              <w:tab/>
            </w:r>
            <w:r w:rsidR="000031FE">
              <w:rPr>
                <w:noProof/>
                <w:webHidden/>
              </w:rPr>
              <w:fldChar w:fldCharType="begin"/>
            </w:r>
            <w:r w:rsidR="000031FE">
              <w:rPr>
                <w:noProof/>
                <w:webHidden/>
              </w:rPr>
              <w:instrText xml:space="preserve"> PAGEREF _Toc156576945 \h </w:instrText>
            </w:r>
            <w:r w:rsidR="000031FE">
              <w:rPr>
                <w:noProof/>
                <w:webHidden/>
              </w:rPr>
            </w:r>
            <w:r w:rsidR="000031FE">
              <w:rPr>
                <w:noProof/>
                <w:webHidden/>
              </w:rPr>
              <w:fldChar w:fldCharType="separate"/>
            </w:r>
            <w:r w:rsidR="00A71271">
              <w:rPr>
                <w:noProof/>
                <w:webHidden/>
              </w:rPr>
              <w:t>12</w:t>
            </w:r>
            <w:r w:rsidR="000031FE">
              <w:rPr>
                <w:noProof/>
                <w:webHidden/>
              </w:rPr>
              <w:fldChar w:fldCharType="end"/>
            </w:r>
          </w:hyperlink>
        </w:p>
        <w:p w14:paraId="44774A93" w14:textId="2968F117" w:rsidR="000031FE" w:rsidRDefault="003A333F">
          <w:pPr>
            <w:pStyle w:val="TOC2"/>
            <w:rPr>
              <w:rFonts w:eastAsiaTheme="minorEastAsia"/>
              <w:noProof/>
              <w:lang w:eastAsia="en-AU"/>
            </w:rPr>
          </w:pPr>
          <w:hyperlink w:anchor="_Toc156576946" w:history="1">
            <w:r w:rsidR="000031FE" w:rsidRPr="00680ECC">
              <w:rPr>
                <w:rStyle w:val="Hyperlink"/>
                <w:noProof/>
              </w:rPr>
              <w:t>3.2</w:t>
            </w:r>
            <w:r w:rsidR="000031FE">
              <w:rPr>
                <w:rFonts w:eastAsiaTheme="minorEastAsia"/>
                <w:noProof/>
                <w:lang w:eastAsia="en-AU"/>
              </w:rPr>
              <w:tab/>
            </w:r>
            <w:r w:rsidR="000031FE" w:rsidRPr="00680ECC">
              <w:rPr>
                <w:rStyle w:val="Hyperlink"/>
                <w:noProof/>
              </w:rPr>
              <w:t>Market approval process for medicines</w:t>
            </w:r>
            <w:r w:rsidR="000031FE">
              <w:rPr>
                <w:noProof/>
                <w:webHidden/>
              </w:rPr>
              <w:tab/>
            </w:r>
            <w:r w:rsidR="000031FE">
              <w:rPr>
                <w:noProof/>
                <w:webHidden/>
              </w:rPr>
              <w:fldChar w:fldCharType="begin"/>
            </w:r>
            <w:r w:rsidR="000031FE">
              <w:rPr>
                <w:noProof/>
                <w:webHidden/>
              </w:rPr>
              <w:instrText xml:space="preserve"> PAGEREF _Toc156576946 \h </w:instrText>
            </w:r>
            <w:r w:rsidR="000031FE">
              <w:rPr>
                <w:noProof/>
                <w:webHidden/>
              </w:rPr>
            </w:r>
            <w:r w:rsidR="000031FE">
              <w:rPr>
                <w:noProof/>
                <w:webHidden/>
              </w:rPr>
              <w:fldChar w:fldCharType="separate"/>
            </w:r>
            <w:r w:rsidR="00A71271">
              <w:rPr>
                <w:noProof/>
                <w:webHidden/>
              </w:rPr>
              <w:t>13</w:t>
            </w:r>
            <w:r w:rsidR="000031FE">
              <w:rPr>
                <w:noProof/>
                <w:webHidden/>
              </w:rPr>
              <w:fldChar w:fldCharType="end"/>
            </w:r>
          </w:hyperlink>
        </w:p>
        <w:p w14:paraId="2F74D3F4" w14:textId="2677D1E6" w:rsidR="000031FE" w:rsidRDefault="003A333F">
          <w:pPr>
            <w:pStyle w:val="TOC2"/>
            <w:rPr>
              <w:rFonts w:eastAsiaTheme="minorEastAsia"/>
              <w:noProof/>
              <w:lang w:eastAsia="en-AU"/>
            </w:rPr>
          </w:pPr>
          <w:hyperlink w:anchor="_Toc156576947" w:history="1">
            <w:r w:rsidR="000031FE" w:rsidRPr="00680ECC">
              <w:rPr>
                <w:rStyle w:val="Hyperlink"/>
                <w:noProof/>
              </w:rPr>
              <w:t>3.3</w:t>
            </w:r>
            <w:r w:rsidR="000031FE">
              <w:rPr>
                <w:rFonts w:eastAsiaTheme="minorEastAsia"/>
                <w:noProof/>
                <w:lang w:eastAsia="en-AU"/>
              </w:rPr>
              <w:tab/>
            </w:r>
            <w:r w:rsidR="000031FE" w:rsidRPr="00680ECC">
              <w:rPr>
                <w:rStyle w:val="Hyperlink"/>
                <w:noProof/>
              </w:rPr>
              <w:t>Approval process for biologicals</w:t>
            </w:r>
            <w:r w:rsidR="000031FE">
              <w:rPr>
                <w:noProof/>
                <w:webHidden/>
              </w:rPr>
              <w:tab/>
            </w:r>
            <w:r w:rsidR="000031FE">
              <w:rPr>
                <w:noProof/>
                <w:webHidden/>
              </w:rPr>
              <w:fldChar w:fldCharType="begin"/>
            </w:r>
            <w:r w:rsidR="000031FE">
              <w:rPr>
                <w:noProof/>
                <w:webHidden/>
              </w:rPr>
              <w:instrText xml:space="preserve"> PAGEREF _Toc156576947 \h </w:instrText>
            </w:r>
            <w:r w:rsidR="000031FE">
              <w:rPr>
                <w:noProof/>
                <w:webHidden/>
              </w:rPr>
            </w:r>
            <w:r w:rsidR="000031FE">
              <w:rPr>
                <w:noProof/>
                <w:webHidden/>
              </w:rPr>
              <w:fldChar w:fldCharType="separate"/>
            </w:r>
            <w:r w:rsidR="00A71271">
              <w:rPr>
                <w:noProof/>
                <w:webHidden/>
              </w:rPr>
              <w:t>17</w:t>
            </w:r>
            <w:r w:rsidR="000031FE">
              <w:rPr>
                <w:noProof/>
                <w:webHidden/>
              </w:rPr>
              <w:fldChar w:fldCharType="end"/>
            </w:r>
          </w:hyperlink>
        </w:p>
        <w:p w14:paraId="2FF3F65B" w14:textId="18C3E51A" w:rsidR="000031FE" w:rsidRDefault="003A333F">
          <w:pPr>
            <w:pStyle w:val="TOC2"/>
            <w:rPr>
              <w:rFonts w:eastAsiaTheme="minorEastAsia"/>
              <w:noProof/>
              <w:lang w:eastAsia="en-AU"/>
            </w:rPr>
          </w:pPr>
          <w:hyperlink w:anchor="_Toc156576948" w:history="1">
            <w:r w:rsidR="000031FE" w:rsidRPr="00680ECC">
              <w:rPr>
                <w:rStyle w:val="Hyperlink"/>
                <w:noProof/>
              </w:rPr>
              <w:t>3.4</w:t>
            </w:r>
            <w:r w:rsidR="000031FE">
              <w:rPr>
                <w:rFonts w:eastAsiaTheme="minorEastAsia"/>
                <w:noProof/>
                <w:lang w:eastAsia="en-AU"/>
              </w:rPr>
              <w:tab/>
            </w:r>
            <w:r w:rsidR="000031FE" w:rsidRPr="00680ECC">
              <w:rPr>
                <w:rStyle w:val="Hyperlink"/>
                <w:noProof/>
              </w:rPr>
              <w:t>Approval process for medical devices</w:t>
            </w:r>
            <w:r w:rsidR="000031FE">
              <w:rPr>
                <w:noProof/>
                <w:webHidden/>
              </w:rPr>
              <w:tab/>
            </w:r>
            <w:r w:rsidR="000031FE">
              <w:rPr>
                <w:noProof/>
                <w:webHidden/>
              </w:rPr>
              <w:fldChar w:fldCharType="begin"/>
            </w:r>
            <w:r w:rsidR="000031FE">
              <w:rPr>
                <w:noProof/>
                <w:webHidden/>
              </w:rPr>
              <w:instrText xml:space="preserve"> PAGEREF _Toc156576948 \h </w:instrText>
            </w:r>
            <w:r w:rsidR="000031FE">
              <w:rPr>
                <w:noProof/>
                <w:webHidden/>
              </w:rPr>
            </w:r>
            <w:r w:rsidR="000031FE">
              <w:rPr>
                <w:noProof/>
                <w:webHidden/>
              </w:rPr>
              <w:fldChar w:fldCharType="separate"/>
            </w:r>
            <w:r w:rsidR="00A71271">
              <w:rPr>
                <w:noProof/>
                <w:webHidden/>
              </w:rPr>
              <w:t>21</w:t>
            </w:r>
            <w:r w:rsidR="000031FE">
              <w:rPr>
                <w:noProof/>
                <w:webHidden/>
              </w:rPr>
              <w:fldChar w:fldCharType="end"/>
            </w:r>
          </w:hyperlink>
        </w:p>
        <w:p w14:paraId="3D3EDC2C" w14:textId="531A5ABE" w:rsidR="000031FE" w:rsidRDefault="003A333F">
          <w:pPr>
            <w:pStyle w:val="TOC2"/>
            <w:rPr>
              <w:rFonts w:eastAsiaTheme="minorEastAsia"/>
              <w:noProof/>
              <w:lang w:eastAsia="en-AU"/>
            </w:rPr>
          </w:pPr>
          <w:hyperlink w:anchor="_Toc156576949" w:history="1">
            <w:r w:rsidR="000031FE" w:rsidRPr="00680ECC">
              <w:rPr>
                <w:rStyle w:val="Hyperlink"/>
                <w:noProof/>
              </w:rPr>
              <w:t>3.5</w:t>
            </w:r>
            <w:r w:rsidR="000031FE">
              <w:rPr>
                <w:rFonts w:eastAsiaTheme="minorEastAsia"/>
                <w:noProof/>
                <w:lang w:eastAsia="en-AU"/>
              </w:rPr>
              <w:tab/>
            </w:r>
            <w:r w:rsidR="000031FE" w:rsidRPr="00680ECC">
              <w:rPr>
                <w:rStyle w:val="Hyperlink"/>
                <w:noProof/>
              </w:rPr>
              <w:t>Timeframes to regulatory approval</w:t>
            </w:r>
            <w:r w:rsidR="000031FE">
              <w:rPr>
                <w:noProof/>
                <w:webHidden/>
              </w:rPr>
              <w:tab/>
            </w:r>
            <w:r w:rsidR="000031FE">
              <w:rPr>
                <w:noProof/>
                <w:webHidden/>
              </w:rPr>
              <w:fldChar w:fldCharType="begin"/>
            </w:r>
            <w:r w:rsidR="000031FE">
              <w:rPr>
                <w:noProof/>
                <w:webHidden/>
              </w:rPr>
              <w:instrText xml:space="preserve"> PAGEREF _Toc156576949 \h </w:instrText>
            </w:r>
            <w:r w:rsidR="000031FE">
              <w:rPr>
                <w:noProof/>
                <w:webHidden/>
              </w:rPr>
            </w:r>
            <w:r w:rsidR="000031FE">
              <w:rPr>
                <w:noProof/>
                <w:webHidden/>
              </w:rPr>
              <w:fldChar w:fldCharType="separate"/>
            </w:r>
            <w:r w:rsidR="00A71271">
              <w:rPr>
                <w:noProof/>
                <w:webHidden/>
              </w:rPr>
              <w:t>22</w:t>
            </w:r>
            <w:r w:rsidR="000031FE">
              <w:rPr>
                <w:noProof/>
                <w:webHidden/>
              </w:rPr>
              <w:fldChar w:fldCharType="end"/>
            </w:r>
          </w:hyperlink>
        </w:p>
        <w:p w14:paraId="2F915908" w14:textId="76F23345" w:rsidR="000031FE" w:rsidRDefault="003A333F" w:rsidP="000031FE">
          <w:pPr>
            <w:pStyle w:val="TOC1"/>
            <w:rPr>
              <w:rFonts w:eastAsiaTheme="minorEastAsia"/>
              <w:noProof/>
              <w:lang w:eastAsia="en-AU"/>
            </w:rPr>
          </w:pPr>
          <w:hyperlink w:anchor="_Toc156576950" w:history="1">
            <w:r w:rsidR="000031FE" w:rsidRPr="00680ECC">
              <w:rPr>
                <w:rStyle w:val="Hyperlink"/>
                <w:noProof/>
              </w:rPr>
              <w:t>4</w:t>
            </w:r>
            <w:r w:rsidR="000031FE">
              <w:rPr>
                <w:rFonts w:eastAsiaTheme="minorEastAsia"/>
                <w:noProof/>
                <w:lang w:eastAsia="en-AU"/>
              </w:rPr>
              <w:tab/>
            </w:r>
            <w:r w:rsidR="000031FE" w:rsidRPr="00680ECC">
              <w:rPr>
                <w:rStyle w:val="Hyperlink"/>
                <w:noProof/>
              </w:rPr>
              <w:t>Pharmaceutical Benefits Scheme</w:t>
            </w:r>
            <w:r w:rsidR="000031FE">
              <w:rPr>
                <w:noProof/>
                <w:webHidden/>
              </w:rPr>
              <w:tab/>
            </w:r>
            <w:r w:rsidR="000031FE">
              <w:rPr>
                <w:noProof/>
                <w:webHidden/>
              </w:rPr>
              <w:fldChar w:fldCharType="begin"/>
            </w:r>
            <w:r w:rsidR="000031FE">
              <w:rPr>
                <w:noProof/>
                <w:webHidden/>
              </w:rPr>
              <w:instrText xml:space="preserve"> PAGEREF _Toc156576950 \h </w:instrText>
            </w:r>
            <w:r w:rsidR="000031FE">
              <w:rPr>
                <w:noProof/>
                <w:webHidden/>
              </w:rPr>
            </w:r>
            <w:r w:rsidR="000031FE">
              <w:rPr>
                <w:noProof/>
                <w:webHidden/>
              </w:rPr>
              <w:fldChar w:fldCharType="separate"/>
            </w:r>
            <w:r w:rsidR="00A71271">
              <w:rPr>
                <w:noProof/>
                <w:webHidden/>
              </w:rPr>
              <w:t>24</w:t>
            </w:r>
            <w:r w:rsidR="000031FE">
              <w:rPr>
                <w:noProof/>
                <w:webHidden/>
              </w:rPr>
              <w:fldChar w:fldCharType="end"/>
            </w:r>
          </w:hyperlink>
        </w:p>
        <w:p w14:paraId="76114199" w14:textId="2B0D663A" w:rsidR="000031FE" w:rsidRDefault="003A333F">
          <w:pPr>
            <w:pStyle w:val="TOC2"/>
            <w:rPr>
              <w:rFonts w:eastAsiaTheme="minorEastAsia"/>
              <w:noProof/>
              <w:lang w:eastAsia="en-AU"/>
            </w:rPr>
          </w:pPr>
          <w:hyperlink w:anchor="_Toc156576951" w:history="1">
            <w:r w:rsidR="000031FE" w:rsidRPr="00680ECC">
              <w:rPr>
                <w:rStyle w:val="Hyperlink"/>
                <w:noProof/>
              </w:rPr>
              <w:t>4.1</w:t>
            </w:r>
            <w:r w:rsidR="000031FE">
              <w:rPr>
                <w:rFonts w:eastAsiaTheme="minorEastAsia"/>
                <w:noProof/>
                <w:lang w:eastAsia="en-AU"/>
              </w:rPr>
              <w:tab/>
            </w:r>
            <w:r w:rsidR="000031FE" w:rsidRPr="00680ECC">
              <w:rPr>
                <w:rStyle w:val="Hyperlink"/>
                <w:noProof/>
              </w:rPr>
              <w:t>Background</w:t>
            </w:r>
            <w:r w:rsidR="000031FE">
              <w:rPr>
                <w:noProof/>
                <w:webHidden/>
              </w:rPr>
              <w:tab/>
            </w:r>
            <w:r w:rsidR="000031FE">
              <w:rPr>
                <w:noProof/>
                <w:webHidden/>
              </w:rPr>
              <w:fldChar w:fldCharType="begin"/>
            </w:r>
            <w:r w:rsidR="000031FE">
              <w:rPr>
                <w:noProof/>
                <w:webHidden/>
              </w:rPr>
              <w:instrText xml:space="preserve"> PAGEREF _Toc156576951 \h </w:instrText>
            </w:r>
            <w:r w:rsidR="000031FE">
              <w:rPr>
                <w:noProof/>
                <w:webHidden/>
              </w:rPr>
            </w:r>
            <w:r w:rsidR="000031FE">
              <w:rPr>
                <w:noProof/>
                <w:webHidden/>
              </w:rPr>
              <w:fldChar w:fldCharType="separate"/>
            </w:r>
            <w:r w:rsidR="00A71271">
              <w:rPr>
                <w:noProof/>
                <w:webHidden/>
              </w:rPr>
              <w:t>24</w:t>
            </w:r>
            <w:r w:rsidR="000031FE">
              <w:rPr>
                <w:noProof/>
                <w:webHidden/>
              </w:rPr>
              <w:fldChar w:fldCharType="end"/>
            </w:r>
          </w:hyperlink>
        </w:p>
        <w:p w14:paraId="0F0E858B" w14:textId="6B754C50" w:rsidR="000031FE" w:rsidRDefault="003A333F">
          <w:pPr>
            <w:pStyle w:val="TOC2"/>
            <w:rPr>
              <w:rFonts w:eastAsiaTheme="minorEastAsia"/>
              <w:noProof/>
              <w:lang w:eastAsia="en-AU"/>
            </w:rPr>
          </w:pPr>
          <w:hyperlink w:anchor="_Toc156576952" w:history="1">
            <w:r w:rsidR="000031FE" w:rsidRPr="00680ECC">
              <w:rPr>
                <w:rStyle w:val="Hyperlink"/>
                <w:noProof/>
              </w:rPr>
              <w:t>4.2</w:t>
            </w:r>
            <w:r w:rsidR="000031FE">
              <w:rPr>
                <w:rFonts w:eastAsiaTheme="minorEastAsia"/>
                <w:noProof/>
                <w:lang w:eastAsia="en-AU"/>
              </w:rPr>
              <w:tab/>
            </w:r>
            <w:r w:rsidR="000031FE" w:rsidRPr="00680ECC">
              <w:rPr>
                <w:rStyle w:val="Hyperlink"/>
                <w:noProof/>
              </w:rPr>
              <w:t>Listing process for PBS medicines</w:t>
            </w:r>
            <w:r w:rsidR="000031FE">
              <w:rPr>
                <w:noProof/>
                <w:webHidden/>
              </w:rPr>
              <w:tab/>
            </w:r>
            <w:r w:rsidR="000031FE">
              <w:rPr>
                <w:noProof/>
                <w:webHidden/>
              </w:rPr>
              <w:fldChar w:fldCharType="begin"/>
            </w:r>
            <w:r w:rsidR="000031FE">
              <w:rPr>
                <w:noProof/>
                <w:webHidden/>
              </w:rPr>
              <w:instrText xml:space="preserve"> PAGEREF _Toc156576952 \h </w:instrText>
            </w:r>
            <w:r w:rsidR="000031FE">
              <w:rPr>
                <w:noProof/>
                <w:webHidden/>
              </w:rPr>
            </w:r>
            <w:r w:rsidR="000031FE">
              <w:rPr>
                <w:noProof/>
                <w:webHidden/>
              </w:rPr>
              <w:fldChar w:fldCharType="separate"/>
            </w:r>
            <w:r w:rsidR="00A71271">
              <w:rPr>
                <w:noProof/>
                <w:webHidden/>
              </w:rPr>
              <w:t>25</w:t>
            </w:r>
            <w:r w:rsidR="000031FE">
              <w:rPr>
                <w:noProof/>
                <w:webHidden/>
              </w:rPr>
              <w:fldChar w:fldCharType="end"/>
            </w:r>
          </w:hyperlink>
        </w:p>
        <w:p w14:paraId="3B25DBD2" w14:textId="5210985A" w:rsidR="000031FE" w:rsidRDefault="003A333F">
          <w:pPr>
            <w:pStyle w:val="TOC2"/>
            <w:rPr>
              <w:rFonts w:eastAsiaTheme="minorEastAsia"/>
              <w:noProof/>
              <w:lang w:eastAsia="en-AU"/>
            </w:rPr>
          </w:pPr>
          <w:hyperlink w:anchor="_Toc156576953" w:history="1">
            <w:r w:rsidR="000031FE" w:rsidRPr="00680ECC">
              <w:rPr>
                <w:rStyle w:val="Hyperlink"/>
                <w:noProof/>
              </w:rPr>
              <w:t>4.3</w:t>
            </w:r>
            <w:r w:rsidR="000031FE">
              <w:rPr>
                <w:rFonts w:eastAsiaTheme="minorEastAsia"/>
                <w:noProof/>
                <w:lang w:eastAsia="en-AU"/>
              </w:rPr>
              <w:tab/>
            </w:r>
            <w:r w:rsidR="000031FE" w:rsidRPr="00680ECC">
              <w:rPr>
                <w:rStyle w:val="Hyperlink"/>
                <w:noProof/>
              </w:rPr>
              <w:t>Recent reforms – PBS process improvements</w:t>
            </w:r>
            <w:r w:rsidR="000031FE">
              <w:rPr>
                <w:noProof/>
                <w:webHidden/>
              </w:rPr>
              <w:tab/>
            </w:r>
            <w:r w:rsidR="000031FE">
              <w:rPr>
                <w:noProof/>
                <w:webHidden/>
              </w:rPr>
              <w:fldChar w:fldCharType="begin"/>
            </w:r>
            <w:r w:rsidR="000031FE">
              <w:rPr>
                <w:noProof/>
                <w:webHidden/>
              </w:rPr>
              <w:instrText xml:space="preserve"> PAGEREF _Toc156576953 \h </w:instrText>
            </w:r>
            <w:r w:rsidR="000031FE">
              <w:rPr>
                <w:noProof/>
                <w:webHidden/>
              </w:rPr>
            </w:r>
            <w:r w:rsidR="000031FE">
              <w:rPr>
                <w:noProof/>
                <w:webHidden/>
              </w:rPr>
              <w:fldChar w:fldCharType="separate"/>
            </w:r>
            <w:r w:rsidR="00A71271">
              <w:rPr>
                <w:noProof/>
                <w:webHidden/>
              </w:rPr>
              <w:t>35</w:t>
            </w:r>
            <w:r w:rsidR="000031FE">
              <w:rPr>
                <w:noProof/>
                <w:webHidden/>
              </w:rPr>
              <w:fldChar w:fldCharType="end"/>
            </w:r>
          </w:hyperlink>
        </w:p>
        <w:p w14:paraId="366ED537" w14:textId="75E67638" w:rsidR="000031FE" w:rsidRDefault="003A333F">
          <w:pPr>
            <w:pStyle w:val="TOC2"/>
            <w:rPr>
              <w:rFonts w:eastAsiaTheme="minorEastAsia"/>
              <w:noProof/>
              <w:lang w:eastAsia="en-AU"/>
            </w:rPr>
          </w:pPr>
          <w:hyperlink w:anchor="_Toc156576954" w:history="1">
            <w:r w:rsidR="000031FE" w:rsidRPr="00680ECC">
              <w:rPr>
                <w:rStyle w:val="Hyperlink"/>
                <w:noProof/>
              </w:rPr>
              <w:t>4.4</w:t>
            </w:r>
            <w:r w:rsidR="000031FE">
              <w:rPr>
                <w:rFonts w:eastAsiaTheme="minorEastAsia"/>
                <w:noProof/>
                <w:lang w:eastAsia="en-AU"/>
              </w:rPr>
              <w:tab/>
            </w:r>
            <w:r w:rsidR="000031FE" w:rsidRPr="00680ECC">
              <w:rPr>
                <w:rStyle w:val="Hyperlink"/>
                <w:noProof/>
              </w:rPr>
              <w:t>Issues raised through the House of Representatives Inquiry</w:t>
            </w:r>
            <w:r w:rsidR="000031FE">
              <w:rPr>
                <w:noProof/>
                <w:webHidden/>
              </w:rPr>
              <w:tab/>
            </w:r>
            <w:r w:rsidR="000031FE">
              <w:rPr>
                <w:noProof/>
                <w:webHidden/>
              </w:rPr>
              <w:fldChar w:fldCharType="begin"/>
            </w:r>
            <w:r w:rsidR="000031FE">
              <w:rPr>
                <w:noProof/>
                <w:webHidden/>
              </w:rPr>
              <w:instrText xml:space="preserve"> PAGEREF _Toc156576954 \h </w:instrText>
            </w:r>
            <w:r w:rsidR="000031FE">
              <w:rPr>
                <w:noProof/>
                <w:webHidden/>
              </w:rPr>
            </w:r>
            <w:r w:rsidR="000031FE">
              <w:rPr>
                <w:noProof/>
                <w:webHidden/>
              </w:rPr>
              <w:fldChar w:fldCharType="separate"/>
            </w:r>
            <w:r w:rsidR="00A71271">
              <w:rPr>
                <w:noProof/>
                <w:webHidden/>
              </w:rPr>
              <w:t>35</w:t>
            </w:r>
            <w:r w:rsidR="000031FE">
              <w:rPr>
                <w:noProof/>
                <w:webHidden/>
              </w:rPr>
              <w:fldChar w:fldCharType="end"/>
            </w:r>
          </w:hyperlink>
        </w:p>
        <w:p w14:paraId="54F67539" w14:textId="600C23D0" w:rsidR="000031FE" w:rsidRDefault="003A333F">
          <w:pPr>
            <w:pStyle w:val="TOC2"/>
            <w:rPr>
              <w:rFonts w:eastAsiaTheme="minorEastAsia"/>
              <w:noProof/>
              <w:lang w:eastAsia="en-AU"/>
            </w:rPr>
          </w:pPr>
          <w:hyperlink w:anchor="_Toc156576955" w:history="1">
            <w:r w:rsidR="000031FE" w:rsidRPr="00680ECC">
              <w:rPr>
                <w:rStyle w:val="Hyperlink"/>
                <w:noProof/>
              </w:rPr>
              <w:t>4.5</w:t>
            </w:r>
            <w:r w:rsidR="000031FE">
              <w:rPr>
                <w:rFonts w:eastAsiaTheme="minorEastAsia"/>
                <w:noProof/>
                <w:lang w:eastAsia="en-AU"/>
              </w:rPr>
              <w:tab/>
            </w:r>
            <w:r w:rsidR="000031FE" w:rsidRPr="00680ECC">
              <w:rPr>
                <w:rStyle w:val="Hyperlink"/>
                <w:noProof/>
              </w:rPr>
              <w:t>Timeframes to PBS Listing</w:t>
            </w:r>
            <w:r w:rsidR="000031FE">
              <w:rPr>
                <w:noProof/>
                <w:webHidden/>
              </w:rPr>
              <w:tab/>
            </w:r>
            <w:r w:rsidR="000031FE">
              <w:rPr>
                <w:noProof/>
                <w:webHidden/>
              </w:rPr>
              <w:fldChar w:fldCharType="begin"/>
            </w:r>
            <w:r w:rsidR="000031FE">
              <w:rPr>
                <w:noProof/>
                <w:webHidden/>
              </w:rPr>
              <w:instrText xml:space="preserve"> PAGEREF _Toc156576955 \h </w:instrText>
            </w:r>
            <w:r w:rsidR="000031FE">
              <w:rPr>
                <w:noProof/>
                <w:webHidden/>
              </w:rPr>
            </w:r>
            <w:r w:rsidR="000031FE">
              <w:rPr>
                <w:noProof/>
                <w:webHidden/>
              </w:rPr>
              <w:fldChar w:fldCharType="separate"/>
            </w:r>
            <w:r w:rsidR="00A71271">
              <w:rPr>
                <w:noProof/>
                <w:webHidden/>
              </w:rPr>
              <w:t>35</w:t>
            </w:r>
            <w:r w:rsidR="000031FE">
              <w:rPr>
                <w:noProof/>
                <w:webHidden/>
              </w:rPr>
              <w:fldChar w:fldCharType="end"/>
            </w:r>
          </w:hyperlink>
        </w:p>
        <w:p w14:paraId="0DFBE82C" w14:textId="036C7C99" w:rsidR="000031FE" w:rsidRDefault="003A333F" w:rsidP="000031FE">
          <w:pPr>
            <w:pStyle w:val="TOC1"/>
            <w:rPr>
              <w:rFonts w:eastAsiaTheme="minorEastAsia"/>
              <w:noProof/>
              <w:lang w:eastAsia="en-AU"/>
            </w:rPr>
          </w:pPr>
          <w:hyperlink w:anchor="_Toc156576956" w:history="1">
            <w:r w:rsidR="000031FE" w:rsidRPr="00680ECC">
              <w:rPr>
                <w:rStyle w:val="Hyperlink"/>
                <w:noProof/>
              </w:rPr>
              <w:t>5</w:t>
            </w:r>
            <w:r w:rsidR="000031FE">
              <w:rPr>
                <w:rFonts w:eastAsiaTheme="minorEastAsia"/>
                <w:noProof/>
                <w:lang w:eastAsia="en-AU"/>
              </w:rPr>
              <w:tab/>
            </w:r>
            <w:r w:rsidR="000031FE" w:rsidRPr="00680ECC">
              <w:rPr>
                <w:rStyle w:val="Hyperlink"/>
                <w:noProof/>
              </w:rPr>
              <w:t>National Immunisation Program</w:t>
            </w:r>
            <w:r w:rsidR="000031FE">
              <w:rPr>
                <w:noProof/>
                <w:webHidden/>
              </w:rPr>
              <w:tab/>
            </w:r>
            <w:r w:rsidR="000031FE">
              <w:rPr>
                <w:noProof/>
                <w:webHidden/>
              </w:rPr>
              <w:fldChar w:fldCharType="begin"/>
            </w:r>
            <w:r w:rsidR="000031FE">
              <w:rPr>
                <w:noProof/>
                <w:webHidden/>
              </w:rPr>
              <w:instrText xml:space="preserve"> PAGEREF _Toc156576956 \h </w:instrText>
            </w:r>
            <w:r w:rsidR="000031FE">
              <w:rPr>
                <w:noProof/>
                <w:webHidden/>
              </w:rPr>
            </w:r>
            <w:r w:rsidR="000031FE">
              <w:rPr>
                <w:noProof/>
                <w:webHidden/>
              </w:rPr>
              <w:fldChar w:fldCharType="separate"/>
            </w:r>
            <w:r w:rsidR="00A71271">
              <w:rPr>
                <w:noProof/>
                <w:webHidden/>
              </w:rPr>
              <w:t>45</w:t>
            </w:r>
            <w:r w:rsidR="000031FE">
              <w:rPr>
                <w:noProof/>
                <w:webHidden/>
              </w:rPr>
              <w:fldChar w:fldCharType="end"/>
            </w:r>
          </w:hyperlink>
        </w:p>
        <w:p w14:paraId="14069902" w14:textId="0AEDDDA7" w:rsidR="000031FE" w:rsidRDefault="003A333F">
          <w:pPr>
            <w:pStyle w:val="TOC2"/>
            <w:rPr>
              <w:rFonts w:eastAsiaTheme="minorEastAsia"/>
              <w:noProof/>
              <w:lang w:eastAsia="en-AU"/>
            </w:rPr>
          </w:pPr>
          <w:hyperlink w:anchor="_Toc156576957" w:history="1">
            <w:r w:rsidR="000031FE" w:rsidRPr="00680ECC">
              <w:rPr>
                <w:rStyle w:val="Hyperlink"/>
                <w:noProof/>
              </w:rPr>
              <w:t>5.1</w:t>
            </w:r>
            <w:r w:rsidR="000031FE">
              <w:rPr>
                <w:rFonts w:eastAsiaTheme="minorEastAsia"/>
                <w:noProof/>
                <w:lang w:eastAsia="en-AU"/>
              </w:rPr>
              <w:tab/>
            </w:r>
            <w:r w:rsidR="000031FE" w:rsidRPr="00680ECC">
              <w:rPr>
                <w:rStyle w:val="Hyperlink"/>
                <w:noProof/>
              </w:rPr>
              <w:t>Background</w:t>
            </w:r>
            <w:r w:rsidR="000031FE">
              <w:rPr>
                <w:noProof/>
                <w:webHidden/>
              </w:rPr>
              <w:tab/>
            </w:r>
            <w:r w:rsidR="000031FE">
              <w:rPr>
                <w:noProof/>
                <w:webHidden/>
              </w:rPr>
              <w:fldChar w:fldCharType="begin"/>
            </w:r>
            <w:r w:rsidR="000031FE">
              <w:rPr>
                <w:noProof/>
                <w:webHidden/>
              </w:rPr>
              <w:instrText xml:space="preserve"> PAGEREF _Toc156576957 \h </w:instrText>
            </w:r>
            <w:r w:rsidR="000031FE">
              <w:rPr>
                <w:noProof/>
                <w:webHidden/>
              </w:rPr>
            </w:r>
            <w:r w:rsidR="000031FE">
              <w:rPr>
                <w:noProof/>
                <w:webHidden/>
              </w:rPr>
              <w:fldChar w:fldCharType="separate"/>
            </w:r>
            <w:r w:rsidR="00A71271">
              <w:rPr>
                <w:noProof/>
                <w:webHidden/>
              </w:rPr>
              <w:t>45</w:t>
            </w:r>
            <w:r w:rsidR="000031FE">
              <w:rPr>
                <w:noProof/>
                <w:webHidden/>
              </w:rPr>
              <w:fldChar w:fldCharType="end"/>
            </w:r>
          </w:hyperlink>
        </w:p>
        <w:p w14:paraId="5C289DF8" w14:textId="2684E626" w:rsidR="000031FE" w:rsidRDefault="003A333F">
          <w:pPr>
            <w:pStyle w:val="TOC2"/>
            <w:rPr>
              <w:rFonts w:eastAsiaTheme="minorEastAsia"/>
              <w:noProof/>
              <w:lang w:eastAsia="en-AU"/>
            </w:rPr>
          </w:pPr>
          <w:hyperlink w:anchor="_Toc156576958" w:history="1">
            <w:r w:rsidR="000031FE" w:rsidRPr="00680ECC">
              <w:rPr>
                <w:rStyle w:val="Hyperlink"/>
                <w:noProof/>
              </w:rPr>
              <w:t>5.2</w:t>
            </w:r>
            <w:r w:rsidR="000031FE">
              <w:rPr>
                <w:rFonts w:eastAsiaTheme="minorEastAsia"/>
                <w:noProof/>
                <w:lang w:eastAsia="en-AU"/>
              </w:rPr>
              <w:tab/>
            </w:r>
            <w:r w:rsidR="000031FE" w:rsidRPr="00680ECC">
              <w:rPr>
                <w:rStyle w:val="Hyperlink"/>
                <w:noProof/>
              </w:rPr>
              <w:t>Listing process for new vaccines</w:t>
            </w:r>
            <w:r w:rsidR="000031FE">
              <w:rPr>
                <w:noProof/>
                <w:webHidden/>
              </w:rPr>
              <w:tab/>
            </w:r>
            <w:r w:rsidR="000031FE">
              <w:rPr>
                <w:noProof/>
                <w:webHidden/>
              </w:rPr>
              <w:fldChar w:fldCharType="begin"/>
            </w:r>
            <w:r w:rsidR="000031FE">
              <w:rPr>
                <w:noProof/>
                <w:webHidden/>
              </w:rPr>
              <w:instrText xml:space="preserve"> PAGEREF _Toc156576958 \h </w:instrText>
            </w:r>
            <w:r w:rsidR="000031FE">
              <w:rPr>
                <w:noProof/>
                <w:webHidden/>
              </w:rPr>
            </w:r>
            <w:r w:rsidR="000031FE">
              <w:rPr>
                <w:noProof/>
                <w:webHidden/>
              </w:rPr>
              <w:fldChar w:fldCharType="separate"/>
            </w:r>
            <w:r w:rsidR="00A71271">
              <w:rPr>
                <w:noProof/>
                <w:webHidden/>
              </w:rPr>
              <w:t>45</w:t>
            </w:r>
            <w:r w:rsidR="000031FE">
              <w:rPr>
                <w:noProof/>
                <w:webHidden/>
              </w:rPr>
              <w:fldChar w:fldCharType="end"/>
            </w:r>
          </w:hyperlink>
        </w:p>
        <w:p w14:paraId="1D410E6F" w14:textId="24240939" w:rsidR="000031FE" w:rsidRDefault="003A333F">
          <w:pPr>
            <w:pStyle w:val="TOC2"/>
            <w:rPr>
              <w:rFonts w:eastAsiaTheme="minorEastAsia"/>
              <w:noProof/>
              <w:lang w:eastAsia="en-AU"/>
            </w:rPr>
          </w:pPr>
          <w:hyperlink w:anchor="_Toc156576959" w:history="1">
            <w:r w:rsidR="000031FE" w:rsidRPr="00680ECC">
              <w:rPr>
                <w:rStyle w:val="Hyperlink"/>
                <w:noProof/>
              </w:rPr>
              <w:t>5.3</w:t>
            </w:r>
            <w:r w:rsidR="000031FE">
              <w:rPr>
                <w:rFonts w:eastAsiaTheme="minorEastAsia"/>
                <w:noProof/>
                <w:lang w:eastAsia="en-AU"/>
              </w:rPr>
              <w:tab/>
            </w:r>
            <w:r w:rsidR="000031FE" w:rsidRPr="00680ECC">
              <w:rPr>
                <w:rStyle w:val="Hyperlink"/>
                <w:noProof/>
              </w:rPr>
              <w:t>Issues raised through the House of Representatives Inquiry</w:t>
            </w:r>
            <w:r w:rsidR="000031FE">
              <w:rPr>
                <w:noProof/>
                <w:webHidden/>
              </w:rPr>
              <w:tab/>
            </w:r>
            <w:r w:rsidR="000031FE">
              <w:rPr>
                <w:noProof/>
                <w:webHidden/>
              </w:rPr>
              <w:fldChar w:fldCharType="begin"/>
            </w:r>
            <w:r w:rsidR="000031FE">
              <w:rPr>
                <w:noProof/>
                <w:webHidden/>
              </w:rPr>
              <w:instrText xml:space="preserve"> PAGEREF _Toc156576959 \h </w:instrText>
            </w:r>
            <w:r w:rsidR="000031FE">
              <w:rPr>
                <w:noProof/>
                <w:webHidden/>
              </w:rPr>
            </w:r>
            <w:r w:rsidR="000031FE">
              <w:rPr>
                <w:noProof/>
                <w:webHidden/>
              </w:rPr>
              <w:fldChar w:fldCharType="separate"/>
            </w:r>
            <w:r w:rsidR="00A71271">
              <w:rPr>
                <w:noProof/>
                <w:webHidden/>
              </w:rPr>
              <w:t>47</w:t>
            </w:r>
            <w:r w:rsidR="000031FE">
              <w:rPr>
                <w:noProof/>
                <w:webHidden/>
              </w:rPr>
              <w:fldChar w:fldCharType="end"/>
            </w:r>
          </w:hyperlink>
        </w:p>
        <w:p w14:paraId="63D37BE8" w14:textId="4F114427" w:rsidR="000031FE" w:rsidRDefault="003A333F">
          <w:pPr>
            <w:pStyle w:val="TOC2"/>
            <w:rPr>
              <w:rFonts w:eastAsiaTheme="minorEastAsia"/>
              <w:noProof/>
              <w:lang w:eastAsia="en-AU"/>
            </w:rPr>
          </w:pPr>
          <w:hyperlink w:anchor="_Toc156576960" w:history="1">
            <w:r w:rsidR="000031FE" w:rsidRPr="00680ECC">
              <w:rPr>
                <w:rStyle w:val="Hyperlink"/>
                <w:noProof/>
              </w:rPr>
              <w:t>5.4</w:t>
            </w:r>
            <w:r w:rsidR="000031FE">
              <w:rPr>
                <w:rFonts w:eastAsiaTheme="minorEastAsia"/>
                <w:noProof/>
                <w:lang w:eastAsia="en-AU"/>
              </w:rPr>
              <w:tab/>
            </w:r>
            <w:r w:rsidR="000031FE" w:rsidRPr="00680ECC">
              <w:rPr>
                <w:rStyle w:val="Hyperlink"/>
                <w:noProof/>
              </w:rPr>
              <w:t>Timeframes to NIP listing</w:t>
            </w:r>
            <w:r w:rsidR="000031FE">
              <w:rPr>
                <w:noProof/>
                <w:webHidden/>
              </w:rPr>
              <w:tab/>
            </w:r>
            <w:r w:rsidR="000031FE">
              <w:rPr>
                <w:noProof/>
                <w:webHidden/>
              </w:rPr>
              <w:fldChar w:fldCharType="begin"/>
            </w:r>
            <w:r w:rsidR="000031FE">
              <w:rPr>
                <w:noProof/>
                <w:webHidden/>
              </w:rPr>
              <w:instrText xml:space="preserve"> PAGEREF _Toc156576960 \h </w:instrText>
            </w:r>
            <w:r w:rsidR="000031FE">
              <w:rPr>
                <w:noProof/>
                <w:webHidden/>
              </w:rPr>
            </w:r>
            <w:r w:rsidR="000031FE">
              <w:rPr>
                <w:noProof/>
                <w:webHidden/>
              </w:rPr>
              <w:fldChar w:fldCharType="separate"/>
            </w:r>
            <w:r w:rsidR="00A71271">
              <w:rPr>
                <w:noProof/>
                <w:webHidden/>
              </w:rPr>
              <w:t>47</w:t>
            </w:r>
            <w:r w:rsidR="000031FE">
              <w:rPr>
                <w:noProof/>
                <w:webHidden/>
              </w:rPr>
              <w:fldChar w:fldCharType="end"/>
            </w:r>
          </w:hyperlink>
        </w:p>
        <w:p w14:paraId="43456D57" w14:textId="49A6CE23" w:rsidR="000031FE" w:rsidRDefault="003A333F" w:rsidP="000031FE">
          <w:pPr>
            <w:pStyle w:val="TOC1"/>
            <w:rPr>
              <w:rFonts w:eastAsiaTheme="minorEastAsia"/>
              <w:noProof/>
              <w:lang w:eastAsia="en-AU"/>
            </w:rPr>
          </w:pPr>
          <w:hyperlink w:anchor="_Toc156576961" w:history="1">
            <w:r w:rsidR="000031FE" w:rsidRPr="00680ECC">
              <w:rPr>
                <w:rStyle w:val="Hyperlink"/>
                <w:noProof/>
              </w:rPr>
              <w:t>6</w:t>
            </w:r>
            <w:r w:rsidR="000031FE">
              <w:rPr>
                <w:rFonts w:eastAsiaTheme="minorEastAsia"/>
                <w:noProof/>
                <w:lang w:eastAsia="en-AU"/>
              </w:rPr>
              <w:tab/>
            </w:r>
            <w:r w:rsidR="000031FE" w:rsidRPr="00680ECC">
              <w:rPr>
                <w:rStyle w:val="Hyperlink"/>
                <w:noProof/>
              </w:rPr>
              <w:t>Life Saving Drugs Program</w:t>
            </w:r>
            <w:r w:rsidR="000031FE">
              <w:rPr>
                <w:noProof/>
                <w:webHidden/>
              </w:rPr>
              <w:tab/>
            </w:r>
            <w:r w:rsidR="000031FE">
              <w:rPr>
                <w:noProof/>
                <w:webHidden/>
              </w:rPr>
              <w:fldChar w:fldCharType="begin"/>
            </w:r>
            <w:r w:rsidR="000031FE">
              <w:rPr>
                <w:noProof/>
                <w:webHidden/>
              </w:rPr>
              <w:instrText xml:space="preserve"> PAGEREF _Toc156576961 \h </w:instrText>
            </w:r>
            <w:r w:rsidR="000031FE">
              <w:rPr>
                <w:noProof/>
                <w:webHidden/>
              </w:rPr>
            </w:r>
            <w:r w:rsidR="000031FE">
              <w:rPr>
                <w:noProof/>
                <w:webHidden/>
              </w:rPr>
              <w:fldChar w:fldCharType="separate"/>
            </w:r>
            <w:r w:rsidR="00A71271">
              <w:rPr>
                <w:noProof/>
                <w:webHidden/>
              </w:rPr>
              <w:t>48</w:t>
            </w:r>
            <w:r w:rsidR="000031FE">
              <w:rPr>
                <w:noProof/>
                <w:webHidden/>
              </w:rPr>
              <w:fldChar w:fldCharType="end"/>
            </w:r>
          </w:hyperlink>
        </w:p>
        <w:p w14:paraId="59807852" w14:textId="4B781916" w:rsidR="000031FE" w:rsidRDefault="003A333F">
          <w:pPr>
            <w:pStyle w:val="TOC2"/>
            <w:rPr>
              <w:rFonts w:eastAsiaTheme="minorEastAsia"/>
              <w:noProof/>
              <w:lang w:eastAsia="en-AU"/>
            </w:rPr>
          </w:pPr>
          <w:hyperlink w:anchor="_Toc156576962" w:history="1">
            <w:r w:rsidR="000031FE" w:rsidRPr="00680ECC">
              <w:rPr>
                <w:rStyle w:val="Hyperlink"/>
                <w:noProof/>
              </w:rPr>
              <w:t>6.1</w:t>
            </w:r>
            <w:r w:rsidR="000031FE">
              <w:rPr>
                <w:rFonts w:eastAsiaTheme="minorEastAsia"/>
                <w:noProof/>
                <w:lang w:eastAsia="en-AU"/>
              </w:rPr>
              <w:tab/>
            </w:r>
            <w:r w:rsidR="000031FE" w:rsidRPr="00680ECC">
              <w:rPr>
                <w:rStyle w:val="Hyperlink"/>
                <w:noProof/>
              </w:rPr>
              <w:t>Background</w:t>
            </w:r>
            <w:r w:rsidR="000031FE">
              <w:rPr>
                <w:noProof/>
                <w:webHidden/>
              </w:rPr>
              <w:tab/>
            </w:r>
            <w:r w:rsidR="000031FE">
              <w:rPr>
                <w:noProof/>
                <w:webHidden/>
              </w:rPr>
              <w:fldChar w:fldCharType="begin"/>
            </w:r>
            <w:r w:rsidR="000031FE">
              <w:rPr>
                <w:noProof/>
                <w:webHidden/>
              </w:rPr>
              <w:instrText xml:space="preserve"> PAGEREF _Toc156576962 \h </w:instrText>
            </w:r>
            <w:r w:rsidR="000031FE">
              <w:rPr>
                <w:noProof/>
                <w:webHidden/>
              </w:rPr>
            </w:r>
            <w:r w:rsidR="000031FE">
              <w:rPr>
                <w:noProof/>
                <w:webHidden/>
              </w:rPr>
              <w:fldChar w:fldCharType="separate"/>
            </w:r>
            <w:r w:rsidR="00A71271">
              <w:rPr>
                <w:noProof/>
                <w:webHidden/>
              </w:rPr>
              <w:t>48</w:t>
            </w:r>
            <w:r w:rsidR="000031FE">
              <w:rPr>
                <w:noProof/>
                <w:webHidden/>
              </w:rPr>
              <w:fldChar w:fldCharType="end"/>
            </w:r>
          </w:hyperlink>
        </w:p>
        <w:p w14:paraId="3094DA33" w14:textId="692904F6" w:rsidR="000031FE" w:rsidRDefault="003A333F">
          <w:pPr>
            <w:pStyle w:val="TOC2"/>
            <w:rPr>
              <w:rFonts w:eastAsiaTheme="minorEastAsia"/>
              <w:noProof/>
              <w:lang w:eastAsia="en-AU"/>
            </w:rPr>
          </w:pPr>
          <w:hyperlink w:anchor="_Toc156576963" w:history="1">
            <w:r w:rsidR="000031FE" w:rsidRPr="00680ECC">
              <w:rPr>
                <w:rStyle w:val="Hyperlink"/>
                <w:noProof/>
              </w:rPr>
              <w:t>6.2</w:t>
            </w:r>
            <w:r w:rsidR="000031FE">
              <w:rPr>
                <w:rFonts w:eastAsiaTheme="minorEastAsia"/>
                <w:noProof/>
                <w:lang w:eastAsia="en-AU"/>
              </w:rPr>
              <w:tab/>
            </w:r>
            <w:r w:rsidR="000031FE" w:rsidRPr="00680ECC">
              <w:rPr>
                <w:rStyle w:val="Hyperlink"/>
                <w:noProof/>
              </w:rPr>
              <w:t>Listing process for drugs on the Life Saving Drugs Program</w:t>
            </w:r>
            <w:r w:rsidR="000031FE">
              <w:rPr>
                <w:noProof/>
                <w:webHidden/>
              </w:rPr>
              <w:tab/>
            </w:r>
            <w:r w:rsidR="000031FE">
              <w:rPr>
                <w:noProof/>
                <w:webHidden/>
              </w:rPr>
              <w:fldChar w:fldCharType="begin"/>
            </w:r>
            <w:r w:rsidR="000031FE">
              <w:rPr>
                <w:noProof/>
                <w:webHidden/>
              </w:rPr>
              <w:instrText xml:space="preserve"> PAGEREF _Toc156576963 \h </w:instrText>
            </w:r>
            <w:r w:rsidR="000031FE">
              <w:rPr>
                <w:noProof/>
                <w:webHidden/>
              </w:rPr>
            </w:r>
            <w:r w:rsidR="000031FE">
              <w:rPr>
                <w:noProof/>
                <w:webHidden/>
              </w:rPr>
              <w:fldChar w:fldCharType="separate"/>
            </w:r>
            <w:r w:rsidR="00A71271">
              <w:rPr>
                <w:noProof/>
                <w:webHidden/>
              </w:rPr>
              <w:t>48</w:t>
            </w:r>
            <w:r w:rsidR="000031FE">
              <w:rPr>
                <w:noProof/>
                <w:webHidden/>
              </w:rPr>
              <w:fldChar w:fldCharType="end"/>
            </w:r>
          </w:hyperlink>
        </w:p>
        <w:p w14:paraId="5983AC65" w14:textId="35F73994" w:rsidR="000031FE" w:rsidRDefault="003A333F">
          <w:pPr>
            <w:pStyle w:val="TOC2"/>
            <w:rPr>
              <w:rFonts w:eastAsiaTheme="minorEastAsia"/>
              <w:noProof/>
              <w:lang w:eastAsia="en-AU"/>
            </w:rPr>
          </w:pPr>
          <w:hyperlink w:anchor="_Toc156576964" w:history="1">
            <w:r w:rsidR="000031FE" w:rsidRPr="00680ECC">
              <w:rPr>
                <w:rStyle w:val="Hyperlink"/>
                <w:noProof/>
              </w:rPr>
              <w:t>6.3</w:t>
            </w:r>
            <w:r w:rsidR="000031FE">
              <w:rPr>
                <w:rFonts w:eastAsiaTheme="minorEastAsia"/>
                <w:noProof/>
                <w:lang w:eastAsia="en-AU"/>
              </w:rPr>
              <w:tab/>
            </w:r>
            <w:r w:rsidR="000031FE" w:rsidRPr="00680ECC">
              <w:rPr>
                <w:rStyle w:val="Hyperlink"/>
                <w:noProof/>
              </w:rPr>
              <w:t>Recent reform to the LSDP</w:t>
            </w:r>
            <w:r w:rsidR="000031FE">
              <w:rPr>
                <w:noProof/>
                <w:webHidden/>
              </w:rPr>
              <w:tab/>
            </w:r>
            <w:r w:rsidR="000031FE">
              <w:rPr>
                <w:noProof/>
                <w:webHidden/>
              </w:rPr>
              <w:fldChar w:fldCharType="begin"/>
            </w:r>
            <w:r w:rsidR="000031FE">
              <w:rPr>
                <w:noProof/>
                <w:webHidden/>
              </w:rPr>
              <w:instrText xml:space="preserve"> PAGEREF _Toc156576964 \h </w:instrText>
            </w:r>
            <w:r w:rsidR="000031FE">
              <w:rPr>
                <w:noProof/>
                <w:webHidden/>
              </w:rPr>
            </w:r>
            <w:r w:rsidR="000031FE">
              <w:rPr>
                <w:noProof/>
                <w:webHidden/>
              </w:rPr>
              <w:fldChar w:fldCharType="separate"/>
            </w:r>
            <w:r w:rsidR="00A71271">
              <w:rPr>
                <w:noProof/>
                <w:webHidden/>
              </w:rPr>
              <w:t>50</w:t>
            </w:r>
            <w:r w:rsidR="000031FE">
              <w:rPr>
                <w:noProof/>
                <w:webHidden/>
              </w:rPr>
              <w:fldChar w:fldCharType="end"/>
            </w:r>
          </w:hyperlink>
        </w:p>
        <w:p w14:paraId="2B797EAD" w14:textId="12103AE7" w:rsidR="000031FE" w:rsidRDefault="003A333F">
          <w:pPr>
            <w:pStyle w:val="TOC2"/>
            <w:rPr>
              <w:rFonts w:eastAsiaTheme="minorEastAsia"/>
              <w:noProof/>
              <w:lang w:eastAsia="en-AU"/>
            </w:rPr>
          </w:pPr>
          <w:hyperlink w:anchor="_Toc156576965" w:history="1">
            <w:r w:rsidR="000031FE" w:rsidRPr="00680ECC">
              <w:rPr>
                <w:rStyle w:val="Hyperlink"/>
                <w:noProof/>
              </w:rPr>
              <w:t>6.4</w:t>
            </w:r>
            <w:r w:rsidR="000031FE">
              <w:rPr>
                <w:rFonts w:eastAsiaTheme="minorEastAsia"/>
                <w:noProof/>
                <w:lang w:eastAsia="en-AU"/>
              </w:rPr>
              <w:tab/>
            </w:r>
            <w:r w:rsidR="000031FE" w:rsidRPr="00680ECC">
              <w:rPr>
                <w:rStyle w:val="Hyperlink"/>
                <w:noProof/>
              </w:rPr>
              <w:t>Issues raised through the House of Representatives Inquiry</w:t>
            </w:r>
            <w:r w:rsidR="000031FE">
              <w:rPr>
                <w:noProof/>
                <w:webHidden/>
              </w:rPr>
              <w:tab/>
            </w:r>
            <w:r w:rsidR="000031FE">
              <w:rPr>
                <w:noProof/>
                <w:webHidden/>
              </w:rPr>
              <w:fldChar w:fldCharType="begin"/>
            </w:r>
            <w:r w:rsidR="000031FE">
              <w:rPr>
                <w:noProof/>
                <w:webHidden/>
              </w:rPr>
              <w:instrText xml:space="preserve"> PAGEREF _Toc156576965 \h </w:instrText>
            </w:r>
            <w:r w:rsidR="000031FE">
              <w:rPr>
                <w:noProof/>
                <w:webHidden/>
              </w:rPr>
            </w:r>
            <w:r w:rsidR="000031FE">
              <w:rPr>
                <w:noProof/>
                <w:webHidden/>
              </w:rPr>
              <w:fldChar w:fldCharType="separate"/>
            </w:r>
            <w:r w:rsidR="00A71271">
              <w:rPr>
                <w:noProof/>
                <w:webHidden/>
              </w:rPr>
              <w:t>51</w:t>
            </w:r>
            <w:r w:rsidR="000031FE">
              <w:rPr>
                <w:noProof/>
                <w:webHidden/>
              </w:rPr>
              <w:fldChar w:fldCharType="end"/>
            </w:r>
          </w:hyperlink>
        </w:p>
        <w:p w14:paraId="6EFD8079" w14:textId="70D66BE1" w:rsidR="000031FE" w:rsidRDefault="003A333F">
          <w:pPr>
            <w:pStyle w:val="TOC2"/>
            <w:rPr>
              <w:rFonts w:eastAsiaTheme="minorEastAsia"/>
              <w:noProof/>
              <w:lang w:eastAsia="en-AU"/>
            </w:rPr>
          </w:pPr>
          <w:hyperlink w:anchor="_Toc156576966" w:history="1">
            <w:r w:rsidR="000031FE" w:rsidRPr="00680ECC">
              <w:rPr>
                <w:rStyle w:val="Hyperlink"/>
                <w:noProof/>
              </w:rPr>
              <w:t>6.5</w:t>
            </w:r>
            <w:r w:rsidR="000031FE">
              <w:rPr>
                <w:rFonts w:eastAsiaTheme="minorEastAsia"/>
                <w:noProof/>
                <w:lang w:eastAsia="en-AU"/>
              </w:rPr>
              <w:tab/>
            </w:r>
            <w:r w:rsidR="000031FE" w:rsidRPr="00680ECC">
              <w:rPr>
                <w:rStyle w:val="Hyperlink"/>
                <w:noProof/>
              </w:rPr>
              <w:t>Timeframes to LSDP listing</w:t>
            </w:r>
            <w:r w:rsidR="000031FE">
              <w:rPr>
                <w:noProof/>
                <w:webHidden/>
              </w:rPr>
              <w:tab/>
            </w:r>
            <w:r w:rsidR="000031FE">
              <w:rPr>
                <w:noProof/>
                <w:webHidden/>
              </w:rPr>
              <w:fldChar w:fldCharType="begin"/>
            </w:r>
            <w:r w:rsidR="000031FE">
              <w:rPr>
                <w:noProof/>
                <w:webHidden/>
              </w:rPr>
              <w:instrText xml:space="preserve"> PAGEREF _Toc156576966 \h </w:instrText>
            </w:r>
            <w:r w:rsidR="000031FE">
              <w:rPr>
                <w:noProof/>
                <w:webHidden/>
              </w:rPr>
            </w:r>
            <w:r w:rsidR="000031FE">
              <w:rPr>
                <w:noProof/>
                <w:webHidden/>
              </w:rPr>
              <w:fldChar w:fldCharType="separate"/>
            </w:r>
            <w:r w:rsidR="00A71271">
              <w:rPr>
                <w:noProof/>
                <w:webHidden/>
              </w:rPr>
              <w:t>51</w:t>
            </w:r>
            <w:r w:rsidR="000031FE">
              <w:rPr>
                <w:noProof/>
                <w:webHidden/>
              </w:rPr>
              <w:fldChar w:fldCharType="end"/>
            </w:r>
          </w:hyperlink>
        </w:p>
        <w:p w14:paraId="0E3682B1" w14:textId="2153D3D7" w:rsidR="000031FE" w:rsidRDefault="003A333F" w:rsidP="000031FE">
          <w:pPr>
            <w:pStyle w:val="TOC1"/>
            <w:rPr>
              <w:rFonts w:eastAsiaTheme="minorEastAsia"/>
              <w:noProof/>
              <w:lang w:eastAsia="en-AU"/>
            </w:rPr>
          </w:pPr>
          <w:hyperlink w:anchor="_Toc156576967" w:history="1">
            <w:r w:rsidR="000031FE" w:rsidRPr="00680ECC">
              <w:rPr>
                <w:rStyle w:val="Hyperlink"/>
                <w:noProof/>
              </w:rPr>
              <w:t>7</w:t>
            </w:r>
            <w:r w:rsidR="000031FE">
              <w:rPr>
                <w:rFonts w:eastAsiaTheme="minorEastAsia"/>
                <w:noProof/>
                <w:lang w:eastAsia="en-AU"/>
              </w:rPr>
              <w:tab/>
            </w:r>
            <w:r w:rsidR="000031FE" w:rsidRPr="00680ECC">
              <w:rPr>
                <w:rStyle w:val="Hyperlink"/>
                <w:noProof/>
              </w:rPr>
              <w:t>Medicare Benefits Schedule</w:t>
            </w:r>
            <w:r w:rsidR="000031FE">
              <w:rPr>
                <w:noProof/>
                <w:webHidden/>
              </w:rPr>
              <w:tab/>
            </w:r>
            <w:r w:rsidR="000031FE">
              <w:rPr>
                <w:noProof/>
                <w:webHidden/>
              </w:rPr>
              <w:fldChar w:fldCharType="begin"/>
            </w:r>
            <w:r w:rsidR="000031FE">
              <w:rPr>
                <w:noProof/>
                <w:webHidden/>
              </w:rPr>
              <w:instrText xml:space="preserve"> PAGEREF _Toc156576967 \h </w:instrText>
            </w:r>
            <w:r w:rsidR="000031FE">
              <w:rPr>
                <w:noProof/>
                <w:webHidden/>
              </w:rPr>
            </w:r>
            <w:r w:rsidR="000031FE">
              <w:rPr>
                <w:noProof/>
                <w:webHidden/>
              </w:rPr>
              <w:fldChar w:fldCharType="separate"/>
            </w:r>
            <w:r w:rsidR="00A71271">
              <w:rPr>
                <w:noProof/>
                <w:webHidden/>
              </w:rPr>
              <w:t>53</w:t>
            </w:r>
            <w:r w:rsidR="000031FE">
              <w:rPr>
                <w:noProof/>
                <w:webHidden/>
              </w:rPr>
              <w:fldChar w:fldCharType="end"/>
            </w:r>
          </w:hyperlink>
        </w:p>
        <w:p w14:paraId="5C4086F5" w14:textId="20FC63A5" w:rsidR="000031FE" w:rsidRDefault="003A333F">
          <w:pPr>
            <w:pStyle w:val="TOC2"/>
            <w:rPr>
              <w:rFonts w:eastAsiaTheme="minorEastAsia"/>
              <w:noProof/>
              <w:lang w:eastAsia="en-AU"/>
            </w:rPr>
          </w:pPr>
          <w:hyperlink w:anchor="_Toc156576968" w:history="1">
            <w:r w:rsidR="000031FE" w:rsidRPr="00680ECC">
              <w:rPr>
                <w:rStyle w:val="Hyperlink"/>
                <w:noProof/>
                <w:lang w:eastAsia="en-GB"/>
              </w:rPr>
              <w:t>7.1</w:t>
            </w:r>
            <w:r w:rsidR="000031FE">
              <w:rPr>
                <w:rFonts w:eastAsiaTheme="minorEastAsia"/>
                <w:noProof/>
                <w:lang w:eastAsia="en-AU"/>
              </w:rPr>
              <w:tab/>
            </w:r>
            <w:r w:rsidR="000031FE" w:rsidRPr="00680ECC">
              <w:rPr>
                <w:rStyle w:val="Hyperlink"/>
                <w:noProof/>
                <w:lang w:eastAsia="en-GB"/>
              </w:rPr>
              <w:t>Background</w:t>
            </w:r>
            <w:r w:rsidR="000031FE">
              <w:rPr>
                <w:noProof/>
                <w:webHidden/>
              </w:rPr>
              <w:tab/>
            </w:r>
            <w:r w:rsidR="000031FE">
              <w:rPr>
                <w:noProof/>
                <w:webHidden/>
              </w:rPr>
              <w:fldChar w:fldCharType="begin"/>
            </w:r>
            <w:r w:rsidR="000031FE">
              <w:rPr>
                <w:noProof/>
                <w:webHidden/>
              </w:rPr>
              <w:instrText xml:space="preserve"> PAGEREF _Toc156576968 \h </w:instrText>
            </w:r>
            <w:r w:rsidR="000031FE">
              <w:rPr>
                <w:noProof/>
                <w:webHidden/>
              </w:rPr>
            </w:r>
            <w:r w:rsidR="000031FE">
              <w:rPr>
                <w:noProof/>
                <w:webHidden/>
              </w:rPr>
              <w:fldChar w:fldCharType="separate"/>
            </w:r>
            <w:r w:rsidR="00A71271">
              <w:rPr>
                <w:noProof/>
                <w:webHidden/>
              </w:rPr>
              <w:t>53</w:t>
            </w:r>
            <w:r w:rsidR="000031FE">
              <w:rPr>
                <w:noProof/>
                <w:webHidden/>
              </w:rPr>
              <w:fldChar w:fldCharType="end"/>
            </w:r>
          </w:hyperlink>
        </w:p>
        <w:p w14:paraId="328649DC" w14:textId="2342F393" w:rsidR="000031FE" w:rsidRDefault="003A333F">
          <w:pPr>
            <w:pStyle w:val="TOC2"/>
            <w:rPr>
              <w:rFonts w:eastAsiaTheme="minorEastAsia"/>
              <w:noProof/>
              <w:lang w:eastAsia="en-AU"/>
            </w:rPr>
          </w:pPr>
          <w:hyperlink w:anchor="_Toc156576969" w:history="1">
            <w:r w:rsidR="000031FE" w:rsidRPr="00680ECC">
              <w:rPr>
                <w:rStyle w:val="Hyperlink"/>
                <w:noProof/>
              </w:rPr>
              <w:t>7.2</w:t>
            </w:r>
            <w:r w:rsidR="000031FE">
              <w:rPr>
                <w:rFonts w:eastAsiaTheme="minorEastAsia"/>
                <w:noProof/>
                <w:lang w:eastAsia="en-AU"/>
              </w:rPr>
              <w:tab/>
            </w:r>
            <w:r w:rsidR="000031FE" w:rsidRPr="00680ECC">
              <w:rPr>
                <w:rStyle w:val="Hyperlink"/>
                <w:noProof/>
              </w:rPr>
              <w:t>Process for listing health technologies on the MBS</w:t>
            </w:r>
            <w:r w:rsidR="000031FE">
              <w:rPr>
                <w:noProof/>
                <w:webHidden/>
              </w:rPr>
              <w:tab/>
            </w:r>
            <w:r w:rsidR="000031FE">
              <w:rPr>
                <w:noProof/>
                <w:webHidden/>
              </w:rPr>
              <w:fldChar w:fldCharType="begin"/>
            </w:r>
            <w:r w:rsidR="000031FE">
              <w:rPr>
                <w:noProof/>
                <w:webHidden/>
              </w:rPr>
              <w:instrText xml:space="preserve"> PAGEREF _Toc156576969 \h </w:instrText>
            </w:r>
            <w:r w:rsidR="000031FE">
              <w:rPr>
                <w:noProof/>
                <w:webHidden/>
              </w:rPr>
            </w:r>
            <w:r w:rsidR="000031FE">
              <w:rPr>
                <w:noProof/>
                <w:webHidden/>
              </w:rPr>
              <w:fldChar w:fldCharType="separate"/>
            </w:r>
            <w:r w:rsidR="00A71271">
              <w:rPr>
                <w:noProof/>
                <w:webHidden/>
              </w:rPr>
              <w:t>53</w:t>
            </w:r>
            <w:r w:rsidR="000031FE">
              <w:rPr>
                <w:noProof/>
                <w:webHidden/>
              </w:rPr>
              <w:fldChar w:fldCharType="end"/>
            </w:r>
          </w:hyperlink>
        </w:p>
        <w:p w14:paraId="64CC4321" w14:textId="0865A628" w:rsidR="000031FE" w:rsidRDefault="003A333F">
          <w:pPr>
            <w:pStyle w:val="TOC2"/>
            <w:rPr>
              <w:rFonts w:eastAsiaTheme="minorEastAsia"/>
              <w:noProof/>
              <w:lang w:eastAsia="en-AU"/>
            </w:rPr>
          </w:pPr>
          <w:hyperlink w:anchor="_Toc156576970" w:history="1">
            <w:r w:rsidR="000031FE" w:rsidRPr="00680ECC">
              <w:rPr>
                <w:rStyle w:val="Hyperlink"/>
                <w:noProof/>
              </w:rPr>
              <w:t>7.3</w:t>
            </w:r>
            <w:r w:rsidR="000031FE">
              <w:rPr>
                <w:rFonts w:eastAsiaTheme="minorEastAsia"/>
                <w:noProof/>
                <w:lang w:eastAsia="en-AU"/>
              </w:rPr>
              <w:tab/>
            </w:r>
            <w:r w:rsidR="000031FE" w:rsidRPr="00680ECC">
              <w:rPr>
                <w:rStyle w:val="Hyperlink"/>
                <w:noProof/>
              </w:rPr>
              <w:t>Issues raised through the House of Representatives Inquiry</w:t>
            </w:r>
            <w:r w:rsidR="000031FE">
              <w:rPr>
                <w:noProof/>
                <w:webHidden/>
              </w:rPr>
              <w:tab/>
            </w:r>
            <w:r w:rsidR="000031FE">
              <w:rPr>
                <w:noProof/>
                <w:webHidden/>
              </w:rPr>
              <w:fldChar w:fldCharType="begin"/>
            </w:r>
            <w:r w:rsidR="000031FE">
              <w:rPr>
                <w:noProof/>
                <w:webHidden/>
              </w:rPr>
              <w:instrText xml:space="preserve"> PAGEREF _Toc156576970 \h </w:instrText>
            </w:r>
            <w:r w:rsidR="000031FE">
              <w:rPr>
                <w:noProof/>
                <w:webHidden/>
              </w:rPr>
            </w:r>
            <w:r w:rsidR="000031FE">
              <w:rPr>
                <w:noProof/>
                <w:webHidden/>
              </w:rPr>
              <w:fldChar w:fldCharType="separate"/>
            </w:r>
            <w:r w:rsidR="00A71271">
              <w:rPr>
                <w:noProof/>
                <w:webHidden/>
              </w:rPr>
              <w:t>57</w:t>
            </w:r>
            <w:r w:rsidR="000031FE">
              <w:rPr>
                <w:noProof/>
                <w:webHidden/>
              </w:rPr>
              <w:fldChar w:fldCharType="end"/>
            </w:r>
          </w:hyperlink>
        </w:p>
        <w:p w14:paraId="0B382A66" w14:textId="3353AD67" w:rsidR="000031FE" w:rsidRDefault="003A333F">
          <w:pPr>
            <w:pStyle w:val="TOC2"/>
            <w:rPr>
              <w:rFonts w:eastAsiaTheme="minorEastAsia"/>
              <w:noProof/>
              <w:lang w:eastAsia="en-AU"/>
            </w:rPr>
          </w:pPr>
          <w:hyperlink w:anchor="_Toc156576971" w:history="1">
            <w:r w:rsidR="000031FE" w:rsidRPr="00680ECC">
              <w:rPr>
                <w:rStyle w:val="Hyperlink"/>
                <w:noProof/>
              </w:rPr>
              <w:t>7.4</w:t>
            </w:r>
            <w:r w:rsidR="000031FE">
              <w:rPr>
                <w:rFonts w:eastAsiaTheme="minorEastAsia"/>
                <w:noProof/>
                <w:lang w:eastAsia="en-AU"/>
              </w:rPr>
              <w:tab/>
            </w:r>
            <w:r w:rsidR="000031FE" w:rsidRPr="00680ECC">
              <w:rPr>
                <w:rStyle w:val="Hyperlink"/>
                <w:noProof/>
              </w:rPr>
              <w:t>Timeframes to MBS listing</w:t>
            </w:r>
            <w:r w:rsidR="000031FE">
              <w:rPr>
                <w:noProof/>
                <w:webHidden/>
              </w:rPr>
              <w:tab/>
            </w:r>
            <w:r w:rsidR="000031FE">
              <w:rPr>
                <w:noProof/>
                <w:webHidden/>
              </w:rPr>
              <w:fldChar w:fldCharType="begin"/>
            </w:r>
            <w:r w:rsidR="000031FE">
              <w:rPr>
                <w:noProof/>
                <w:webHidden/>
              </w:rPr>
              <w:instrText xml:space="preserve"> PAGEREF _Toc156576971 \h </w:instrText>
            </w:r>
            <w:r w:rsidR="000031FE">
              <w:rPr>
                <w:noProof/>
                <w:webHidden/>
              </w:rPr>
            </w:r>
            <w:r w:rsidR="000031FE">
              <w:rPr>
                <w:noProof/>
                <w:webHidden/>
              </w:rPr>
              <w:fldChar w:fldCharType="separate"/>
            </w:r>
            <w:r w:rsidR="00A71271">
              <w:rPr>
                <w:noProof/>
                <w:webHidden/>
              </w:rPr>
              <w:t>57</w:t>
            </w:r>
            <w:r w:rsidR="000031FE">
              <w:rPr>
                <w:noProof/>
                <w:webHidden/>
              </w:rPr>
              <w:fldChar w:fldCharType="end"/>
            </w:r>
          </w:hyperlink>
        </w:p>
        <w:p w14:paraId="04BF43A1" w14:textId="4A74741E" w:rsidR="000031FE" w:rsidRDefault="003A333F" w:rsidP="000031FE">
          <w:pPr>
            <w:pStyle w:val="TOC1"/>
            <w:rPr>
              <w:rFonts w:eastAsiaTheme="minorEastAsia"/>
              <w:noProof/>
              <w:lang w:eastAsia="en-AU"/>
            </w:rPr>
          </w:pPr>
          <w:hyperlink w:anchor="_Toc156576972" w:history="1">
            <w:r w:rsidR="000031FE" w:rsidRPr="00680ECC">
              <w:rPr>
                <w:rStyle w:val="Hyperlink"/>
                <w:noProof/>
              </w:rPr>
              <w:t>8</w:t>
            </w:r>
            <w:r w:rsidR="000031FE">
              <w:rPr>
                <w:rFonts w:eastAsiaTheme="minorEastAsia"/>
                <w:noProof/>
                <w:lang w:eastAsia="en-AU"/>
              </w:rPr>
              <w:tab/>
            </w:r>
            <w:r w:rsidR="000031FE" w:rsidRPr="00680ECC">
              <w:rPr>
                <w:rStyle w:val="Hyperlink"/>
                <w:noProof/>
              </w:rPr>
              <w:t>PBS MBS codependent technologies</w:t>
            </w:r>
            <w:r w:rsidR="000031FE">
              <w:rPr>
                <w:noProof/>
                <w:webHidden/>
              </w:rPr>
              <w:tab/>
            </w:r>
            <w:r w:rsidR="000031FE">
              <w:rPr>
                <w:noProof/>
                <w:webHidden/>
              </w:rPr>
              <w:fldChar w:fldCharType="begin"/>
            </w:r>
            <w:r w:rsidR="000031FE">
              <w:rPr>
                <w:noProof/>
                <w:webHidden/>
              </w:rPr>
              <w:instrText xml:space="preserve"> PAGEREF _Toc156576972 \h </w:instrText>
            </w:r>
            <w:r w:rsidR="000031FE">
              <w:rPr>
                <w:noProof/>
                <w:webHidden/>
              </w:rPr>
            </w:r>
            <w:r w:rsidR="000031FE">
              <w:rPr>
                <w:noProof/>
                <w:webHidden/>
              </w:rPr>
              <w:fldChar w:fldCharType="separate"/>
            </w:r>
            <w:r w:rsidR="00A71271">
              <w:rPr>
                <w:noProof/>
                <w:webHidden/>
              </w:rPr>
              <w:t>58</w:t>
            </w:r>
            <w:r w:rsidR="000031FE">
              <w:rPr>
                <w:noProof/>
                <w:webHidden/>
              </w:rPr>
              <w:fldChar w:fldCharType="end"/>
            </w:r>
          </w:hyperlink>
        </w:p>
        <w:p w14:paraId="38923049" w14:textId="00371DB7" w:rsidR="000031FE" w:rsidRDefault="003A333F">
          <w:pPr>
            <w:pStyle w:val="TOC2"/>
            <w:rPr>
              <w:rFonts w:eastAsiaTheme="minorEastAsia"/>
              <w:noProof/>
              <w:lang w:eastAsia="en-AU"/>
            </w:rPr>
          </w:pPr>
          <w:hyperlink w:anchor="_Toc156576973" w:history="1">
            <w:r w:rsidR="000031FE" w:rsidRPr="00680ECC">
              <w:rPr>
                <w:rStyle w:val="Hyperlink"/>
                <w:noProof/>
              </w:rPr>
              <w:t>8.1</w:t>
            </w:r>
            <w:r w:rsidR="000031FE">
              <w:rPr>
                <w:rFonts w:eastAsiaTheme="minorEastAsia"/>
                <w:noProof/>
                <w:lang w:eastAsia="en-AU"/>
              </w:rPr>
              <w:tab/>
            </w:r>
            <w:r w:rsidR="000031FE" w:rsidRPr="00680ECC">
              <w:rPr>
                <w:rStyle w:val="Hyperlink"/>
                <w:noProof/>
              </w:rPr>
              <w:t>Background</w:t>
            </w:r>
            <w:r w:rsidR="000031FE">
              <w:rPr>
                <w:noProof/>
                <w:webHidden/>
              </w:rPr>
              <w:tab/>
            </w:r>
            <w:r w:rsidR="000031FE">
              <w:rPr>
                <w:noProof/>
                <w:webHidden/>
              </w:rPr>
              <w:fldChar w:fldCharType="begin"/>
            </w:r>
            <w:r w:rsidR="000031FE">
              <w:rPr>
                <w:noProof/>
                <w:webHidden/>
              </w:rPr>
              <w:instrText xml:space="preserve"> PAGEREF _Toc156576973 \h </w:instrText>
            </w:r>
            <w:r w:rsidR="000031FE">
              <w:rPr>
                <w:noProof/>
                <w:webHidden/>
              </w:rPr>
            </w:r>
            <w:r w:rsidR="000031FE">
              <w:rPr>
                <w:noProof/>
                <w:webHidden/>
              </w:rPr>
              <w:fldChar w:fldCharType="separate"/>
            </w:r>
            <w:r w:rsidR="00A71271">
              <w:rPr>
                <w:noProof/>
                <w:webHidden/>
              </w:rPr>
              <w:t>58</w:t>
            </w:r>
            <w:r w:rsidR="000031FE">
              <w:rPr>
                <w:noProof/>
                <w:webHidden/>
              </w:rPr>
              <w:fldChar w:fldCharType="end"/>
            </w:r>
          </w:hyperlink>
        </w:p>
        <w:p w14:paraId="5B532E38" w14:textId="6950303B" w:rsidR="000031FE" w:rsidRDefault="003A333F">
          <w:pPr>
            <w:pStyle w:val="TOC2"/>
            <w:rPr>
              <w:rFonts w:eastAsiaTheme="minorEastAsia"/>
              <w:noProof/>
              <w:lang w:eastAsia="en-AU"/>
            </w:rPr>
          </w:pPr>
          <w:hyperlink w:anchor="_Toc156576974" w:history="1">
            <w:r w:rsidR="000031FE" w:rsidRPr="00680ECC">
              <w:rPr>
                <w:rStyle w:val="Hyperlink"/>
                <w:noProof/>
              </w:rPr>
              <w:t>8.2</w:t>
            </w:r>
            <w:r w:rsidR="000031FE">
              <w:rPr>
                <w:rFonts w:eastAsiaTheme="minorEastAsia"/>
                <w:noProof/>
                <w:lang w:eastAsia="en-AU"/>
              </w:rPr>
              <w:tab/>
            </w:r>
            <w:r w:rsidR="000031FE" w:rsidRPr="00680ECC">
              <w:rPr>
                <w:rStyle w:val="Hyperlink"/>
                <w:noProof/>
              </w:rPr>
              <w:t>Process for listing PBS and MBS codependent technologies</w:t>
            </w:r>
            <w:r w:rsidR="000031FE">
              <w:rPr>
                <w:noProof/>
                <w:webHidden/>
              </w:rPr>
              <w:tab/>
            </w:r>
            <w:r w:rsidR="000031FE">
              <w:rPr>
                <w:noProof/>
                <w:webHidden/>
              </w:rPr>
              <w:fldChar w:fldCharType="begin"/>
            </w:r>
            <w:r w:rsidR="000031FE">
              <w:rPr>
                <w:noProof/>
                <w:webHidden/>
              </w:rPr>
              <w:instrText xml:space="preserve"> PAGEREF _Toc156576974 \h </w:instrText>
            </w:r>
            <w:r w:rsidR="000031FE">
              <w:rPr>
                <w:noProof/>
                <w:webHidden/>
              </w:rPr>
            </w:r>
            <w:r w:rsidR="000031FE">
              <w:rPr>
                <w:noProof/>
                <w:webHidden/>
              </w:rPr>
              <w:fldChar w:fldCharType="separate"/>
            </w:r>
            <w:r w:rsidR="00A71271">
              <w:rPr>
                <w:noProof/>
                <w:webHidden/>
              </w:rPr>
              <w:t>58</w:t>
            </w:r>
            <w:r w:rsidR="000031FE">
              <w:rPr>
                <w:noProof/>
                <w:webHidden/>
              </w:rPr>
              <w:fldChar w:fldCharType="end"/>
            </w:r>
          </w:hyperlink>
        </w:p>
        <w:p w14:paraId="2121020C" w14:textId="60F16614" w:rsidR="000031FE" w:rsidRDefault="003A333F">
          <w:pPr>
            <w:pStyle w:val="TOC2"/>
            <w:rPr>
              <w:rFonts w:eastAsiaTheme="minorEastAsia"/>
              <w:noProof/>
              <w:lang w:eastAsia="en-AU"/>
            </w:rPr>
          </w:pPr>
          <w:hyperlink w:anchor="_Toc156576975" w:history="1">
            <w:r w:rsidR="000031FE" w:rsidRPr="00680ECC">
              <w:rPr>
                <w:rStyle w:val="Hyperlink"/>
                <w:noProof/>
              </w:rPr>
              <w:t>8.3</w:t>
            </w:r>
            <w:r w:rsidR="000031FE">
              <w:rPr>
                <w:rFonts w:eastAsiaTheme="minorEastAsia"/>
                <w:noProof/>
                <w:lang w:eastAsia="en-AU"/>
              </w:rPr>
              <w:tab/>
            </w:r>
            <w:r w:rsidR="000031FE" w:rsidRPr="00680ECC">
              <w:rPr>
                <w:rStyle w:val="Hyperlink"/>
                <w:noProof/>
              </w:rPr>
              <w:t>Issues raised through the House of Representatives Inquiry</w:t>
            </w:r>
            <w:r w:rsidR="000031FE">
              <w:rPr>
                <w:noProof/>
                <w:webHidden/>
              </w:rPr>
              <w:tab/>
            </w:r>
            <w:r w:rsidR="000031FE">
              <w:rPr>
                <w:noProof/>
                <w:webHidden/>
              </w:rPr>
              <w:fldChar w:fldCharType="begin"/>
            </w:r>
            <w:r w:rsidR="000031FE">
              <w:rPr>
                <w:noProof/>
                <w:webHidden/>
              </w:rPr>
              <w:instrText xml:space="preserve"> PAGEREF _Toc156576975 \h </w:instrText>
            </w:r>
            <w:r w:rsidR="000031FE">
              <w:rPr>
                <w:noProof/>
                <w:webHidden/>
              </w:rPr>
            </w:r>
            <w:r w:rsidR="000031FE">
              <w:rPr>
                <w:noProof/>
                <w:webHidden/>
              </w:rPr>
              <w:fldChar w:fldCharType="separate"/>
            </w:r>
            <w:r w:rsidR="00A71271">
              <w:rPr>
                <w:noProof/>
                <w:webHidden/>
              </w:rPr>
              <w:t>59</w:t>
            </w:r>
            <w:r w:rsidR="000031FE">
              <w:rPr>
                <w:noProof/>
                <w:webHidden/>
              </w:rPr>
              <w:fldChar w:fldCharType="end"/>
            </w:r>
          </w:hyperlink>
        </w:p>
        <w:p w14:paraId="0A5848D3" w14:textId="3C35AD95" w:rsidR="000031FE" w:rsidRDefault="003A333F">
          <w:pPr>
            <w:pStyle w:val="TOC2"/>
            <w:rPr>
              <w:rFonts w:eastAsiaTheme="minorEastAsia"/>
              <w:noProof/>
              <w:lang w:eastAsia="en-AU"/>
            </w:rPr>
          </w:pPr>
          <w:hyperlink w:anchor="_Toc156576976" w:history="1">
            <w:r w:rsidR="000031FE" w:rsidRPr="00680ECC">
              <w:rPr>
                <w:rStyle w:val="Hyperlink"/>
                <w:noProof/>
              </w:rPr>
              <w:t>8.4</w:t>
            </w:r>
            <w:r w:rsidR="000031FE">
              <w:rPr>
                <w:rFonts w:eastAsiaTheme="minorEastAsia"/>
                <w:noProof/>
                <w:lang w:eastAsia="en-AU"/>
              </w:rPr>
              <w:tab/>
            </w:r>
            <w:r w:rsidR="000031FE" w:rsidRPr="00680ECC">
              <w:rPr>
                <w:rStyle w:val="Hyperlink"/>
                <w:noProof/>
              </w:rPr>
              <w:t>Timeframes for PBS and MBS listing of codependent technologies</w:t>
            </w:r>
            <w:r w:rsidR="000031FE">
              <w:rPr>
                <w:noProof/>
                <w:webHidden/>
              </w:rPr>
              <w:tab/>
            </w:r>
            <w:r w:rsidR="000031FE">
              <w:rPr>
                <w:noProof/>
                <w:webHidden/>
              </w:rPr>
              <w:fldChar w:fldCharType="begin"/>
            </w:r>
            <w:r w:rsidR="000031FE">
              <w:rPr>
                <w:noProof/>
                <w:webHidden/>
              </w:rPr>
              <w:instrText xml:space="preserve"> PAGEREF _Toc156576976 \h </w:instrText>
            </w:r>
            <w:r w:rsidR="000031FE">
              <w:rPr>
                <w:noProof/>
                <w:webHidden/>
              </w:rPr>
            </w:r>
            <w:r w:rsidR="000031FE">
              <w:rPr>
                <w:noProof/>
                <w:webHidden/>
              </w:rPr>
              <w:fldChar w:fldCharType="separate"/>
            </w:r>
            <w:r w:rsidR="00A71271">
              <w:rPr>
                <w:noProof/>
                <w:webHidden/>
              </w:rPr>
              <w:t>59</w:t>
            </w:r>
            <w:r w:rsidR="000031FE">
              <w:rPr>
                <w:noProof/>
                <w:webHidden/>
              </w:rPr>
              <w:fldChar w:fldCharType="end"/>
            </w:r>
          </w:hyperlink>
        </w:p>
        <w:p w14:paraId="77EE7E8C" w14:textId="277A014E" w:rsidR="000031FE" w:rsidRDefault="003A333F" w:rsidP="000031FE">
          <w:pPr>
            <w:pStyle w:val="TOC1"/>
            <w:rPr>
              <w:rFonts w:eastAsiaTheme="minorEastAsia"/>
              <w:noProof/>
              <w:lang w:eastAsia="en-AU"/>
            </w:rPr>
          </w:pPr>
          <w:hyperlink w:anchor="_Toc156576977" w:history="1">
            <w:r w:rsidR="000031FE" w:rsidRPr="00680ECC">
              <w:rPr>
                <w:rStyle w:val="Hyperlink"/>
                <w:noProof/>
              </w:rPr>
              <w:t>9</w:t>
            </w:r>
            <w:r w:rsidR="000031FE">
              <w:rPr>
                <w:rFonts w:eastAsiaTheme="minorEastAsia"/>
                <w:noProof/>
                <w:lang w:eastAsia="en-AU"/>
              </w:rPr>
              <w:tab/>
            </w:r>
            <w:r w:rsidR="000031FE" w:rsidRPr="00680ECC">
              <w:rPr>
                <w:rStyle w:val="Hyperlink"/>
                <w:noProof/>
              </w:rPr>
              <w:t>High cost highly specialised therapies</w:t>
            </w:r>
            <w:r w:rsidR="000031FE">
              <w:rPr>
                <w:noProof/>
                <w:webHidden/>
              </w:rPr>
              <w:tab/>
            </w:r>
            <w:r w:rsidR="000031FE">
              <w:rPr>
                <w:noProof/>
                <w:webHidden/>
              </w:rPr>
              <w:fldChar w:fldCharType="begin"/>
            </w:r>
            <w:r w:rsidR="000031FE">
              <w:rPr>
                <w:noProof/>
                <w:webHidden/>
              </w:rPr>
              <w:instrText xml:space="preserve"> PAGEREF _Toc156576977 \h </w:instrText>
            </w:r>
            <w:r w:rsidR="000031FE">
              <w:rPr>
                <w:noProof/>
                <w:webHidden/>
              </w:rPr>
            </w:r>
            <w:r w:rsidR="000031FE">
              <w:rPr>
                <w:noProof/>
                <w:webHidden/>
              </w:rPr>
              <w:fldChar w:fldCharType="separate"/>
            </w:r>
            <w:r w:rsidR="00A71271">
              <w:rPr>
                <w:noProof/>
                <w:webHidden/>
              </w:rPr>
              <w:t>61</w:t>
            </w:r>
            <w:r w:rsidR="000031FE">
              <w:rPr>
                <w:noProof/>
                <w:webHidden/>
              </w:rPr>
              <w:fldChar w:fldCharType="end"/>
            </w:r>
          </w:hyperlink>
        </w:p>
        <w:p w14:paraId="1379AE08" w14:textId="655B198A" w:rsidR="000031FE" w:rsidRDefault="003A333F">
          <w:pPr>
            <w:pStyle w:val="TOC2"/>
            <w:rPr>
              <w:rFonts w:eastAsiaTheme="minorEastAsia"/>
              <w:noProof/>
              <w:lang w:eastAsia="en-AU"/>
            </w:rPr>
          </w:pPr>
          <w:hyperlink w:anchor="_Toc156576978" w:history="1">
            <w:r w:rsidR="000031FE" w:rsidRPr="00680ECC">
              <w:rPr>
                <w:rStyle w:val="Hyperlink"/>
                <w:noProof/>
              </w:rPr>
              <w:t>9.1</w:t>
            </w:r>
            <w:r w:rsidR="000031FE">
              <w:rPr>
                <w:rFonts w:eastAsiaTheme="minorEastAsia"/>
                <w:noProof/>
                <w:lang w:eastAsia="en-AU"/>
              </w:rPr>
              <w:tab/>
            </w:r>
            <w:r w:rsidR="000031FE" w:rsidRPr="00680ECC">
              <w:rPr>
                <w:rStyle w:val="Hyperlink"/>
                <w:noProof/>
              </w:rPr>
              <w:t>Background</w:t>
            </w:r>
            <w:r w:rsidR="000031FE">
              <w:rPr>
                <w:noProof/>
                <w:webHidden/>
              </w:rPr>
              <w:tab/>
            </w:r>
            <w:r w:rsidR="000031FE">
              <w:rPr>
                <w:noProof/>
                <w:webHidden/>
              </w:rPr>
              <w:fldChar w:fldCharType="begin"/>
            </w:r>
            <w:r w:rsidR="000031FE">
              <w:rPr>
                <w:noProof/>
                <w:webHidden/>
              </w:rPr>
              <w:instrText xml:space="preserve"> PAGEREF _Toc156576978 \h </w:instrText>
            </w:r>
            <w:r w:rsidR="000031FE">
              <w:rPr>
                <w:noProof/>
                <w:webHidden/>
              </w:rPr>
            </w:r>
            <w:r w:rsidR="000031FE">
              <w:rPr>
                <w:noProof/>
                <w:webHidden/>
              </w:rPr>
              <w:fldChar w:fldCharType="separate"/>
            </w:r>
            <w:r w:rsidR="00A71271">
              <w:rPr>
                <w:noProof/>
                <w:webHidden/>
              </w:rPr>
              <w:t>61</w:t>
            </w:r>
            <w:r w:rsidR="000031FE">
              <w:rPr>
                <w:noProof/>
                <w:webHidden/>
              </w:rPr>
              <w:fldChar w:fldCharType="end"/>
            </w:r>
          </w:hyperlink>
        </w:p>
        <w:p w14:paraId="3E163569" w14:textId="6F59F7A0" w:rsidR="000031FE" w:rsidRDefault="003A333F">
          <w:pPr>
            <w:pStyle w:val="TOC2"/>
            <w:rPr>
              <w:rFonts w:eastAsiaTheme="minorEastAsia"/>
              <w:noProof/>
              <w:lang w:eastAsia="en-AU"/>
            </w:rPr>
          </w:pPr>
          <w:hyperlink w:anchor="_Toc156576979" w:history="1">
            <w:r w:rsidR="000031FE" w:rsidRPr="00680ECC">
              <w:rPr>
                <w:rStyle w:val="Hyperlink"/>
                <w:noProof/>
              </w:rPr>
              <w:t>9.2</w:t>
            </w:r>
            <w:r w:rsidR="000031FE">
              <w:rPr>
                <w:rFonts w:eastAsiaTheme="minorEastAsia"/>
                <w:noProof/>
                <w:lang w:eastAsia="en-AU"/>
              </w:rPr>
              <w:tab/>
            </w:r>
            <w:r w:rsidR="000031FE" w:rsidRPr="00680ECC">
              <w:rPr>
                <w:rStyle w:val="Hyperlink"/>
                <w:noProof/>
              </w:rPr>
              <w:t>Funding process for high cost, HSTs</w:t>
            </w:r>
            <w:r w:rsidR="000031FE">
              <w:rPr>
                <w:noProof/>
                <w:webHidden/>
              </w:rPr>
              <w:tab/>
            </w:r>
            <w:r w:rsidR="000031FE">
              <w:rPr>
                <w:noProof/>
                <w:webHidden/>
              </w:rPr>
              <w:fldChar w:fldCharType="begin"/>
            </w:r>
            <w:r w:rsidR="000031FE">
              <w:rPr>
                <w:noProof/>
                <w:webHidden/>
              </w:rPr>
              <w:instrText xml:space="preserve"> PAGEREF _Toc156576979 \h </w:instrText>
            </w:r>
            <w:r w:rsidR="000031FE">
              <w:rPr>
                <w:noProof/>
                <w:webHidden/>
              </w:rPr>
            </w:r>
            <w:r w:rsidR="000031FE">
              <w:rPr>
                <w:noProof/>
                <w:webHidden/>
              </w:rPr>
              <w:fldChar w:fldCharType="separate"/>
            </w:r>
            <w:r w:rsidR="00A71271">
              <w:rPr>
                <w:noProof/>
                <w:webHidden/>
              </w:rPr>
              <w:t>61</w:t>
            </w:r>
            <w:r w:rsidR="000031FE">
              <w:rPr>
                <w:noProof/>
                <w:webHidden/>
              </w:rPr>
              <w:fldChar w:fldCharType="end"/>
            </w:r>
          </w:hyperlink>
        </w:p>
        <w:p w14:paraId="750BC213" w14:textId="129757D3" w:rsidR="000031FE" w:rsidRDefault="003A333F">
          <w:pPr>
            <w:pStyle w:val="TOC2"/>
            <w:rPr>
              <w:rFonts w:eastAsiaTheme="minorEastAsia"/>
              <w:noProof/>
              <w:lang w:eastAsia="en-AU"/>
            </w:rPr>
          </w:pPr>
          <w:hyperlink w:anchor="_Toc156576980" w:history="1">
            <w:r w:rsidR="000031FE" w:rsidRPr="00680ECC">
              <w:rPr>
                <w:rStyle w:val="Hyperlink"/>
                <w:noProof/>
              </w:rPr>
              <w:t>9.3</w:t>
            </w:r>
            <w:r w:rsidR="000031FE">
              <w:rPr>
                <w:rFonts w:eastAsiaTheme="minorEastAsia"/>
                <w:noProof/>
                <w:lang w:eastAsia="en-AU"/>
              </w:rPr>
              <w:tab/>
            </w:r>
            <w:r w:rsidR="000031FE" w:rsidRPr="00680ECC">
              <w:rPr>
                <w:rStyle w:val="Hyperlink"/>
                <w:noProof/>
              </w:rPr>
              <w:t>Issues raised through the House of Representatives Inquiry</w:t>
            </w:r>
            <w:r w:rsidR="000031FE">
              <w:rPr>
                <w:noProof/>
                <w:webHidden/>
              </w:rPr>
              <w:tab/>
            </w:r>
            <w:r w:rsidR="000031FE">
              <w:rPr>
                <w:noProof/>
                <w:webHidden/>
              </w:rPr>
              <w:fldChar w:fldCharType="begin"/>
            </w:r>
            <w:r w:rsidR="000031FE">
              <w:rPr>
                <w:noProof/>
                <w:webHidden/>
              </w:rPr>
              <w:instrText xml:space="preserve"> PAGEREF _Toc156576980 \h </w:instrText>
            </w:r>
            <w:r w:rsidR="000031FE">
              <w:rPr>
                <w:noProof/>
                <w:webHidden/>
              </w:rPr>
            </w:r>
            <w:r w:rsidR="000031FE">
              <w:rPr>
                <w:noProof/>
                <w:webHidden/>
              </w:rPr>
              <w:fldChar w:fldCharType="separate"/>
            </w:r>
            <w:r w:rsidR="00A71271">
              <w:rPr>
                <w:noProof/>
                <w:webHidden/>
              </w:rPr>
              <w:t>63</w:t>
            </w:r>
            <w:r w:rsidR="000031FE">
              <w:rPr>
                <w:noProof/>
                <w:webHidden/>
              </w:rPr>
              <w:fldChar w:fldCharType="end"/>
            </w:r>
          </w:hyperlink>
        </w:p>
        <w:p w14:paraId="5F21574D" w14:textId="4A7D0723" w:rsidR="000031FE" w:rsidRDefault="003A333F">
          <w:pPr>
            <w:pStyle w:val="TOC2"/>
            <w:rPr>
              <w:rFonts w:eastAsiaTheme="minorEastAsia"/>
              <w:noProof/>
              <w:lang w:eastAsia="en-AU"/>
            </w:rPr>
          </w:pPr>
          <w:hyperlink w:anchor="_Toc156576981" w:history="1">
            <w:r w:rsidR="000031FE" w:rsidRPr="00680ECC">
              <w:rPr>
                <w:rStyle w:val="Hyperlink"/>
                <w:noProof/>
              </w:rPr>
              <w:t>9.4</w:t>
            </w:r>
            <w:r w:rsidR="000031FE">
              <w:rPr>
                <w:rFonts w:eastAsiaTheme="minorEastAsia"/>
                <w:noProof/>
                <w:lang w:eastAsia="en-AU"/>
              </w:rPr>
              <w:tab/>
            </w:r>
            <w:r w:rsidR="000031FE" w:rsidRPr="00680ECC">
              <w:rPr>
                <w:rStyle w:val="Hyperlink"/>
                <w:noProof/>
              </w:rPr>
              <w:t>Timeframes for funding HSTs</w:t>
            </w:r>
            <w:r w:rsidR="000031FE">
              <w:rPr>
                <w:noProof/>
                <w:webHidden/>
              </w:rPr>
              <w:tab/>
            </w:r>
            <w:r w:rsidR="000031FE">
              <w:rPr>
                <w:noProof/>
                <w:webHidden/>
              </w:rPr>
              <w:fldChar w:fldCharType="begin"/>
            </w:r>
            <w:r w:rsidR="000031FE">
              <w:rPr>
                <w:noProof/>
                <w:webHidden/>
              </w:rPr>
              <w:instrText xml:space="preserve"> PAGEREF _Toc156576981 \h </w:instrText>
            </w:r>
            <w:r w:rsidR="000031FE">
              <w:rPr>
                <w:noProof/>
                <w:webHidden/>
              </w:rPr>
            </w:r>
            <w:r w:rsidR="000031FE">
              <w:rPr>
                <w:noProof/>
                <w:webHidden/>
              </w:rPr>
              <w:fldChar w:fldCharType="separate"/>
            </w:r>
            <w:r w:rsidR="00A71271">
              <w:rPr>
                <w:noProof/>
                <w:webHidden/>
              </w:rPr>
              <w:t>63</w:t>
            </w:r>
            <w:r w:rsidR="000031FE">
              <w:rPr>
                <w:noProof/>
                <w:webHidden/>
              </w:rPr>
              <w:fldChar w:fldCharType="end"/>
            </w:r>
          </w:hyperlink>
        </w:p>
        <w:p w14:paraId="1D1EFD51" w14:textId="21D144D3" w:rsidR="000031FE" w:rsidRDefault="003A333F" w:rsidP="000031FE">
          <w:pPr>
            <w:pStyle w:val="TOC1"/>
            <w:rPr>
              <w:rFonts w:eastAsiaTheme="minorEastAsia"/>
              <w:noProof/>
              <w:lang w:eastAsia="en-AU"/>
            </w:rPr>
          </w:pPr>
          <w:hyperlink w:anchor="_Toc156576982" w:history="1">
            <w:r w:rsidR="000031FE" w:rsidRPr="00680ECC">
              <w:rPr>
                <w:rStyle w:val="Hyperlink"/>
                <w:noProof/>
              </w:rPr>
              <w:t>10</w:t>
            </w:r>
            <w:r w:rsidR="000031FE">
              <w:rPr>
                <w:rFonts w:eastAsiaTheme="minorEastAsia"/>
                <w:noProof/>
                <w:lang w:eastAsia="en-AU"/>
              </w:rPr>
              <w:tab/>
            </w:r>
            <w:r w:rsidR="000031FE" w:rsidRPr="00680ECC">
              <w:rPr>
                <w:rStyle w:val="Hyperlink"/>
                <w:noProof/>
              </w:rPr>
              <w:t>National Blood Arrangements</w:t>
            </w:r>
            <w:r w:rsidR="000031FE">
              <w:rPr>
                <w:noProof/>
                <w:webHidden/>
              </w:rPr>
              <w:tab/>
            </w:r>
            <w:r w:rsidR="000031FE">
              <w:rPr>
                <w:noProof/>
                <w:webHidden/>
              </w:rPr>
              <w:fldChar w:fldCharType="begin"/>
            </w:r>
            <w:r w:rsidR="000031FE">
              <w:rPr>
                <w:noProof/>
                <w:webHidden/>
              </w:rPr>
              <w:instrText xml:space="preserve"> PAGEREF _Toc156576982 \h </w:instrText>
            </w:r>
            <w:r w:rsidR="000031FE">
              <w:rPr>
                <w:noProof/>
                <w:webHidden/>
              </w:rPr>
            </w:r>
            <w:r w:rsidR="000031FE">
              <w:rPr>
                <w:noProof/>
                <w:webHidden/>
              </w:rPr>
              <w:fldChar w:fldCharType="separate"/>
            </w:r>
            <w:r w:rsidR="00A71271">
              <w:rPr>
                <w:noProof/>
                <w:webHidden/>
              </w:rPr>
              <w:t>65</w:t>
            </w:r>
            <w:r w:rsidR="000031FE">
              <w:rPr>
                <w:noProof/>
                <w:webHidden/>
              </w:rPr>
              <w:fldChar w:fldCharType="end"/>
            </w:r>
          </w:hyperlink>
        </w:p>
        <w:p w14:paraId="48E8C5D2" w14:textId="573E8D22" w:rsidR="000031FE" w:rsidRDefault="003A333F">
          <w:pPr>
            <w:pStyle w:val="TOC2"/>
            <w:rPr>
              <w:rFonts w:eastAsiaTheme="minorEastAsia"/>
              <w:noProof/>
              <w:lang w:eastAsia="en-AU"/>
            </w:rPr>
          </w:pPr>
          <w:hyperlink w:anchor="_Toc156576983" w:history="1">
            <w:r w:rsidR="000031FE" w:rsidRPr="00680ECC">
              <w:rPr>
                <w:rStyle w:val="Hyperlink"/>
                <w:noProof/>
              </w:rPr>
              <w:t>10.1</w:t>
            </w:r>
            <w:r w:rsidR="000031FE">
              <w:rPr>
                <w:rFonts w:eastAsiaTheme="minorEastAsia"/>
                <w:noProof/>
                <w:lang w:eastAsia="en-AU"/>
              </w:rPr>
              <w:tab/>
            </w:r>
            <w:r w:rsidR="000031FE" w:rsidRPr="00680ECC">
              <w:rPr>
                <w:rStyle w:val="Hyperlink"/>
                <w:noProof/>
              </w:rPr>
              <w:t>Background</w:t>
            </w:r>
            <w:r w:rsidR="000031FE">
              <w:rPr>
                <w:noProof/>
                <w:webHidden/>
              </w:rPr>
              <w:tab/>
            </w:r>
            <w:r w:rsidR="000031FE">
              <w:rPr>
                <w:noProof/>
                <w:webHidden/>
              </w:rPr>
              <w:fldChar w:fldCharType="begin"/>
            </w:r>
            <w:r w:rsidR="000031FE">
              <w:rPr>
                <w:noProof/>
                <w:webHidden/>
              </w:rPr>
              <w:instrText xml:space="preserve"> PAGEREF _Toc156576983 \h </w:instrText>
            </w:r>
            <w:r w:rsidR="000031FE">
              <w:rPr>
                <w:noProof/>
                <w:webHidden/>
              </w:rPr>
            </w:r>
            <w:r w:rsidR="000031FE">
              <w:rPr>
                <w:noProof/>
                <w:webHidden/>
              </w:rPr>
              <w:fldChar w:fldCharType="separate"/>
            </w:r>
            <w:r w:rsidR="00A71271">
              <w:rPr>
                <w:noProof/>
                <w:webHidden/>
              </w:rPr>
              <w:t>65</w:t>
            </w:r>
            <w:r w:rsidR="000031FE">
              <w:rPr>
                <w:noProof/>
                <w:webHidden/>
              </w:rPr>
              <w:fldChar w:fldCharType="end"/>
            </w:r>
          </w:hyperlink>
        </w:p>
        <w:p w14:paraId="24F9E860" w14:textId="7D0DF935" w:rsidR="000031FE" w:rsidRDefault="003A333F">
          <w:pPr>
            <w:pStyle w:val="TOC2"/>
            <w:rPr>
              <w:rFonts w:eastAsiaTheme="minorEastAsia"/>
              <w:noProof/>
              <w:lang w:eastAsia="en-AU"/>
            </w:rPr>
          </w:pPr>
          <w:hyperlink w:anchor="_Toc156576984" w:history="1">
            <w:r w:rsidR="000031FE" w:rsidRPr="00680ECC">
              <w:rPr>
                <w:rStyle w:val="Hyperlink"/>
                <w:noProof/>
              </w:rPr>
              <w:t>10.2</w:t>
            </w:r>
            <w:r w:rsidR="000031FE">
              <w:rPr>
                <w:rFonts w:eastAsiaTheme="minorEastAsia"/>
                <w:noProof/>
                <w:lang w:eastAsia="en-AU"/>
              </w:rPr>
              <w:tab/>
            </w:r>
            <w:r w:rsidR="000031FE" w:rsidRPr="00680ECC">
              <w:rPr>
                <w:rStyle w:val="Hyperlink"/>
                <w:noProof/>
              </w:rPr>
              <w:t>Funding process for blood products</w:t>
            </w:r>
            <w:r w:rsidR="000031FE">
              <w:rPr>
                <w:noProof/>
                <w:webHidden/>
              </w:rPr>
              <w:tab/>
            </w:r>
            <w:r w:rsidR="000031FE">
              <w:rPr>
                <w:noProof/>
                <w:webHidden/>
              </w:rPr>
              <w:fldChar w:fldCharType="begin"/>
            </w:r>
            <w:r w:rsidR="000031FE">
              <w:rPr>
                <w:noProof/>
                <w:webHidden/>
              </w:rPr>
              <w:instrText xml:space="preserve"> PAGEREF _Toc156576984 \h </w:instrText>
            </w:r>
            <w:r w:rsidR="000031FE">
              <w:rPr>
                <w:noProof/>
                <w:webHidden/>
              </w:rPr>
            </w:r>
            <w:r w:rsidR="000031FE">
              <w:rPr>
                <w:noProof/>
                <w:webHidden/>
              </w:rPr>
              <w:fldChar w:fldCharType="separate"/>
            </w:r>
            <w:r w:rsidR="00A71271">
              <w:rPr>
                <w:noProof/>
                <w:webHidden/>
              </w:rPr>
              <w:t>65</w:t>
            </w:r>
            <w:r w:rsidR="000031FE">
              <w:rPr>
                <w:noProof/>
                <w:webHidden/>
              </w:rPr>
              <w:fldChar w:fldCharType="end"/>
            </w:r>
          </w:hyperlink>
        </w:p>
        <w:p w14:paraId="2254719C" w14:textId="5719538F" w:rsidR="000031FE" w:rsidRDefault="003A333F">
          <w:pPr>
            <w:pStyle w:val="TOC2"/>
            <w:rPr>
              <w:rFonts w:eastAsiaTheme="minorEastAsia"/>
              <w:noProof/>
              <w:lang w:eastAsia="en-AU"/>
            </w:rPr>
          </w:pPr>
          <w:hyperlink w:anchor="_Toc156576985" w:history="1">
            <w:r w:rsidR="000031FE" w:rsidRPr="00680ECC">
              <w:rPr>
                <w:rStyle w:val="Hyperlink"/>
                <w:noProof/>
              </w:rPr>
              <w:t>10.3</w:t>
            </w:r>
            <w:r w:rsidR="000031FE">
              <w:rPr>
                <w:rFonts w:eastAsiaTheme="minorEastAsia"/>
                <w:noProof/>
                <w:lang w:eastAsia="en-AU"/>
              </w:rPr>
              <w:tab/>
            </w:r>
            <w:r w:rsidR="000031FE" w:rsidRPr="00680ECC">
              <w:rPr>
                <w:rStyle w:val="Hyperlink"/>
                <w:noProof/>
              </w:rPr>
              <w:t>Issues raised through the House of Representatives Inquiry</w:t>
            </w:r>
            <w:r w:rsidR="000031FE">
              <w:rPr>
                <w:noProof/>
                <w:webHidden/>
              </w:rPr>
              <w:tab/>
            </w:r>
            <w:r w:rsidR="000031FE">
              <w:rPr>
                <w:noProof/>
                <w:webHidden/>
              </w:rPr>
              <w:fldChar w:fldCharType="begin"/>
            </w:r>
            <w:r w:rsidR="000031FE">
              <w:rPr>
                <w:noProof/>
                <w:webHidden/>
              </w:rPr>
              <w:instrText xml:space="preserve"> PAGEREF _Toc156576985 \h </w:instrText>
            </w:r>
            <w:r w:rsidR="000031FE">
              <w:rPr>
                <w:noProof/>
                <w:webHidden/>
              </w:rPr>
            </w:r>
            <w:r w:rsidR="000031FE">
              <w:rPr>
                <w:noProof/>
                <w:webHidden/>
              </w:rPr>
              <w:fldChar w:fldCharType="separate"/>
            </w:r>
            <w:r w:rsidR="00A71271">
              <w:rPr>
                <w:noProof/>
                <w:webHidden/>
              </w:rPr>
              <w:t>66</w:t>
            </w:r>
            <w:r w:rsidR="000031FE">
              <w:rPr>
                <w:noProof/>
                <w:webHidden/>
              </w:rPr>
              <w:fldChar w:fldCharType="end"/>
            </w:r>
          </w:hyperlink>
        </w:p>
        <w:p w14:paraId="1C973322" w14:textId="0F382E39" w:rsidR="000031FE" w:rsidRDefault="003A333F">
          <w:pPr>
            <w:pStyle w:val="TOC2"/>
            <w:rPr>
              <w:rFonts w:eastAsiaTheme="minorEastAsia"/>
              <w:noProof/>
              <w:lang w:eastAsia="en-AU"/>
            </w:rPr>
          </w:pPr>
          <w:hyperlink w:anchor="_Toc156576986" w:history="1">
            <w:r w:rsidR="000031FE" w:rsidRPr="00680ECC">
              <w:rPr>
                <w:rStyle w:val="Hyperlink"/>
                <w:noProof/>
              </w:rPr>
              <w:t>10.4</w:t>
            </w:r>
            <w:r w:rsidR="000031FE">
              <w:rPr>
                <w:rFonts w:eastAsiaTheme="minorEastAsia"/>
                <w:noProof/>
                <w:lang w:eastAsia="en-AU"/>
              </w:rPr>
              <w:tab/>
            </w:r>
            <w:r w:rsidR="000031FE" w:rsidRPr="00680ECC">
              <w:rPr>
                <w:rStyle w:val="Hyperlink"/>
                <w:noProof/>
              </w:rPr>
              <w:t>Timeframes for funding blood products</w:t>
            </w:r>
            <w:r w:rsidR="000031FE">
              <w:rPr>
                <w:noProof/>
                <w:webHidden/>
              </w:rPr>
              <w:tab/>
            </w:r>
            <w:r w:rsidR="000031FE">
              <w:rPr>
                <w:noProof/>
                <w:webHidden/>
              </w:rPr>
              <w:fldChar w:fldCharType="begin"/>
            </w:r>
            <w:r w:rsidR="000031FE">
              <w:rPr>
                <w:noProof/>
                <w:webHidden/>
              </w:rPr>
              <w:instrText xml:space="preserve"> PAGEREF _Toc156576986 \h </w:instrText>
            </w:r>
            <w:r w:rsidR="000031FE">
              <w:rPr>
                <w:noProof/>
                <w:webHidden/>
              </w:rPr>
            </w:r>
            <w:r w:rsidR="000031FE">
              <w:rPr>
                <w:noProof/>
                <w:webHidden/>
              </w:rPr>
              <w:fldChar w:fldCharType="separate"/>
            </w:r>
            <w:r w:rsidR="00A71271">
              <w:rPr>
                <w:noProof/>
                <w:webHidden/>
              </w:rPr>
              <w:t>66</w:t>
            </w:r>
            <w:r w:rsidR="000031FE">
              <w:rPr>
                <w:noProof/>
                <w:webHidden/>
              </w:rPr>
              <w:fldChar w:fldCharType="end"/>
            </w:r>
          </w:hyperlink>
        </w:p>
        <w:p w14:paraId="6F916170" w14:textId="57CF6F39" w:rsidR="000031FE" w:rsidRDefault="003A333F" w:rsidP="000031FE">
          <w:pPr>
            <w:pStyle w:val="TOC1"/>
            <w:rPr>
              <w:rFonts w:eastAsiaTheme="minorEastAsia"/>
              <w:noProof/>
              <w:lang w:eastAsia="en-AU"/>
            </w:rPr>
          </w:pPr>
          <w:hyperlink w:anchor="_Toc156576987" w:history="1">
            <w:r w:rsidR="000031FE" w:rsidRPr="00680ECC">
              <w:rPr>
                <w:rStyle w:val="Hyperlink"/>
                <w:noProof/>
              </w:rPr>
              <w:t>11</w:t>
            </w:r>
            <w:r w:rsidR="000031FE">
              <w:rPr>
                <w:rFonts w:eastAsiaTheme="minorEastAsia"/>
                <w:noProof/>
                <w:lang w:eastAsia="en-AU"/>
              </w:rPr>
              <w:tab/>
            </w:r>
            <w:r w:rsidR="000031FE" w:rsidRPr="00680ECC">
              <w:rPr>
                <w:rStyle w:val="Hyperlink"/>
                <w:noProof/>
              </w:rPr>
              <w:t>Appendix A – List of HTA committees and sub-committees</w:t>
            </w:r>
            <w:r w:rsidR="000031FE">
              <w:rPr>
                <w:noProof/>
                <w:webHidden/>
              </w:rPr>
              <w:tab/>
            </w:r>
            <w:r w:rsidR="000031FE">
              <w:rPr>
                <w:noProof/>
                <w:webHidden/>
              </w:rPr>
              <w:fldChar w:fldCharType="begin"/>
            </w:r>
            <w:r w:rsidR="000031FE">
              <w:rPr>
                <w:noProof/>
                <w:webHidden/>
              </w:rPr>
              <w:instrText xml:space="preserve"> PAGEREF _Toc156576987 \h </w:instrText>
            </w:r>
            <w:r w:rsidR="000031FE">
              <w:rPr>
                <w:noProof/>
                <w:webHidden/>
              </w:rPr>
            </w:r>
            <w:r w:rsidR="000031FE">
              <w:rPr>
                <w:noProof/>
                <w:webHidden/>
              </w:rPr>
              <w:fldChar w:fldCharType="separate"/>
            </w:r>
            <w:r w:rsidR="00A71271">
              <w:rPr>
                <w:noProof/>
                <w:webHidden/>
              </w:rPr>
              <w:t>67</w:t>
            </w:r>
            <w:r w:rsidR="000031FE">
              <w:rPr>
                <w:noProof/>
                <w:webHidden/>
              </w:rPr>
              <w:fldChar w:fldCharType="end"/>
            </w:r>
          </w:hyperlink>
        </w:p>
        <w:p w14:paraId="3753E778" w14:textId="05AA51E2" w:rsidR="000031FE" w:rsidRDefault="003A333F" w:rsidP="000031FE">
          <w:pPr>
            <w:pStyle w:val="TOC1"/>
            <w:rPr>
              <w:rFonts w:eastAsiaTheme="minorEastAsia"/>
              <w:noProof/>
              <w:lang w:eastAsia="en-AU"/>
            </w:rPr>
          </w:pPr>
          <w:hyperlink w:anchor="_Toc156576988" w:history="1">
            <w:r w:rsidR="000031FE" w:rsidRPr="00680ECC">
              <w:rPr>
                <w:rStyle w:val="Hyperlink"/>
                <w:noProof/>
              </w:rPr>
              <w:t>12</w:t>
            </w:r>
            <w:r w:rsidR="000031FE">
              <w:rPr>
                <w:rFonts w:eastAsiaTheme="minorEastAsia"/>
                <w:noProof/>
                <w:lang w:eastAsia="en-AU"/>
              </w:rPr>
              <w:tab/>
            </w:r>
            <w:r w:rsidR="000031FE" w:rsidRPr="00680ECC">
              <w:rPr>
                <w:rStyle w:val="Hyperlink"/>
                <w:noProof/>
              </w:rPr>
              <w:t>Appendix B – Example timelines for new medicines</w:t>
            </w:r>
            <w:r w:rsidR="000031FE">
              <w:rPr>
                <w:noProof/>
                <w:webHidden/>
              </w:rPr>
              <w:tab/>
            </w:r>
            <w:r w:rsidR="000031FE">
              <w:rPr>
                <w:noProof/>
                <w:webHidden/>
              </w:rPr>
              <w:fldChar w:fldCharType="begin"/>
            </w:r>
            <w:r w:rsidR="000031FE">
              <w:rPr>
                <w:noProof/>
                <w:webHidden/>
              </w:rPr>
              <w:instrText xml:space="preserve"> PAGEREF _Toc156576988 \h </w:instrText>
            </w:r>
            <w:r w:rsidR="000031FE">
              <w:rPr>
                <w:noProof/>
                <w:webHidden/>
              </w:rPr>
            </w:r>
            <w:r w:rsidR="000031FE">
              <w:rPr>
                <w:noProof/>
                <w:webHidden/>
              </w:rPr>
              <w:fldChar w:fldCharType="separate"/>
            </w:r>
            <w:r w:rsidR="00A71271">
              <w:rPr>
                <w:noProof/>
                <w:webHidden/>
              </w:rPr>
              <w:t>68</w:t>
            </w:r>
            <w:r w:rsidR="000031FE">
              <w:rPr>
                <w:noProof/>
                <w:webHidden/>
              </w:rPr>
              <w:fldChar w:fldCharType="end"/>
            </w:r>
          </w:hyperlink>
        </w:p>
        <w:p w14:paraId="66CDA024" w14:textId="28E3C215" w:rsidR="00CD61B4" w:rsidRPr="00501A77" w:rsidRDefault="00CD61B4">
          <w:r>
            <w:fldChar w:fldCharType="end"/>
          </w:r>
        </w:p>
      </w:sdtContent>
    </w:sdt>
    <w:p w14:paraId="49373E22" w14:textId="77777777" w:rsidR="00C31CAE" w:rsidRDefault="00C31CAE">
      <w:pPr>
        <w:spacing w:before="0" w:after="160"/>
        <w:rPr>
          <w:rFonts w:asciiTheme="majorHAnsi" w:eastAsiaTheme="majorEastAsia" w:hAnsiTheme="majorHAnsi" w:cstheme="majorBidi"/>
          <w:sz w:val="52"/>
          <w:szCs w:val="32"/>
        </w:rPr>
      </w:pPr>
      <w:r>
        <w:br w:type="page"/>
      </w:r>
    </w:p>
    <w:p w14:paraId="796F9838" w14:textId="1AFF24E6" w:rsidR="004C1126" w:rsidRPr="00457116" w:rsidRDefault="004C1126" w:rsidP="00AD6A80">
      <w:pPr>
        <w:pStyle w:val="Heading1"/>
      </w:pPr>
      <w:bookmarkStart w:id="0" w:name="_Toc156576940"/>
      <w:r w:rsidRPr="00457116">
        <w:lastRenderedPageBreak/>
        <w:t>Introduction</w:t>
      </w:r>
      <w:bookmarkEnd w:id="0"/>
    </w:p>
    <w:p w14:paraId="4F4F1CEA" w14:textId="02C14B3F" w:rsidR="00A41CF3" w:rsidRDefault="00A41CF3" w:rsidP="00A41CF3">
      <w:pPr>
        <w:pStyle w:val="Heading2"/>
      </w:pPr>
      <w:bookmarkStart w:id="1" w:name="_Toc156576941"/>
      <w:r>
        <w:t xml:space="preserve">Purpose </w:t>
      </w:r>
      <w:r w:rsidR="00256333">
        <w:t>and structure of paper</w:t>
      </w:r>
      <w:bookmarkEnd w:id="1"/>
    </w:p>
    <w:p w14:paraId="2A8D90A6" w14:textId="6B05BDD8" w:rsidR="002172FB" w:rsidRDefault="002172FB" w:rsidP="00334D1D">
      <w:pPr>
        <w:rPr>
          <w:rFonts w:ascii="Calibri" w:eastAsia="Calibri" w:hAnsi="Calibri" w:cs="Calibri"/>
        </w:rPr>
      </w:pPr>
      <w:r>
        <w:t xml:space="preserve">The purpose of this paper </w:t>
      </w:r>
      <w:r w:rsidR="00654075">
        <w:t xml:space="preserve">is to provide an overview of </w:t>
      </w:r>
      <w:r w:rsidR="001A0B13">
        <w:t xml:space="preserve">market </w:t>
      </w:r>
      <w:r w:rsidR="0041455B">
        <w:t>authorisation, assessment</w:t>
      </w:r>
      <w:r w:rsidR="00166846">
        <w:t xml:space="preserve"> pathways</w:t>
      </w:r>
      <w:r w:rsidR="00880D2D">
        <w:t>,</w:t>
      </w:r>
      <w:r w:rsidR="0041455B">
        <w:t xml:space="preserve"> funding pathways and timeframes for </w:t>
      </w:r>
      <w:r w:rsidR="00B2012D">
        <w:t xml:space="preserve">health technologies that are in the scope of the terms of reference for the </w:t>
      </w:r>
      <w:r w:rsidR="00E24663">
        <w:rPr>
          <w:rFonts w:ascii="Calibri" w:eastAsia="Calibri" w:hAnsi="Calibri" w:cs="Calibri"/>
        </w:rPr>
        <w:t>Health Technology Assessment (HTA) Policy and Methods Review (HTA Review).</w:t>
      </w:r>
    </w:p>
    <w:p w14:paraId="0645646A" w14:textId="3B3DD178" w:rsidR="00730309" w:rsidRDefault="00730309" w:rsidP="00334D1D">
      <w:pPr>
        <w:rPr>
          <w:rFonts w:ascii="Calibri" w:eastAsia="Calibri" w:hAnsi="Calibri" w:cs="Calibri"/>
        </w:rPr>
      </w:pPr>
      <w:r>
        <w:rPr>
          <w:rFonts w:ascii="Calibri" w:eastAsia="Calibri" w:hAnsi="Calibri" w:cs="Calibri"/>
        </w:rPr>
        <w:t xml:space="preserve">The technologies in scope for the HTA Review </w:t>
      </w:r>
      <w:r w:rsidR="003A3AC3">
        <w:rPr>
          <w:rFonts w:ascii="Calibri" w:eastAsia="Calibri" w:hAnsi="Calibri" w:cs="Calibri"/>
        </w:rPr>
        <w:t xml:space="preserve">as </w:t>
      </w:r>
      <w:r>
        <w:rPr>
          <w:rFonts w:ascii="Calibri" w:eastAsia="Calibri" w:hAnsi="Calibri" w:cs="Calibri"/>
        </w:rPr>
        <w:t>identified in the terms of reference</w:t>
      </w:r>
      <w:r>
        <w:rPr>
          <w:rStyle w:val="FootnoteReference"/>
          <w:rFonts w:ascii="Calibri" w:eastAsia="Calibri" w:hAnsi="Calibri" w:cs="Calibri"/>
        </w:rPr>
        <w:footnoteReference w:id="2"/>
      </w:r>
      <w:r>
        <w:rPr>
          <w:rFonts w:ascii="Calibri" w:eastAsia="Calibri" w:hAnsi="Calibri" w:cs="Calibri"/>
        </w:rPr>
        <w:t xml:space="preserve"> are as follows: </w:t>
      </w:r>
    </w:p>
    <w:p w14:paraId="2F29F509" w14:textId="01009DA5" w:rsidR="00730309" w:rsidRDefault="00730309" w:rsidP="00651D54">
      <w:pPr>
        <w:pStyle w:val="ListParagraph"/>
        <w:numPr>
          <w:ilvl w:val="0"/>
          <w:numId w:val="39"/>
        </w:numPr>
        <w:spacing w:before="0" w:after="160" w:line="256" w:lineRule="auto"/>
        <w:rPr>
          <w:rFonts w:cs="Arial"/>
          <w:szCs w:val="20"/>
        </w:rPr>
      </w:pPr>
      <w:r>
        <w:rPr>
          <w:rFonts w:cs="Arial"/>
          <w:szCs w:val="20"/>
        </w:rPr>
        <w:t>all medicines and vaccines</w:t>
      </w:r>
    </w:p>
    <w:p w14:paraId="204E9174" w14:textId="77777777" w:rsidR="003D72CF" w:rsidRPr="003D72CF" w:rsidRDefault="00730309" w:rsidP="00651D54">
      <w:pPr>
        <w:pStyle w:val="ListParagraph"/>
        <w:numPr>
          <w:ilvl w:val="0"/>
          <w:numId w:val="39"/>
        </w:numPr>
        <w:spacing w:before="0" w:after="160" w:line="256" w:lineRule="auto"/>
        <w:rPr>
          <w:rFonts w:cs="Arial"/>
          <w:szCs w:val="20"/>
        </w:rPr>
      </w:pPr>
      <w:r w:rsidRPr="003D72CF">
        <w:rPr>
          <w:rFonts w:cs="Arial"/>
          <w:szCs w:val="20"/>
        </w:rPr>
        <w:t>highly specialised therapies (</w:t>
      </w:r>
      <w:r w:rsidR="003D72CF" w:rsidRPr="003D72CF">
        <w:rPr>
          <w:rFonts w:cs="Arial"/>
          <w:szCs w:val="20"/>
        </w:rPr>
        <w:t>such as cell and gene therapies)</w:t>
      </w:r>
      <w:r w:rsidR="003D72CF" w:rsidRPr="003D72CF">
        <w:rPr>
          <w:rFonts w:ascii="Times New Roman" w:hAnsi="Times New Roman" w:cs="Times New Roman"/>
          <w:sz w:val="24"/>
          <w:szCs w:val="24"/>
          <w:lang w:eastAsia="en-AU"/>
        </w:rPr>
        <w:t xml:space="preserve"> </w:t>
      </w:r>
    </w:p>
    <w:p w14:paraId="5812529B" w14:textId="005507BF" w:rsidR="00730309" w:rsidRDefault="00730309" w:rsidP="00651D54">
      <w:pPr>
        <w:pStyle w:val="ListParagraph"/>
        <w:numPr>
          <w:ilvl w:val="0"/>
          <w:numId w:val="39"/>
        </w:numPr>
        <w:spacing w:before="0" w:after="160" w:line="256" w:lineRule="auto"/>
        <w:rPr>
          <w:rFonts w:cs="Arial"/>
          <w:szCs w:val="20"/>
        </w:rPr>
      </w:pPr>
      <w:r>
        <w:rPr>
          <w:rFonts w:ascii="Calibri" w:hAnsi="Calibri" w:cs="Calibri"/>
          <w:szCs w:val="24"/>
        </w:rPr>
        <w:t>other health technologies (for example a pathology test or an imaging technology) that improve health outcomes associated with</w:t>
      </w:r>
      <w:r>
        <w:t xml:space="preserve"> </w:t>
      </w:r>
      <w:r>
        <w:rPr>
          <w:rFonts w:ascii="Calibri" w:hAnsi="Calibri" w:cs="Calibri"/>
          <w:szCs w:val="24"/>
        </w:rPr>
        <w:t>the technologies defined in points 1 and 2</w:t>
      </w:r>
      <w:r w:rsidR="00B34DBE">
        <w:rPr>
          <w:rFonts w:ascii="Calibri" w:hAnsi="Calibri" w:cs="Calibri"/>
          <w:szCs w:val="24"/>
        </w:rPr>
        <w:t>, and</w:t>
      </w:r>
    </w:p>
    <w:p w14:paraId="51F7E38B" w14:textId="21D6E0E2" w:rsidR="00730309" w:rsidRDefault="00730309" w:rsidP="00651D54">
      <w:pPr>
        <w:pStyle w:val="ListParagraph"/>
        <w:numPr>
          <w:ilvl w:val="0"/>
          <w:numId w:val="39"/>
        </w:numPr>
        <w:spacing w:before="0" w:after="160" w:line="256" w:lineRule="auto"/>
        <w:rPr>
          <w:rFonts w:cs="Arial"/>
          <w:szCs w:val="20"/>
        </w:rPr>
      </w:pPr>
      <w:r>
        <w:rPr>
          <w:rFonts w:cs="Arial"/>
          <w:szCs w:val="20"/>
        </w:rPr>
        <w:t>foreseeable changes in healthcare that may influence the need, accessibility, effectiveness or cost-effectiveness of new health technologies.</w:t>
      </w:r>
    </w:p>
    <w:p w14:paraId="006D8BE2" w14:textId="53D89CCC" w:rsidR="00613378" w:rsidRDefault="00F44FE7" w:rsidP="00334D1D">
      <w:pPr>
        <w:spacing w:before="0" w:after="160"/>
        <w:rPr>
          <w:rFonts w:cs="Arial"/>
          <w:szCs w:val="20"/>
        </w:rPr>
      </w:pPr>
      <w:r>
        <w:rPr>
          <w:rFonts w:cs="Arial"/>
          <w:szCs w:val="20"/>
        </w:rPr>
        <w:t>T</w:t>
      </w:r>
      <w:r w:rsidR="004B38C1">
        <w:rPr>
          <w:rFonts w:cs="Arial"/>
          <w:szCs w:val="20"/>
        </w:rPr>
        <w:t xml:space="preserve">his paper details assessment </w:t>
      </w:r>
      <w:r w:rsidR="00775757">
        <w:rPr>
          <w:rFonts w:cs="Arial"/>
          <w:szCs w:val="20"/>
        </w:rPr>
        <w:t>pathways</w:t>
      </w:r>
      <w:r w:rsidR="004B38C1">
        <w:rPr>
          <w:rFonts w:cs="Arial"/>
          <w:szCs w:val="20"/>
        </w:rPr>
        <w:t xml:space="preserve"> for the </w:t>
      </w:r>
      <w:r w:rsidR="003E7175">
        <w:rPr>
          <w:rFonts w:cs="Arial"/>
          <w:szCs w:val="20"/>
        </w:rPr>
        <w:t>health technologies funded through the following schemes</w:t>
      </w:r>
      <w:r w:rsidR="00F91458">
        <w:rPr>
          <w:rFonts w:cs="Arial"/>
          <w:szCs w:val="20"/>
        </w:rPr>
        <w:t xml:space="preserve"> and </w:t>
      </w:r>
      <w:r w:rsidR="00D45B12">
        <w:rPr>
          <w:rFonts w:cs="Arial"/>
          <w:szCs w:val="20"/>
        </w:rPr>
        <w:t>arrangements</w:t>
      </w:r>
      <w:r w:rsidR="003E7175">
        <w:rPr>
          <w:rFonts w:cs="Arial"/>
          <w:szCs w:val="20"/>
        </w:rPr>
        <w:t xml:space="preserve">: </w:t>
      </w:r>
    </w:p>
    <w:p w14:paraId="36DBDAAA" w14:textId="02F13431" w:rsidR="003E7175" w:rsidRDefault="003E7175" w:rsidP="00651D54">
      <w:pPr>
        <w:pStyle w:val="ListParagraph"/>
        <w:numPr>
          <w:ilvl w:val="0"/>
          <w:numId w:val="16"/>
        </w:numPr>
        <w:spacing w:before="0" w:after="160"/>
        <w:rPr>
          <w:rFonts w:cs="Arial"/>
          <w:szCs w:val="20"/>
        </w:rPr>
      </w:pPr>
      <w:r>
        <w:rPr>
          <w:rFonts w:cs="Arial"/>
          <w:szCs w:val="20"/>
        </w:rPr>
        <w:t>Pharmaceutical Benefits Scheme (PBS)</w:t>
      </w:r>
    </w:p>
    <w:p w14:paraId="7D4C6F9C" w14:textId="30A38B67" w:rsidR="004A782E" w:rsidRDefault="004A782E" w:rsidP="00651D54">
      <w:pPr>
        <w:pStyle w:val="ListParagraph"/>
        <w:numPr>
          <w:ilvl w:val="0"/>
          <w:numId w:val="16"/>
        </w:numPr>
        <w:spacing w:before="0" w:after="160"/>
        <w:rPr>
          <w:rFonts w:cs="Arial"/>
          <w:szCs w:val="20"/>
        </w:rPr>
      </w:pPr>
      <w:r>
        <w:rPr>
          <w:rFonts w:cs="Arial"/>
          <w:szCs w:val="20"/>
        </w:rPr>
        <w:t>National Immunisation Program</w:t>
      </w:r>
      <w:r w:rsidR="00014F4C">
        <w:rPr>
          <w:rFonts w:cs="Arial"/>
          <w:szCs w:val="20"/>
        </w:rPr>
        <w:t xml:space="preserve"> (NIP)</w:t>
      </w:r>
    </w:p>
    <w:p w14:paraId="5F840B7F" w14:textId="266BFBA2" w:rsidR="003E7175" w:rsidRPr="004A782E" w:rsidRDefault="003E7175" w:rsidP="00651D54">
      <w:pPr>
        <w:pStyle w:val="ListParagraph"/>
        <w:numPr>
          <w:ilvl w:val="0"/>
          <w:numId w:val="16"/>
        </w:numPr>
        <w:spacing w:before="0" w:after="160"/>
        <w:rPr>
          <w:rFonts w:cs="Arial"/>
          <w:szCs w:val="20"/>
        </w:rPr>
      </w:pPr>
      <w:r>
        <w:rPr>
          <w:rFonts w:cs="Arial"/>
          <w:szCs w:val="20"/>
        </w:rPr>
        <w:t>Life Saving Drugs Program (LSDP)</w:t>
      </w:r>
    </w:p>
    <w:p w14:paraId="788FB540" w14:textId="4A12B689" w:rsidR="004A782E" w:rsidRDefault="004A782E" w:rsidP="00651D54">
      <w:pPr>
        <w:pStyle w:val="ListParagraph"/>
        <w:numPr>
          <w:ilvl w:val="0"/>
          <w:numId w:val="16"/>
        </w:numPr>
        <w:spacing w:before="0" w:after="160"/>
        <w:rPr>
          <w:rFonts w:cs="Arial"/>
          <w:szCs w:val="20"/>
        </w:rPr>
      </w:pPr>
      <w:r>
        <w:rPr>
          <w:rFonts w:cs="Arial"/>
          <w:szCs w:val="20"/>
        </w:rPr>
        <w:t xml:space="preserve">Medicare Benefits Schedule (MBS) </w:t>
      </w:r>
    </w:p>
    <w:p w14:paraId="315F0A12" w14:textId="084F91C8" w:rsidR="004A782E" w:rsidRPr="00426CDB" w:rsidRDefault="00426CDB" w:rsidP="00651D54">
      <w:pPr>
        <w:pStyle w:val="ListParagraph"/>
        <w:numPr>
          <w:ilvl w:val="0"/>
          <w:numId w:val="16"/>
        </w:numPr>
        <w:spacing w:before="0" w:line="240" w:lineRule="auto"/>
        <w:rPr>
          <w:rFonts w:ascii="Times New Roman" w:hAnsi="Times New Roman" w:cs="Times New Roman"/>
          <w:sz w:val="24"/>
          <w:szCs w:val="24"/>
          <w:lang w:eastAsia="en-AU"/>
        </w:rPr>
      </w:pPr>
      <w:r w:rsidRPr="00426CDB">
        <w:rPr>
          <w:rFonts w:cs="Arial"/>
          <w:szCs w:val="20"/>
        </w:rPr>
        <w:t>PBS MBS</w:t>
      </w:r>
      <w:r w:rsidRPr="00426CDB">
        <w:rPr>
          <w:rFonts w:ascii="Times New Roman" w:hAnsi="Times New Roman" w:cs="Times New Roman"/>
          <w:sz w:val="24"/>
          <w:szCs w:val="24"/>
          <w:lang w:eastAsia="en-AU"/>
        </w:rPr>
        <w:t xml:space="preserve"> </w:t>
      </w:r>
      <w:r w:rsidR="004A782E" w:rsidRPr="00426CDB">
        <w:rPr>
          <w:rFonts w:cs="Arial"/>
          <w:szCs w:val="20"/>
        </w:rPr>
        <w:t>codependent technologies</w:t>
      </w:r>
    </w:p>
    <w:p w14:paraId="0227104A" w14:textId="10675D37" w:rsidR="00155F06" w:rsidRDefault="00F91458" w:rsidP="00651D54">
      <w:pPr>
        <w:pStyle w:val="ListParagraph"/>
        <w:numPr>
          <w:ilvl w:val="0"/>
          <w:numId w:val="16"/>
        </w:numPr>
        <w:spacing w:before="0" w:after="160"/>
        <w:rPr>
          <w:rFonts w:cs="Arial"/>
          <w:szCs w:val="20"/>
        </w:rPr>
      </w:pPr>
      <w:r>
        <w:rPr>
          <w:rFonts w:cs="Arial"/>
          <w:szCs w:val="20"/>
        </w:rPr>
        <w:t>National Health Reform Agreement</w:t>
      </w:r>
      <w:r w:rsidR="00166846">
        <w:rPr>
          <w:rFonts w:cs="Arial"/>
          <w:szCs w:val="20"/>
        </w:rPr>
        <w:t xml:space="preserve"> (NHRA)</w:t>
      </w:r>
      <w:r>
        <w:rPr>
          <w:rFonts w:cs="Arial"/>
          <w:szCs w:val="20"/>
        </w:rPr>
        <w:t xml:space="preserve"> </w:t>
      </w:r>
      <w:r w:rsidR="00426CDB">
        <w:rPr>
          <w:rFonts w:cs="Arial"/>
          <w:szCs w:val="20"/>
        </w:rPr>
        <w:t xml:space="preserve">addendum </w:t>
      </w:r>
      <w:r w:rsidR="00D45B12">
        <w:rPr>
          <w:rFonts w:cs="Arial"/>
          <w:szCs w:val="20"/>
        </w:rPr>
        <w:t>2020</w:t>
      </w:r>
      <w:r w:rsidR="00D86721">
        <w:rPr>
          <w:rFonts w:cs="Arial"/>
          <w:szCs w:val="20"/>
        </w:rPr>
        <w:t>–</w:t>
      </w:r>
      <w:r w:rsidR="00D45B12">
        <w:rPr>
          <w:rFonts w:cs="Arial"/>
          <w:szCs w:val="20"/>
        </w:rPr>
        <w:t xml:space="preserve">25 </w:t>
      </w:r>
      <w:r w:rsidR="00CC7714">
        <w:rPr>
          <w:rFonts w:cs="Arial"/>
          <w:szCs w:val="20"/>
        </w:rPr>
        <w:t xml:space="preserve">High cost, </w:t>
      </w:r>
      <w:r w:rsidR="002D538B">
        <w:rPr>
          <w:rFonts w:cs="Arial"/>
          <w:szCs w:val="20"/>
        </w:rPr>
        <w:t>Highly Specialised Therapies (HST) arrangements</w:t>
      </w:r>
      <w:r w:rsidR="006A1C5E">
        <w:rPr>
          <w:rFonts w:cs="Arial"/>
          <w:szCs w:val="20"/>
        </w:rPr>
        <w:t>, and</w:t>
      </w:r>
    </w:p>
    <w:p w14:paraId="5DC0A544" w14:textId="72CFA78B" w:rsidR="006B540F" w:rsidRDefault="006B540F" w:rsidP="00651D54">
      <w:pPr>
        <w:pStyle w:val="ListParagraph"/>
        <w:numPr>
          <w:ilvl w:val="0"/>
          <w:numId w:val="16"/>
        </w:numPr>
        <w:spacing w:before="0" w:after="160"/>
        <w:rPr>
          <w:rFonts w:cs="Arial"/>
          <w:szCs w:val="20"/>
        </w:rPr>
      </w:pPr>
      <w:r>
        <w:rPr>
          <w:rFonts w:cs="Arial"/>
          <w:szCs w:val="20"/>
        </w:rPr>
        <w:t>National Blood Arrangements</w:t>
      </w:r>
      <w:r w:rsidR="00C64033">
        <w:rPr>
          <w:rFonts w:cs="Arial"/>
          <w:szCs w:val="20"/>
        </w:rPr>
        <w:t xml:space="preserve"> (NBA)</w:t>
      </w:r>
    </w:p>
    <w:p w14:paraId="17FDEDD8" w14:textId="26988B22" w:rsidR="002D538B" w:rsidRDefault="002D538B" w:rsidP="00334D1D">
      <w:pPr>
        <w:spacing w:before="0" w:after="160"/>
        <w:rPr>
          <w:rFonts w:cs="Arial"/>
          <w:szCs w:val="20"/>
        </w:rPr>
      </w:pPr>
      <w:r w:rsidRPr="002D538B">
        <w:rPr>
          <w:rFonts w:cs="Arial"/>
          <w:szCs w:val="20"/>
        </w:rPr>
        <w:t xml:space="preserve">This paper details the steps necessary for health technologies to gain market authorisation and </w:t>
      </w:r>
      <w:r w:rsidR="0029642C">
        <w:rPr>
          <w:rFonts w:cs="Arial"/>
          <w:szCs w:val="20"/>
        </w:rPr>
        <w:t xml:space="preserve">then </w:t>
      </w:r>
      <w:r w:rsidRPr="002D538B">
        <w:rPr>
          <w:rFonts w:cs="Arial"/>
          <w:szCs w:val="20"/>
        </w:rPr>
        <w:t xml:space="preserve">funding </w:t>
      </w:r>
      <w:r>
        <w:rPr>
          <w:rFonts w:cs="Arial"/>
          <w:szCs w:val="20"/>
        </w:rPr>
        <w:t>under the above schemes</w:t>
      </w:r>
      <w:r w:rsidRPr="002D538B">
        <w:rPr>
          <w:rFonts w:cs="Arial"/>
          <w:szCs w:val="20"/>
        </w:rPr>
        <w:t xml:space="preserve">, timeframes for each of the steps and relevant recent examples of technologies that have </w:t>
      </w:r>
      <w:r w:rsidR="005369D5">
        <w:rPr>
          <w:rFonts w:cs="Arial"/>
          <w:szCs w:val="20"/>
        </w:rPr>
        <w:t>been funded or subsidised in Australia</w:t>
      </w:r>
      <w:r w:rsidRPr="002D538B">
        <w:rPr>
          <w:rFonts w:cs="Arial"/>
          <w:szCs w:val="20"/>
        </w:rPr>
        <w:t xml:space="preserve">. </w:t>
      </w:r>
      <w:r w:rsidR="003A2844">
        <w:rPr>
          <w:rFonts w:cs="Arial"/>
          <w:szCs w:val="20"/>
        </w:rPr>
        <w:t>This paper also provides an overview of feedback from stakeholders</w:t>
      </w:r>
      <w:r w:rsidR="00AE185E">
        <w:rPr>
          <w:rFonts w:cs="Arial"/>
          <w:szCs w:val="20"/>
        </w:rPr>
        <w:t xml:space="preserve"> specific to the different pathways</w:t>
      </w:r>
      <w:r w:rsidR="003A2844">
        <w:rPr>
          <w:rFonts w:cs="Arial"/>
          <w:szCs w:val="20"/>
        </w:rPr>
        <w:t xml:space="preserve"> heard through the Standing Committee on Health, Aged Care, and Sport (Standing Committee) Inquiry into approval processes for new drugs and novel medical technologies</w:t>
      </w:r>
      <w:r w:rsidR="009D4400">
        <w:rPr>
          <w:rFonts w:cs="Arial"/>
          <w:szCs w:val="20"/>
        </w:rPr>
        <w:t xml:space="preserve"> (Inquiry)</w:t>
      </w:r>
      <w:r w:rsidR="003A2844">
        <w:rPr>
          <w:rFonts w:cs="Arial"/>
          <w:szCs w:val="20"/>
        </w:rPr>
        <w:t xml:space="preserve">. </w:t>
      </w:r>
    </w:p>
    <w:p w14:paraId="4C30560C" w14:textId="371EAEDF" w:rsidR="00775757" w:rsidRPr="002D538B" w:rsidRDefault="00775757" w:rsidP="00334D1D">
      <w:pPr>
        <w:spacing w:before="0" w:after="160"/>
        <w:rPr>
          <w:rFonts w:cs="Arial"/>
          <w:szCs w:val="20"/>
        </w:rPr>
      </w:pPr>
      <w:r>
        <w:rPr>
          <w:rFonts w:cs="Arial"/>
          <w:szCs w:val="20"/>
        </w:rPr>
        <w:t>This paper does not consider in detail the methodologies that are used to assess health technologies</w:t>
      </w:r>
      <w:r w:rsidR="003A2844">
        <w:rPr>
          <w:rFonts w:cs="Arial"/>
          <w:szCs w:val="20"/>
        </w:rPr>
        <w:t>, or issues raised about them through the Inquiry,</w:t>
      </w:r>
      <w:r>
        <w:rPr>
          <w:rFonts w:cs="Arial"/>
          <w:szCs w:val="20"/>
        </w:rPr>
        <w:t xml:space="preserve"> or funding and assessment pathways used outside of Australia. These </w:t>
      </w:r>
      <w:r w:rsidR="00310154">
        <w:rPr>
          <w:rFonts w:cs="Arial"/>
          <w:szCs w:val="20"/>
        </w:rPr>
        <w:t>matters</w:t>
      </w:r>
      <w:r w:rsidDel="00E97BFE">
        <w:rPr>
          <w:rFonts w:cs="Arial"/>
          <w:szCs w:val="20"/>
        </w:rPr>
        <w:t xml:space="preserve"> </w:t>
      </w:r>
      <w:r w:rsidR="00E97BFE">
        <w:rPr>
          <w:rFonts w:cs="Arial"/>
          <w:szCs w:val="20"/>
        </w:rPr>
        <w:t>have been</w:t>
      </w:r>
      <w:r w:rsidR="00810719">
        <w:rPr>
          <w:rFonts w:cs="Arial"/>
          <w:szCs w:val="20"/>
        </w:rPr>
        <w:t xml:space="preserve"> </w:t>
      </w:r>
      <w:r>
        <w:rPr>
          <w:rFonts w:cs="Arial"/>
          <w:szCs w:val="20"/>
        </w:rPr>
        <w:t>considered</w:t>
      </w:r>
      <w:r w:rsidR="00A21D78">
        <w:rPr>
          <w:rFonts w:cs="Arial"/>
          <w:szCs w:val="20"/>
        </w:rPr>
        <w:t xml:space="preserve"> across</w:t>
      </w:r>
      <w:r w:rsidDel="00496F3B">
        <w:rPr>
          <w:rFonts w:cs="Arial"/>
          <w:szCs w:val="20"/>
        </w:rPr>
        <w:t xml:space="preserve"> </w:t>
      </w:r>
      <w:r w:rsidR="00615CB0">
        <w:rPr>
          <w:rFonts w:cs="Arial"/>
          <w:szCs w:val="20"/>
        </w:rPr>
        <w:t xml:space="preserve">other </w:t>
      </w:r>
      <w:r>
        <w:rPr>
          <w:rFonts w:cs="Arial"/>
          <w:szCs w:val="20"/>
        </w:rPr>
        <w:t>papers</w:t>
      </w:r>
      <w:r w:rsidR="009E1292">
        <w:rPr>
          <w:rFonts w:cs="Arial"/>
          <w:szCs w:val="20"/>
        </w:rPr>
        <w:t xml:space="preserve"> </w:t>
      </w:r>
      <w:r w:rsidR="005F4ADA">
        <w:rPr>
          <w:rFonts w:cs="Arial"/>
          <w:szCs w:val="20"/>
        </w:rPr>
        <w:t>developed to</w:t>
      </w:r>
      <w:r w:rsidR="00615CB0">
        <w:rPr>
          <w:rFonts w:cs="Arial"/>
          <w:szCs w:val="20"/>
        </w:rPr>
        <w:t xml:space="preserve"> inform </w:t>
      </w:r>
      <w:r>
        <w:rPr>
          <w:rFonts w:cs="Arial"/>
          <w:szCs w:val="20"/>
        </w:rPr>
        <w:t>the HTA Review.</w:t>
      </w:r>
    </w:p>
    <w:p w14:paraId="4C9CED77" w14:textId="0EE45B10" w:rsidR="003669DC" w:rsidRDefault="00F73560" w:rsidP="00334D1D">
      <w:pPr>
        <w:pStyle w:val="Heading2"/>
      </w:pPr>
      <w:bookmarkStart w:id="2" w:name="_Toc156576942"/>
      <w:r>
        <w:t>Overview of the</w:t>
      </w:r>
      <w:r w:rsidR="00411DBF">
        <w:t xml:space="preserve"> </w:t>
      </w:r>
      <w:r>
        <w:t>p</w:t>
      </w:r>
      <w:r w:rsidR="00C51D22">
        <w:t>athway</w:t>
      </w:r>
      <w:r>
        <w:t xml:space="preserve"> from development</w:t>
      </w:r>
      <w:r w:rsidR="00C51D22">
        <w:t xml:space="preserve"> to public funding</w:t>
      </w:r>
      <w:bookmarkEnd w:id="2"/>
    </w:p>
    <w:p w14:paraId="708A5F24" w14:textId="73E87A3F" w:rsidR="00B51E57" w:rsidRDefault="00B51E57" w:rsidP="00334D1D">
      <w:pPr>
        <w:spacing w:before="0" w:after="160"/>
        <w:rPr>
          <w:rFonts w:cs="Arial"/>
          <w:szCs w:val="20"/>
        </w:rPr>
      </w:pPr>
      <w:r>
        <w:rPr>
          <w:rFonts w:cs="Arial"/>
          <w:szCs w:val="20"/>
        </w:rPr>
        <w:t xml:space="preserve">Once a new health technology is developed, clinical and non-clinical studies need to be undertaken to establish that it is safe and effective. Once these studies are sufficiently progressed, the companies that supply these technologies </w:t>
      </w:r>
      <w:r w:rsidR="00F73560">
        <w:rPr>
          <w:rFonts w:cs="Arial"/>
          <w:szCs w:val="20"/>
        </w:rPr>
        <w:t>will make decisions to seek</w:t>
      </w:r>
      <w:r>
        <w:rPr>
          <w:rFonts w:cs="Arial"/>
          <w:szCs w:val="20"/>
        </w:rPr>
        <w:t xml:space="preserve"> market authorisation and public funding</w:t>
      </w:r>
      <w:r w:rsidR="00243A64">
        <w:rPr>
          <w:rFonts w:cs="Arial"/>
          <w:szCs w:val="20"/>
        </w:rPr>
        <w:t xml:space="preserve"> in the countries that they would like to supply the health technology in. </w:t>
      </w:r>
    </w:p>
    <w:p w14:paraId="31A6CF85" w14:textId="0028E7E0" w:rsidR="00DA7776" w:rsidRDefault="00B51E57" w:rsidP="00334D1D">
      <w:pPr>
        <w:spacing w:before="0" w:after="160"/>
        <w:rPr>
          <w:rFonts w:cs="Arial"/>
          <w:szCs w:val="20"/>
        </w:rPr>
      </w:pPr>
      <w:r>
        <w:rPr>
          <w:rFonts w:cs="Arial"/>
          <w:szCs w:val="20"/>
        </w:rPr>
        <w:lastRenderedPageBreak/>
        <w:t>Before health technologies</w:t>
      </w:r>
      <w:r w:rsidR="00441BE2">
        <w:rPr>
          <w:rFonts w:cs="Arial"/>
          <w:szCs w:val="20"/>
        </w:rPr>
        <w:t xml:space="preserve"> can be made</w:t>
      </w:r>
      <w:r w:rsidDel="00024DC1">
        <w:rPr>
          <w:rFonts w:cs="Arial"/>
          <w:szCs w:val="20"/>
        </w:rPr>
        <w:t xml:space="preserve"> </w:t>
      </w:r>
      <w:r>
        <w:rPr>
          <w:rFonts w:cs="Arial"/>
          <w:szCs w:val="20"/>
        </w:rPr>
        <w:t xml:space="preserve">broadly accessible to Australians, </w:t>
      </w:r>
      <w:r w:rsidR="005F33AE">
        <w:rPr>
          <w:rFonts w:cs="Arial"/>
          <w:szCs w:val="20"/>
        </w:rPr>
        <w:t>companies are</w:t>
      </w:r>
      <w:r w:rsidR="00166846" w:rsidRPr="00DA7776">
        <w:rPr>
          <w:rFonts w:cs="Arial"/>
          <w:szCs w:val="20"/>
        </w:rPr>
        <w:t xml:space="preserve"> usually require</w:t>
      </w:r>
      <w:r w:rsidR="005F33AE">
        <w:rPr>
          <w:rFonts w:cs="Arial"/>
          <w:szCs w:val="20"/>
        </w:rPr>
        <w:t>d to seek</w:t>
      </w:r>
      <w:r w:rsidR="00C91850" w:rsidRPr="00DA7776">
        <w:rPr>
          <w:rFonts w:cs="Arial"/>
          <w:szCs w:val="20"/>
        </w:rPr>
        <w:t xml:space="preserve"> a</w:t>
      </w:r>
      <w:r>
        <w:rPr>
          <w:rFonts w:cs="Arial"/>
          <w:szCs w:val="20"/>
        </w:rPr>
        <w:t>uthorisation from</w:t>
      </w:r>
      <w:r w:rsidR="00C91850" w:rsidRPr="00DA7776">
        <w:rPr>
          <w:rFonts w:cs="Arial"/>
          <w:szCs w:val="20"/>
        </w:rPr>
        <w:t xml:space="preserve"> the Therapeutic Goods Administration (TGA) </w:t>
      </w:r>
      <w:r w:rsidR="00523EDA">
        <w:rPr>
          <w:rFonts w:cs="Arial"/>
          <w:szCs w:val="20"/>
        </w:rPr>
        <w:t xml:space="preserve">for them </w:t>
      </w:r>
      <w:r w:rsidR="00C91850" w:rsidRPr="00DA7776">
        <w:rPr>
          <w:rFonts w:cs="Arial"/>
          <w:szCs w:val="20"/>
        </w:rPr>
        <w:t>to be marke</w:t>
      </w:r>
      <w:r>
        <w:rPr>
          <w:rFonts w:cs="Arial"/>
          <w:szCs w:val="20"/>
        </w:rPr>
        <w:t>ted,</w:t>
      </w:r>
      <w:r w:rsidR="003B708B" w:rsidRPr="00DA7776">
        <w:rPr>
          <w:rFonts w:cs="Arial"/>
          <w:szCs w:val="20"/>
        </w:rPr>
        <w:t xml:space="preserve"> and approv</w:t>
      </w:r>
      <w:r>
        <w:rPr>
          <w:rFonts w:cs="Arial"/>
          <w:szCs w:val="20"/>
        </w:rPr>
        <w:t>al of</w:t>
      </w:r>
      <w:r w:rsidR="003B708B" w:rsidRPr="00DA7776">
        <w:rPr>
          <w:rFonts w:cs="Arial"/>
          <w:szCs w:val="20"/>
        </w:rPr>
        <w:t xml:space="preserve"> funding </w:t>
      </w:r>
      <w:r w:rsidR="00D26A35" w:rsidRPr="00DA7776">
        <w:rPr>
          <w:rFonts w:cs="Arial"/>
          <w:szCs w:val="20"/>
        </w:rPr>
        <w:t>through one of Australia’s subsidy or funding schemes</w:t>
      </w:r>
      <w:r w:rsidR="00C30A49" w:rsidRPr="00DA7776">
        <w:rPr>
          <w:rFonts w:cs="Arial"/>
          <w:szCs w:val="20"/>
        </w:rPr>
        <w:t>, or under state and territory funding arrangement</w:t>
      </w:r>
      <w:r>
        <w:rPr>
          <w:rFonts w:cs="Arial"/>
          <w:szCs w:val="20"/>
        </w:rPr>
        <w:t>s</w:t>
      </w:r>
      <w:r w:rsidR="0070309C" w:rsidRPr="00DA7776">
        <w:rPr>
          <w:rFonts w:cs="Arial"/>
          <w:szCs w:val="20"/>
        </w:rPr>
        <w:t xml:space="preserve">. </w:t>
      </w:r>
      <w:r w:rsidR="00DD7ABB" w:rsidRPr="00DA7776">
        <w:rPr>
          <w:rFonts w:cs="Arial"/>
          <w:szCs w:val="20"/>
        </w:rPr>
        <w:t>Manufacturers</w:t>
      </w:r>
      <w:r w:rsidR="00DA7776">
        <w:rPr>
          <w:rFonts w:cs="Arial"/>
          <w:szCs w:val="20"/>
        </w:rPr>
        <w:t xml:space="preserve"> or suppliers</w:t>
      </w:r>
      <w:r w:rsidR="00DD7ABB" w:rsidRPr="00DA7776">
        <w:rPr>
          <w:rFonts w:cs="Arial"/>
          <w:szCs w:val="20"/>
        </w:rPr>
        <w:t xml:space="preserve"> of health technologies are responsible for making applications for market authorisation and funding </w:t>
      </w:r>
      <w:r w:rsidR="00243A64">
        <w:rPr>
          <w:rFonts w:cs="Arial"/>
          <w:szCs w:val="20"/>
        </w:rPr>
        <w:t>as they hold</w:t>
      </w:r>
      <w:r w:rsidR="00DD7ABB" w:rsidRPr="00DA7776">
        <w:rPr>
          <w:rFonts w:cs="Arial"/>
          <w:szCs w:val="20"/>
        </w:rPr>
        <w:t xml:space="preserve"> </w:t>
      </w:r>
      <w:r w:rsidR="00730309" w:rsidRPr="00DA7776">
        <w:rPr>
          <w:rFonts w:cs="Arial"/>
          <w:szCs w:val="20"/>
        </w:rPr>
        <w:t xml:space="preserve">the </w:t>
      </w:r>
      <w:r w:rsidR="00DD7ABB" w:rsidRPr="00DA7776">
        <w:rPr>
          <w:rFonts w:cs="Arial"/>
          <w:szCs w:val="20"/>
        </w:rPr>
        <w:t xml:space="preserve">information that is necessary to support these </w:t>
      </w:r>
      <w:r w:rsidR="003C59FF">
        <w:rPr>
          <w:rFonts w:cs="Arial"/>
          <w:szCs w:val="20"/>
        </w:rPr>
        <w:t>decisions</w:t>
      </w:r>
      <w:r w:rsidR="00166846" w:rsidRPr="00DA7776">
        <w:rPr>
          <w:rFonts w:cs="Arial"/>
          <w:szCs w:val="20"/>
        </w:rPr>
        <w:t xml:space="preserve"> (such as </w:t>
      </w:r>
      <w:r w:rsidR="005269E8" w:rsidRPr="00DA7776">
        <w:rPr>
          <w:rFonts w:cs="Arial"/>
          <w:szCs w:val="20"/>
        </w:rPr>
        <w:t>information from clinical and non-clinical studies)</w:t>
      </w:r>
      <w:r w:rsidR="00DD7ABB" w:rsidRPr="00DA7776">
        <w:rPr>
          <w:rFonts w:cs="Arial"/>
          <w:szCs w:val="20"/>
        </w:rPr>
        <w:t xml:space="preserve">. </w:t>
      </w:r>
      <w:r w:rsidR="005973A7">
        <w:rPr>
          <w:rFonts w:cs="Arial"/>
          <w:szCs w:val="20"/>
        </w:rPr>
        <w:t xml:space="preserve">Applications for market authorisation are assessed by the TGA. Applications for public funding of health technologies are assessed by advisory bodies such as the Pharmaceutical Benefits Advisory Committee (PBAC) and </w:t>
      </w:r>
      <w:r w:rsidR="006F1B02">
        <w:rPr>
          <w:rFonts w:cs="Arial"/>
          <w:szCs w:val="20"/>
        </w:rPr>
        <w:t xml:space="preserve">the </w:t>
      </w:r>
      <w:r w:rsidR="005973A7">
        <w:rPr>
          <w:rFonts w:cs="Arial"/>
          <w:szCs w:val="20"/>
        </w:rPr>
        <w:t xml:space="preserve">Medical Services Advisory Committee (MSAC) or state and individual hospital HTA </w:t>
      </w:r>
      <w:r w:rsidR="00AC07FB">
        <w:rPr>
          <w:rFonts w:cs="Arial"/>
          <w:szCs w:val="20"/>
        </w:rPr>
        <w:t>bodies</w:t>
      </w:r>
      <w:r w:rsidR="005973A7">
        <w:rPr>
          <w:rFonts w:cs="Arial"/>
          <w:szCs w:val="20"/>
        </w:rPr>
        <w:t xml:space="preserve">. After health technologies are assessed, arrangements for funding need to be agreed between funders and companies (such as price, circumstances under which the health technology is funded, and management of risk) before funding can be made available to Australians.   </w:t>
      </w:r>
    </w:p>
    <w:p w14:paraId="60D05718" w14:textId="0F81AAEB" w:rsidR="00DA7776" w:rsidRDefault="00872DDA" w:rsidP="00334D1D">
      <w:pPr>
        <w:spacing w:before="0" w:after="160"/>
      </w:pPr>
      <w:r>
        <w:t xml:space="preserve">Responsibility for </w:t>
      </w:r>
      <w:r w:rsidR="00EC0DD7">
        <w:t xml:space="preserve">health </w:t>
      </w:r>
      <w:r>
        <w:t>funding is shared between the Commonwealth</w:t>
      </w:r>
      <w:r w:rsidR="002647E0">
        <w:t xml:space="preserve">, </w:t>
      </w:r>
      <w:r>
        <w:t xml:space="preserve">state and </w:t>
      </w:r>
      <w:r w:rsidR="00B368F3">
        <w:t xml:space="preserve">territory governments </w:t>
      </w:r>
      <w:r w:rsidR="003C59FF">
        <w:t>(Figure 2)</w:t>
      </w:r>
      <w:r>
        <w:t xml:space="preserve">. </w:t>
      </w:r>
      <w:r w:rsidR="00CD2EA0" w:rsidRPr="00CD2EA0">
        <w:t xml:space="preserve">The </w:t>
      </w:r>
      <w:r w:rsidR="00FA0508">
        <w:t>Australian</w:t>
      </w:r>
      <w:r w:rsidR="00FA0508" w:rsidRPr="00CD2EA0">
        <w:t xml:space="preserve"> </w:t>
      </w:r>
      <w:r w:rsidR="00FA0508">
        <w:t>G</w:t>
      </w:r>
      <w:r w:rsidR="00CD2EA0" w:rsidRPr="00CD2EA0">
        <w:t>overnment is directly responsible for funding medical services</w:t>
      </w:r>
      <w:r w:rsidR="00CD2EA0">
        <w:t xml:space="preserve"> that </w:t>
      </w:r>
      <w:r w:rsidR="00A82DF4">
        <w:t xml:space="preserve">are listed on the </w:t>
      </w:r>
      <w:r w:rsidR="00B37709">
        <w:t>MBS</w:t>
      </w:r>
      <w:r w:rsidR="00CD2EA0" w:rsidRPr="00CD2EA0">
        <w:t xml:space="preserve">, and </w:t>
      </w:r>
      <w:r w:rsidR="00A82DF4">
        <w:t xml:space="preserve">health technologies </w:t>
      </w:r>
      <w:r w:rsidR="0048160D">
        <w:t xml:space="preserve">that are </w:t>
      </w:r>
      <w:r w:rsidR="00A82DF4">
        <w:t>subsidised and funded through the</w:t>
      </w:r>
      <w:r w:rsidR="00CD2EA0" w:rsidRPr="00CD2EA0">
        <w:t xml:space="preserve"> PBS</w:t>
      </w:r>
      <w:r w:rsidR="00A82DF4">
        <w:t xml:space="preserve">, </w:t>
      </w:r>
      <w:r w:rsidR="00DB644F">
        <w:t>LSDP and NIP</w:t>
      </w:r>
      <w:r w:rsidR="003C59FF">
        <w:t xml:space="preserve"> (Figure 3)</w:t>
      </w:r>
      <w:r w:rsidR="00DB644F">
        <w:t>.</w:t>
      </w:r>
      <w:r w:rsidR="00C91850">
        <w:t xml:space="preserve"> </w:t>
      </w:r>
      <w:r w:rsidR="001552BA">
        <w:t>T</w:t>
      </w:r>
      <w:r w:rsidR="00C91850">
        <w:t>he Commonwealth</w:t>
      </w:r>
      <w:r w:rsidR="001552BA">
        <w:t>,</w:t>
      </w:r>
      <w:r w:rsidR="00C91850" w:rsidDel="001552BA">
        <w:t xml:space="preserve"> </w:t>
      </w:r>
      <w:r w:rsidR="0018618C">
        <w:t>s</w:t>
      </w:r>
      <w:r w:rsidR="00C91850">
        <w:t xml:space="preserve">tate and </w:t>
      </w:r>
      <w:r w:rsidR="00427069">
        <w:t xml:space="preserve">territory governments </w:t>
      </w:r>
      <w:r w:rsidR="00C91850">
        <w:t>are jointly responsible for funding</w:t>
      </w:r>
      <w:r w:rsidR="005269E8">
        <w:t xml:space="preserve"> public hospital </w:t>
      </w:r>
      <w:r w:rsidR="00F73560">
        <w:t>treatment</w:t>
      </w:r>
      <w:r w:rsidR="004F32BE">
        <w:t>s</w:t>
      </w:r>
      <w:r w:rsidR="005269E8">
        <w:t>, including</w:t>
      </w:r>
      <w:r w:rsidR="00F73560">
        <w:t xml:space="preserve"> treatment</w:t>
      </w:r>
      <w:r w:rsidR="003B63DB">
        <w:t>s</w:t>
      </w:r>
      <w:r w:rsidR="00F73560">
        <w:t xml:space="preserve"> with</w:t>
      </w:r>
      <w:r w:rsidR="005269E8">
        <w:t xml:space="preserve"> </w:t>
      </w:r>
      <w:r w:rsidR="003C59FF">
        <w:t xml:space="preserve">high cost </w:t>
      </w:r>
      <w:r w:rsidR="00C91850">
        <w:t>HST</w:t>
      </w:r>
      <w:r w:rsidR="005269E8">
        <w:t>s</w:t>
      </w:r>
      <w:r w:rsidR="00C91850">
        <w:t xml:space="preserve"> </w:t>
      </w:r>
      <w:r w:rsidR="003C59FF">
        <w:t>(Figure 3)</w:t>
      </w:r>
      <w:r w:rsidR="00C91850">
        <w:t>.</w:t>
      </w:r>
    </w:p>
    <w:p w14:paraId="5F989DA3" w14:textId="41867500" w:rsidR="005973A7" w:rsidRDefault="004F53E0" w:rsidP="00334D1D">
      <w:pPr>
        <w:spacing w:before="0" w:after="160"/>
      </w:pPr>
      <w:r>
        <w:t>Prior</w:t>
      </w:r>
      <w:r w:rsidR="003C59FF">
        <w:t xml:space="preserve"> to</w:t>
      </w:r>
      <w:r w:rsidR="005973A7">
        <w:t xml:space="preserve"> market authorisation and funding</w:t>
      </w:r>
      <w:r>
        <w:t xml:space="preserve">, </w:t>
      </w:r>
      <w:r w:rsidR="005973A7">
        <w:rPr>
          <w:rFonts w:cs="Arial"/>
          <w:szCs w:val="20"/>
        </w:rPr>
        <w:t xml:space="preserve">Australians are able to obtain limited access to some health technologies through </w:t>
      </w:r>
      <w:r w:rsidR="003C59FF">
        <w:rPr>
          <w:rFonts w:cs="Arial"/>
          <w:szCs w:val="20"/>
        </w:rPr>
        <w:t>the TGA</w:t>
      </w:r>
      <w:r w:rsidR="00443DA4">
        <w:rPr>
          <w:rFonts w:cs="Arial"/>
          <w:szCs w:val="20"/>
        </w:rPr>
        <w:t>’</w:t>
      </w:r>
      <w:r w:rsidR="003C59FF">
        <w:rPr>
          <w:rFonts w:cs="Arial"/>
          <w:szCs w:val="20"/>
        </w:rPr>
        <w:t xml:space="preserve">s </w:t>
      </w:r>
      <w:r w:rsidR="005973A7">
        <w:rPr>
          <w:rFonts w:cs="Arial"/>
          <w:szCs w:val="20"/>
        </w:rPr>
        <w:t>special access scheme and authorised prescriber arrangements, personal importation scheme arrangements, the medical treatment overseas program, clinical tr</w:t>
      </w:r>
      <w:r w:rsidR="008D06E0">
        <w:rPr>
          <w:rFonts w:cs="Arial"/>
          <w:szCs w:val="20"/>
        </w:rPr>
        <w:t>ia</w:t>
      </w:r>
      <w:r w:rsidR="005973A7">
        <w:rPr>
          <w:rFonts w:cs="Arial"/>
          <w:szCs w:val="20"/>
        </w:rPr>
        <w:t xml:space="preserve">ls and </w:t>
      </w:r>
      <w:r w:rsidR="00E20B69">
        <w:rPr>
          <w:rFonts w:cs="Arial"/>
          <w:szCs w:val="20"/>
        </w:rPr>
        <w:t>company medicines</w:t>
      </w:r>
      <w:r w:rsidR="005973A7">
        <w:rPr>
          <w:rFonts w:cs="Arial"/>
          <w:szCs w:val="20"/>
        </w:rPr>
        <w:t xml:space="preserve"> access programs.</w:t>
      </w:r>
      <w:r w:rsidR="005973A7">
        <w:rPr>
          <w:rStyle w:val="FootnoteReference"/>
          <w:rFonts w:cs="Arial"/>
          <w:szCs w:val="20"/>
        </w:rPr>
        <w:footnoteReference w:id="3"/>
      </w:r>
      <w:r w:rsidR="005973A7">
        <w:rPr>
          <w:rFonts w:cs="Arial"/>
          <w:szCs w:val="20"/>
        </w:rPr>
        <w:t xml:space="preserve"> </w:t>
      </w:r>
    </w:p>
    <w:p w14:paraId="3F2DAB4E" w14:textId="5B79BA86" w:rsidR="00457116" w:rsidRDefault="003022AC" w:rsidP="009A6F0D">
      <w:pPr>
        <w:pStyle w:val="Heading4"/>
        <w:rPr>
          <w:noProof/>
        </w:rPr>
      </w:pPr>
      <w:r>
        <w:lastRenderedPageBreak/>
        <w:t>Figure</w:t>
      </w:r>
      <w:r w:rsidR="009A6F0D">
        <w:t xml:space="preserve"> 1: Overview – </w:t>
      </w:r>
      <w:r w:rsidR="00C51D22">
        <w:t xml:space="preserve">typical </w:t>
      </w:r>
      <w:r w:rsidR="009A6F0D">
        <w:t>pathway from health technology development to access for Australians</w:t>
      </w:r>
    </w:p>
    <w:p w14:paraId="6B923B39" w14:textId="6FC82664" w:rsidR="005343E6" w:rsidRPr="005343E6" w:rsidRDefault="00B51E57" w:rsidP="00B51E57">
      <w:pPr>
        <w:jc w:val="center"/>
      </w:pPr>
      <w:r w:rsidRPr="00B51E57">
        <w:rPr>
          <w:noProof/>
        </w:rPr>
        <w:drawing>
          <wp:inline distT="0" distB="0" distL="0" distR="0" wp14:anchorId="0BEB9674" wp14:editId="3CE5FBAA">
            <wp:extent cx="3434316" cy="3638420"/>
            <wp:effectExtent l="0" t="0" r="0" b="0"/>
            <wp:docPr id="8" name="Picture 8" descr="Figure 1: Overview – typical pathway from health technology development to access for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Overview – typical pathway from health technology development to access for Australia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2263" cy="3668028"/>
                    </a:xfrm>
                    <a:prstGeom prst="rect">
                      <a:avLst/>
                    </a:prstGeom>
                    <a:noFill/>
                    <a:ln>
                      <a:noFill/>
                    </a:ln>
                  </pic:spPr>
                </pic:pic>
              </a:graphicData>
            </a:graphic>
          </wp:inline>
        </w:drawing>
      </w:r>
    </w:p>
    <w:p w14:paraId="0026BFCE" w14:textId="750482DA" w:rsidR="009C103B" w:rsidRDefault="00F73560" w:rsidP="009C103B">
      <w:pPr>
        <w:pStyle w:val="Heading2"/>
      </w:pPr>
      <w:bookmarkStart w:id="3" w:name="_Toc156576943"/>
      <w:r>
        <w:t>Assessment and f</w:t>
      </w:r>
      <w:r w:rsidR="009C103B">
        <w:t xml:space="preserve">unding </w:t>
      </w:r>
      <w:r w:rsidR="00411DBF">
        <w:t>of health technologies</w:t>
      </w:r>
      <w:bookmarkEnd w:id="3"/>
    </w:p>
    <w:p w14:paraId="344E5F24" w14:textId="0628DB5E" w:rsidR="00411DBF" w:rsidRDefault="00411DBF" w:rsidP="00411DBF">
      <w:r w:rsidRPr="00233A46">
        <w:t xml:space="preserve">Healthcare in Australia is delivered </w:t>
      </w:r>
      <w:r w:rsidR="0048160D">
        <w:t>through</w:t>
      </w:r>
      <w:r w:rsidR="0048160D" w:rsidRPr="00233A46">
        <w:t xml:space="preserve"> </w:t>
      </w:r>
      <w:r w:rsidR="00407DC8">
        <w:t>a combination of</w:t>
      </w:r>
      <w:r w:rsidR="00407DC8" w:rsidRPr="00233A46">
        <w:t xml:space="preserve"> </w:t>
      </w:r>
      <w:r w:rsidRPr="00233A46">
        <w:t xml:space="preserve">public and private </w:t>
      </w:r>
      <w:r w:rsidR="001D4E9E">
        <w:t>facilities</w:t>
      </w:r>
      <w:r w:rsidRPr="00233A46">
        <w:t xml:space="preserve">, </w:t>
      </w:r>
      <w:r w:rsidR="009B5426">
        <w:t xml:space="preserve">and </w:t>
      </w:r>
      <w:r w:rsidRPr="00233A46">
        <w:t xml:space="preserve">is funded by all levels of government, </w:t>
      </w:r>
      <w:r w:rsidR="00693EE6">
        <w:t xml:space="preserve">as well as </w:t>
      </w:r>
      <w:r w:rsidRPr="00233A46">
        <w:t xml:space="preserve">private health insurers and </w:t>
      </w:r>
      <w:r w:rsidR="00F73560">
        <w:t>individual co-payments</w:t>
      </w:r>
      <w:r w:rsidRPr="004B3DC4">
        <w:t>.</w:t>
      </w:r>
      <w:r>
        <w:t xml:space="preserve">  </w:t>
      </w:r>
    </w:p>
    <w:p w14:paraId="4A412E22" w14:textId="3F7B1845" w:rsidR="00411DBF" w:rsidRDefault="00411DBF" w:rsidP="00411DBF">
      <w:r>
        <w:t>Australia’s total health expenditure in 2020</w:t>
      </w:r>
      <w:r w:rsidR="009903E5">
        <w:t>–</w:t>
      </w:r>
      <w:r>
        <w:t xml:space="preserve">21 was estimated by </w:t>
      </w:r>
      <w:r w:rsidR="003C59FF">
        <w:t xml:space="preserve">the </w:t>
      </w:r>
      <w:r w:rsidR="00014F4C">
        <w:t>Australian Institute of Health and Welfare (</w:t>
      </w:r>
      <w:r>
        <w:t>AIHW</w:t>
      </w:r>
      <w:r w:rsidR="00014F4C">
        <w:t>)</w:t>
      </w:r>
      <w:r>
        <w:t xml:space="preserve"> to be $221 </w:t>
      </w:r>
      <w:r w:rsidR="001D4E9E">
        <w:t>b</w:t>
      </w:r>
      <w:r>
        <w:t xml:space="preserve">illion across </w:t>
      </w:r>
      <w:r w:rsidR="001D4E9E">
        <w:t>Commonwealth</w:t>
      </w:r>
      <w:r>
        <w:t xml:space="preserve">, </w:t>
      </w:r>
      <w:r w:rsidR="00014F4C">
        <w:t>s</w:t>
      </w:r>
      <w:r>
        <w:t xml:space="preserve">tate and </w:t>
      </w:r>
      <w:r w:rsidR="001D4E9E">
        <w:t>territory</w:t>
      </w:r>
      <w:r>
        <w:t xml:space="preserve"> governments, private health insurance providers, </w:t>
      </w:r>
      <w:r w:rsidR="00B70D07">
        <w:t>individuals,</w:t>
      </w:r>
      <w:r>
        <w:t xml:space="preserve"> and other non-government funders (</w:t>
      </w:r>
      <w:r w:rsidR="003022AC">
        <w:t>Figure</w:t>
      </w:r>
      <w:r>
        <w:t xml:space="preserve"> </w:t>
      </w:r>
      <w:r w:rsidR="00C91850">
        <w:t>2</w:t>
      </w:r>
      <w:r>
        <w:t>).</w:t>
      </w:r>
      <w:r>
        <w:rPr>
          <w:rStyle w:val="FootnoteReference"/>
        </w:rPr>
        <w:footnoteReference w:id="4"/>
      </w:r>
      <w:r>
        <w:t xml:space="preserve"> </w:t>
      </w:r>
    </w:p>
    <w:p w14:paraId="4193A964" w14:textId="126EDD83" w:rsidR="00411DBF" w:rsidRDefault="003022AC" w:rsidP="00411DBF">
      <w:pPr>
        <w:pStyle w:val="Heading4"/>
      </w:pPr>
      <w:r>
        <w:lastRenderedPageBreak/>
        <w:t>Figure</w:t>
      </w:r>
      <w:r w:rsidR="00411DBF">
        <w:t xml:space="preserve"> 2: Total </w:t>
      </w:r>
      <w:r w:rsidR="0048160D">
        <w:t>h</w:t>
      </w:r>
      <w:r w:rsidR="00411DBF">
        <w:t>ealth expenditure by area of expenditure and source of funds 2020</w:t>
      </w:r>
      <w:r w:rsidR="00B23B9E">
        <w:t>–</w:t>
      </w:r>
      <w:r w:rsidR="00411DBF">
        <w:t>21 ($m)</w:t>
      </w:r>
    </w:p>
    <w:p w14:paraId="6F7C830E" w14:textId="4D588B02" w:rsidR="00075A72" w:rsidRDefault="00075A72" w:rsidP="00075A72">
      <w:r w:rsidRPr="00075A72">
        <w:rPr>
          <w:noProof/>
        </w:rPr>
        <w:drawing>
          <wp:inline distT="0" distB="0" distL="0" distR="0" wp14:anchorId="3687E5EA" wp14:editId="02430627">
            <wp:extent cx="5731510" cy="5632450"/>
            <wp:effectExtent l="0" t="0" r="0" b="0"/>
            <wp:docPr id="17" name="Picture 17" descr="Figure 2: Total health expenditure by area of expenditure and source of funds 2020–21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 Total health expenditure by area of expenditure and source of funds 2020–21 ($m)"/>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5632450"/>
                    </a:xfrm>
                    <a:prstGeom prst="rect">
                      <a:avLst/>
                    </a:prstGeom>
                    <a:noFill/>
                    <a:ln>
                      <a:noFill/>
                    </a:ln>
                  </pic:spPr>
                </pic:pic>
              </a:graphicData>
            </a:graphic>
          </wp:inline>
        </w:drawing>
      </w:r>
    </w:p>
    <w:p w14:paraId="2BE56699" w14:textId="47FA42CE" w:rsidR="00411DBF" w:rsidRPr="00D67600" w:rsidRDefault="00411DBF" w:rsidP="00411DBF">
      <w:pPr>
        <w:rPr>
          <w:sz w:val="18"/>
          <w:szCs w:val="18"/>
        </w:rPr>
      </w:pPr>
      <w:r w:rsidRPr="00D67600">
        <w:rPr>
          <w:sz w:val="18"/>
          <w:szCs w:val="18"/>
        </w:rPr>
        <w:t>Note: ‘Other’ include</w:t>
      </w:r>
      <w:r w:rsidR="00D67600">
        <w:rPr>
          <w:sz w:val="18"/>
          <w:szCs w:val="18"/>
        </w:rPr>
        <w:t>s</w:t>
      </w:r>
      <w:r w:rsidRPr="00D67600">
        <w:rPr>
          <w:sz w:val="18"/>
          <w:szCs w:val="18"/>
        </w:rPr>
        <w:t xml:space="preserve"> health spending funded by non-government sources</w:t>
      </w:r>
    </w:p>
    <w:p w14:paraId="57C22122" w14:textId="3537D1AA" w:rsidR="0003291B" w:rsidRDefault="0003291B" w:rsidP="00334D1D">
      <w:pPr>
        <w:pStyle w:val="NormalBeforeBullet"/>
      </w:pPr>
      <w:r>
        <w:t xml:space="preserve">The pathways for assessment and funding of medicines, vaccines, </w:t>
      </w:r>
      <w:r w:rsidR="002000DA">
        <w:t xml:space="preserve">highly specialised therapies, medical </w:t>
      </w:r>
      <w:r w:rsidR="00B70D07">
        <w:t>services,</w:t>
      </w:r>
      <w:r w:rsidR="002000DA">
        <w:t xml:space="preserve"> and blood products are set out in </w:t>
      </w:r>
      <w:r w:rsidR="003022AC">
        <w:t>Figure</w:t>
      </w:r>
      <w:r w:rsidR="002000DA">
        <w:t xml:space="preserve"> 3. </w:t>
      </w:r>
    </w:p>
    <w:p w14:paraId="2902A986" w14:textId="4B88BCDC" w:rsidR="009C103B" w:rsidRPr="00614ECA" w:rsidRDefault="009C103B" w:rsidP="00334D1D">
      <w:pPr>
        <w:pStyle w:val="Heading4"/>
      </w:pPr>
      <w:r w:rsidRPr="00614ECA">
        <w:t xml:space="preserve">Medicines </w:t>
      </w:r>
    </w:p>
    <w:p w14:paraId="0B9FCD6A" w14:textId="44CC0D1E" w:rsidR="00EE30E8" w:rsidRDefault="00EE30E8" w:rsidP="00334D1D">
      <w:pPr>
        <w:spacing w:before="0" w:after="160"/>
        <w:rPr>
          <w:rFonts w:cs="Arial"/>
          <w:szCs w:val="20"/>
        </w:rPr>
      </w:pPr>
      <w:r>
        <w:rPr>
          <w:rFonts w:cs="Arial"/>
          <w:szCs w:val="20"/>
        </w:rPr>
        <w:t xml:space="preserve">In Australia, medicines are funded by the Commonwealth through schemes such as the PBS and LSDP, </w:t>
      </w:r>
      <w:r w:rsidR="007D26E8">
        <w:rPr>
          <w:rFonts w:cs="Arial"/>
          <w:szCs w:val="20"/>
        </w:rPr>
        <w:t xml:space="preserve">and </w:t>
      </w:r>
      <w:r>
        <w:rPr>
          <w:rFonts w:cs="Arial"/>
          <w:szCs w:val="20"/>
        </w:rPr>
        <w:t>jointly funded by the Commonwealth</w:t>
      </w:r>
      <w:r w:rsidR="00621456">
        <w:rPr>
          <w:rFonts w:cs="Arial"/>
          <w:szCs w:val="20"/>
        </w:rPr>
        <w:t xml:space="preserve">, </w:t>
      </w:r>
      <w:r>
        <w:rPr>
          <w:rFonts w:cs="Arial"/>
          <w:szCs w:val="20"/>
        </w:rPr>
        <w:t xml:space="preserve">state and </w:t>
      </w:r>
      <w:r w:rsidR="001D3ECC">
        <w:rPr>
          <w:rFonts w:cs="Arial"/>
          <w:szCs w:val="20"/>
        </w:rPr>
        <w:t xml:space="preserve">territory governments </w:t>
      </w:r>
      <w:r>
        <w:rPr>
          <w:rFonts w:cs="Arial"/>
          <w:szCs w:val="20"/>
        </w:rPr>
        <w:t>through public hospital funding arrangements</w:t>
      </w:r>
      <w:r w:rsidR="00DB584C">
        <w:rPr>
          <w:rFonts w:cs="Arial"/>
          <w:szCs w:val="20"/>
        </w:rPr>
        <w:t xml:space="preserve">. They are also </w:t>
      </w:r>
      <w:r>
        <w:rPr>
          <w:rFonts w:cs="Arial"/>
          <w:szCs w:val="20"/>
        </w:rPr>
        <w:t>funded privately through health insurance, patient co-payments and other sources</w:t>
      </w:r>
      <w:r w:rsidR="00272776">
        <w:rPr>
          <w:rFonts w:cs="Arial"/>
          <w:szCs w:val="20"/>
        </w:rPr>
        <w:t>, for instance the</w:t>
      </w:r>
      <w:r w:rsidDel="00272776">
        <w:rPr>
          <w:rFonts w:cs="Arial"/>
          <w:szCs w:val="20"/>
        </w:rPr>
        <w:t xml:space="preserve"> </w:t>
      </w:r>
      <w:r w:rsidR="008A0B7B">
        <w:rPr>
          <w:rFonts w:cs="Arial"/>
          <w:szCs w:val="20"/>
        </w:rPr>
        <w:t xml:space="preserve">arrangements put in place by </w:t>
      </w:r>
      <w:r w:rsidR="00E20B69">
        <w:rPr>
          <w:rFonts w:cs="Arial"/>
          <w:szCs w:val="20"/>
        </w:rPr>
        <w:t>compan</w:t>
      </w:r>
      <w:r w:rsidR="00AF5F07">
        <w:rPr>
          <w:rFonts w:cs="Arial"/>
          <w:szCs w:val="20"/>
        </w:rPr>
        <w:t>ies</w:t>
      </w:r>
      <w:r w:rsidR="00E20B69">
        <w:rPr>
          <w:rFonts w:cs="Arial"/>
          <w:szCs w:val="20"/>
        </w:rPr>
        <w:t xml:space="preserve"> </w:t>
      </w:r>
      <w:r w:rsidR="00AF1D12">
        <w:rPr>
          <w:rFonts w:cs="Arial"/>
          <w:szCs w:val="20"/>
        </w:rPr>
        <w:t xml:space="preserve">relating to </w:t>
      </w:r>
      <w:r>
        <w:rPr>
          <w:rFonts w:cs="Arial"/>
          <w:szCs w:val="20"/>
        </w:rPr>
        <w:t>clinical trial</w:t>
      </w:r>
      <w:r w:rsidR="00AF1D12">
        <w:rPr>
          <w:rFonts w:cs="Arial"/>
          <w:szCs w:val="20"/>
        </w:rPr>
        <w:t xml:space="preserve">s and the </w:t>
      </w:r>
      <w:r w:rsidR="000B0BE5">
        <w:rPr>
          <w:rFonts w:cs="Arial"/>
          <w:szCs w:val="20"/>
        </w:rPr>
        <w:t xml:space="preserve">compassionate </w:t>
      </w:r>
      <w:r w:rsidR="00D56622">
        <w:rPr>
          <w:rFonts w:cs="Arial"/>
          <w:szCs w:val="20"/>
        </w:rPr>
        <w:t>access of medicines.</w:t>
      </w:r>
    </w:p>
    <w:p w14:paraId="08F9406D" w14:textId="60F15704" w:rsidR="00EE30E8" w:rsidRDefault="009C103B" w:rsidP="00334D1D">
      <w:pPr>
        <w:spacing w:before="0" w:after="160"/>
        <w:rPr>
          <w:rFonts w:cs="Arial"/>
          <w:szCs w:val="20"/>
        </w:rPr>
      </w:pPr>
      <w:r w:rsidRPr="00407E29">
        <w:rPr>
          <w:rFonts w:cs="Arial"/>
          <w:szCs w:val="20"/>
        </w:rPr>
        <w:t xml:space="preserve">Medicines </w:t>
      </w:r>
      <w:r w:rsidR="00934252" w:rsidRPr="00407E29">
        <w:rPr>
          <w:rFonts w:cs="Arial"/>
          <w:szCs w:val="20"/>
        </w:rPr>
        <w:t>that are subsidised through the PBS are</w:t>
      </w:r>
      <w:r w:rsidRPr="00407E29">
        <w:rPr>
          <w:rFonts w:cs="Arial"/>
          <w:szCs w:val="20"/>
        </w:rPr>
        <w:t xml:space="preserve"> supplied in community pharmacies, private hospitals</w:t>
      </w:r>
      <w:r w:rsidR="00D73BDE">
        <w:rPr>
          <w:rFonts w:cs="Arial"/>
          <w:szCs w:val="20"/>
        </w:rPr>
        <w:t>,</w:t>
      </w:r>
      <w:r w:rsidRPr="00407E29">
        <w:rPr>
          <w:rFonts w:cs="Arial"/>
          <w:szCs w:val="20"/>
        </w:rPr>
        <w:t xml:space="preserve"> and public hospitals (</w:t>
      </w:r>
      <w:r w:rsidR="00290496">
        <w:rPr>
          <w:rFonts w:cs="Arial"/>
          <w:szCs w:val="20"/>
        </w:rPr>
        <w:t>limi</w:t>
      </w:r>
      <w:r w:rsidR="00D73BDE">
        <w:rPr>
          <w:rFonts w:cs="Arial"/>
          <w:szCs w:val="20"/>
        </w:rPr>
        <w:t>ted to</w:t>
      </w:r>
      <w:r w:rsidR="00290496" w:rsidRPr="00407E29">
        <w:rPr>
          <w:rFonts w:cs="Arial"/>
          <w:szCs w:val="20"/>
        </w:rPr>
        <w:t xml:space="preserve"> </w:t>
      </w:r>
      <w:r w:rsidR="0037537B" w:rsidRPr="00407E29">
        <w:rPr>
          <w:rFonts w:cs="Arial"/>
          <w:szCs w:val="20"/>
        </w:rPr>
        <w:t>outpatients</w:t>
      </w:r>
      <w:r w:rsidRPr="00407E29">
        <w:rPr>
          <w:rFonts w:cs="Arial"/>
          <w:szCs w:val="20"/>
        </w:rPr>
        <w:t>, day-admitted patients</w:t>
      </w:r>
      <w:r w:rsidR="0037537B" w:rsidRPr="00407E29">
        <w:rPr>
          <w:rFonts w:cs="Arial"/>
          <w:szCs w:val="20"/>
        </w:rPr>
        <w:t xml:space="preserve"> and patients upon discharge</w:t>
      </w:r>
      <w:r w:rsidRPr="00407E29">
        <w:rPr>
          <w:rFonts w:cs="Arial"/>
          <w:szCs w:val="20"/>
        </w:rPr>
        <w:t>).</w:t>
      </w:r>
      <w:r w:rsidR="00B37709" w:rsidRPr="00407E29">
        <w:rPr>
          <w:rFonts w:cs="Arial"/>
          <w:szCs w:val="20"/>
        </w:rPr>
        <w:t xml:space="preserve"> </w:t>
      </w:r>
      <w:r w:rsidR="00EE30E8">
        <w:rPr>
          <w:rFonts w:cs="Arial"/>
          <w:szCs w:val="20"/>
        </w:rPr>
        <w:t>To obtain access to a medicine subsidised through the PBS, in most circumstances, patients must pay a co-payment of $3</w:t>
      </w:r>
      <w:r w:rsidR="004D5428">
        <w:rPr>
          <w:rFonts w:cs="Arial"/>
          <w:szCs w:val="20"/>
        </w:rPr>
        <w:t>1</w:t>
      </w:r>
      <w:r w:rsidR="00EE30E8">
        <w:rPr>
          <w:rFonts w:cs="Arial"/>
          <w:szCs w:val="20"/>
        </w:rPr>
        <w:t>.</w:t>
      </w:r>
      <w:r w:rsidR="004D5428">
        <w:rPr>
          <w:rFonts w:cs="Arial"/>
          <w:szCs w:val="20"/>
        </w:rPr>
        <w:t>6</w:t>
      </w:r>
      <w:r w:rsidR="00EE30E8">
        <w:rPr>
          <w:rFonts w:cs="Arial"/>
          <w:szCs w:val="20"/>
        </w:rPr>
        <w:t>0 or $7.</w:t>
      </w:r>
      <w:r w:rsidR="004D5428">
        <w:rPr>
          <w:rFonts w:cs="Arial"/>
          <w:szCs w:val="20"/>
        </w:rPr>
        <w:t>7</w:t>
      </w:r>
      <w:r w:rsidR="00EE30E8">
        <w:rPr>
          <w:rFonts w:cs="Arial"/>
          <w:szCs w:val="20"/>
        </w:rPr>
        <w:t>0 for concession cardholders</w:t>
      </w:r>
      <w:r w:rsidR="004E4BE1">
        <w:rPr>
          <w:rFonts w:cs="Arial"/>
          <w:szCs w:val="20"/>
        </w:rPr>
        <w:t xml:space="preserve"> as of 2024</w:t>
      </w:r>
      <w:r w:rsidR="00EE30E8">
        <w:rPr>
          <w:rFonts w:cs="Arial"/>
          <w:szCs w:val="20"/>
        </w:rPr>
        <w:t>.</w:t>
      </w:r>
      <w:r w:rsidR="00606DB4">
        <w:rPr>
          <w:rFonts w:cs="Arial"/>
          <w:szCs w:val="20"/>
        </w:rPr>
        <w:t xml:space="preserve"> </w:t>
      </w:r>
      <w:r w:rsidR="00606DB4" w:rsidRPr="00606DB4">
        <w:rPr>
          <w:rFonts w:cs="Arial"/>
          <w:szCs w:val="20"/>
        </w:rPr>
        <w:t xml:space="preserve">The PBS patient co-payment amounts are updated on 1 January each year, in line with changes to Consumer </w:t>
      </w:r>
      <w:r w:rsidR="00606DB4" w:rsidRPr="00606DB4">
        <w:rPr>
          <w:rFonts w:cs="Arial"/>
          <w:szCs w:val="20"/>
        </w:rPr>
        <w:lastRenderedPageBreak/>
        <w:t>Price Index</w:t>
      </w:r>
      <w:r w:rsidR="00E222FC">
        <w:rPr>
          <w:rStyle w:val="FootnoteReference"/>
          <w:rFonts w:cs="Arial"/>
          <w:szCs w:val="20"/>
        </w:rPr>
        <w:footnoteReference w:id="5"/>
      </w:r>
      <w:r w:rsidR="00606DB4">
        <w:rPr>
          <w:rFonts w:cs="Arial"/>
          <w:szCs w:val="20"/>
        </w:rPr>
        <w:t>.</w:t>
      </w:r>
      <w:r w:rsidR="00EE30E8">
        <w:rPr>
          <w:rFonts w:cs="Arial"/>
          <w:szCs w:val="20"/>
        </w:rPr>
        <w:t xml:space="preserve"> The remaining cost of the medicine is subsidised through the PBS. </w:t>
      </w:r>
      <w:r w:rsidR="00EE30E8" w:rsidRPr="00407E29">
        <w:rPr>
          <w:rFonts w:cs="Arial"/>
          <w:szCs w:val="20"/>
        </w:rPr>
        <w:t>PBS</w:t>
      </w:r>
      <w:r w:rsidR="00EE30E8">
        <w:rPr>
          <w:rFonts w:cs="Arial"/>
          <w:szCs w:val="20"/>
        </w:rPr>
        <w:t xml:space="preserve"> subsidy</w:t>
      </w:r>
      <w:r w:rsidR="00EE30E8" w:rsidRPr="00407E29">
        <w:rPr>
          <w:rFonts w:cs="Arial"/>
          <w:szCs w:val="20"/>
        </w:rPr>
        <w:t xml:space="preserve"> is solely funded by the Commonwealth</w:t>
      </w:r>
      <w:r w:rsidR="00EE30E8">
        <w:rPr>
          <w:rFonts w:cs="Arial"/>
          <w:szCs w:val="20"/>
        </w:rPr>
        <w:t>.</w:t>
      </w:r>
    </w:p>
    <w:p w14:paraId="74C3C0C6" w14:textId="401559C0" w:rsidR="00407E29" w:rsidRDefault="00B37709" w:rsidP="00334D1D">
      <w:pPr>
        <w:spacing w:before="0" w:after="160"/>
        <w:rPr>
          <w:rFonts w:cs="Arial"/>
          <w:szCs w:val="20"/>
        </w:rPr>
      </w:pPr>
      <w:r w:rsidRPr="00407E29">
        <w:rPr>
          <w:rFonts w:cs="Arial"/>
          <w:szCs w:val="20"/>
        </w:rPr>
        <w:t xml:space="preserve">For a medicine to be </w:t>
      </w:r>
      <w:r w:rsidR="0003291B">
        <w:rPr>
          <w:rFonts w:cs="Arial"/>
          <w:szCs w:val="20"/>
        </w:rPr>
        <w:t>subsidised through</w:t>
      </w:r>
      <w:r w:rsidRPr="00407E29">
        <w:rPr>
          <w:rFonts w:cs="Arial"/>
          <w:szCs w:val="20"/>
        </w:rPr>
        <w:t xml:space="preserve"> the PBS, a sponsor</w:t>
      </w:r>
      <w:r w:rsidR="0037537B" w:rsidRPr="00407E29">
        <w:rPr>
          <w:rFonts w:cs="Arial"/>
          <w:szCs w:val="20"/>
        </w:rPr>
        <w:t xml:space="preserve"> (</w:t>
      </w:r>
      <w:r w:rsidR="00176A5E" w:rsidRPr="00407E29">
        <w:rPr>
          <w:rFonts w:cs="Arial"/>
          <w:szCs w:val="20"/>
        </w:rPr>
        <w:t>a person or company</w:t>
      </w:r>
      <w:r w:rsidR="00176A5E" w:rsidRPr="00407E29" w:rsidDel="00715D57">
        <w:rPr>
          <w:rFonts w:cs="Arial"/>
          <w:szCs w:val="20"/>
        </w:rPr>
        <w:t xml:space="preserve"> </w:t>
      </w:r>
      <w:r w:rsidR="00176A5E" w:rsidRPr="00407E29">
        <w:rPr>
          <w:rFonts w:cs="Arial"/>
          <w:szCs w:val="20"/>
        </w:rPr>
        <w:t>responsible for import</w:t>
      </w:r>
      <w:r w:rsidR="0003291B">
        <w:rPr>
          <w:rFonts w:cs="Arial"/>
          <w:szCs w:val="20"/>
        </w:rPr>
        <w:t xml:space="preserve"> </w:t>
      </w:r>
      <w:r w:rsidR="00517111">
        <w:rPr>
          <w:rFonts w:cs="Arial"/>
          <w:szCs w:val="20"/>
        </w:rPr>
        <w:t>of or</w:t>
      </w:r>
      <w:r w:rsidR="00176A5E" w:rsidRPr="00407E29">
        <w:rPr>
          <w:rFonts w:cs="Arial"/>
          <w:szCs w:val="20"/>
        </w:rPr>
        <w:t xml:space="preserve"> manufacturing</w:t>
      </w:r>
      <w:r w:rsidR="0003291B">
        <w:rPr>
          <w:rFonts w:cs="Arial"/>
          <w:szCs w:val="20"/>
        </w:rPr>
        <w:t xml:space="preserve"> the medicine</w:t>
      </w:r>
      <w:r w:rsidR="00176A5E" w:rsidRPr="00407E29">
        <w:rPr>
          <w:rFonts w:cs="Arial"/>
          <w:szCs w:val="20"/>
        </w:rPr>
        <w:t>)</w:t>
      </w:r>
      <w:r w:rsidRPr="00407E29">
        <w:rPr>
          <w:rFonts w:cs="Arial"/>
          <w:szCs w:val="20"/>
        </w:rPr>
        <w:t xml:space="preserve"> must provide a submission to </w:t>
      </w:r>
      <w:r w:rsidR="002B5778">
        <w:rPr>
          <w:rFonts w:cs="Arial"/>
          <w:szCs w:val="20"/>
        </w:rPr>
        <w:t xml:space="preserve">the </w:t>
      </w:r>
      <w:r w:rsidRPr="00407E29">
        <w:rPr>
          <w:rFonts w:cs="Arial"/>
          <w:szCs w:val="20"/>
        </w:rPr>
        <w:t xml:space="preserve">PBAC </w:t>
      </w:r>
      <w:r w:rsidR="00176A5E" w:rsidRPr="00407E29">
        <w:rPr>
          <w:rFonts w:cs="Arial"/>
          <w:szCs w:val="20"/>
        </w:rPr>
        <w:t xml:space="preserve">for </w:t>
      </w:r>
      <w:r w:rsidR="00BC6F18">
        <w:rPr>
          <w:rFonts w:cs="Arial"/>
          <w:szCs w:val="20"/>
        </w:rPr>
        <w:t>it</w:t>
      </w:r>
      <w:r w:rsidR="00176A5E" w:rsidRPr="00407E29">
        <w:rPr>
          <w:rFonts w:cs="Arial"/>
          <w:szCs w:val="20"/>
        </w:rPr>
        <w:t xml:space="preserve"> to be listed on the PBS</w:t>
      </w:r>
      <w:r w:rsidR="000E49F2">
        <w:rPr>
          <w:rFonts w:cs="Arial"/>
          <w:szCs w:val="20"/>
        </w:rPr>
        <w:t xml:space="preserve">. </w:t>
      </w:r>
      <w:r w:rsidR="002B5778">
        <w:rPr>
          <w:rFonts w:cs="Arial"/>
          <w:szCs w:val="20"/>
        </w:rPr>
        <w:t xml:space="preserve">The </w:t>
      </w:r>
      <w:r w:rsidRPr="00407E29">
        <w:rPr>
          <w:rFonts w:cs="Arial"/>
          <w:szCs w:val="20"/>
        </w:rPr>
        <w:t xml:space="preserve">PBAC must </w:t>
      </w:r>
      <w:r w:rsidR="000E49F2">
        <w:rPr>
          <w:rFonts w:cs="Arial"/>
          <w:szCs w:val="20"/>
        </w:rPr>
        <w:t xml:space="preserve">then </w:t>
      </w:r>
      <w:r w:rsidRPr="00407E29">
        <w:rPr>
          <w:rFonts w:cs="Arial"/>
          <w:szCs w:val="20"/>
        </w:rPr>
        <w:t xml:space="preserve">recommend </w:t>
      </w:r>
      <w:r w:rsidR="0048160D" w:rsidRPr="00407E29">
        <w:rPr>
          <w:rFonts w:cs="Arial"/>
          <w:szCs w:val="20"/>
        </w:rPr>
        <w:t xml:space="preserve">the </w:t>
      </w:r>
      <w:r w:rsidR="00EF3234" w:rsidRPr="00407E29">
        <w:rPr>
          <w:rFonts w:cs="Arial"/>
          <w:szCs w:val="20"/>
        </w:rPr>
        <w:t xml:space="preserve">listing </w:t>
      </w:r>
      <w:r w:rsidR="0048160D" w:rsidRPr="00407E29">
        <w:rPr>
          <w:rFonts w:cs="Arial"/>
          <w:szCs w:val="20"/>
        </w:rPr>
        <w:t>of the medicine</w:t>
      </w:r>
      <w:r w:rsidRPr="00407E29">
        <w:rPr>
          <w:rFonts w:cs="Arial"/>
          <w:szCs w:val="20"/>
        </w:rPr>
        <w:t>.</w:t>
      </w:r>
      <w:r w:rsidR="00407E29" w:rsidRPr="00407E29">
        <w:rPr>
          <w:rFonts w:cs="Arial"/>
          <w:szCs w:val="20"/>
        </w:rPr>
        <w:t xml:space="preserve"> </w:t>
      </w:r>
      <w:r w:rsidR="00D67600">
        <w:rPr>
          <w:rFonts w:cs="Arial"/>
          <w:szCs w:val="20"/>
        </w:rPr>
        <w:t xml:space="preserve">When making a recommendation to list a medicine on the PBS, </w:t>
      </w:r>
      <w:r w:rsidR="002B5778">
        <w:rPr>
          <w:rFonts w:cs="Arial"/>
          <w:szCs w:val="20"/>
        </w:rPr>
        <w:t xml:space="preserve">the </w:t>
      </w:r>
      <w:r w:rsidR="00D67600">
        <w:rPr>
          <w:rFonts w:cs="Arial"/>
          <w:szCs w:val="20"/>
        </w:rPr>
        <w:t>PBAC must consider the effectiveness and cost of the medicine compared to alternative therapies.</w:t>
      </w:r>
      <w:r w:rsidR="00334D1D">
        <w:rPr>
          <w:rFonts w:cs="Arial"/>
          <w:szCs w:val="20"/>
        </w:rPr>
        <w:t xml:space="preserve"> If the medicine </w:t>
      </w:r>
      <w:r w:rsidR="00645303">
        <w:rPr>
          <w:rFonts w:cs="Arial"/>
          <w:szCs w:val="20"/>
        </w:rPr>
        <w:t xml:space="preserve">costs more </w:t>
      </w:r>
      <w:r w:rsidR="00334D1D">
        <w:rPr>
          <w:rFonts w:cs="Arial"/>
          <w:szCs w:val="20"/>
        </w:rPr>
        <w:t>than alternative therapies,</w:t>
      </w:r>
      <w:r w:rsidR="00974D47">
        <w:rPr>
          <w:rFonts w:cs="Arial"/>
          <w:szCs w:val="20"/>
        </w:rPr>
        <w:t xml:space="preserve"> </w:t>
      </w:r>
      <w:r w:rsidR="002B5778">
        <w:rPr>
          <w:rFonts w:cs="Arial"/>
          <w:szCs w:val="20"/>
        </w:rPr>
        <w:t xml:space="preserve">the </w:t>
      </w:r>
      <w:r w:rsidR="00334D1D">
        <w:rPr>
          <w:rFonts w:cs="Arial"/>
          <w:szCs w:val="20"/>
        </w:rPr>
        <w:t xml:space="preserve">PBAC must be satisfied that it provides </w:t>
      </w:r>
      <w:r w:rsidR="0054422A">
        <w:rPr>
          <w:rFonts w:cs="Arial"/>
          <w:szCs w:val="20"/>
        </w:rPr>
        <w:t xml:space="preserve">a significant </w:t>
      </w:r>
      <w:r w:rsidR="00334D1D">
        <w:rPr>
          <w:rFonts w:cs="Arial"/>
          <w:szCs w:val="20"/>
        </w:rPr>
        <w:t>improvement in efficacy</w:t>
      </w:r>
      <w:r w:rsidR="0054422A">
        <w:rPr>
          <w:rFonts w:cs="Arial"/>
          <w:szCs w:val="20"/>
        </w:rPr>
        <w:t xml:space="preserve"> </w:t>
      </w:r>
      <w:r w:rsidR="00334D1D">
        <w:rPr>
          <w:rFonts w:cs="Arial"/>
          <w:szCs w:val="20"/>
        </w:rPr>
        <w:t xml:space="preserve">or reduction in toxicity </w:t>
      </w:r>
      <w:r w:rsidR="00E2660D">
        <w:rPr>
          <w:rFonts w:cs="Arial"/>
          <w:szCs w:val="20"/>
        </w:rPr>
        <w:t xml:space="preserve">when compared to </w:t>
      </w:r>
      <w:r w:rsidR="00334D1D">
        <w:rPr>
          <w:rFonts w:cs="Arial"/>
          <w:szCs w:val="20"/>
        </w:rPr>
        <w:t>the alternative therapies.</w:t>
      </w:r>
      <w:r w:rsidR="00D67600">
        <w:rPr>
          <w:rFonts w:cs="Arial"/>
          <w:szCs w:val="20"/>
        </w:rPr>
        <w:t xml:space="preserve"> </w:t>
      </w:r>
      <w:r w:rsidR="00407E29" w:rsidRPr="00407E29">
        <w:rPr>
          <w:rFonts w:cs="Arial"/>
          <w:szCs w:val="20"/>
        </w:rPr>
        <w:t>Post</w:t>
      </w:r>
      <w:r w:rsidR="0003291B">
        <w:rPr>
          <w:rFonts w:cs="Arial"/>
          <w:szCs w:val="20"/>
        </w:rPr>
        <w:noBreakHyphen/>
      </w:r>
      <w:r w:rsidR="00407E29" w:rsidRPr="00407E29">
        <w:rPr>
          <w:rFonts w:cs="Arial"/>
          <w:szCs w:val="20"/>
        </w:rPr>
        <w:t>recommendation steps must then be successfully completed for the medicine to be subsidised through the PBS.</w:t>
      </w:r>
      <w:r w:rsidRPr="00407E29">
        <w:rPr>
          <w:rFonts w:cs="Arial"/>
          <w:szCs w:val="20"/>
        </w:rPr>
        <w:t xml:space="preserve"> </w:t>
      </w:r>
    </w:p>
    <w:p w14:paraId="038999B2" w14:textId="5026F554" w:rsidR="00AC07FB" w:rsidRDefault="002000DA" w:rsidP="00334D1D">
      <w:pPr>
        <w:spacing w:before="0" w:after="160"/>
        <w:rPr>
          <w:rFonts w:cs="Arial"/>
          <w:szCs w:val="20"/>
        </w:rPr>
      </w:pPr>
      <w:r>
        <w:rPr>
          <w:rFonts w:cs="Arial"/>
          <w:szCs w:val="20"/>
        </w:rPr>
        <w:t>Processes for</w:t>
      </w:r>
      <w:r w:rsidR="00AC07FB">
        <w:rPr>
          <w:rFonts w:cs="Arial"/>
          <w:szCs w:val="20"/>
        </w:rPr>
        <w:t xml:space="preserve"> </w:t>
      </w:r>
      <w:r>
        <w:rPr>
          <w:rFonts w:cs="Arial"/>
          <w:szCs w:val="20"/>
        </w:rPr>
        <w:t xml:space="preserve">assessment and funding of medicines through the PBS and timeframes </w:t>
      </w:r>
      <w:r w:rsidR="00AC07FB">
        <w:rPr>
          <w:rFonts w:cs="Arial"/>
          <w:szCs w:val="20"/>
        </w:rPr>
        <w:t xml:space="preserve">are </w:t>
      </w:r>
      <w:r>
        <w:rPr>
          <w:rFonts w:cs="Arial"/>
          <w:szCs w:val="20"/>
        </w:rPr>
        <w:t>described</w:t>
      </w:r>
      <w:r w:rsidR="00AC07FB">
        <w:rPr>
          <w:rFonts w:cs="Arial"/>
          <w:szCs w:val="20"/>
        </w:rPr>
        <w:t xml:space="preserve"> in </w:t>
      </w:r>
      <w:r w:rsidR="001C6F1A">
        <w:rPr>
          <w:rFonts w:cs="Arial"/>
          <w:szCs w:val="20"/>
        </w:rPr>
        <w:t>S</w:t>
      </w:r>
      <w:r w:rsidR="00AC07FB">
        <w:rPr>
          <w:rFonts w:cs="Arial"/>
          <w:szCs w:val="20"/>
        </w:rPr>
        <w:t xml:space="preserve">ection 4. </w:t>
      </w:r>
    </w:p>
    <w:p w14:paraId="17378D94" w14:textId="3C347B75" w:rsidR="00C31CAE" w:rsidRPr="00407E29" w:rsidRDefault="00C31CAE" w:rsidP="00334D1D">
      <w:pPr>
        <w:pStyle w:val="Heading4"/>
      </w:pPr>
      <w:r w:rsidRPr="00407E29">
        <w:t xml:space="preserve">Vaccines </w:t>
      </w:r>
    </w:p>
    <w:p w14:paraId="04EA0E64" w14:textId="2E80D70C" w:rsidR="00AC07FB" w:rsidRDefault="00AC07FB" w:rsidP="00334D1D">
      <w:pPr>
        <w:spacing w:before="0" w:after="160"/>
        <w:rPr>
          <w:rFonts w:cs="Arial"/>
          <w:szCs w:val="20"/>
        </w:rPr>
      </w:pPr>
      <w:r>
        <w:rPr>
          <w:rFonts w:cs="Arial"/>
          <w:szCs w:val="20"/>
        </w:rPr>
        <w:t>In Australia,</w:t>
      </w:r>
      <w:r w:rsidR="00786D0E">
        <w:rPr>
          <w:rFonts w:cs="Arial"/>
          <w:szCs w:val="20"/>
        </w:rPr>
        <w:t xml:space="preserve"> the procurement of</w:t>
      </w:r>
      <w:r>
        <w:rPr>
          <w:rFonts w:cs="Arial"/>
          <w:szCs w:val="20"/>
        </w:rPr>
        <w:t xml:space="preserve"> vaccines </w:t>
      </w:r>
      <w:r w:rsidR="0003291B">
        <w:rPr>
          <w:rFonts w:cs="Arial"/>
          <w:szCs w:val="20"/>
        </w:rPr>
        <w:t>is</w:t>
      </w:r>
      <w:r>
        <w:rPr>
          <w:rFonts w:cs="Arial"/>
          <w:szCs w:val="20"/>
        </w:rPr>
        <w:t xml:space="preserve"> predominantly funded </w:t>
      </w:r>
      <w:r w:rsidR="00F1485B">
        <w:rPr>
          <w:rFonts w:cs="Arial"/>
          <w:szCs w:val="20"/>
        </w:rPr>
        <w:t xml:space="preserve">by the Commonwealth </w:t>
      </w:r>
      <w:r>
        <w:rPr>
          <w:rFonts w:cs="Arial"/>
          <w:szCs w:val="20"/>
        </w:rPr>
        <w:t xml:space="preserve">through the </w:t>
      </w:r>
      <w:r w:rsidR="005A64A7">
        <w:rPr>
          <w:rFonts w:cs="Arial"/>
          <w:szCs w:val="20"/>
        </w:rPr>
        <w:t>NIP</w:t>
      </w:r>
      <w:r>
        <w:rPr>
          <w:rFonts w:cs="Arial"/>
          <w:szCs w:val="20"/>
        </w:rPr>
        <w:t xml:space="preserve">. </w:t>
      </w:r>
      <w:r w:rsidR="00786D0E">
        <w:rPr>
          <w:rFonts w:cs="Arial"/>
          <w:szCs w:val="20"/>
        </w:rPr>
        <w:t>State and territory health departments coordinat</w:t>
      </w:r>
      <w:r w:rsidR="00A24862">
        <w:rPr>
          <w:rFonts w:cs="Arial"/>
          <w:szCs w:val="20"/>
        </w:rPr>
        <w:t>e</w:t>
      </w:r>
      <w:r w:rsidR="00786D0E">
        <w:rPr>
          <w:rFonts w:cs="Arial"/>
          <w:szCs w:val="20"/>
        </w:rPr>
        <w:t xml:space="preserve"> and overs</w:t>
      </w:r>
      <w:r w:rsidR="00895F66">
        <w:rPr>
          <w:rFonts w:cs="Arial"/>
          <w:szCs w:val="20"/>
        </w:rPr>
        <w:t xml:space="preserve">ee </w:t>
      </w:r>
      <w:r w:rsidR="00786D0E">
        <w:rPr>
          <w:rFonts w:cs="Arial"/>
          <w:szCs w:val="20"/>
        </w:rPr>
        <w:t>immunisation service delivery and vaccine distribution</w:t>
      </w:r>
      <w:r>
        <w:rPr>
          <w:rFonts w:cs="Arial"/>
          <w:szCs w:val="20"/>
        </w:rPr>
        <w:t>. Vaccines are delivered through a range of health services including general practices, local council immunisation clinics, community health centres, Aboriginal Medical Services, pharmacies and schools (for adolescents).</w:t>
      </w:r>
    </w:p>
    <w:p w14:paraId="3576ADFB" w14:textId="192CDC63" w:rsidR="00AC07FB" w:rsidRDefault="00745A79" w:rsidP="00334D1D">
      <w:pPr>
        <w:spacing w:before="0" w:after="160"/>
        <w:rPr>
          <w:rFonts w:cs="Arial"/>
          <w:szCs w:val="20"/>
        </w:rPr>
      </w:pPr>
      <w:r>
        <w:rPr>
          <w:rFonts w:cs="Arial"/>
          <w:szCs w:val="20"/>
        </w:rPr>
        <w:t xml:space="preserve">The </w:t>
      </w:r>
      <w:r w:rsidR="00B2196C" w:rsidRPr="00EE30E8">
        <w:rPr>
          <w:rFonts w:cs="Arial"/>
          <w:szCs w:val="20"/>
        </w:rPr>
        <w:t xml:space="preserve">PBAC assesses vaccines for subsidy under the </w:t>
      </w:r>
      <w:r w:rsidR="00C31CAE" w:rsidRPr="00EE30E8">
        <w:rPr>
          <w:rFonts w:cs="Arial"/>
          <w:szCs w:val="20"/>
        </w:rPr>
        <w:t>NIP or PBS</w:t>
      </w:r>
      <w:r w:rsidR="00B2196C" w:rsidRPr="00EE30E8">
        <w:rPr>
          <w:rFonts w:cs="Arial"/>
          <w:szCs w:val="20"/>
        </w:rPr>
        <w:t xml:space="preserve">. </w:t>
      </w:r>
      <w:r w:rsidR="00B13699">
        <w:rPr>
          <w:rFonts w:cs="Arial"/>
          <w:szCs w:val="20"/>
        </w:rPr>
        <w:t>Before</w:t>
      </w:r>
      <w:r w:rsidR="00B2196C" w:rsidRPr="00EE30E8">
        <w:rPr>
          <w:rFonts w:cs="Arial"/>
          <w:szCs w:val="20"/>
        </w:rPr>
        <w:t xml:space="preserve"> seeking listing on the PBS or NIP, </w:t>
      </w:r>
      <w:r w:rsidR="000D1AB4" w:rsidRPr="00EE30E8">
        <w:rPr>
          <w:rFonts w:cs="Arial"/>
          <w:szCs w:val="20"/>
        </w:rPr>
        <w:t>sponsors are required to seek advice from the</w:t>
      </w:r>
      <w:r w:rsidR="00AC07FB">
        <w:rPr>
          <w:rFonts w:cs="Arial"/>
          <w:szCs w:val="20"/>
        </w:rPr>
        <w:t xml:space="preserve"> </w:t>
      </w:r>
      <w:r w:rsidR="00C31CAE" w:rsidRPr="00EE30E8">
        <w:rPr>
          <w:rFonts w:cs="Arial"/>
          <w:szCs w:val="20"/>
        </w:rPr>
        <w:t xml:space="preserve">Australian Technical Advisory Group on Immunisation (ATAGI). </w:t>
      </w:r>
      <w:r w:rsidR="000D1AB4" w:rsidRPr="00EE30E8">
        <w:rPr>
          <w:rFonts w:cs="Arial"/>
          <w:szCs w:val="20"/>
        </w:rPr>
        <w:t xml:space="preserve">One of the major roles of ATAGI is to provide </w:t>
      </w:r>
      <w:r w:rsidR="006F71F6">
        <w:rPr>
          <w:rFonts w:cs="Arial"/>
          <w:szCs w:val="20"/>
        </w:rPr>
        <w:t xml:space="preserve">the </w:t>
      </w:r>
      <w:r w:rsidR="000D1AB4" w:rsidRPr="00EE30E8">
        <w:rPr>
          <w:rFonts w:cs="Arial"/>
          <w:szCs w:val="20"/>
        </w:rPr>
        <w:t xml:space="preserve">PBAC with technical advice in relation to the consideration of listing a vaccine on the NIP or PBS. </w:t>
      </w:r>
    </w:p>
    <w:p w14:paraId="493F37D6" w14:textId="641319FB" w:rsidR="00C31CAE" w:rsidRPr="00EE30E8" w:rsidRDefault="002000DA" w:rsidP="00334D1D">
      <w:pPr>
        <w:spacing w:before="0" w:after="160"/>
        <w:rPr>
          <w:rFonts w:cs="Arial"/>
          <w:szCs w:val="20"/>
        </w:rPr>
      </w:pPr>
      <w:r>
        <w:rPr>
          <w:rFonts w:cs="Arial"/>
          <w:szCs w:val="20"/>
        </w:rPr>
        <w:t>Processes for</w:t>
      </w:r>
      <w:r w:rsidR="00AC07FB">
        <w:rPr>
          <w:rFonts w:cs="Arial"/>
          <w:szCs w:val="20"/>
        </w:rPr>
        <w:t xml:space="preserve"> </w:t>
      </w:r>
      <w:r>
        <w:rPr>
          <w:rFonts w:cs="Arial"/>
          <w:szCs w:val="20"/>
        </w:rPr>
        <w:t xml:space="preserve">assessment and funding of vaccines for listing on the </w:t>
      </w:r>
      <w:r w:rsidR="00AC07FB">
        <w:rPr>
          <w:rFonts w:cs="Arial"/>
          <w:szCs w:val="20"/>
        </w:rPr>
        <w:t xml:space="preserve">NIP </w:t>
      </w:r>
      <w:r>
        <w:rPr>
          <w:rFonts w:cs="Arial"/>
          <w:szCs w:val="20"/>
        </w:rPr>
        <w:t>and timeframes</w:t>
      </w:r>
      <w:r w:rsidR="00AC07FB">
        <w:rPr>
          <w:rFonts w:cs="Arial"/>
          <w:szCs w:val="20"/>
        </w:rPr>
        <w:t xml:space="preserve"> are </w:t>
      </w:r>
      <w:r>
        <w:rPr>
          <w:rFonts w:cs="Arial"/>
          <w:szCs w:val="20"/>
        </w:rPr>
        <w:t>described</w:t>
      </w:r>
      <w:r w:rsidR="00AC07FB">
        <w:rPr>
          <w:rFonts w:cs="Arial"/>
          <w:szCs w:val="20"/>
        </w:rPr>
        <w:t xml:space="preserve"> in </w:t>
      </w:r>
      <w:r w:rsidR="001C6F1A">
        <w:rPr>
          <w:rFonts w:cs="Arial"/>
          <w:szCs w:val="20"/>
        </w:rPr>
        <w:t>S</w:t>
      </w:r>
      <w:r w:rsidR="00AC07FB">
        <w:rPr>
          <w:rFonts w:cs="Arial"/>
          <w:szCs w:val="20"/>
        </w:rPr>
        <w:t>ection 5.</w:t>
      </w:r>
      <w:r w:rsidR="00AC07FB" w:rsidRPr="00EE30E8">
        <w:rPr>
          <w:rFonts w:cs="Arial"/>
          <w:szCs w:val="20"/>
        </w:rPr>
        <w:t xml:space="preserve"> </w:t>
      </w:r>
    </w:p>
    <w:p w14:paraId="65FC5624" w14:textId="25E0D7A9" w:rsidR="006D536F" w:rsidRPr="006D536F" w:rsidRDefault="008F00CD" w:rsidP="00334D1D">
      <w:pPr>
        <w:pStyle w:val="Heading4"/>
      </w:pPr>
      <w:r>
        <w:t>Medicines</w:t>
      </w:r>
      <w:r w:rsidR="00A94A5A">
        <w:t xml:space="preserve"> for ultra-rare disease</w:t>
      </w:r>
      <w:r w:rsidR="009D3F6F">
        <w:t>s</w:t>
      </w:r>
      <w:r w:rsidR="00A94A5A">
        <w:t xml:space="preserve"> </w:t>
      </w:r>
    </w:p>
    <w:p w14:paraId="53EA58F8" w14:textId="21D04BC7" w:rsidR="00433CF1" w:rsidRDefault="008F00CD" w:rsidP="00334D1D">
      <w:pPr>
        <w:spacing w:before="0" w:line="240" w:lineRule="auto"/>
        <w:rPr>
          <w:rFonts w:cs="Arial"/>
          <w:szCs w:val="20"/>
        </w:rPr>
      </w:pPr>
      <w:r>
        <w:rPr>
          <w:rFonts w:cs="Arial"/>
          <w:szCs w:val="20"/>
        </w:rPr>
        <w:t>Medicines for rare and ultra-rare diseases are subsidised through the PBS. Where</w:t>
      </w:r>
      <w:r w:rsidR="00B37709" w:rsidRPr="00D67600" w:rsidDel="002174A2">
        <w:rPr>
          <w:rFonts w:cs="Arial"/>
          <w:szCs w:val="20"/>
        </w:rPr>
        <w:t xml:space="preserve"> </w:t>
      </w:r>
      <w:r w:rsidR="00B3685F">
        <w:rPr>
          <w:rFonts w:cs="Arial"/>
          <w:szCs w:val="20"/>
        </w:rPr>
        <w:t xml:space="preserve">the </w:t>
      </w:r>
      <w:r w:rsidR="00B37709" w:rsidRPr="00D67600">
        <w:rPr>
          <w:rFonts w:cs="Arial"/>
          <w:szCs w:val="20"/>
        </w:rPr>
        <w:t>PBAC</w:t>
      </w:r>
      <w:r w:rsidR="000D1AB4" w:rsidRPr="00D67600">
        <w:rPr>
          <w:rFonts w:cs="Arial"/>
          <w:szCs w:val="20"/>
        </w:rPr>
        <w:t xml:space="preserve"> </w:t>
      </w:r>
      <w:r>
        <w:rPr>
          <w:rFonts w:cs="Arial"/>
          <w:szCs w:val="20"/>
        </w:rPr>
        <w:t>assesses that a medicine for an ultra-rare disease is</w:t>
      </w:r>
      <w:r w:rsidR="000D1AB4" w:rsidRPr="00D67600">
        <w:rPr>
          <w:rFonts w:cs="Arial"/>
          <w:szCs w:val="20"/>
        </w:rPr>
        <w:t xml:space="preserve"> clinically effective but</w:t>
      </w:r>
      <w:r w:rsidR="00B37709" w:rsidRPr="00D67600">
        <w:rPr>
          <w:rFonts w:cs="Arial"/>
          <w:szCs w:val="20"/>
        </w:rPr>
        <w:t xml:space="preserve"> </w:t>
      </w:r>
      <w:r w:rsidR="006D536F">
        <w:t>not cost effective</w:t>
      </w:r>
      <w:r>
        <w:t>, it</w:t>
      </w:r>
      <w:r w:rsidR="006D536F">
        <w:rPr>
          <w:rFonts w:ascii="Times New Roman" w:hAnsi="Times New Roman" w:cs="Times New Roman"/>
          <w:sz w:val="24"/>
          <w:szCs w:val="24"/>
          <w:lang w:eastAsia="en-AU"/>
        </w:rPr>
        <w:t xml:space="preserve"> </w:t>
      </w:r>
      <w:r>
        <w:rPr>
          <w:rFonts w:cs="Arial"/>
          <w:szCs w:val="20"/>
        </w:rPr>
        <w:t>may be eligible for</w:t>
      </w:r>
      <w:r w:rsidR="00B37709" w:rsidRPr="00D67600">
        <w:rPr>
          <w:rFonts w:cs="Arial"/>
          <w:szCs w:val="20"/>
        </w:rPr>
        <w:t xml:space="preserve"> fund</w:t>
      </w:r>
      <w:r>
        <w:rPr>
          <w:rFonts w:cs="Arial"/>
          <w:szCs w:val="20"/>
        </w:rPr>
        <w:t>ing</w:t>
      </w:r>
      <w:r w:rsidR="00F1485B">
        <w:rPr>
          <w:rFonts w:cs="Arial"/>
          <w:szCs w:val="20"/>
        </w:rPr>
        <w:t xml:space="preserve"> by the Commonwealth</w:t>
      </w:r>
      <w:r w:rsidR="00B37709" w:rsidRPr="00D67600">
        <w:rPr>
          <w:rFonts w:cs="Arial"/>
          <w:szCs w:val="20"/>
        </w:rPr>
        <w:t xml:space="preserve"> through the </w:t>
      </w:r>
      <w:r w:rsidR="00742BEC" w:rsidRPr="00D67600">
        <w:rPr>
          <w:rFonts w:cs="Arial"/>
          <w:szCs w:val="20"/>
        </w:rPr>
        <w:t>LSDP</w:t>
      </w:r>
      <w:r w:rsidR="009C103B" w:rsidRPr="00D67600">
        <w:rPr>
          <w:rFonts w:cs="Arial"/>
          <w:szCs w:val="20"/>
        </w:rPr>
        <w:t xml:space="preserve">. </w:t>
      </w:r>
    </w:p>
    <w:p w14:paraId="18B63C79" w14:textId="77777777" w:rsidR="006D536F" w:rsidRPr="006D536F" w:rsidRDefault="006D536F" w:rsidP="00334D1D">
      <w:pPr>
        <w:spacing w:before="0" w:line="240" w:lineRule="auto"/>
        <w:rPr>
          <w:rFonts w:ascii="Times New Roman" w:hAnsi="Times New Roman" w:cs="Times New Roman"/>
          <w:sz w:val="24"/>
          <w:szCs w:val="24"/>
          <w:lang w:eastAsia="en-AU"/>
        </w:rPr>
      </w:pPr>
    </w:p>
    <w:p w14:paraId="0404271B" w14:textId="5A5E4359" w:rsidR="005A64A7" w:rsidRPr="00D67600" w:rsidRDefault="00B016A5" w:rsidP="00334D1D">
      <w:pPr>
        <w:spacing w:before="0" w:after="160"/>
        <w:rPr>
          <w:rFonts w:cs="Arial"/>
          <w:szCs w:val="20"/>
        </w:rPr>
      </w:pPr>
      <w:r w:rsidRPr="00D67600">
        <w:rPr>
          <w:rFonts w:cs="Arial"/>
          <w:szCs w:val="20"/>
        </w:rPr>
        <w:t>Sponsors are required to seek c</w:t>
      </w:r>
      <w:r w:rsidR="000D1AB4" w:rsidRPr="00D67600">
        <w:rPr>
          <w:rFonts w:cs="Arial"/>
          <w:szCs w:val="20"/>
        </w:rPr>
        <w:t>onsideration by</w:t>
      </w:r>
      <w:r w:rsidR="008853BD">
        <w:rPr>
          <w:rFonts w:cs="Arial"/>
          <w:szCs w:val="20"/>
        </w:rPr>
        <w:t xml:space="preserve"> </w:t>
      </w:r>
      <w:r w:rsidR="004510A5">
        <w:rPr>
          <w:rFonts w:cs="Arial"/>
          <w:szCs w:val="20"/>
        </w:rPr>
        <w:t xml:space="preserve">the </w:t>
      </w:r>
      <w:r w:rsidR="000D1AB4" w:rsidRPr="00D67600">
        <w:rPr>
          <w:rFonts w:cs="Arial"/>
          <w:szCs w:val="20"/>
        </w:rPr>
        <w:t xml:space="preserve">PBAC </w:t>
      </w:r>
      <w:r w:rsidR="009B4836">
        <w:rPr>
          <w:rFonts w:cs="Arial"/>
          <w:szCs w:val="20"/>
        </w:rPr>
        <w:t>before</w:t>
      </w:r>
      <w:r w:rsidRPr="00D67600">
        <w:rPr>
          <w:rFonts w:cs="Arial"/>
          <w:szCs w:val="20"/>
        </w:rPr>
        <w:t xml:space="preserve"> submitting an application </w:t>
      </w:r>
      <w:r w:rsidR="00433CF1">
        <w:rPr>
          <w:rFonts w:cs="Arial"/>
          <w:szCs w:val="20"/>
        </w:rPr>
        <w:t>for listing on the LSDP. There are</w:t>
      </w:r>
      <w:r w:rsidR="00513920">
        <w:rPr>
          <w:rFonts w:cs="Arial"/>
          <w:szCs w:val="20"/>
        </w:rPr>
        <w:t xml:space="preserve"> several</w:t>
      </w:r>
      <w:r w:rsidR="00433CF1">
        <w:rPr>
          <w:rFonts w:cs="Arial"/>
          <w:szCs w:val="20"/>
        </w:rPr>
        <w:t xml:space="preserve"> specific criteria for medicines to be funded through the LSDP that must be addressed in the application for funding</w:t>
      </w:r>
      <w:r w:rsidR="004627D6">
        <w:rPr>
          <w:rStyle w:val="FootnoteReference"/>
          <w:rFonts w:cs="Arial"/>
          <w:szCs w:val="20"/>
        </w:rPr>
        <w:footnoteReference w:id="6"/>
      </w:r>
      <w:r w:rsidR="00433CF1">
        <w:rPr>
          <w:rFonts w:cs="Arial"/>
          <w:szCs w:val="20"/>
        </w:rPr>
        <w:t>. Applications for funding are assessed by the</w:t>
      </w:r>
      <w:r w:rsidR="00082D5C" w:rsidRPr="00D67600">
        <w:rPr>
          <w:rFonts w:cs="Arial"/>
          <w:szCs w:val="20"/>
        </w:rPr>
        <w:t xml:space="preserve"> LSDP Expert Panel</w:t>
      </w:r>
      <w:r w:rsidR="009C103B" w:rsidRPr="00D67600">
        <w:rPr>
          <w:rFonts w:cs="Arial"/>
          <w:szCs w:val="20"/>
        </w:rPr>
        <w:t xml:space="preserve">. </w:t>
      </w:r>
    </w:p>
    <w:p w14:paraId="137303CB" w14:textId="2095678F" w:rsidR="009C103B" w:rsidRPr="00D67600" w:rsidRDefault="002000DA" w:rsidP="00334D1D">
      <w:pPr>
        <w:spacing w:before="0" w:after="160"/>
        <w:rPr>
          <w:rFonts w:cs="Arial"/>
          <w:szCs w:val="20"/>
        </w:rPr>
      </w:pPr>
      <w:r>
        <w:rPr>
          <w:rFonts w:cs="Arial"/>
          <w:szCs w:val="20"/>
        </w:rPr>
        <w:t>Processes for assessment and funding of medicines through the</w:t>
      </w:r>
      <w:r w:rsidR="009C103B" w:rsidRPr="00D67600">
        <w:rPr>
          <w:rFonts w:cs="Arial"/>
          <w:szCs w:val="20"/>
        </w:rPr>
        <w:t xml:space="preserve"> LSDP</w:t>
      </w:r>
      <w:r>
        <w:rPr>
          <w:rFonts w:cs="Arial"/>
          <w:szCs w:val="20"/>
        </w:rPr>
        <w:t xml:space="preserve"> and timeframes</w:t>
      </w:r>
      <w:r w:rsidR="009C103B" w:rsidRPr="00D67600">
        <w:rPr>
          <w:rFonts w:cs="Arial"/>
          <w:szCs w:val="20"/>
        </w:rPr>
        <w:t xml:space="preserve"> </w:t>
      </w:r>
      <w:r w:rsidR="0048160D" w:rsidRPr="00D67600">
        <w:rPr>
          <w:rFonts w:cs="Arial"/>
          <w:szCs w:val="20"/>
        </w:rPr>
        <w:t xml:space="preserve">are </w:t>
      </w:r>
      <w:r>
        <w:rPr>
          <w:rFonts w:cs="Arial"/>
          <w:szCs w:val="20"/>
        </w:rPr>
        <w:t xml:space="preserve">described </w:t>
      </w:r>
      <w:r w:rsidR="009C103B" w:rsidRPr="00D67600">
        <w:rPr>
          <w:rFonts w:cs="Arial"/>
          <w:szCs w:val="20"/>
        </w:rPr>
        <w:t xml:space="preserve">in Section </w:t>
      </w:r>
      <w:r w:rsidR="00AC07FB" w:rsidRPr="00D67600">
        <w:rPr>
          <w:rFonts w:cs="Arial"/>
          <w:szCs w:val="20"/>
        </w:rPr>
        <w:t xml:space="preserve">6. </w:t>
      </w:r>
    </w:p>
    <w:p w14:paraId="68647B68" w14:textId="77777777" w:rsidR="00C31CAE" w:rsidRPr="00614ECA" w:rsidRDefault="00C31CAE" w:rsidP="00334D1D">
      <w:pPr>
        <w:pStyle w:val="Heading4"/>
      </w:pPr>
      <w:r w:rsidRPr="00614ECA">
        <w:t xml:space="preserve">Health services (test and procedures) </w:t>
      </w:r>
    </w:p>
    <w:p w14:paraId="1675B582" w14:textId="6B71F634" w:rsidR="00D67600" w:rsidRPr="00D67600" w:rsidRDefault="00D67600" w:rsidP="00334D1D">
      <w:pPr>
        <w:spacing w:before="0" w:after="160"/>
        <w:rPr>
          <w:rFonts w:cs="Arial"/>
          <w:szCs w:val="20"/>
        </w:rPr>
      </w:pPr>
      <w:r w:rsidRPr="00D67600">
        <w:rPr>
          <w:rFonts w:cs="Arial"/>
          <w:szCs w:val="20"/>
        </w:rPr>
        <w:t>In Australia, t</w:t>
      </w:r>
      <w:r w:rsidR="005A64A7" w:rsidRPr="00D67600">
        <w:rPr>
          <w:rFonts w:cs="Arial"/>
          <w:szCs w:val="20"/>
        </w:rPr>
        <w:t xml:space="preserve">ests and procedures </w:t>
      </w:r>
      <w:r w:rsidRPr="00D67600">
        <w:rPr>
          <w:rFonts w:cs="Arial"/>
          <w:szCs w:val="20"/>
        </w:rPr>
        <w:t>are funded</w:t>
      </w:r>
      <w:r w:rsidR="005A64A7" w:rsidRPr="00D67600">
        <w:rPr>
          <w:rFonts w:cs="Arial"/>
          <w:szCs w:val="20"/>
        </w:rPr>
        <w:t xml:space="preserve"> through the MBS</w:t>
      </w:r>
      <w:r w:rsidRPr="00D67600">
        <w:rPr>
          <w:rFonts w:cs="Arial"/>
          <w:szCs w:val="20"/>
        </w:rPr>
        <w:t xml:space="preserve"> and</w:t>
      </w:r>
      <w:r w:rsidR="005A64A7" w:rsidRPr="00D67600">
        <w:rPr>
          <w:rFonts w:cs="Arial"/>
          <w:szCs w:val="20"/>
        </w:rPr>
        <w:t xml:space="preserve"> under public hospital funding arrangements</w:t>
      </w:r>
      <w:r w:rsidRPr="00D67600">
        <w:rPr>
          <w:rFonts w:cs="Arial"/>
          <w:szCs w:val="20"/>
        </w:rPr>
        <w:t>. Tests and procedures can also be privately funded through</w:t>
      </w:r>
      <w:r w:rsidR="005A64A7" w:rsidRPr="00D67600">
        <w:rPr>
          <w:rFonts w:cs="Arial"/>
          <w:szCs w:val="20"/>
        </w:rPr>
        <w:t xml:space="preserve"> private health insuran</w:t>
      </w:r>
      <w:r w:rsidRPr="00D67600">
        <w:rPr>
          <w:rFonts w:cs="Arial"/>
          <w:szCs w:val="20"/>
        </w:rPr>
        <w:t xml:space="preserve">ce </w:t>
      </w:r>
      <w:r w:rsidRPr="00D67600">
        <w:rPr>
          <w:rFonts w:cs="Arial"/>
          <w:szCs w:val="20"/>
        </w:rPr>
        <w:lastRenderedPageBreak/>
        <w:t>arrangements or paid for directly by individual patients or by other sources.</w:t>
      </w:r>
      <w:r w:rsidR="00433CF1">
        <w:rPr>
          <w:rFonts w:cs="Arial"/>
          <w:szCs w:val="20"/>
        </w:rPr>
        <w:t xml:space="preserve"> Tests</w:t>
      </w:r>
      <w:r w:rsidR="008D06E0">
        <w:rPr>
          <w:rFonts w:cs="Arial"/>
          <w:szCs w:val="20"/>
        </w:rPr>
        <w:t xml:space="preserve"> </w:t>
      </w:r>
      <w:r w:rsidR="00433CF1">
        <w:rPr>
          <w:rFonts w:cs="Arial"/>
          <w:szCs w:val="20"/>
        </w:rPr>
        <w:t xml:space="preserve">and procedures are delivered through a range of health services. </w:t>
      </w:r>
    </w:p>
    <w:p w14:paraId="71DF34F2" w14:textId="5FD4CB19" w:rsidR="00C31CAE" w:rsidRDefault="00C31CAE" w:rsidP="00334D1D">
      <w:pPr>
        <w:spacing w:before="0" w:after="160"/>
      </w:pPr>
      <w:r w:rsidRPr="00D67600">
        <w:rPr>
          <w:rFonts w:cs="Arial"/>
          <w:szCs w:val="20"/>
        </w:rPr>
        <w:t xml:space="preserve">MSAC appraises new medical services proposed for </w:t>
      </w:r>
      <w:r w:rsidR="00C91850" w:rsidRPr="00D67600">
        <w:rPr>
          <w:rFonts w:cs="Arial"/>
          <w:szCs w:val="20"/>
        </w:rPr>
        <w:t>public funding</w:t>
      </w:r>
      <w:r w:rsidR="00D67600" w:rsidRPr="00D67600">
        <w:rPr>
          <w:rFonts w:cs="Arial"/>
          <w:szCs w:val="20"/>
        </w:rPr>
        <w:t>, and for private and outpatient services under the MBS,</w:t>
      </w:r>
      <w:r w:rsidR="00C91850" w:rsidRPr="00D67600">
        <w:rPr>
          <w:rFonts w:cs="Arial"/>
          <w:szCs w:val="20"/>
        </w:rPr>
        <w:t xml:space="preserve"> </w:t>
      </w:r>
      <w:r w:rsidRPr="00D67600">
        <w:rPr>
          <w:rFonts w:cs="Arial"/>
          <w:szCs w:val="20"/>
        </w:rPr>
        <w:t xml:space="preserve">and provides advice to </w:t>
      </w:r>
      <w:r w:rsidR="003C74BF">
        <w:rPr>
          <w:rFonts w:cs="Arial"/>
          <w:szCs w:val="20"/>
        </w:rPr>
        <w:t xml:space="preserve">the Australian </w:t>
      </w:r>
      <w:r w:rsidRPr="00D67600">
        <w:rPr>
          <w:rFonts w:cs="Arial"/>
          <w:szCs w:val="20"/>
        </w:rPr>
        <w:t xml:space="preserve">Government on whether a new medical service should be publicly funded (and if so, </w:t>
      </w:r>
      <w:r w:rsidR="0048160D" w:rsidRPr="00D67600">
        <w:rPr>
          <w:rFonts w:cs="Arial"/>
          <w:szCs w:val="20"/>
        </w:rPr>
        <w:t xml:space="preserve">under </w:t>
      </w:r>
      <w:r w:rsidR="00D67600" w:rsidRPr="00D67600">
        <w:rPr>
          <w:rFonts w:cs="Arial"/>
          <w:szCs w:val="20"/>
        </w:rPr>
        <w:t>what circumstances</w:t>
      </w:r>
      <w:r w:rsidRPr="00D67600">
        <w:rPr>
          <w:rFonts w:cs="Arial"/>
          <w:szCs w:val="20"/>
        </w:rPr>
        <w:t>)</w:t>
      </w:r>
      <w:r w:rsidR="00D67600">
        <w:rPr>
          <w:rFonts w:cs="Arial"/>
          <w:szCs w:val="20"/>
        </w:rPr>
        <w:t>. When deciding whether to support public funding</w:t>
      </w:r>
      <w:r w:rsidR="00433CF1">
        <w:rPr>
          <w:rFonts w:cs="Arial"/>
          <w:szCs w:val="20"/>
        </w:rPr>
        <w:t xml:space="preserve"> of a test or procedure</w:t>
      </w:r>
      <w:r w:rsidR="00D67600">
        <w:rPr>
          <w:rFonts w:cs="Arial"/>
          <w:szCs w:val="20"/>
        </w:rPr>
        <w:t xml:space="preserve">, MSAC undertakes </w:t>
      </w:r>
      <w:r w:rsidRPr="00D67600">
        <w:rPr>
          <w:rFonts w:cs="Arial"/>
          <w:szCs w:val="20"/>
        </w:rPr>
        <w:t xml:space="preserve">an assessment of </w:t>
      </w:r>
      <w:r w:rsidRPr="00342213">
        <w:t>comparative safety, clinical effectiveness, cost-effectiveness, and total cost</w:t>
      </w:r>
      <w:r w:rsidR="00433CF1">
        <w:t xml:space="preserve"> of the test or procedure</w:t>
      </w:r>
      <w:r w:rsidRPr="00342213">
        <w:t>,</w:t>
      </w:r>
      <w:r w:rsidR="00D67600">
        <w:t xml:space="preserve"> </w:t>
      </w:r>
      <w:r w:rsidRPr="00342213">
        <w:t xml:space="preserve">using the best </w:t>
      </w:r>
      <w:r w:rsidR="0048160D">
        <w:t>available evidence</w:t>
      </w:r>
      <w:r w:rsidRPr="00342213">
        <w:t>.</w:t>
      </w:r>
    </w:p>
    <w:p w14:paraId="1DC43931" w14:textId="5511EAE2" w:rsidR="00433CF1" w:rsidRPr="0048160D" w:rsidRDefault="002000DA" w:rsidP="00334D1D">
      <w:pPr>
        <w:spacing w:before="0" w:after="160"/>
        <w:rPr>
          <w:rFonts w:ascii="Times New Roman" w:hAnsi="Times New Roman" w:cs="Times New Roman"/>
          <w:sz w:val="24"/>
          <w:szCs w:val="24"/>
          <w:lang w:eastAsia="en-AU"/>
        </w:rPr>
      </w:pPr>
      <w:r>
        <w:rPr>
          <w:rFonts w:cs="Arial"/>
          <w:szCs w:val="20"/>
        </w:rPr>
        <w:t xml:space="preserve">Processes for </w:t>
      </w:r>
      <w:r w:rsidR="00433CF1">
        <w:t>MBS listing, and PBS MBS codependent listings</w:t>
      </w:r>
      <w:r>
        <w:t xml:space="preserve"> and timeframes</w:t>
      </w:r>
      <w:r w:rsidR="00433CF1">
        <w:t xml:space="preserve"> are </w:t>
      </w:r>
      <w:r>
        <w:t>described</w:t>
      </w:r>
      <w:r w:rsidR="00433CF1">
        <w:t xml:space="preserve"> in </w:t>
      </w:r>
      <w:r w:rsidR="003A1F3F">
        <w:t>s</w:t>
      </w:r>
      <w:r w:rsidR="00433CF1">
        <w:t xml:space="preserve">ections 7 and 8. </w:t>
      </w:r>
    </w:p>
    <w:p w14:paraId="3E65316D" w14:textId="5CB951A4" w:rsidR="009C103B" w:rsidRPr="00614ECA" w:rsidRDefault="001B5692" w:rsidP="00334D1D">
      <w:pPr>
        <w:pStyle w:val="Heading4"/>
      </w:pPr>
      <w:r>
        <w:t>Highly specialised therapies</w:t>
      </w:r>
    </w:p>
    <w:p w14:paraId="7C4DCE47" w14:textId="67CF80CA" w:rsidR="006D75D7" w:rsidRDefault="00DE0AF9" w:rsidP="00334D1D">
      <w:pPr>
        <w:spacing w:before="0" w:after="160"/>
        <w:rPr>
          <w:rFonts w:cs="Arial"/>
          <w:szCs w:val="20"/>
        </w:rPr>
      </w:pPr>
      <w:r>
        <w:rPr>
          <w:rFonts w:cs="Arial"/>
          <w:szCs w:val="20"/>
        </w:rPr>
        <w:t xml:space="preserve">Highly specialised therapies </w:t>
      </w:r>
      <w:r w:rsidR="009B4F31">
        <w:rPr>
          <w:rFonts w:cs="Arial"/>
          <w:szCs w:val="20"/>
        </w:rPr>
        <w:t xml:space="preserve">(HSTs) </w:t>
      </w:r>
      <w:r w:rsidR="001B5692">
        <w:rPr>
          <w:rFonts w:cs="Arial"/>
          <w:szCs w:val="20"/>
        </w:rPr>
        <w:t xml:space="preserve">such as gene therapies can be funded by the Commonwealth through the PBS. High cost, HSTs that are delivered in public hospitals (which can include </w:t>
      </w:r>
      <w:r w:rsidR="006D75D7">
        <w:rPr>
          <w:rFonts w:cs="Arial"/>
          <w:szCs w:val="20"/>
        </w:rPr>
        <w:t>gene and gene</w:t>
      </w:r>
      <w:r w:rsidR="00B878D6">
        <w:rPr>
          <w:rFonts w:cs="Arial"/>
          <w:szCs w:val="20"/>
        </w:rPr>
        <w:t>-</w:t>
      </w:r>
      <w:r w:rsidR="006D75D7">
        <w:rPr>
          <w:rFonts w:cs="Arial"/>
          <w:szCs w:val="20"/>
        </w:rPr>
        <w:t xml:space="preserve">modified cell </w:t>
      </w:r>
      <w:r w:rsidR="001B5692">
        <w:rPr>
          <w:rFonts w:cs="Arial"/>
          <w:szCs w:val="20"/>
        </w:rPr>
        <w:t>therapies) are</w:t>
      </w:r>
      <w:r w:rsidR="006D75D7">
        <w:rPr>
          <w:rFonts w:cs="Arial"/>
          <w:szCs w:val="20"/>
        </w:rPr>
        <w:t xml:space="preserve"> jointly funded by the Commonwealth</w:t>
      </w:r>
      <w:r w:rsidR="00030128">
        <w:rPr>
          <w:rFonts w:cs="Arial"/>
          <w:szCs w:val="20"/>
        </w:rPr>
        <w:t xml:space="preserve">, </w:t>
      </w:r>
      <w:r w:rsidR="006D75D7">
        <w:rPr>
          <w:rFonts w:cs="Arial"/>
          <w:szCs w:val="20"/>
        </w:rPr>
        <w:t xml:space="preserve">state and </w:t>
      </w:r>
      <w:r w:rsidR="00F42E75">
        <w:rPr>
          <w:rFonts w:cs="Arial"/>
          <w:szCs w:val="20"/>
        </w:rPr>
        <w:t xml:space="preserve">territory governments </w:t>
      </w:r>
      <w:r w:rsidR="001B5692">
        <w:rPr>
          <w:rFonts w:cs="Arial"/>
          <w:szCs w:val="20"/>
        </w:rPr>
        <w:t xml:space="preserve">under the </w:t>
      </w:r>
      <w:r w:rsidR="00F70603">
        <w:rPr>
          <w:rFonts w:cs="Arial"/>
          <w:szCs w:val="20"/>
        </w:rPr>
        <w:t xml:space="preserve">high cost, </w:t>
      </w:r>
      <w:r w:rsidR="001B5692">
        <w:rPr>
          <w:rFonts w:cs="Arial"/>
          <w:szCs w:val="20"/>
        </w:rPr>
        <w:t>HST arrangements in the NHRA addendum 2020</w:t>
      </w:r>
      <w:r w:rsidR="00DC20A8">
        <w:rPr>
          <w:rFonts w:cs="Arial"/>
          <w:szCs w:val="20"/>
        </w:rPr>
        <w:t>–</w:t>
      </w:r>
      <w:r w:rsidR="001B5692">
        <w:rPr>
          <w:rFonts w:cs="Arial"/>
          <w:szCs w:val="20"/>
        </w:rPr>
        <w:t>25</w:t>
      </w:r>
      <w:r w:rsidR="00E66FA5">
        <w:rPr>
          <w:rStyle w:val="FootnoteReference"/>
          <w:rFonts w:cs="Arial"/>
          <w:szCs w:val="20"/>
        </w:rPr>
        <w:footnoteReference w:id="7"/>
      </w:r>
      <w:r w:rsidR="009C103B" w:rsidRPr="00433CF1">
        <w:rPr>
          <w:rFonts w:cs="Arial"/>
          <w:szCs w:val="20"/>
        </w:rPr>
        <w:t xml:space="preserve">. </w:t>
      </w:r>
    </w:p>
    <w:p w14:paraId="175A7B79" w14:textId="758C24B9" w:rsidR="006D75D7" w:rsidRDefault="00EF3234" w:rsidP="00334D1D">
      <w:pPr>
        <w:spacing w:before="0" w:after="160"/>
      </w:pPr>
      <w:r w:rsidRPr="00433CF1">
        <w:rPr>
          <w:rFonts w:cs="Arial"/>
          <w:szCs w:val="20"/>
        </w:rPr>
        <w:t xml:space="preserve">Products </w:t>
      </w:r>
      <w:r w:rsidR="006D75D7">
        <w:rPr>
          <w:rFonts w:cs="Arial"/>
          <w:szCs w:val="20"/>
        </w:rPr>
        <w:t>that fulfill the</w:t>
      </w:r>
      <w:r w:rsidRPr="00433CF1">
        <w:rPr>
          <w:rFonts w:cs="Arial"/>
          <w:szCs w:val="20"/>
        </w:rPr>
        <w:t xml:space="preserve"> </w:t>
      </w:r>
      <w:r w:rsidR="00593BBE">
        <w:rPr>
          <w:rFonts w:cs="Arial"/>
          <w:szCs w:val="20"/>
        </w:rPr>
        <w:t xml:space="preserve">high cost, </w:t>
      </w:r>
      <w:r w:rsidRPr="00433CF1">
        <w:rPr>
          <w:rFonts w:cs="Arial"/>
          <w:szCs w:val="20"/>
        </w:rPr>
        <w:t>HST criteria</w:t>
      </w:r>
      <w:r w:rsidR="001B5692">
        <w:rPr>
          <w:rFonts w:cs="Arial"/>
          <w:szCs w:val="20"/>
        </w:rPr>
        <w:t xml:space="preserve"> under the NHRA</w:t>
      </w:r>
      <w:r w:rsidR="006D75D7">
        <w:rPr>
          <w:rFonts w:cs="Arial"/>
          <w:szCs w:val="20"/>
        </w:rPr>
        <w:t xml:space="preserve"> </w:t>
      </w:r>
      <w:r w:rsidR="009C103B" w:rsidRPr="00433CF1">
        <w:rPr>
          <w:rFonts w:cs="Arial"/>
          <w:szCs w:val="20"/>
        </w:rPr>
        <w:t xml:space="preserve">are </w:t>
      </w:r>
      <w:r w:rsidR="006D75D7">
        <w:rPr>
          <w:rFonts w:cs="Arial"/>
          <w:szCs w:val="20"/>
        </w:rPr>
        <w:t>appraised</w:t>
      </w:r>
      <w:r w:rsidR="009C103B" w:rsidRPr="00433CF1">
        <w:rPr>
          <w:rFonts w:cs="Arial"/>
          <w:szCs w:val="20"/>
        </w:rPr>
        <w:t xml:space="preserve"> by</w:t>
      </w:r>
      <w:r w:rsidR="006F1B02">
        <w:rPr>
          <w:rFonts w:cs="Arial"/>
          <w:szCs w:val="20"/>
        </w:rPr>
        <w:t xml:space="preserve"> </w:t>
      </w:r>
      <w:r w:rsidR="009C103B" w:rsidRPr="00433CF1">
        <w:rPr>
          <w:rFonts w:cs="Arial"/>
          <w:szCs w:val="20"/>
        </w:rPr>
        <w:t xml:space="preserve">MSAC. </w:t>
      </w:r>
      <w:r w:rsidR="006D75D7">
        <w:rPr>
          <w:rFonts w:cs="Arial"/>
          <w:szCs w:val="20"/>
        </w:rPr>
        <w:t xml:space="preserve">When deciding whether to support public funding of a </w:t>
      </w:r>
      <w:r w:rsidR="004A7DAF">
        <w:rPr>
          <w:rFonts w:cs="Arial"/>
          <w:szCs w:val="20"/>
        </w:rPr>
        <w:t xml:space="preserve">high cost, </w:t>
      </w:r>
      <w:r w:rsidR="006D75D7">
        <w:rPr>
          <w:rFonts w:cs="Arial"/>
          <w:szCs w:val="20"/>
        </w:rPr>
        <w:t xml:space="preserve">HST, MSAC undertakes </w:t>
      </w:r>
      <w:r w:rsidR="006D75D7" w:rsidRPr="00D67600">
        <w:rPr>
          <w:rFonts w:cs="Arial"/>
          <w:szCs w:val="20"/>
        </w:rPr>
        <w:t xml:space="preserve">an assessment of </w:t>
      </w:r>
      <w:r w:rsidR="006D75D7" w:rsidRPr="00342213">
        <w:t>comparative safety, clinical effectiveness, cost-effectiveness, and total cost</w:t>
      </w:r>
      <w:r w:rsidR="006D75D7">
        <w:t xml:space="preserve"> of the </w:t>
      </w:r>
      <w:r w:rsidR="00FC10C1">
        <w:t>therapy</w:t>
      </w:r>
      <w:r w:rsidR="006D75D7" w:rsidRPr="00342213">
        <w:t>,</w:t>
      </w:r>
      <w:r w:rsidR="006D75D7">
        <w:t xml:space="preserve"> </w:t>
      </w:r>
      <w:r w:rsidR="006D75D7" w:rsidRPr="00342213">
        <w:t xml:space="preserve">using the best </w:t>
      </w:r>
      <w:r w:rsidR="006D75D7">
        <w:t>available evidence</w:t>
      </w:r>
      <w:r w:rsidR="006D75D7" w:rsidRPr="00342213">
        <w:t>.</w:t>
      </w:r>
    </w:p>
    <w:p w14:paraId="4B2602A8" w14:textId="4B472A9F" w:rsidR="009C103B" w:rsidRPr="00433CF1" w:rsidRDefault="002000DA" w:rsidP="00334D1D">
      <w:pPr>
        <w:spacing w:before="0" w:after="160"/>
        <w:rPr>
          <w:rFonts w:cs="Arial"/>
          <w:szCs w:val="20"/>
        </w:rPr>
      </w:pPr>
      <w:r>
        <w:rPr>
          <w:rFonts w:cs="Arial"/>
          <w:szCs w:val="20"/>
        </w:rPr>
        <w:t xml:space="preserve">Processes for </w:t>
      </w:r>
      <w:r w:rsidR="006D75D7">
        <w:rPr>
          <w:rFonts w:cs="Arial"/>
          <w:szCs w:val="20"/>
        </w:rPr>
        <w:t>assessment and funding of HSTs</w:t>
      </w:r>
      <w:r>
        <w:rPr>
          <w:rFonts w:cs="Arial"/>
          <w:szCs w:val="20"/>
        </w:rPr>
        <w:t xml:space="preserve"> and timeframes</w:t>
      </w:r>
      <w:r w:rsidR="006D75D7">
        <w:rPr>
          <w:rFonts w:cs="Arial"/>
          <w:szCs w:val="20"/>
        </w:rPr>
        <w:t xml:space="preserve"> are </w:t>
      </w:r>
      <w:r>
        <w:rPr>
          <w:rFonts w:cs="Arial"/>
          <w:szCs w:val="20"/>
        </w:rPr>
        <w:t>described</w:t>
      </w:r>
      <w:r w:rsidR="006D75D7">
        <w:rPr>
          <w:rFonts w:cs="Arial"/>
          <w:szCs w:val="20"/>
        </w:rPr>
        <w:t xml:space="preserve"> in Section 9.  </w:t>
      </w:r>
    </w:p>
    <w:p w14:paraId="5D30AA9E" w14:textId="07670E9F" w:rsidR="009C103B" w:rsidRPr="00614ECA" w:rsidRDefault="009C103B" w:rsidP="00334D1D">
      <w:pPr>
        <w:pStyle w:val="Heading4"/>
      </w:pPr>
      <w:r w:rsidRPr="00614ECA">
        <w:t>Blood products,</w:t>
      </w:r>
      <w:r w:rsidR="00B6204A">
        <w:t xml:space="preserve"> </w:t>
      </w:r>
      <w:r w:rsidRPr="00614ECA">
        <w:t>blood-related products and blood</w:t>
      </w:r>
      <w:r w:rsidR="008351D8">
        <w:t>-</w:t>
      </w:r>
      <w:r w:rsidRPr="00614ECA">
        <w:t xml:space="preserve">related services </w:t>
      </w:r>
    </w:p>
    <w:p w14:paraId="1D72744F" w14:textId="712636A8" w:rsidR="006D75D7" w:rsidRDefault="009C103B" w:rsidP="00334D1D">
      <w:pPr>
        <w:spacing w:before="0" w:after="160"/>
        <w:rPr>
          <w:rFonts w:cs="Arial"/>
          <w:szCs w:val="20"/>
        </w:rPr>
      </w:pPr>
      <w:r w:rsidRPr="00433CF1">
        <w:rPr>
          <w:rFonts w:cs="Arial"/>
          <w:szCs w:val="20"/>
        </w:rPr>
        <w:t>Blood products</w:t>
      </w:r>
      <w:r w:rsidR="00EF3234" w:rsidRPr="00433CF1">
        <w:rPr>
          <w:rFonts w:cs="Arial"/>
          <w:szCs w:val="20"/>
        </w:rPr>
        <w:t xml:space="preserve">, </w:t>
      </w:r>
      <w:r w:rsidR="00B6204A" w:rsidRPr="00433CF1">
        <w:rPr>
          <w:rFonts w:cs="Arial"/>
          <w:szCs w:val="20"/>
        </w:rPr>
        <w:t xml:space="preserve">blood-related products </w:t>
      </w:r>
      <w:r w:rsidR="00433CF1">
        <w:rPr>
          <w:rFonts w:cs="Arial"/>
          <w:szCs w:val="20"/>
        </w:rPr>
        <w:t>(such as blood plasma)</w:t>
      </w:r>
      <w:r w:rsidR="00B6204A" w:rsidRPr="00433CF1">
        <w:rPr>
          <w:rFonts w:cs="Arial"/>
          <w:szCs w:val="20"/>
        </w:rPr>
        <w:t xml:space="preserve"> </w:t>
      </w:r>
      <w:r w:rsidRPr="00433CF1">
        <w:rPr>
          <w:rFonts w:cs="Arial"/>
          <w:szCs w:val="20"/>
        </w:rPr>
        <w:t xml:space="preserve">and blood-related services are </w:t>
      </w:r>
      <w:r w:rsidR="006D75D7">
        <w:rPr>
          <w:rFonts w:cs="Arial"/>
          <w:szCs w:val="20"/>
        </w:rPr>
        <w:t>jointly funded by the Commonwealth</w:t>
      </w:r>
      <w:r w:rsidR="00E90927">
        <w:rPr>
          <w:rFonts w:cs="Arial"/>
          <w:szCs w:val="20"/>
        </w:rPr>
        <w:t xml:space="preserve">, </w:t>
      </w:r>
      <w:r w:rsidR="006D75D7">
        <w:rPr>
          <w:rFonts w:cs="Arial"/>
          <w:szCs w:val="20"/>
        </w:rPr>
        <w:t xml:space="preserve">state and territory governments. </w:t>
      </w:r>
    </w:p>
    <w:p w14:paraId="25F24CCD" w14:textId="3BC88023" w:rsidR="006C056A" w:rsidRDefault="006D75D7" w:rsidP="00334D1D">
      <w:pPr>
        <w:spacing w:before="0" w:after="160"/>
        <w:rPr>
          <w:rFonts w:cs="Arial"/>
          <w:szCs w:val="20"/>
        </w:rPr>
      </w:pPr>
      <w:r>
        <w:rPr>
          <w:rFonts w:cs="Arial"/>
          <w:szCs w:val="20"/>
        </w:rPr>
        <w:t xml:space="preserve">They are </w:t>
      </w:r>
      <w:r w:rsidR="009C103B" w:rsidRPr="00433CF1">
        <w:rPr>
          <w:rFonts w:cs="Arial"/>
          <w:szCs w:val="20"/>
        </w:rPr>
        <w:t xml:space="preserve">considered by the Jurisdictional Blood Committee (JBC) </w:t>
      </w:r>
      <w:r w:rsidR="00CA7639">
        <w:rPr>
          <w:rFonts w:cs="Arial"/>
          <w:szCs w:val="20"/>
        </w:rPr>
        <w:t>which</w:t>
      </w:r>
      <w:r w:rsidR="00CA7639" w:rsidRPr="00433CF1">
        <w:rPr>
          <w:rFonts w:cs="Arial"/>
          <w:szCs w:val="20"/>
        </w:rPr>
        <w:t xml:space="preserve"> </w:t>
      </w:r>
      <w:r w:rsidR="009C103B" w:rsidRPr="00433CF1">
        <w:rPr>
          <w:rFonts w:cs="Arial"/>
          <w:szCs w:val="20"/>
        </w:rPr>
        <w:t xml:space="preserve">may refer the product </w:t>
      </w:r>
      <w:r w:rsidR="0003291B">
        <w:rPr>
          <w:rFonts w:cs="Arial"/>
          <w:szCs w:val="20"/>
        </w:rPr>
        <w:t xml:space="preserve">to </w:t>
      </w:r>
      <w:r w:rsidR="009C103B" w:rsidRPr="00433CF1">
        <w:rPr>
          <w:rFonts w:cs="Arial"/>
          <w:szCs w:val="20"/>
        </w:rPr>
        <w:t xml:space="preserve">MSAC </w:t>
      </w:r>
      <w:r w:rsidR="0003291B">
        <w:rPr>
          <w:rFonts w:cs="Arial"/>
          <w:szCs w:val="20"/>
        </w:rPr>
        <w:t xml:space="preserve">for </w:t>
      </w:r>
      <w:r w:rsidR="009C103B" w:rsidRPr="00433CF1">
        <w:rPr>
          <w:rFonts w:cs="Arial"/>
          <w:szCs w:val="20"/>
        </w:rPr>
        <w:t>evaluation of comparative clinical and cost-effectiveness. If</w:t>
      </w:r>
      <w:r w:rsidR="009C103B" w:rsidRPr="00433CF1" w:rsidDel="00CE60E9">
        <w:rPr>
          <w:rFonts w:cs="Arial"/>
          <w:szCs w:val="20"/>
        </w:rPr>
        <w:t xml:space="preserve"> </w:t>
      </w:r>
      <w:r w:rsidR="009C103B" w:rsidRPr="00433CF1">
        <w:rPr>
          <w:rFonts w:cs="Arial"/>
          <w:szCs w:val="20"/>
        </w:rPr>
        <w:t xml:space="preserve">MSAC supports funding a product, the NBA will then seek JBC’s agreement to supply before a funding decision is made by all </w:t>
      </w:r>
      <w:r w:rsidR="005764E8">
        <w:rPr>
          <w:rFonts w:cs="Arial"/>
          <w:szCs w:val="20"/>
        </w:rPr>
        <w:t>h</w:t>
      </w:r>
      <w:r w:rsidR="009C103B" w:rsidRPr="00433CF1">
        <w:rPr>
          <w:rFonts w:cs="Arial"/>
          <w:szCs w:val="20"/>
        </w:rPr>
        <w:t xml:space="preserve">ealth </w:t>
      </w:r>
      <w:r w:rsidR="005764E8">
        <w:rPr>
          <w:rFonts w:cs="Arial"/>
          <w:szCs w:val="20"/>
        </w:rPr>
        <w:t>m</w:t>
      </w:r>
      <w:r w:rsidR="009C103B" w:rsidRPr="00433CF1">
        <w:rPr>
          <w:rFonts w:cs="Arial"/>
          <w:szCs w:val="20"/>
        </w:rPr>
        <w:t>inisters to include the product on the National Product Price List</w:t>
      </w:r>
      <w:r w:rsidR="00C05B6A">
        <w:rPr>
          <w:rStyle w:val="FootnoteReference"/>
          <w:rFonts w:cs="Arial"/>
          <w:szCs w:val="20"/>
        </w:rPr>
        <w:footnoteReference w:id="8"/>
      </w:r>
      <w:r w:rsidR="009C103B" w:rsidRPr="00433CF1">
        <w:rPr>
          <w:rFonts w:cs="Arial"/>
          <w:szCs w:val="20"/>
        </w:rPr>
        <w:t xml:space="preserve">.  </w:t>
      </w:r>
    </w:p>
    <w:p w14:paraId="756188DA" w14:textId="2621F458" w:rsidR="006D75D7" w:rsidRPr="00433CF1" w:rsidRDefault="002000DA" w:rsidP="00334D1D">
      <w:pPr>
        <w:spacing w:before="0" w:after="160"/>
        <w:rPr>
          <w:rFonts w:cs="Arial"/>
          <w:szCs w:val="20"/>
        </w:rPr>
        <w:sectPr w:rsidR="006D75D7" w:rsidRPr="00433CF1">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r>
        <w:rPr>
          <w:rFonts w:cs="Arial"/>
          <w:szCs w:val="20"/>
        </w:rPr>
        <w:t xml:space="preserve">Processes for </w:t>
      </w:r>
      <w:r w:rsidR="006D75D7">
        <w:rPr>
          <w:rFonts w:cs="Arial"/>
          <w:szCs w:val="20"/>
        </w:rPr>
        <w:t>the assessment and funding of blood products</w:t>
      </w:r>
      <w:r>
        <w:rPr>
          <w:rFonts w:cs="Arial"/>
          <w:szCs w:val="20"/>
        </w:rPr>
        <w:t xml:space="preserve"> and timeframes</w:t>
      </w:r>
      <w:r w:rsidR="006D75D7">
        <w:rPr>
          <w:rFonts w:cs="Arial"/>
          <w:szCs w:val="20"/>
        </w:rPr>
        <w:t xml:space="preserve"> are set out in Section</w:t>
      </w:r>
      <w:r>
        <w:rPr>
          <w:rFonts w:cs="Arial"/>
          <w:szCs w:val="20"/>
        </w:rPr>
        <w:t> </w:t>
      </w:r>
      <w:r w:rsidR="006D75D7">
        <w:rPr>
          <w:rFonts w:cs="Arial"/>
          <w:szCs w:val="20"/>
        </w:rPr>
        <w:t xml:space="preserve">10. </w:t>
      </w:r>
    </w:p>
    <w:p w14:paraId="4F7B807E" w14:textId="664328B3" w:rsidR="006C056A" w:rsidRDefault="003022AC" w:rsidP="007C6FB1">
      <w:pPr>
        <w:pStyle w:val="Heading4"/>
      </w:pPr>
      <w:bookmarkStart w:id="4" w:name="_Hlk138833525"/>
      <w:r>
        <w:lastRenderedPageBreak/>
        <w:t>Figure</w:t>
      </w:r>
      <w:r w:rsidR="007C6FB1">
        <w:t xml:space="preserve"> 3. </w:t>
      </w:r>
      <w:r w:rsidR="009F2E91">
        <w:t>F</w:t>
      </w:r>
      <w:r w:rsidR="007C6FB1">
        <w:t xml:space="preserve">unding pathways for </w:t>
      </w:r>
      <w:r w:rsidR="007A0A35">
        <w:t>Commonwealth funded</w:t>
      </w:r>
      <w:r w:rsidR="007C6FB1">
        <w:t xml:space="preserve"> health technologies</w:t>
      </w:r>
    </w:p>
    <w:p w14:paraId="68F01C84" w14:textId="2B39CD4F" w:rsidR="007A0A35" w:rsidRDefault="009F2E91" w:rsidP="007A0A35">
      <w:pPr>
        <w:jc w:val="center"/>
      </w:pPr>
      <w:r w:rsidRPr="009F2E91">
        <w:rPr>
          <w:noProof/>
        </w:rPr>
        <w:drawing>
          <wp:inline distT="0" distB="0" distL="0" distR="0" wp14:anchorId="3A7894B2" wp14:editId="5464BD28">
            <wp:extent cx="9404985" cy="4975860"/>
            <wp:effectExtent l="0" t="0" r="0" b="0"/>
            <wp:docPr id="155350197" name="Picture 155350197" descr="Figure 3. Funding pathways for Commonwealth funded health technologie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0197" name="Picture 155350197" descr="Figure 3. Funding pathways for Commonwealth funded health technologies flow ch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04985" cy="4975860"/>
                    </a:xfrm>
                    <a:prstGeom prst="rect">
                      <a:avLst/>
                    </a:prstGeom>
                    <a:solidFill>
                      <a:schemeClr val="bg1"/>
                    </a:solidFill>
                    <a:ln>
                      <a:noFill/>
                    </a:ln>
                  </pic:spPr>
                </pic:pic>
              </a:graphicData>
            </a:graphic>
          </wp:inline>
        </w:drawing>
      </w:r>
    </w:p>
    <w:p w14:paraId="0A53DE65" w14:textId="791AE9B7" w:rsidR="007A0A35" w:rsidRPr="007A0A35" w:rsidRDefault="007A0A35" w:rsidP="007A0A35">
      <w:r>
        <w:t xml:space="preserve">Acronyms: ABF = Activity Based Funding; ATAGI = Australian Technical Advisory Group on Immunisation; IHACPA = Independent Health and Aged Care Pricing Authority; </w:t>
      </w:r>
      <w:r w:rsidR="00AA6164">
        <w:br/>
      </w:r>
      <w:r>
        <w:t xml:space="preserve">JBC = Jurisdictional Blood Committee; LSDPEP = Life Saving Drugs Program Expert Panel; LSDP = Life Saving Drugs Program; MBS = Medicare Benefits Schedule; </w:t>
      </w:r>
      <w:r w:rsidR="00523B48">
        <w:br/>
      </w:r>
      <w:r>
        <w:t xml:space="preserve">MSAC = Medical Services Advisory Committee; NIP = National Immunisation Program; </w:t>
      </w:r>
      <w:r w:rsidR="006F1B02">
        <w:t xml:space="preserve">PBAC = Pharmaceutical Benefits Advisory Committee; </w:t>
      </w:r>
      <w:r>
        <w:t xml:space="preserve">PBS = Pharmaceutical Benefits Scheme; NHRA = National Health Reform Agreement; NPPL = National Product Price List. </w:t>
      </w:r>
    </w:p>
    <w:bookmarkEnd w:id="4"/>
    <w:p w14:paraId="4C40ECED" w14:textId="2CD7022F" w:rsidR="00FE4F4C" w:rsidRDefault="00FE4F4C" w:rsidP="009C103B">
      <w:pPr>
        <w:spacing w:before="0" w:after="160"/>
        <w:rPr>
          <w:rFonts w:asciiTheme="majorHAnsi" w:eastAsiaTheme="majorEastAsia" w:hAnsiTheme="majorHAnsi" w:cstheme="majorBidi"/>
          <w:sz w:val="52"/>
          <w:szCs w:val="32"/>
        </w:rPr>
        <w:sectPr w:rsidR="00FE4F4C" w:rsidSect="006C056A">
          <w:pgSz w:w="16838" w:h="11906" w:orient="landscape"/>
          <w:pgMar w:top="720" w:right="720" w:bottom="720" w:left="720" w:header="708" w:footer="708" w:gutter="0"/>
          <w:cols w:space="708"/>
          <w:docGrid w:linePitch="360"/>
        </w:sectPr>
      </w:pPr>
    </w:p>
    <w:p w14:paraId="1E57B235" w14:textId="5CACF218" w:rsidR="004C1126" w:rsidRDefault="008548C6" w:rsidP="00AD6A80">
      <w:pPr>
        <w:pStyle w:val="Heading1"/>
      </w:pPr>
      <w:bookmarkStart w:id="5" w:name="_Toc156576944"/>
      <w:r>
        <w:lastRenderedPageBreak/>
        <w:t>Market authorisation</w:t>
      </w:r>
      <w:r w:rsidR="004C1126">
        <w:t xml:space="preserve"> for therapeutic goods in Australia</w:t>
      </w:r>
      <w:bookmarkEnd w:id="5"/>
    </w:p>
    <w:p w14:paraId="726503D2" w14:textId="38B2B98F" w:rsidR="00484C80" w:rsidRPr="00484C80" w:rsidRDefault="008D6EE6" w:rsidP="00AD6A80">
      <w:pPr>
        <w:pStyle w:val="Heading2"/>
      </w:pPr>
      <w:bookmarkStart w:id="6" w:name="_Toc156576945"/>
      <w:r>
        <w:t>Background</w:t>
      </w:r>
      <w:bookmarkEnd w:id="6"/>
    </w:p>
    <w:p w14:paraId="3A897394" w14:textId="55D4D0EA" w:rsidR="008D67AF" w:rsidRDefault="008C2D5A" w:rsidP="00AD6A80">
      <w:r w:rsidRPr="00AD6A80">
        <w:t xml:space="preserve">Market authorisation is the approval </w:t>
      </w:r>
      <w:r w:rsidR="00106ED4" w:rsidRPr="00AD6A80">
        <w:t>needed</w:t>
      </w:r>
      <w:r w:rsidRPr="00AD6A80">
        <w:t xml:space="preserve"> to supply a therapeutic good in Australia</w:t>
      </w:r>
      <w:r w:rsidR="00343C8C">
        <w:t>. F</w:t>
      </w:r>
      <w:r w:rsidR="004F20C0">
        <w:t>or most technologies in scope for the HTA Review</w:t>
      </w:r>
      <w:r w:rsidRPr="00AD6A80">
        <w:t>,</w:t>
      </w:r>
      <w:r w:rsidR="00343C8C">
        <w:t xml:space="preserve"> market authoris</w:t>
      </w:r>
      <w:r w:rsidR="0081243D">
        <w:t>at</w:t>
      </w:r>
      <w:r w:rsidR="00343C8C">
        <w:t>ion</w:t>
      </w:r>
      <w:r w:rsidRPr="00AD6A80">
        <w:t xml:space="preserve"> involves </w:t>
      </w:r>
      <w:r w:rsidR="00E772F1">
        <w:t>it being listed</w:t>
      </w:r>
      <w:r w:rsidR="00E772F1" w:rsidRPr="00AD6A80">
        <w:t xml:space="preserve"> </w:t>
      </w:r>
      <w:r w:rsidRPr="00AD6A80">
        <w:t>on the Australian Register of Therapeutic Goods (ARTG).</w:t>
      </w:r>
      <w:r w:rsidR="00ED2DDD">
        <w:t xml:space="preserve"> </w:t>
      </w:r>
      <w:r w:rsidR="00EA59AC">
        <w:t xml:space="preserve">Market authorisation is a </w:t>
      </w:r>
      <w:r w:rsidR="006979AE">
        <w:t xml:space="preserve">different </w:t>
      </w:r>
      <w:r w:rsidR="00EA59AC">
        <w:t>HTA process</w:t>
      </w:r>
      <w:r w:rsidR="006979AE">
        <w:t xml:space="preserve"> to that which is undertaken </w:t>
      </w:r>
      <w:r w:rsidR="00EA59AC">
        <w:t xml:space="preserve">for </w:t>
      </w:r>
      <w:r w:rsidR="008A5745">
        <w:t xml:space="preserve">a product </w:t>
      </w:r>
      <w:r w:rsidR="00417171">
        <w:t xml:space="preserve">to </w:t>
      </w:r>
      <w:r w:rsidR="005743E8">
        <w:t xml:space="preserve">be </w:t>
      </w:r>
      <w:r w:rsidR="00873B4F">
        <w:t xml:space="preserve">approved for </w:t>
      </w:r>
      <w:r w:rsidR="00EA59AC">
        <w:t xml:space="preserve">government </w:t>
      </w:r>
      <w:r w:rsidR="002000DA">
        <w:t>funding</w:t>
      </w:r>
      <w:r w:rsidR="00EA59AC">
        <w:t xml:space="preserve">. </w:t>
      </w:r>
    </w:p>
    <w:p w14:paraId="76C8B192" w14:textId="65B1465E" w:rsidR="00293C32" w:rsidRDefault="00293C32" w:rsidP="00293C32">
      <w:r>
        <w:t>To sell a therapeutic good in Australia, the supplier (company or individual) must either have their own ARTG entry for that therapeutic good</w:t>
      </w:r>
      <w:r w:rsidR="00860F5D">
        <w:t xml:space="preserve"> or </w:t>
      </w:r>
      <w:r>
        <w:t xml:space="preserve">have a retail arrangement with a sponsor </w:t>
      </w:r>
      <w:r w:rsidR="00860F5D">
        <w:t xml:space="preserve">that </w:t>
      </w:r>
      <w:r>
        <w:t>does</w:t>
      </w:r>
      <w:r w:rsidR="002000DA">
        <w:t>,</w:t>
      </w:r>
      <w:r w:rsidR="009F2E91">
        <w:t xml:space="preserve"> or be exempt under section 18 or 19 of the </w:t>
      </w:r>
      <w:r w:rsidR="009F2E91" w:rsidRPr="0026200F">
        <w:rPr>
          <w:i/>
          <w:iCs/>
        </w:rPr>
        <w:t>Therapeutic Goods Act 1989 (</w:t>
      </w:r>
      <w:proofErr w:type="spellStart"/>
      <w:r w:rsidR="009F2E91" w:rsidRPr="0026200F">
        <w:rPr>
          <w:i/>
          <w:iCs/>
        </w:rPr>
        <w:t>Cth</w:t>
      </w:r>
      <w:proofErr w:type="spellEnd"/>
      <w:r w:rsidR="009F2E91" w:rsidRPr="0026200F">
        <w:rPr>
          <w:i/>
          <w:iCs/>
        </w:rPr>
        <w:t>)</w:t>
      </w:r>
      <w:r w:rsidR="002000DA">
        <w:t xml:space="preserve"> (TG Act)</w:t>
      </w:r>
      <w:r>
        <w:t>.</w:t>
      </w:r>
    </w:p>
    <w:p w14:paraId="10F3F4FE" w14:textId="792FD347" w:rsidR="00AD6A80" w:rsidRPr="00AD6A80" w:rsidRDefault="00AD6A80" w:rsidP="00AD6A80">
      <w:r w:rsidRPr="00AD6A80">
        <w:t xml:space="preserve">The </w:t>
      </w:r>
      <w:r w:rsidR="002000DA">
        <w:t>TG Act</w:t>
      </w:r>
      <w:r w:rsidR="00293C32">
        <w:t xml:space="preserve"> and associated</w:t>
      </w:r>
      <w:r w:rsidR="009F2E91">
        <w:t xml:space="preserve"> </w:t>
      </w:r>
      <w:r w:rsidR="00F2052D">
        <w:t>r</w:t>
      </w:r>
      <w:r w:rsidRPr="00AD6A80">
        <w:t xml:space="preserve">egulations and </w:t>
      </w:r>
      <w:r w:rsidR="00F2052D">
        <w:t>o</w:t>
      </w:r>
      <w:r w:rsidRPr="00AD6A80">
        <w:t xml:space="preserve">rders set out the requirements for therapeutic goods </w:t>
      </w:r>
      <w:r w:rsidR="00BD51A4">
        <w:t xml:space="preserve">to be included </w:t>
      </w:r>
      <w:r w:rsidR="00F6601B">
        <w:t>on</w:t>
      </w:r>
      <w:r w:rsidRPr="00AD6A80">
        <w:t xml:space="preserve"> the ARTG, including advertising, labelling</w:t>
      </w:r>
      <w:r w:rsidR="003C3EEE">
        <w:t xml:space="preserve"> and</w:t>
      </w:r>
      <w:r w:rsidRPr="00AD6A80">
        <w:t xml:space="preserve"> product appearance. Some provisions such as the scheduling of substances </w:t>
      </w:r>
      <w:r w:rsidR="00934252">
        <w:t xml:space="preserve">are covered by the </w:t>
      </w:r>
      <w:r w:rsidR="002000DA">
        <w:t>TG Act</w:t>
      </w:r>
      <w:r w:rsidR="00934252">
        <w:t xml:space="preserve"> and implemented by states and territories.</w:t>
      </w:r>
      <w:r w:rsidRPr="00AE662B">
        <w:rPr>
          <w:rStyle w:val="FootnoteReference"/>
        </w:rPr>
        <w:footnoteReference w:id="9"/>
      </w:r>
    </w:p>
    <w:p w14:paraId="0D8DEECC" w14:textId="185A9CC9" w:rsidR="00B37709" w:rsidRDefault="00B37709" w:rsidP="008D6EE6">
      <w:pPr>
        <w:pStyle w:val="Heading3"/>
      </w:pPr>
      <w:r>
        <w:t>What is a therapeutic good?</w:t>
      </w:r>
    </w:p>
    <w:p w14:paraId="0CD19990" w14:textId="58D25869" w:rsidR="002845D2" w:rsidRPr="00F44171" w:rsidRDefault="009F2E91" w:rsidP="00AD6A80">
      <w:pPr>
        <w:rPr>
          <w:lang w:eastAsia="en-AU"/>
        </w:rPr>
      </w:pPr>
      <w:r>
        <w:t>Under the</w:t>
      </w:r>
      <w:r w:rsidR="00AD6A80" w:rsidRPr="00AD6A80">
        <w:t xml:space="preserve"> </w:t>
      </w:r>
      <w:r w:rsidR="002000DA">
        <w:t>TG Act,</w:t>
      </w:r>
      <w:r w:rsidR="00ED2DDD">
        <w:t xml:space="preserve"> </w:t>
      </w:r>
      <w:r>
        <w:rPr>
          <w:lang w:eastAsia="en-AU"/>
        </w:rPr>
        <w:t>t</w:t>
      </w:r>
      <w:r w:rsidR="00AD6A80" w:rsidRPr="00F44171">
        <w:rPr>
          <w:lang w:eastAsia="en-AU"/>
        </w:rPr>
        <w:t>herapeutic goods are broadly defined as products for use in humans in connection with:</w:t>
      </w:r>
    </w:p>
    <w:p w14:paraId="6EC0ED0B" w14:textId="096774FF" w:rsidR="002845D2" w:rsidRPr="00F44171" w:rsidRDefault="00AD6A80" w:rsidP="00651D54">
      <w:pPr>
        <w:pStyle w:val="ListParagraph"/>
        <w:numPr>
          <w:ilvl w:val="0"/>
          <w:numId w:val="45"/>
        </w:numPr>
        <w:rPr>
          <w:lang w:eastAsia="en-AU"/>
        </w:rPr>
      </w:pPr>
      <w:r w:rsidRPr="00F44171">
        <w:rPr>
          <w:lang w:eastAsia="en-AU"/>
        </w:rPr>
        <w:t>preventing, diagnosing, curing or alleviating a disease, ailment, defect or injury</w:t>
      </w:r>
    </w:p>
    <w:p w14:paraId="25805A11" w14:textId="1DABE964" w:rsidR="002845D2" w:rsidRPr="00F44171" w:rsidRDefault="00AD6A80" w:rsidP="00651D54">
      <w:pPr>
        <w:pStyle w:val="ListParagraph"/>
        <w:numPr>
          <w:ilvl w:val="0"/>
          <w:numId w:val="45"/>
        </w:numPr>
        <w:rPr>
          <w:lang w:eastAsia="en-AU"/>
        </w:rPr>
      </w:pPr>
      <w:r w:rsidRPr="00F44171">
        <w:rPr>
          <w:lang w:eastAsia="en-AU"/>
        </w:rPr>
        <w:t>influencing, inhibiting or modifying a physiological process</w:t>
      </w:r>
    </w:p>
    <w:p w14:paraId="48F2E778" w14:textId="2864B40F" w:rsidR="002845D2" w:rsidRPr="00F44171" w:rsidRDefault="00AD6A80" w:rsidP="00651D54">
      <w:pPr>
        <w:pStyle w:val="ListParagraph"/>
        <w:numPr>
          <w:ilvl w:val="0"/>
          <w:numId w:val="45"/>
        </w:numPr>
        <w:rPr>
          <w:lang w:eastAsia="en-AU"/>
        </w:rPr>
      </w:pPr>
      <w:r w:rsidRPr="00F44171">
        <w:rPr>
          <w:lang w:eastAsia="en-AU"/>
        </w:rPr>
        <w:t xml:space="preserve">testing the susceptibility of </w:t>
      </w:r>
      <w:r w:rsidR="00B778E3">
        <w:rPr>
          <w:lang w:eastAsia="en-AU"/>
        </w:rPr>
        <w:t xml:space="preserve">a </w:t>
      </w:r>
      <w:r w:rsidRPr="00F44171">
        <w:rPr>
          <w:lang w:eastAsia="en-AU"/>
        </w:rPr>
        <w:t>person to a disease or ailment</w:t>
      </w:r>
    </w:p>
    <w:p w14:paraId="5864C253" w14:textId="42D412EB" w:rsidR="002845D2" w:rsidRPr="00F44171" w:rsidRDefault="00AD6A80" w:rsidP="00651D54">
      <w:pPr>
        <w:pStyle w:val="ListParagraph"/>
        <w:numPr>
          <w:ilvl w:val="0"/>
          <w:numId w:val="45"/>
        </w:numPr>
        <w:rPr>
          <w:lang w:eastAsia="en-AU"/>
        </w:rPr>
      </w:pPr>
      <w:r w:rsidRPr="00F44171">
        <w:rPr>
          <w:lang w:eastAsia="en-AU"/>
        </w:rPr>
        <w:t>influencing, controlling or preventing conception</w:t>
      </w:r>
      <w:r w:rsidR="002845D2">
        <w:rPr>
          <w:lang w:eastAsia="en-AU"/>
        </w:rPr>
        <w:t>, and</w:t>
      </w:r>
    </w:p>
    <w:p w14:paraId="116B2CC4" w14:textId="3141BC71" w:rsidR="00AD6A80" w:rsidRPr="00F44171" w:rsidRDefault="00AD6A80" w:rsidP="00651D54">
      <w:pPr>
        <w:pStyle w:val="ListParagraph"/>
        <w:numPr>
          <w:ilvl w:val="0"/>
          <w:numId w:val="45"/>
        </w:numPr>
        <w:rPr>
          <w:lang w:eastAsia="en-AU"/>
        </w:rPr>
      </w:pPr>
      <w:r w:rsidRPr="00F44171">
        <w:rPr>
          <w:lang w:eastAsia="en-AU"/>
        </w:rPr>
        <w:t>testing for pregnancy</w:t>
      </w:r>
      <w:r w:rsidR="00915958">
        <w:rPr>
          <w:lang w:eastAsia="en-AU"/>
        </w:rPr>
        <w:t>.</w:t>
      </w:r>
    </w:p>
    <w:p w14:paraId="57A11E90" w14:textId="77777777" w:rsidR="00AD6A80" w:rsidRPr="00F44171" w:rsidRDefault="00AD6A80" w:rsidP="00AD6A80">
      <w:pPr>
        <w:rPr>
          <w:lang w:eastAsia="en-AU"/>
        </w:rPr>
      </w:pPr>
      <w:r w:rsidRPr="00F44171">
        <w:rPr>
          <w:lang w:eastAsia="en-AU"/>
        </w:rPr>
        <w:t>This includes things that are:</w:t>
      </w:r>
    </w:p>
    <w:p w14:paraId="5B1E5F77" w14:textId="77777777" w:rsidR="00AD6A80" w:rsidRPr="00F44171" w:rsidRDefault="00AD6A80" w:rsidP="00651D54">
      <w:pPr>
        <w:pStyle w:val="ListParagraph"/>
        <w:numPr>
          <w:ilvl w:val="0"/>
          <w:numId w:val="2"/>
        </w:numPr>
        <w:rPr>
          <w:lang w:eastAsia="en-AU"/>
        </w:rPr>
      </w:pPr>
      <w:r w:rsidRPr="00F44171">
        <w:rPr>
          <w:lang w:eastAsia="en-AU"/>
        </w:rPr>
        <w:t>used as an ingredient or component in the manufacture of therapeutic goods</w:t>
      </w:r>
    </w:p>
    <w:p w14:paraId="37413A50" w14:textId="127C6230" w:rsidR="00AD6A80" w:rsidRPr="00F44171" w:rsidRDefault="00AD6A80" w:rsidP="00651D54">
      <w:pPr>
        <w:pStyle w:val="ListParagraph"/>
        <w:numPr>
          <w:ilvl w:val="0"/>
          <w:numId w:val="2"/>
        </w:numPr>
        <w:rPr>
          <w:lang w:eastAsia="en-AU"/>
        </w:rPr>
      </w:pPr>
      <w:r w:rsidRPr="00F44171">
        <w:rPr>
          <w:lang w:eastAsia="en-AU"/>
        </w:rPr>
        <w:t>used to replace or modify parts of the anatomy</w:t>
      </w:r>
      <w:r w:rsidR="00F6601B">
        <w:rPr>
          <w:lang w:eastAsia="en-AU"/>
        </w:rPr>
        <w:t>.</w:t>
      </w:r>
    </w:p>
    <w:p w14:paraId="41A86C14" w14:textId="2E1CF1C4" w:rsidR="00B37709" w:rsidRDefault="00B37709" w:rsidP="008D6EE6">
      <w:pPr>
        <w:pStyle w:val="Heading3"/>
      </w:pPr>
      <w:r>
        <w:t>What is the role of the TGA in regulating therapeutic goods?</w:t>
      </w:r>
    </w:p>
    <w:p w14:paraId="66A51617" w14:textId="7D76B1FE" w:rsidR="00296375" w:rsidRPr="00AD6A80" w:rsidRDefault="00296375" w:rsidP="00296375">
      <w:r w:rsidRPr="00AD6A80">
        <w:t xml:space="preserve">The </w:t>
      </w:r>
      <w:r w:rsidR="00915958">
        <w:t>TGA</w:t>
      </w:r>
      <w:r w:rsidRPr="00AD6A80">
        <w:t xml:space="preserve"> is Australia's regulatory authority responsible for regulating the supply, import, export, manufacturing and advertising of therapeutic goods. The TGA</w:t>
      </w:r>
      <w:r>
        <w:t xml:space="preserve"> </w:t>
      </w:r>
      <w:r w:rsidRPr="00AD6A80">
        <w:t xml:space="preserve">has </w:t>
      </w:r>
      <w:r w:rsidR="00F75212">
        <w:t>primary</w:t>
      </w:r>
      <w:r w:rsidRPr="00AD6A80">
        <w:t xml:space="preserve"> responsibility for assuring the quality, safety and efficacy of all products that make therapeutic claims. </w:t>
      </w:r>
    </w:p>
    <w:p w14:paraId="628A1004" w14:textId="77777777" w:rsidR="0026200F" w:rsidRPr="0026200F" w:rsidRDefault="0026200F" w:rsidP="0026200F">
      <w:r w:rsidRPr="0026200F">
        <w:t>The TGA regulates therapeutic goods through:</w:t>
      </w:r>
    </w:p>
    <w:p w14:paraId="65954191" w14:textId="095CCA98" w:rsidR="0026200F" w:rsidRPr="0026200F" w:rsidRDefault="0026200F" w:rsidP="00651D54">
      <w:pPr>
        <w:pStyle w:val="ListParagraph"/>
        <w:numPr>
          <w:ilvl w:val="0"/>
          <w:numId w:val="4"/>
        </w:numPr>
      </w:pPr>
      <w:r w:rsidRPr="0026200F">
        <w:t>pre-market assessment</w:t>
      </w:r>
    </w:p>
    <w:p w14:paraId="2A0148E5" w14:textId="5D349459" w:rsidR="0026200F" w:rsidRPr="0026200F" w:rsidRDefault="0026200F" w:rsidP="00651D54">
      <w:pPr>
        <w:pStyle w:val="ListParagraph"/>
        <w:numPr>
          <w:ilvl w:val="0"/>
          <w:numId w:val="4"/>
        </w:numPr>
      </w:pPr>
      <w:r w:rsidRPr="0026200F">
        <w:t>post-market monitoring and enforcement of standards</w:t>
      </w:r>
      <w:r w:rsidR="00DA7A1B">
        <w:t>, and</w:t>
      </w:r>
    </w:p>
    <w:p w14:paraId="0E563E47" w14:textId="69DB955D" w:rsidR="0026200F" w:rsidRDefault="0026200F" w:rsidP="00651D54">
      <w:pPr>
        <w:pStyle w:val="ListParagraph"/>
        <w:numPr>
          <w:ilvl w:val="0"/>
          <w:numId w:val="4"/>
        </w:numPr>
      </w:pPr>
      <w:r w:rsidRPr="0026200F">
        <w:t>licensing of Australian manufacturers and verifying overseas manufacturers' compliance with the same standards as their Australian counterparts.</w:t>
      </w:r>
      <w:r>
        <w:rPr>
          <w:rStyle w:val="FootnoteReference"/>
        </w:rPr>
        <w:footnoteReference w:id="10"/>
      </w:r>
    </w:p>
    <w:p w14:paraId="63BA5FC7" w14:textId="60792179" w:rsidR="00D16BE8" w:rsidRDefault="00D16BE8" w:rsidP="00D16BE8">
      <w:r>
        <w:t xml:space="preserve">Broadly, there are </w:t>
      </w:r>
      <w:r w:rsidR="002B7C3B">
        <w:t xml:space="preserve">4 </w:t>
      </w:r>
      <w:r>
        <w:t>main categories of therapeutic goods on the ARTG:</w:t>
      </w:r>
    </w:p>
    <w:p w14:paraId="7FF93426" w14:textId="78A86BDB" w:rsidR="00D16BE8" w:rsidRDefault="002B7C3B" w:rsidP="00167323">
      <w:pPr>
        <w:pStyle w:val="ListParagraph"/>
        <w:numPr>
          <w:ilvl w:val="0"/>
          <w:numId w:val="1"/>
        </w:numPr>
      </w:pPr>
      <w:r>
        <w:lastRenderedPageBreak/>
        <w:t>m</w:t>
      </w:r>
      <w:r w:rsidR="00D16BE8">
        <w:t>edicines</w:t>
      </w:r>
    </w:p>
    <w:p w14:paraId="1652945D" w14:textId="7A0D0807" w:rsidR="00D16BE8" w:rsidRDefault="002B7C3B" w:rsidP="00167323">
      <w:pPr>
        <w:pStyle w:val="ListParagraph"/>
        <w:numPr>
          <w:ilvl w:val="0"/>
          <w:numId w:val="1"/>
        </w:numPr>
      </w:pPr>
      <w:r>
        <w:t>b</w:t>
      </w:r>
      <w:r w:rsidR="00D16BE8">
        <w:t>iologicals</w:t>
      </w:r>
    </w:p>
    <w:p w14:paraId="79125F51" w14:textId="7B40BD7B" w:rsidR="00D16BE8" w:rsidRDefault="002B7C3B" w:rsidP="00167323">
      <w:pPr>
        <w:pStyle w:val="ListParagraph"/>
        <w:numPr>
          <w:ilvl w:val="0"/>
          <w:numId w:val="1"/>
        </w:numPr>
      </w:pPr>
      <w:r>
        <w:t>m</w:t>
      </w:r>
      <w:r w:rsidR="00D16BE8">
        <w:t>edical devices</w:t>
      </w:r>
    </w:p>
    <w:p w14:paraId="50DF94B8" w14:textId="6667CFB2" w:rsidR="00D16BE8" w:rsidRDefault="002B7C3B" w:rsidP="00167323">
      <w:pPr>
        <w:pStyle w:val="ListParagraph"/>
        <w:numPr>
          <w:ilvl w:val="0"/>
          <w:numId w:val="1"/>
        </w:numPr>
      </w:pPr>
      <w:r>
        <w:t>o</w:t>
      </w:r>
      <w:r w:rsidR="00D16BE8">
        <w:t>ther therapeutic goods</w:t>
      </w:r>
      <w:r w:rsidR="00F6601B">
        <w:t>.</w:t>
      </w:r>
    </w:p>
    <w:p w14:paraId="2C593F12" w14:textId="2C8C3599" w:rsidR="00D16BE8" w:rsidRDefault="00CA4A09" w:rsidP="00D16BE8">
      <w:r>
        <w:t>The</w:t>
      </w:r>
      <w:r w:rsidR="00D16BE8">
        <w:t xml:space="preserve"> TGA has different </w:t>
      </w:r>
      <w:r w:rsidR="00D16BE8" w:rsidRPr="00B76288">
        <w:t>classifications</w:t>
      </w:r>
      <w:r w:rsidR="00D16BE8">
        <w:t xml:space="preserve"> </w:t>
      </w:r>
      <w:r>
        <w:t xml:space="preserve">for the </w:t>
      </w:r>
      <w:r w:rsidR="00D16BE8">
        <w:t>therapeutic goods</w:t>
      </w:r>
      <w:r>
        <w:t xml:space="preserve"> in these categories</w:t>
      </w:r>
      <w:r w:rsidR="00263F04">
        <w:t xml:space="preserve"> and regulates each therapeutic good</w:t>
      </w:r>
      <w:r w:rsidR="00D16BE8">
        <w:t xml:space="preserve"> according to </w:t>
      </w:r>
      <w:r w:rsidR="00263F04">
        <w:t xml:space="preserve">its </w:t>
      </w:r>
      <w:r w:rsidR="00D16BE8">
        <w:t>level of risk.</w:t>
      </w:r>
    </w:p>
    <w:p w14:paraId="02260C3B" w14:textId="593DE4C6" w:rsidR="00D46081" w:rsidRDefault="00D46081" w:rsidP="00D46081">
      <w:pPr>
        <w:pStyle w:val="Heading3"/>
      </w:pPr>
      <w:r>
        <w:t>How</w:t>
      </w:r>
      <w:r w:rsidR="00CF647C">
        <w:t xml:space="preserve"> the TGA assesses therapeutic goods</w:t>
      </w:r>
    </w:p>
    <w:p w14:paraId="03BE38B2" w14:textId="3F9602A1" w:rsidR="00CB408F" w:rsidRDefault="00296375" w:rsidP="00AD6A80">
      <w:r w:rsidRPr="00296375">
        <w:t xml:space="preserve">The TGA takes a </w:t>
      </w:r>
      <w:r>
        <w:t xml:space="preserve">tiered, </w:t>
      </w:r>
      <w:r w:rsidRPr="00296375">
        <w:t>risk</w:t>
      </w:r>
      <w:r w:rsidR="00942564">
        <w:t xml:space="preserve"> management</w:t>
      </w:r>
      <w:r w:rsidRPr="00296375">
        <w:t xml:space="preserve"> approach to regulation</w:t>
      </w:r>
      <w:r w:rsidR="00731541" w:rsidRPr="00731541">
        <w:t xml:space="preserve"> </w:t>
      </w:r>
      <w:r w:rsidR="00731541">
        <w:t>based on an assessment of the risks compared to the benefits of the therapeutic products.</w:t>
      </w:r>
      <w:r w:rsidR="00B33931">
        <w:t xml:space="preserve"> When assessing </w:t>
      </w:r>
      <w:r w:rsidR="00816960">
        <w:t xml:space="preserve">the </w:t>
      </w:r>
      <w:r w:rsidR="00942564">
        <w:t>risk-benefit balance</w:t>
      </w:r>
      <w:r w:rsidR="00B33931">
        <w:t xml:space="preserve"> for</w:t>
      </w:r>
      <w:r w:rsidR="00816960">
        <w:t xml:space="preserve"> </w:t>
      </w:r>
      <w:r w:rsidR="00263F04">
        <w:t xml:space="preserve">higher risk </w:t>
      </w:r>
      <w:r w:rsidR="00B33931">
        <w:t>therapeutic good</w:t>
      </w:r>
      <w:r w:rsidR="00263F04">
        <w:t>s</w:t>
      </w:r>
      <w:r w:rsidR="00402A33">
        <w:t xml:space="preserve"> such as </w:t>
      </w:r>
      <w:r w:rsidR="002820CD">
        <w:t xml:space="preserve">prescription </w:t>
      </w:r>
      <w:r w:rsidR="00402A33">
        <w:t>medicines, medi</w:t>
      </w:r>
      <w:r w:rsidR="00255D05">
        <w:t>c</w:t>
      </w:r>
      <w:r w:rsidR="00402A33">
        <w:t>al devices</w:t>
      </w:r>
      <w:r w:rsidR="00255D05">
        <w:t xml:space="preserve"> and class 3 and 4 biologicals,</w:t>
      </w:r>
      <w:r w:rsidR="00816960">
        <w:t xml:space="preserve"> the TGA </w:t>
      </w:r>
      <w:r w:rsidR="007F668D">
        <w:t>evaluates</w:t>
      </w:r>
      <w:r w:rsidR="00816960">
        <w:t xml:space="preserve"> data </w:t>
      </w:r>
      <w:r w:rsidR="007F668D">
        <w:t xml:space="preserve">provided by the applicant on </w:t>
      </w:r>
      <w:r w:rsidR="00CF09B1">
        <w:t xml:space="preserve">the </w:t>
      </w:r>
      <w:r w:rsidR="0019121A">
        <w:t xml:space="preserve">therapeutic good’s quality, safety and </w:t>
      </w:r>
      <w:r w:rsidR="00934252">
        <w:t xml:space="preserve">performance </w:t>
      </w:r>
      <w:r w:rsidR="0019121A">
        <w:t>for the proposed us</w:t>
      </w:r>
      <w:r w:rsidR="002445F9">
        <w:t>e</w:t>
      </w:r>
      <w:r w:rsidR="0019121A">
        <w:t xml:space="preserve">. </w:t>
      </w:r>
      <w:r w:rsidR="00CF09B1">
        <w:t>The TGA</w:t>
      </w:r>
      <w:r w:rsidR="009F2549">
        <w:t xml:space="preserve">’s approval of a therapeutic good for market authorisation is based on its assessment that the </w:t>
      </w:r>
      <w:r w:rsidR="00916951">
        <w:t xml:space="preserve">benefits of the </w:t>
      </w:r>
      <w:r w:rsidR="00F35A52">
        <w:t>product</w:t>
      </w:r>
      <w:r w:rsidR="00916951">
        <w:t xml:space="preserve"> outweigh the risks. </w:t>
      </w:r>
      <w:r w:rsidR="009F2549">
        <w:t xml:space="preserve"> </w:t>
      </w:r>
    </w:p>
    <w:p w14:paraId="6D335DDF" w14:textId="52CC9CA3" w:rsidR="00296375" w:rsidRDefault="00296375" w:rsidP="00AD6A80">
      <w:r w:rsidRPr="00296375">
        <w:t xml:space="preserve">The level of TGA regulatory control increases with the level of risk the </w:t>
      </w:r>
      <w:r w:rsidR="00AD33A2">
        <w:t>therapeutic good</w:t>
      </w:r>
      <w:r w:rsidRPr="00296375">
        <w:t xml:space="preserve"> can pose</w:t>
      </w:r>
      <w:r w:rsidR="00CF1CB8">
        <w:t>,</w:t>
      </w:r>
      <w:r w:rsidRPr="00296375">
        <w:t xml:space="preserve"> </w:t>
      </w:r>
      <w:r w:rsidR="00AD33A2">
        <w:t>which also</w:t>
      </w:r>
      <w:r w:rsidR="00AD33A2" w:rsidRPr="00296375">
        <w:t xml:space="preserve"> </w:t>
      </w:r>
      <w:r w:rsidRPr="00296375">
        <w:t xml:space="preserve">determines how consumers can access these </w:t>
      </w:r>
      <w:r w:rsidR="001A1BD0">
        <w:t>products</w:t>
      </w:r>
      <w:r w:rsidRPr="00296375">
        <w:t>.</w:t>
      </w:r>
    </w:p>
    <w:p w14:paraId="1FAA1221" w14:textId="77777777" w:rsidR="00296375" w:rsidRDefault="00296375" w:rsidP="00296375">
      <w:r>
        <w:t>A product's 'risk' is determined by a number of factors, including whether:</w:t>
      </w:r>
    </w:p>
    <w:p w14:paraId="695BF3F3" w14:textId="77777777" w:rsidR="00296375" w:rsidRDefault="00296375" w:rsidP="00651D54">
      <w:pPr>
        <w:pStyle w:val="ListParagraph"/>
        <w:numPr>
          <w:ilvl w:val="0"/>
          <w:numId w:val="3"/>
        </w:numPr>
      </w:pPr>
      <w:r>
        <w:t>the product contains a substance scheduled in the Poisons Standard</w:t>
      </w:r>
    </w:p>
    <w:p w14:paraId="07AAB348" w14:textId="77777777" w:rsidR="00296375" w:rsidRDefault="00296375" w:rsidP="00651D54">
      <w:pPr>
        <w:pStyle w:val="ListParagraph"/>
        <w:numPr>
          <w:ilvl w:val="0"/>
          <w:numId w:val="3"/>
        </w:numPr>
      </w:pPr>
      <w:r>
        <w:t>the product's use can result in significant adverse effects</w:t>
      </w:r>
    </w:p>
    <w:p w14:paraId="3AAC8A41" w14:textId="4C503843" w:rsidR="00296375" w:rsidRDefault="00296375" w:rsidP="00651D54">
      <w:pPr>
        <w:pStyle w:val="ListParagraph"/>
        <w:numPr>
          <w:ilvl w:val="0"/>
          <w:numId w:val="3"/>
        </w:numPr>
      </w:pPr>
      <w:r>
        <w:t>the product is used to treat life-threatening or very serious illnesses</w:t>
      </w:r>
    </w:p>
    <w:p w14:paraId="55398767" w14:textId="6CF5F1D9" w:rsidR="00296375" w:rsidRPr="005A63AB" w:rsidRDefault="00296375" w:rsidP="00651D54">
      <w:pPr>
        <w:pStyle w:val="ListParagraph"/>
        <w:numPr>
          <w:ilvl w:val="0"/>
          <w:numId w:val="3"/>
        </w:numPr>
      </w:pPr>
      <w:r>
        <w:t>there may be any adverse effects from prolonged use or inappropriate self-medication</w:t>
      </w:r>
      <w:r w:rsidR="00F6601B">
        <w:t>.</w:t>
      </w:r>
      <w:r w:rsidR="00731541">
        <w:rPr>
          <w:rStyle w:val="FootnoteReference"/>
        </w:rPr>
        <w:footnoteReference w:id="11"/>
      </w:r>
    </w:p>
    <w:p w14:paraId="0FE4A99C" w14:textId="6F01ABE6" w:rsidR="00731541" w:rsidRDefault="004E2980" w:rsidP="00731541">
      <w:r>
        <w:t>T</w:t>
      </w:r>
      <w:r w:rsidR="00731541">
        <w:t xml:space="preserve">he TGA employs </w:t>
      </w:r>
      <w:r w:rsidR="005462DA">
        <w:t>m</w:t>
      </w:r>
      <w:r w:rsidR="00731541">
        <w:t xml:space="preserve">edical </w:t>
      </w:r>
      <w:r w:rsidR="005462DA">
        <w:t>o</w:t>
      </w:r>
      <w:r w:rsidR="00731541">
        <w:t xml:space="preserve">fficers who </w:t>
      </w:r>
      <w:r w:rsidR="00934252">
        <w:t>have medical registration with the</w:t>
      </w:r>
      <w:r w:rsidR="002042A6">
        <w:t xml:space="preserve"> Australian Health</w:t>
      </w:r>
      <w:r w:rsidR="00731541">
        <w:t xml:space="preserve"> Practitioner Regulation Agency, scientists, pharmacists and other highly qualified and experienced staff</w:t>
      </w:r>
      <w:r>
        <w:t xml:space="preserve"> to ensure market authorisation decisions are made with the appropriate expertise</w:t>
      </w:r>
      <w:r w:rsidR="00731541">
        <w:t>. The TGA also has access to independent expert advice via a number of advisory committees</w:t>
      </w:r>
      <w:r w:rsidR="00CD61F2">
        <w:t>,</w:t>
      </w:r>
      <w:r w:rsidR="00731541">
        <w:t xml:space="preserve"> including clinical and scientific experts.</w:t>
      </w:r>
      <w:r w:rsidR="00731541">
        <w:rPr>
          <w:rStyle w:val="FootnoteReference"/>
        </w:rPr>
        <w:footnoteReference w:id="12"/>
      </w:r>
    </w:p>
    <w:p w14:paraId="744EE6D9" w14:textId="7CCF4F72" w:rsidR="004C1126" w:rsidRDefault="00EA59AC" w:rsidP="00AD6A80">
      <w:pPr>
        <w:pStyle w:val="Heading2"/>
      </w:pPr>
      <w:bookmarkStart w:id="7" w:name="_Toc156576946"/>
      <w:r>
        <w:t>Market a</w:t>
      </w:r>
      <w:r w:rsidR="009055B6">
        <w:t>pproval process for medicines</w:t>
      </w:r>
      <w:bookmarkEnd w:id="7"/>
    </w:p>
    <w:p w14:paraId="4E1AA7B8" w14:textId="263F4B24" w:rsidR="00673125" w:rsidRDefault="00673125" w:rsidP="00673125">
      <w:pPr>
        <w:pStyle w:val="Heading3"/>
      </w:pPr>
      <w:r>
        <w:t>C</w:t>
      </w:r>
      <w:r w:rsidR="0054249B">
        <w:t>ategories and definitions</w:t>
      </w:r>
    </w:p>
    <w:p w14:paraId="1323AC9B" w14:textId="57C02E7F" w:rsidR="00B6204A" w:rsidRDefault="00B6204A" w:rsidP="00B6204A">
      <w:r>
        <w:t xml:space="preserve">The TGA defines medicines as </w:t>
      </w:r>
      <w:r w:rsidR="00916951">
        <w:t>‘</w:t>
      </w:r>
      <w:r>
        <w:t xml:space="preserve">therapeutic goods (other than biologicals) that are represented to achieve, or are likely to achieve, their principal intended action by pharmacological, chemical, immunological or metabolic means in or on the body of a human; and any other therapeutic goods declared by the Secretary, for the purpose of the definition of </w:t>
      </w:r>
      <w:r w:rsidR="006C0DF4">
        <w:t xml:space="preserve">a </w:t>
      </w:r>
      <w:r>
        <w:t>therapeutic device, not to be therapeutic devices</w:t>
      </w:r>
      <w:r w:rsidR="00916951">
        <w:t>’</w:t>
      </w:r>
      <w:r>
        <w:t>.</w:t>
      </w:r>
      <w:r w:rsidR="00C17B0B" w:rsidRPr="00C17B0B">
        <w:rPr>
          <w:rStyle w:val="FootnoteReference"/>
        </w:rPr>
        <w:t xml:space="preserve"> </w:t>
      </w:r>
      <w:r w:rsidR="00C17B0B">
        <w:rPr>
          <w:rStyle w:val="FootnoteReference"/>
        </w:rPr>
        <w:footnoteReference w:id="13"/>
      </w:r>
    </w:p>
    <w:p w14:paraId="58426E01" w14:textId="77777777" w:rsidR="002E756E" w:rsidRDefault="00C52E7F" w:rsidP="00AD6A80">
      <w:r>
        <w:t xml:space="preserve">Medicines are further broken down into the following types: </w:t>
      </w:r>
    </w:p>
    <w:p w14:paraId="22883579" w14:textId="48878E86" w:rsidR="002E756E" w:rsidRDefault="006C0DF4" w:rsidP="00651D54">
      <w:pPr>
        <w:pStyle w:val="ListParagraph"/>
        <w:numPr>
          <w:ilvl w:val="0"/>
          <w:numId w:val="5"/>
        </w:numPr>
      </w:pPr>
      <w:r>
        <w:t>p</w:t>
      </w:r>
      <w:r w:rsidR="002E756E">
        <w:t>rescription medicines</w:t>
      </w:r>
    </w:p>
    <w:p w14:paraId="32FFE564" w14:textId="50754C87" w:rsidR="002E756E" w:rsidRDefault="00CD068D" w:rsidP="00651D54">
      <w:pPr>
        <w:pStyle w:val="ListParagraph"/>
        <w:numPr>
          <w:ilvl w:val="0"/>
          <w:numId w:val="5"/>
        </w:numPr>
      </w:pPr>
      <w:r>
        <w:t>o</w:t>
      </w:r>
      <w:r w:rsidR="002E756E">
        <w:t>ver-the-counter</w:t>
      </w:r>
      <w:r w:rsidR="00D36F61">
        <w:t xml:space="preserve"> (OTC)</w:t>
      </w:r>
      <w:r w:rsidR="002E756E">
        <w:t xml:space="preserve"> medicines</w:t>
      </w:r>
      <w:r>
        <w:t>, and</w:t>
      </w:r>
    </w:p>
    <w:p w14:paraId="74BB86BF" w14:textId="467407F2" w:rsidR="002E756E" w:rsidRPr="00EF3234" w:rsidRDefault="00CD068D" w:rsidP="00651D54">
      <w:pPr>
        <w:pStyle w:val="ListParagraph"/>
        <w:numPr>
          <w:ilvl w:val="0"/>
          <w:numId w:val="5"/>
        </w:numPr>
        <w:spacing w:before="0" w:line="240" w:lineRule="auto"/>
        <w:rPr>
          <w:rFonts w:ascii="Times New Roman" w:hAnsi="Times New Roman" w:cs="Times New Roman"/>
          <w:sz w:val="24"/>
          <w:szCs w:val="24"/>
          <w:lang w:eastAsia="en-AU"/>
        </w:rPr>
      </w:pPr>
      <w:r>
        <w:t>c</w:t>
      </w:r>
      <w:r w:rsidR="005A35D1">
        <w:t>omplementary medicines.</w:t>
      </w:r>
    </w:p>
    <w:p w14:paraId="2D150739" w14:textId="6DEC72C5" w:rsidR="00B25892" w:rsidRDefault="00B177FB" w:rsidP="00AD6A80">
      <w:r>
        <w:t xml:space="preserve">Medicines ‘registered’ on the ARTG are higher risk medicines and have </w:t>
      </w:r>
      <w:r w:rsidR="00B25892">
        <w:t xml:space="preserve">more rigorous controls </w:t>
      </w:r>
      <w:r>
        <w:t>placed on them relative to medicines ‘listed’ on the ARTG</w:t>
      </w:r>
      <w:r w:rsidR="006F0E14">
        <w:t xml:space="preserve"> that </w:t>
      </w:r>
      <w:r w:rsidR="00916951">
        <w:t>carry</w:t>
      </w:r>
      <w:r w:rsidR="006F0E14">
        <w:t xml:space="preserve"> </w:t>
      </w:r>
      <w:r w:rsidR="00B25892">
        <w:t>lower risk.</w:t>
      </w:r>
    </w:p>
    <w:p w14:paraId="1397B60C" w14:textId="3F6BB3E7" w:rsidR="00B25892" w:rsidRDefault="00B25892" w:rsidP="006F0E14">
      <w:pPr>
        <w:rPr>
          <w:lang w:eastAsia="en-AU"/>
        </w:rPr>
      </w:pPr>
      <w:r w:rsidRPr="00B25892">
        <w:rPr>
          <w:lang w:eastAsia="en-AU"/>
        </w:rPr>
        <w:lastRenderedPageBreak/>
        <w:t>Registered medicines are always evaluated for efficacy (</w:t>
      </w:r>
      <w:r w:rsidR="00344137" w:rsidRPr="00344137">
        <w:rPr>
          <w:lang w:eastAsia="en-AU"/>
        </w:rPr>
        <w:t>the extent to which</w:t>
      </w:r>
      <w:r w:rsidR="0071536C">
        <w:rPr>
          <w:lang w:eastAsia="en-AU"/>
        </w:rPr>
        <w:t xml:space="preserve"> they have </w:t>
      </w:r>
      <w:r w:rsidR="00344137" w:rsidRPr="00344137">
        <w:rPr>
          <w:lang w:eastAsia="en-AU"/>
        </w:rPr>
        <w:t xml:space="preserve">the ability to bring about </w:t>
      </w:r>
      <w:r w:rsidR="00AE59CA">
        <w:rPr>
          <w:lang w:eastAsia="en-AU"/>
        </w:rPr>
        <w:t>their</w:t>
      </w:r>
      <w:r w:rsidR="00AE59CA" w:rsidRPr="00344137">
        <w:rPr>
          <w:lang w:eastAsia="en-AU"/>
        </w:rPr>
        <w:t xml:space="preserve"> </w:t>
      </w:r>
      <w:r w:rsidR="00344137" w:rsidRPr="00344137">
        <w:rPr>
          <w:lang w:eastAsia="en-AU"/>
        </w:rPr>
        <w:t>intended effect</w:t>
      </w:r>
      <w:r w:rsidR="00AE59CA">
        <w:rPr>
          <w:lang w:eastAsia="en-AU"/>
        </w:rPr>
        <w:t>s</w:t>
      </w:r>
      <w:r w:rsidRPr="00B25892">
        <w:rPr>
          <w:lang w:eastAsia="en-AU"/>
        </w:rPr>
        <w:t xml:space="preserve">). </w:t>
      </w:r>
      <w:r w:rsidR="00267014">
        <w:rPr>
          <w:lang w:eastAsia="en-AU"/>
        </w:rPr>
        <w:t>Most</w:t>
      </w:r>
      <w:r w:rsidR="006F0E14">
        <w:rPr>
          <w:lang w:eastAsia="en-AU"/>
        </w:rPr>
        <w:t xml:space="preserve"> </w:t>
      </w:r>
      <w:r w:rsidRPr="00B25892">
        <w:rPr>
          <w:lang w:eastAsia="en-AU"/>
        </w:rPr>
        <w:t xml:space="preserve">'listed' medicines </w:t>
      </w:r>
      <w:r w:rsidR="00553822">
        <w:rPr>
          <w:lang w:eastAsia="en-AU"/>
        </w:rPr>
        <w:t>are</w:t>
      </w:r>
      <w:r w:rsidRPr="00B25892">
        <w:rPr>
          <w:lang w:eastAsia="en-AU"/>
        </w:rPr>
        <w:t xml:space="preserve"> not assessed for efficacy</w:t>
      </w:r>
      <w:r w:rsidR="006F0E14">
        <w:rPr>
          <w:lang w:eastAsia="en-AU"/>
        </w:rPr>
        <w:t>.</w:t>
      </w:r>
    </w:p>
    <w:p w14:paraId="03429261" w14:textId="4B25FEDE" w:rsidR="006F0E14" w:rsidRDefault="00453D22" w:rsidP="006F0E14">
      <w:pPr>
        <w:rPr>
          <w:lang w:eastAsia="en-AU"/>
        </w:rPr>
      </w:pPr>
      <w:r>
        <w:rPr>
          <w:lang w:eastAsia="en-AU"/>
        </w:rPr>
        <w:t>All prescription</w:t>
      </w:r>
      <w:r w:rsidR="00D36F61">
        <w:rPr>
          <w:lang w:eastAsia="en-AU"/>
        </w:rPr>
        <w:t xml:space="preserve"> medicines </w:t>
      </w:r>
      <w:r w:rsidR="00BB4959">
        <w:rPr>
          <w:lang w:eastAsia="en-AU"/>
        </w:rPr>
        <w:t xml:space="preserve">are </w:t>
      </w:r>
      <w:r w:rsidR="00267014">
        <w:rPr>
          <w:lang w:eastAsia="en-AU"/>
        </w:rPr>
        <w:t>‘</w:t>
      </w:r>
      <w:r w:rsidR="00BB4959">
        <w:rPr>
          <w:lang w:eastAsia="en-AU"/>
        </w:rPr>
        <w:t>registered</w:t>
      </w:r>
      <w:r w:rsidR="00267014">
        <w:rPr>
          <w:lang w:eastAsia="en-AU"/>
        </w:rPr>
        <w:t xml:space="preserve">’ </w:t>
      </w:r>
      <w:r w:rsidR="00BB4959">
        <w:rPr>
          <w:lang w:eastAsia="en-AU"/>
        </w:rPr>
        <w:t xml:space="preserve">medicines. </w:t>
      </w:r>
      <w:r w:rsidR="00B40B97">
        <w:rPr>
          <w:lang w:eastAsia="en-AU"/>
        </w:rPr>
        <w:t>M</w:t>
      </w:r>
      <w:r w:rsidR="00696257">
        <w:rPr>
          <w:lang w:eastAsia="en-AU"/>
        </w:rPr>
        <w:t xml:space="preserve">ost </w:t>
      </w:r>
      <w:r w:rsidR="00510C30">
        <w:rPr>
          <w:lang w:eastAsia="en-AU"/>
        </w:rPr>
        <w:t xml:space="preserve">OTC medicines </w:t>
      </w:r>
      <w:r w:rsidR="00BA14A2">
        <w:rPr>
          <w:lang w:eastAsia="en-AU"/>
        </w:rPr>
        <w:t xml:space="preserve">are </w:t>
      </w:r>
      <w:r w:rsidR="00696257">
        <w:rPr>
          <w:lang w:eastAsia="en-AU"/>
        </w:rPr>
        <w:t>considered lower risk</w:t>
      </w:r>
      <w:r w:rsidR="00BA14A2">
        <w:rPr>
          <w:lang w:eastAsia="en-AU"/>
        </w:rPr>
        <w:t xml:space="preserve"> and </w:t>
      </w:r>
      <w:r w:rsidR="00267014">
        <w:rPr>
          <w:lang w:eastAsia="en-AU"/>
        </w:rPr>
        <w:t>are</w:t>
      </w:r>
      <w:r w:rsidR="00696257">
        <w:rPr>
          <w:lang w:eastAsia="en-AU"/>
        </w:rPr>
        <w:t xml:space="preserve"> </w:t>
      </w:r>
      <w:r w:rsidR="00267014">
        <w:rPr>
          <w:lang w:eastAsia="en-AU"/>
        </w:rPr>
        <w:t>‘</w:t>
      </w:r>
      <w:r w:rsidR="00696257">
        <w:rPr>
          <w:lang w:eastAsia="en-AU"/>
        </w:rPr>
        <w:t>listed</w:t>
      </w:r>
      <w:r w:rsidR="00267014">
        <w:rPr>
          <w:lang w:eastAsia="en-AU"/>
        </w:rPr>
        <w:t>’ on the ARTG</w:t>
      </w:r>
      <w:r w:rsidR="00C5665F">
        <w:rPr>
          <w:lang w:eastAsia="en-AU"/>
        </w:rPr>
        <w:t>.</w:t>
      </w:r>
    </w:p>
    <w:p w14:paraId="0D4944AE" w14:textId="1663E115" w:rsidR="007C6FB1" w:rsidRDefault="007C6FB1" w:rsidP="007C6FB1">
      <w:pPr>
        <w:pStyle w:val="Heading4"/>
        <w:rPr>
          <w:lang w:eastAsia="en-AU"/>
        </w:rPr>
      </w:pPr>
      <w:r>
        <w:rPr>
          <w:lang w:eastAsia="en-AU"/>
        </w:rPr>
        <w:t>Table 1. TGA risk-based approach to regulation and assessment of medicines</w:t>
      </w:r>
    </w:p>
    <w:tbl>
      <w:tblPr>
        <w:tblStyle w:val="DepartmentofHealthtable"/>
        <w:tblW w:w="8222" w:type="dxa"/>
        <w:tblLook w:val="04A0" w:firstRow="1" w:lastRow="0" w:firstColumn="1" w:lastColumn="0" w:noHBand="0" w:noVBand="1"/>
      </w:tblPr>
      <w:tblGrid>
        <w:gridCol w:w="3114"/>
        <w:gridCol w:w="1984"/>
        <w:gridCol w:w="2127"/>
        <w:gridCol w:w="1633"/>
      </w:tblGrid>
      <w:tr w:rsidR="00EF708A" w:rsidRPr="00EF708A" w14:paraId="4BC4863B" w14:textId="77777777" w:rsidTr="00E45AB7">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ACF345A" w14:textId="77777777" w:rsidR="00EF708A" w:rsidRPr="00D75BD6" w:rsidRDefault="00EF708A" w:rsidP="00553822">
            <w:pPr>
              <w:spacing w:before="0"/>
              <w:jc w:val="center"/>
              <w:rPr>
                <w:rFonts w:ascii="Calibri" w:hAnsi="Calibri" w:cs="Calibri"/>
                <w:b/>
                <w:bCs/>
                <w:color w:val="FFFFFF"/>
              </w:rPr>
            </w:pPr>
            <w:r w:rsidRPr="00D75BD6">
              <w:rPr>
                <w:rFonts w:ascii="Calibri" w:hAnsi="Calibri" w:cs="Calibri"/>
                <w:b/>
                <w:bCs/>
                <w:color w:val="FFFFFF"/>
              </w:rPr>
              <w:t>Attribute</w:t>
            </w:r>
          </w:p>
        </w:tc>
        <w:tc>
          <w:tcPr>
            <w:tcW w:w="1984" w:type="dxa"/>
            <w:noWrap/>
            <w:hideMark/>
          </w:tcPr>
          <w:p w14:paraId="1A1833DE" w14:textId="77777777" w:rsidR="00EF708A" w:rsidRPr="00D75BD6" w:rsidRDefault="00EF708A" w:rsidP="00553822">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FFFFFF"/>
              </w:rPr>
            </w:pPr>
            <w:r w:rsidRPr="00D75BD6">
              <w:rPr>
                <w:rFonts w:ascii="Calibri" w:hAnsi="Calibri" w:cs="Calibri"/>
                <w:b/>
                <w:bCs/>
                <w:color w:val="FFFFFF"/>
              </w:rPr>
              <w:t>Listed</w:t>
            </w:r>
          </w:p>
        </w:tc>
        <w:tc>
          <w:tcPr>
            <w:tcW w:w="2127" w:type="dxa"/>
            <w:noWrap/>
            <w:hideMark/>
          </w:tcPr>
          <w:p w14:paraId="2D8A96F4" w14:textId="77777777" w:rsidR="00EF708A" w:rsidRPr="00D75BD6" w:rsidRDefault="00EF708A" w:rsidP="00553822">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FFFFFF"/>
              </w:rPr>
            </w:pPr>
            <w:r w:rsidRPr="00D75BD6">
              <w:rPr>
                <w:rFonts w:ascii="Calibri" w:hAnsi="Calibri" w:cs="Calibri"/>
                <w:b/>
                <w:bCs/>
                <w:color w:val="FFFFFF"/>
              </w:rPr>
              <w:t>Assessed listed</w:t>
            </w:r>
          </w:p>
        </w:tc>
        <w:tc>
          <w:tcPr>
            <w:tcW w:w="997" w:type="dxa"/>
            <w:noWrap/>
            <w:hideMark/>
          </w:tcPr>
          <w:p w14:paraId="38CDD72C" w14:textId="77777777" w:rsidR="00EF708A" w:rsidRPr="00D75BD6" w:rsidRDefault="00EF708A" w:rsidP="00553822">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FFFFFF"/>
              </w:rPr>
            </w:pPr>
            <w:r w:rsidRPr="00D75BD6">
              <w:rPr>
                <w:rFonts w:ascii="Calibri" w:hAnsi="Calibri" w:cs="Calibri"/>
                <w:b/>
                <w:bCs/>
                <w:color w:val="FFFFFF"/>
              </w:rPr>
              <w:t>Registered</w:t>
            </w:r>
          </w:p>
        </w:tc>
      </w:tr>
      <w:tr w:rsidR="00EF708A" w:rsidRPr="00EF708A" w14:paraId="41004894" w14:textId="77777777" w:rsidTr="00E45AB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D5E57B4" w14:textId="77777777" w:rsidR="00EF708A" w:rsidRPr="00EF708A" w:rsidRDefault="00EF708A" w:rsidP="00553822">
            <w:pPr>
              <w:spacing w:before="0"/>
              <w:rPr>
                <w:rFonts w:ascii="Calibri" w:hAnsi="Calibri" w:cs="Calibri"/>
                <w:color w:val="000000"/>
                <w:sz w:val="22"/>
              </w:rPr>
            </w:pPr>
            <w:r w:rsidRPr="00EF708A">
              <w:rPr>
                <w:rFonts w:ascii="Calibri" w:hAnsi="Calibri" w:cs="Calibri"/>
                <w:color w:val="000000"/>
                <w:sz w:val="22"/>
              </w:rPr>
              <w:t>ARTG/AUST number</w:t>
            </w:r>
          </w:p>
        </w:tc>
        <w:tc>
          <w:tcPr>
            <w:tcW w:w="1984" w:type="dxa"/>
            <w:noWrap/>
            <w:hideMark/>
          </w:tcPr>
          <w:p w14:paraId="37577F2A"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AUST L</w:t>
            </w:r>
          </w:p>
        </w:tc>
        <w:tc>
          <w:tcPr>
            <w:tcW w:w="2127" w:type="dxa"/>
            <w:noWrap/>
            <w:hideMark/>
          </w:tcPr>
          <w:p w14:paraId="32B641E1"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AUST L(A)</w:t>
            </w:r>
          </w:p>
        </w:tc>
        <w:tc>
          <w:tcPr>
            <w:tcW w:w="997" w:type="dxa"/>
            <w:noWrap/>
            <w:hideMark/>
          </w:tcPr>
          <w:p w14:paraId="150A237E"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AUST R</w:t>
            </w:r>
          </w:p>
        </w:tc>
      </w:tr>
      <w:tr w:rsidR="00EF708A" w:rsidRPr="00EF708A" w14:paraId="7A8EBDD6" w14:textId="77777777" w:rsidTr="00E45AB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2ED2B42" w14:textId="77777777" w:rsidR="00EF708A" w:rsidRPr="00EF708A" w:rsidRDefault="00EF708A" w:rsidP="00553822">
            <w:pPr>
              <w:spacing w:before="0"/>
              <w:rPr>
                <w:rFonts w:ascii="Calibri" w:hAnsi="Calibri" w:cs="Calibri"/>
                <w:color w:val="000000"/>
                <w:sz w:val="22"/>
              </w:rPr>
            </w:pPr>
            <w:r w:rsidRPr="00EF708A">
              <w:rPr>
                <w:rFonts w:ascii="Calibri" w:hAnsi="Calibri" w:cs="Calibri"/>
                <w:color w:val="000000"/>
                <w:sz w:val="22"/>
              </w:rPr>
              <w:t>Pre-market efficacy assessment</w:t>
            </w:r>
          </w:p>
        </w:tc>
        <w:tc>
          <w:tcPr>
            <w:tcW w:w="1984" w:type="dxa"/>
            <w:noWrap/>
            <w:hideMark/>
          </w:tcPr>
          <w:p w14:paraId="1FA1667C" w14:textId="77777777" w:rsidR="00EF708A" w:rsidRPr="00EF708A" w:rsidRDefault="00EF708A" w:rsidP="00553822">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No</w:t>
            </w:r>
          </w:p>
        </w:tc>
        <w:tc>
          <w:tcPr>
            <w:tcW w:w="2127" w:type="dxa"/>
            <w:noWrap/>
            <w:hideMark/>
          </w:tcPr>
          <w:p w14:paraId="0DE55EEB" w14:textId="77777777" w:rsidR="00EF708A" w:rsidRPr="00EF708A" w:rsidRDefault="00EF708A" w:rsidP="00553822">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Yes</w:t>
            </w:r>
          </w:p>
        </w:tc>
        <w:tc>
          <w:tcPr>
            <w:tcW w:w="997" w:type="dxa"/>
            <w:noWrap/>
            <w:hideMark/>
          </w:tcPr>
          <w:p w14:paraId="337715DE" w14:textId="77777777" w:rsidR="00EF708A" w:rsidRPr="00EF708A" w:rsidRDefault="00EF708A" w:rsidP="00553822">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Yes</w:t>
            </w:r>
          </w:p>
        </w:tc>
      </w:tr>
      <w:tr w:rsidR="00EF708A" w:rsidRPr="00EF708A" w14:paraId="534F47C9" w14:textId="77777777" w:rsidTr="00E45AB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115B2ED" w14:textId="77777777" w:rsidR="00EF708A" w:rsidRPr="00EF708A" w:rsidRDefault="00EF708A" w:rsidP="00553822">
            <w:pPr>
              <w:spacing w:before="0"/>
              <w:rPr>
                <w:rFonts w:ascii="Calibri" w:hAnsi="Calibri" w:cs="Calibri"/>
                <w:color w:val="000000"/>
                <w:sz w:val="22"/>
              </w:rPr>
            </w:pPr>
            <w:r w:rsidRPr="00EF708A">
              <w:rPr>
                <w:rFonts w:ascii="Calibri" w:hAnsi="Calibri" w:cs="Calibri"/>
                <w:color w:val="000000"/>
                <w:sz w:val="22"/>
              </w:rPr>
              <w:t>Ingredients</w:t>
            </w:r>
          </w:p>
        </w:tc>
        <w:tc>
          <w:tcPr>
            <w:tcW w:w="1984" w:type="dxa"/>
            <w:noWrap/>
            <w:hideMark/>
          </w:tcPr>
          <w:p w14:paraId="487E156C"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From a list of pre-approved ingredients only</w:t>
            </w:r>
          </w:p>
        </w:tc>
        <w:tc>
          <w:tcPr>
            <w:tcW w:w="2127" w:type="dxa"/>
            <w:noWrap/>
            <w:hideMark/>
          </w:tcPr>
          <w:p w14:paraId="2808BC95"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From a list of pre-approved ingredients only</w:t>
            </w:r>
          </w:p>
        </w:tc>
        <w:tc>
          <w:tcPr>
            <w:tcW w:w="997" w:type="dxa"/>
            <w:noWrap/>
            <w:hideMark/>
          </w:tcPr>
          <w:p w14:paraId="72376CA1"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Ingredients are assessed pre-market</w:t>
            </w:r>
          </w:p>
        </w:tc>
      </w:tr>
      <w:tr w:rsidR="00EF708A" w:rsidRPr="00EF708A" w14:paraId="4FC1D5F8" w14:textId="77777777" w:rsidTr="00E45AB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381C80E" w14:textId="77777777" w:rsidR="00EF708A" w:rsidRPr="00EF708A" w:rsidRDefault="00EF708A" w:rsidP="00553822">
            <w:pPr>
              <w:spacing w:before="0"/>
              <w:rPr>
                <w:rFonts w:ascii="Calibri" w:hAnsi="Calibri" w:cs="Calibri"/>
                <w:color w:val="000000"/>
                <w:sz w:val="22"/>
              </w:rPr>
            </w:pPr>
            <w:r w:rsidRPr="00EF708A">
              <w:rPr>
                <w:rFonts w:ascii="Calibri" w:hAnsi="Calibri" w:cs="Calibri"/>
                <w:color w:val="000000"/>
                <w:sz w:val="22"/>
              </w:rPr>
              <w:t>Indications (conditions the medicine says it will treat)</w:t>
            </w:r>
          </w:p>
        </w:tc>
        <w:tc>
          <w:tcPr>
            <w:tcW w:w="1984" w:type="dxa"/>
            <w:noWrap/>
            <w:hideMark/>
          </w:tcPr>
          <w:p w14:paraId="44E4995A" w14:textId="77777777" w:rsidR="00EF708A" w:rsidRPr="00EF708A" w:rsidRDefault="00EF708A" w:rsidP="00553822">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From a list of pre-approved conditions only</w:t>
            </w:r>
          </w:p>
        </w:tc>
        <w:tc>
          <w:tcPr>
            <w:tcW w:w="2127" w:type="dxa"/>
            <w:noWrap/>
            <w:hideMark/>
          </w:tcPr>
          <w:p w14:paraId="10DBEA7D" w14:textId="77777777" w:rsidR="00EF708A" w:rsidRPr="00EF708A" w:rsidRDefault="00EF708A" w:rsidP="00553822">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Conditions are assessed pre-market</w:t>
            </w:r>
          </w:p>
        </w:tc>
        <w:tc>
          <w:tcPr>
            <w:tcW w:w="997" w:type="dxa"/>
            <w:noWrap/>
            <w:hideMark/>
          </w:tcPr>
          <w:p w14:paraId="5FBF7A40" w14:textId="77777777" w:rsidR="00EF708A" w:rsidRPr="00EF708A" w:rsidRDefault="00EF708A" w:rsidP="00553822">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Conditions are assessed pre-market</w:t>
            </w:r>
          </w:p>
        </w:tc>
      </w:tr>
      <w:tr w:rsidR="00EF708A" w:rsidRPr="00EF708A" w14:paraId="344E51B9" w14:textId="77777777" w:rsidTr="00E45AB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A3A7A70" w14:textId="77777777" w:rsidR="00EF708A" w:rsidRPr="00EF708A" w:rsidRDefault="00EF708A" w:rsidP="00553822">
            <w:pPr>
              <w:spacing w:before="0"/>
              <w:rPr>
                <w:rFonts w:ascii="Calibri" w:hAnsi="Calibri" w:cs="Calibri"/>
                <w:color w:val="000000"/>
                <w:sz w:val="22"/>
              </w:rPr>
            </w:pPr>
            <w:r w:rsidRPr="00EF708A">
              <w:rPr>
                <w:rFonts w:ascii="Calibri" w:hAnsi="Calibri" w:cs="Calibri"/>
                <w:color w:val="000000"/>
                <w:sz w:val="22"/>
              </w:rPr>
              <w:t>Subject to post-market compliance reviews</w:t>
            </w:r>
          </w:p>
        </w:tc>
        <w:tc>
          <w:tcPr>
            <w:tcW w:w="1984" w:type="dxa"/>
            <w:noWrap/>
            <w:hideMark/>
          </w:tcPr>
          <w:p w14:paraId="1077F162"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Yes</w:t>
            </w:r>
          </w:p>
        </w:tc>
        <w:tc>
          <w:tcPr>
            <w:tcW w:w="2127" w:type="dxa"/>
            <w:noWrap/>
            <w:hideMark/>
          </w:tcPr>
          <w:p w14:paraId="6473F625"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Yes</w:t>
            </w:r>
          </w:p>
        </w:tc>
        <w:tc>
          <w:tcPr>
            <w:tcW w:w="997" w:type="dxa"/>
            <w:noWrap/>
            <w:hideMark/>
          </w:tcPr>
          <w:p w14:paraId="4FB6D676"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No</w:t>
            </w:r>
          </w:p>
        </w:tc>
      </w:tr>
      <w:tr w:rsidR="00EF708A" w:rsidRPr="00EF708A" w14:paraId="5C7EC1D1" w14:textId="77777777" w:rsidTr="00E45AB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BA1EC6A" w14:textId="6EA84A5F" w:rsidR="00EF708A" w:rsidRPr="00EF708A" w:rsidRDefault="00EF708A" w:rsidP="00553822">
            <w:pPr>
              <w:spacing w:before="0"/>
              <w:rPr>
                <w:rFonts w:ascii="Calibri" w:hAnsi="Calibri" w:cs="Calibri"/>
                <w:color w:val="000000"/>
                <w:sz w:val="22"/>
              </w:rPr>
            </w:pPr>
            <w:r w:rsidRPr="00EF708A">
              <w:rPr>
                <w:rFonts w:ascii="Calibri" w:hAnsi="Calibri" w:cs="Calibri"/>
                <w:color w:val="000000"/>
                <w:sz w:val="22"/>
              </w:rPr>
              <w:t>Subject to post</w:t>
            </w:r>
            <w:r w:rsidR="00124EEE">
              <w:rPr>
                <w:rFonts w:ascii="Calibri" w:hAnsi="Calibri" w:cs="Calibri"/>
                <w:color w:val="000000"/>
                <w:sz w:val="22"/>
              </w:rPr>
              <w:t>-</w:t>
            </w:r>
            <w:r w:rsidRPr="00EF708A">
              <w:rPr>
                <w:rFonts w:ascii="Calibri" w:hAnsi="Calibri" w:cs="Calibri"/>
                <w:color w:val="000000"/>
                <w:sz w:val="22"/>
              </w:rPr>
              <w:t>market surveillance (e.g. adverse event monitoring)</w:t>
            </w:r>
          </w:p>
        </w:tc>
        <w:tc>
          <w:tcPr>
            <w:tcW w:w="1984" w:type="dxa"/>
            <w:noWrap/>
            <w:hideMark/>
          </w:tcPr>
          <w:p w14:paraId="4DF77FEA" w14:textId="77777777" w:rsidR="00EF708A" w:rsidRPr="00EF708A" w:rsidRDefault="00EF708A" w:rsidP="00553822">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Yes</w:t>
            </w:r>
          </w:p>
        </w:tc>
        <w:tc>
          <w:tcPr>
            <w:tcW w:w="2127" w:type="dxa"/>
            <w:noWrap/>
            <w:hideMark/>
          </w:tcPr>
          <w:p w14:paraId="2AF312F2" w14:textId="77777777" w:rsidR="00EF708A" w:rsidRPr="00EF708A" w:rsidRDefault="00EF708A" w:rsidP="00553822">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Yes</w:t>
            </w:r>
          </w:p>
        </w:tc>
        <w:tc>
          <w:tcPr>
            <w:tcW w:w="997" w:type="dxa"/>
            <w:noWrap/>
            <w:hideMark/>
          </w:tcPr>
          <w:p w14:paraId="4A2A86B6" w14:textId="77777777" w:rsidR="00EF708A" w:rsidRPr="00EF708A" w:rsidRDefault="00EF708A" w:rsidP="00553822">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Yes</w:t>
            </w:r>
          </w:p>
        </w:tc>
      </w:tr>
      <w:tr w:rsidR="00EF708A" w:rsidRPr="00EF708A" w14:paraId="7ED035F9" w14:textId="77777777" w:rsidTr="00E45AB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5DE56A1" w14:textId="77777777" w:rsidR="00EF708A" w:rsidRPr="00EF708A" w:rsidRDefault="00EF708A" w:rsidP="00553822">
            <w:pPr>
              <w:spacing w:before="0"/>
              <w:rPr>
                <w:rFonts w:ascii="Calibri" w:hAnsi="Calibri" w:cs="Calibri"/>
                <w:color w:val="000000"/>
                <w:sz w:val="22"/>
              </w:rPr>
            </w:pPr>
            <w:r w:rsidRPr="00EF708A">
              <w:rPr>
                <w:rFonts w:ascii="Calibri" w:hAnsi="Calibri" w:cs="Calibri"/>
                <w:color w:val="000000"/>
                <w:sz w:val="22"/>
              </w:rPr>
              <w:t>Available off-the-shelf</w:t>
            </w:r>
          </w:p>
        </w:tc>
        <w:tc>
          <w:tcPr>
            <w:tcW w:w="1984" w:type="dxa"/>
            <w:noWrap/>
            <w:hideMark/>
          </w:tcPr>
          <w:p w14:paraId="3DAE20F3"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Yes</w:t>
            </w:r>
          </w:p>
        </w:tc>
        <w:tc>
          <w:tcPr>
            <w:tcW w:w="2127" w:type="dxa"/>
            <w:noWrap/>
            <w:hideMark/>
          </w:tcPr>
          <w:p w14:paraId="5C32E889"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Yes</w:t>
            </w:r>
          </w:p>
        </w:tc>
        <w:tc>
          <w:tcPr>
            <w:tcW w:w="997" w:type="dxa"/>
            <w:noWrap/>
            <w:hideMark/>
          </w:tcPr>
          <w:p w14:paraId="280FBCF1"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Some</w:t>
            </w:r>
          </w:p>
        </w:tc>
      </w:tr>
      <w:tr w:rsidR="00EF708A" w:rsidRPr="00EF708A" w14:paraId="4B6B509B" w14:textId="77777777" w:rsidTr="00E45AB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4B39C27" w14:textId="77777777" w:rsidR="00EF708A" w:rsidRPr="00EF708A" w:rsidRDefault="00EF708A" w:rsidP="00553822">
            <w:pPr>
              <w:spacing w:before="0"/>
              <w:rPr>
                <w:rFonts w:ascii="Calibri" w:hAnsi="Calibri" w:cs="Calibri"/>
                <w:color w:val="000000"/>
                <w:sz w:val="22"/>
              </w:rPr>
            </w:pPr>
            <w:r w:rsidRPr="00EF708A">
              <w:rPr>
                <w:rFonts w:ascii="Calibri" w:hAnsi="Calibri" w:cs="Calibri"/>
                <w:color w:val="000000"/>
                <w:sz w:val="22"/>
              </w:rPr>
              <w:t>Need for a prescription from a health professional</w:t>
            </w:r>
          </w:p>
        </w:tc>
        <w:tc>
          <w:tcPr>
            <w:tcW w:w="1984" w:type="dxa"/>
            <w:noWrap/>
            <w:hideMark/>
          </w:tcPr>
          <w:p w14:paraId="497A4009" w14:textId="77777777" w:rsidR="00EF708A" w:rsidRPr="00EF708A" w:rsidRDefault="00EF708A" w:rsidP="00553822">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No</w:t>
            </w:r>
          </w:p>
        </w:tc>
        <w:tc>
          <w:tcPr>
            <w:tcW w:w="2127" w:type="dxa"/>
            <w:noWrap/>
            <w:hideMark/>
          </w:tcPr>
          <w:p w14:paraId="71F77820" w14:textId="77777777" w:rsidR="00EF708A" w:rsidRPr="00EF708A" w:rsidRDefault="00EF708A" w:rsidP="00553822">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No</w:t>
            </w:r>
          </w:p>
        </w:tc>
        <w:tc>
          <w:tcPr>
            <w:tcW w:w="997" w:type="dxa"/>
            <w:noWrap/>
            <w:hideMark/>
          </w:tcPr>
          <w:p w14:paraId="3DC8622E" w14:textId="77777777" w:rsidR="00EF708A" w:rsidRPr="00EF708A" w:rsidRDefault="00EF708A" w:rsidP="00553822">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Some</w:t>
            </w:r>
          </w:p>
        </w:tc>
      </w:tr>
      <w:tr w:rsidR="00EF708A" w:rsidRPr="00EF708A" w14:paraId="758C1137" w14:textId="77777777" w:rsidTr="00E45AB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F00389A" w14:textId="77777777" w:rsidR="00EF708A" w:rsidRPr="00EF708A" w:rsidRDefault="00EF708A" w:rsidP="00553822">
            <w:pPr>
              <w:spacing w:before="0"/>
              <w:rPr>
                <w:rFonts w:ascii="Calibri" w:hAnsi="Calibri" w:cs="Calibri"/>
                <w:color w:val="000000"/>
                <w:sz w:val="22"/>
              </w:rPr>
            </w:pPr>
            <w:r w:rsidRPr="00EF708A">
              <w:rPr>
                <w:rFonts w:ascii="Calibri" w:hAnsi="Calibri" w:cs="Calibri"/>
                <w:color w:val="000000"/>
                <w:sz w:val="22"/>
              </w:rPr>
              <w:t>Able to use 'TGA assessed' claim</w:t>
            </w:r>
          </w:p>
        </w:tc>
        <w:tc>
          <w:tcPr>
            <w:tcW w:w="1984" w:type="dxa"/>
            <w:noWrap/>
            <w:hideMark/>
          </w:tcPr>
          <w:p w14:paraId="7688542B"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No</w:t>
            </w:r>
          </w:p>
        </w:tc>
        <w:tc>
          <w:tcPr>
            <w:tcW w:w="2127" w:type="dxa"/>
            <w:noWrap/>
            <w:hideMark/>
          </w:tcPr>
          <w:p w14:paraId="6711E8EF"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Yes</w:t>
            </w:r>
          </w:p>
        </w:tc>
        <w:tc>
          <w:tcPr>
            <w:tcW w:w="997" w:type="dxa"/>
            <w:noWrap/>
            <w:hideMark/>
          </w:tcPr>
          <w:p w14:paraId="352207A5" w14:textId="77777777" w:rsidR="00EF708A" w:rsidRPr="00EF708A" w:rsidRDefault="00EF708A" w:rsidP="00553822">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Yes, for registered complementary medicines</w:t>
            </w:r>
          </w:p>
        </w:tc>
      </w:tr>
      <w:tr w:rsidR="005C5FFB" w:rsidRPr="00EF708A" w14:paraId="33AA0C15" w14:textId="77777777" w:rsidTr="00E45AB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97D67BD" w14:textId="77777777" w:rsidR="00EF708A" w:rsidRPr="00EF708A" w:rsidRDefault="00EF708A" w:rsidP="00553822">
            <w:pPr>
              <w:spacing w:before="0"/>
              <w:rPr>
                <w:rFonts w:ascii="Calibri" w:hAnsi="Calibri" w:cs="Calibri"/>
                <w:color w:val="000000"/>
                <w:sz w:val="22"/>
              </w:rPr>
            </w:pPr>
            <w:r w:rsidRPr="00EF708A">
              <w:rPr>
                <w:rFonts w:ascii="Calibri" w:hAnsi="Calibri" w:cs="Calibri"/>
                <w:color w:val="000000"/>
                <w:sz w:val="22"/>
              </w:rPr>
              <w:t>Type of medicines included</w:t>
            </w:r>
          </w:p>
        </w:tc>
        <w:tc>
          <w:tcPr>
            <w:tcW w:w="4111" w:type="dxa"/>
            <w:gridSpan w:val="2"/>
            <w:noWrap/>
            <w:hideMark/>
          </w:tcPr>
          <w:p w14:paraId="7B0181C4" w14:textId="44AD243C" w:rsidR="00EF708A" w:rsidRPr="00EF708A" w:rsidRDefault="00EF708A" w:rsidP="00553822">
            <w:pPr>
              <w:spacing w:before="0"/>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Some OTC and most compl</w:t>
            </w:r>
            <w:r w:rsidR="00293C32">
              <w:rPr>
                <w:rFonts w:ascii="Calibri" w:hAnsi="Calibri" w:cs="Calibri"/>
                <w:color w:val="000000"/>
                <w:sz w:val="22"/>
              </w:rPr>
              <w:t>e</w:t>
            </w:r>
            <w:r w:rsidRPr="00EF708A">
              <w:rPr>
                <w:rFonts w:ascii="Calibri" w:hAnsi="Calibri" w:cs="Calibri"/>
                <w:color w:val="000000"/>
                <w:sz w:val="22"/>
              </w:rPr>
              <w:t>mentary medicines</w:t>
            </w:r>
          </w:p>
        </w:tc>
        <w:tc>
          <w:tcPr>
            <w:tcW w:w="997" w:type="dxa"/>
            <w:noWrap/>
            <w:hideMark/>
          </w:tcPr>
          <w:p w14:paraId="03DC40AE" w14:textId="29095C75" w:rsidR="00EF708A" w:rsidRPr="00EF708A" w:rsidRDefault="00EF708A" w:rsidP="00553822">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EF708A">
              <w:rPr>
                <w:rFonts w:ascii="Calibri" w:hAnsi="Calibri" w:cs="Calibri"/>
                <w:color w:val="000000"/>
                <w:sz w:val="22"/>
              </w:rPr>
              <w:t>All prescription medicines, most OTCs and few compl</w:t>
            </w:r>
            <w:r w:rsidR="00293C32">
              <w:rPr>
                <w:rFonts w:ascii="Calibri" w:hAnsi="Calibri" w:cs="Calibri"/>
                <w:color w:val="000000"/>
                <w:sz w:val="22"/>
              </w:rPr>
              <w:t>e</w:t>
            </w:r>
            <w:r w:rsidRPr="00EF708A">
              <w:rPr>
                <w:rFonts w:ascii="Calibri" w:hAnsi="Calibri" w:cs="Calibri"/>
                <w:color w:val="000000"/>
                <w:sz w:val="22"/>
              </w:rPr>
              <w:t>mentary</w:t>
            </w:r>
          </w:p>
        </w:tc>
      </w:tr>
    </w:tbl>
    <w:p w14:paraId="3864C4B6" w14:textId="5B31CB02" w:rsidR="00904B59" w:rsidRDefault="00904B59" w:rsidP="00904B59">
      <w:pPr>
        <w:pStyle w:val="Heading3"/>
      </w:pPr>
      <w:r>
        <w:t xml:space="preserve">What </w:t>
      </w:r>
      <w:r w:rsidR="00DB54DC">
        <w:t>assessment is made and what information is used to make the assessment</w:t>
      </w:r>
      <w:r w:rsidR="00DA6026">
        <w:t>?</w:t>
      </w:r>
    </w:p>
    <w:p w14:paraId="0CDB3E61" w14:textId="491C7085" w:rsidR="00904B59" w:rsidRDefault="00D60FB4" w:rsidP="00904B59">
      <w:r>
        <w:t>For the TGA to assess the evidence of the risks compared to the benefits of a medicine</w:t>
      </w:r>
      <w:r w:rsidR="000868EE">
        <w:t>, a</w:t>
      </w:r>
      <w:r w:rsidR="00904B59">
        <w:t>pplications for registration</w:t>
      </w:r>
      <w:r w:rsidR="009F2549">
        <w:t xml:space="preserve"> </w:t>
      </w:r>
      <w:r w:rsidR="003525F5">
        <w:t xml:space="preserve">are </w:t>
      </w:r>
      <w:r w:rsidR="001241D5">
        <w:t>made in the form of a dossier that contains necessary data to demonstrate the quality, safety and efficacy</w:t>
      </w:r>
      <w:r w:rsidR="00BE5282">
        <w:t xml:space="preserve"> of the medicine</w:t>
      </w:r>
      <w:r w:rsidR="001241D5">
        <w:t xml:space="preserve">. The dossier </w:t>
      </w:r>
      <w:r w:rsidR="005C2198">
        <w:t xml:space="preserve">is </w:t>
      </w:r>
      <w:r w:rsidR="00617335">
        <w:t>based on a ‘common technical document’</w:t>
      </w:r>
      <w:r w:rsidR="00952336">
        <w:t xml:space="preserve"> (CTD)</w:t>
      </w:r>
      <w:r w:rsidR="005C2198">
        <w:t xml:space="preserve"> which </w:t>
      </w:r>
      <w:r w:rsidR="005C25E8">
        <w:t>was developed by the International</w:t>
      </w:r>
      <w:r w:rsidR="007B12FA" w:rsidRPr="007B12FA">
        <w:t xml:space="preserve"> </w:t>
      </w:r>
      <w:r w:rsidR="007B12FA">
        <w:t>C</w:t>
      </w:r>
      <w:r w:rsidR="007B12FA" w:rsidRPr="007B12FA">
        <w:t>onference on Harmonisation of Technical Requirements for Registration of Pharmaceuticals for Human Use (ICH) and adopted by the TGA in 2004.</w:t>
      </w:r>
      <w:r w:rsidR="005C25E8">
        <w:t xml:space="preserve"> </w:t>
      </w:r>
      <w:r w:rsidR="007B12FA">
        <w:t>The CTD</w:t>
      </w:r>
      <w:r w:rsidR="00E60BAC" w:rsidDel="00845CB0">
        <w:t xml:space="preserve"> </w:t>
      </w:r>
      <w:r w:rsidR="00E60BAC">
        <w:t xml:space="preserve">requires </w:t>
      </w:r>
      <w:r w:rsidR="002A6BDF">
        <w:t>information</w:t>
      </w:r>
      <w:r w:rsidR="003525F5">
        <w:t xml:space="preserve"> and data</w:t>
      </w:r>
      <w:r w:rsidR="002A6BDF">
        <w:t xml:space="preserve"> in </w:t>
      </w:r>
      <w:r w:rsidR="00E60BAC">
        <w:t>the dossier</w:t>
      </w:r>
      <w:r w:rsidR="00F40BF4">
        <w:t xml:space="preserve"> to be grouped into 5 modules as follows</w:t>
      </w:r>
      <w:r w:rsidR="002603BE">
        <w:t xml:space="preserve">: </w:t>
      </w:r>
    </w:p>
    <w:p w14:paraId="5B0BE22A" w14:textId="4CB3E211" w:rsidR="002603BE" w:rsidRDefault="009B586D" w:rsidP="00651D54">
      <w:pPr>
        <w:pStyle w:val="ListParagraph"/>
        <w:numPr>
          <w:ilvl w:val="0"/>
          <w:numId w:val="18"/>
        </w:numPr>
      </w:pPr>
      <w:r>
        <w:t>a</w:t>
      </w:r>
      <w:r w:rsidR="002431A7" w:rsidRPr="002431A7">
        <w:t>dministrative information and prescribing information for Australia</w:t>
      </w:r>
    </w:p>
    <w:p w14:paraId="2E49255F" w14:textId="05663308" w:rsidR="002431A7" w:rsidRDefault="001B669F" w:rsidP="00651D54">
      <w:pPr>
        <w:pStyle w:val="ListParagraph"/>
        <w:numPr>
          <w:ilvl w:val="0"/>
          <w:numId w:val="18"/>
        </w:numPr>
      </w:pPr>
      <w:r>
        <w:t>c</w:t>
      </w:r>
      <w:r w:rsidR="00C626B6" w:rsidRPr="00C626B6">
        <w:t>ommon technical document summaries</w:t>
      </w:r>
      <w:r w:rsidR="00C626B6">
        <w:t xml:space="preserve"> (summarises information in modules 3, 4 and 5)</w:t>
      </w:r>
    </w:p>
    <w:p w14:paraId="66BEDAE2" w14:textId="746CFB7A" w:rsidR="00C626B6" w:rsidRDefault="00444256" w:rsidP="00651D54">
      <w:pPr>
        <w:pStyle w:val="ListParagraph"/>
        <w:numPr>
          <w:ilvl w:val="0"/>
          <w:numId w:val="18"/>
        </w:numPr>
      </w:pPr>
      <w:r>
        <w:t>q</w:t>
      </w:r>
      <w:r w:rsidR="00C626B6" w:rsidRPr="00C626B6">
        <w:t>uality</w:t>
      </w:r>
    </w:p>
    <w:p w14:paraId="5B1935BD" w14:textId="080C0E05" w:rsidR="003770F7" w:rsidRDefault="00444256" w:rsidP="00651D54">
      <w:pPr>
        <w:pStyle w:val="ListParagraph"/>
        <w:numPr>
          <w:ilvl w:val="0"/>
          <w:numId w:val="18"/>
        </w:numPr>
      </w:pPr>
      <w:r>
        <w:t>s</w:t>
      </w:r>
      <w:r w:rsidR="003770F7">
        <w:t>afety</w:t>
      </w:r>
      <w:r w:rsidR="00B06EC6">
        <w:t xml:space="preserve"> (non</w:t>
      </w:r>
      <w:r w:rsidR="00DC3A8E">
        <w:t>-</w:t>
      </w:r>
      <w:r w:rsidR="00B06EC6">
        <w:t>clinical study reports</w:t>
      </w:r>
      <w:r w:rsidR="000F03C3">
        <w:t xml:space="preserve"> containing pharmaco-toxicological data</w:t>
      </w:r>
      <w:r w:rsidR="00B06EC6">
        <w:t>)</w:t>
      </w:r>
      <w:r w:rsidR="006E1F02">
        <w:t>, and</w:t>
      </w:r>
    </w:p>
    <w:p w14:paraId="69A8559F" w14:textId="24A5CF3D" w:rsidR="00E76A26" w:rsidRPr="00E8117A" w:rsidRDefault="00232994" w:rsidP="00651D54">
      <w:pPr>
        <w:pStyle w:val="ListParagraph"/>
        <w:numPr>
          <w:ilvl w:val="0"/>
          <w:numId w:val="18"/>
        </w:numPr>
      </w:pPr>
      <w:r>
        <w:t>e</w:t>
      </w:r>
      <w:r w:rsidR="00E76A26">
        <w:t>ff</w:t>
      </w:r>
      <w:r w:rsidR="00B06EC6">
        <w:t>icacy (clinical study reports</w:t>
      </w:r>
      <w:r w:rsidR="00FC5BAB">
        <w:t xml:space="preserve"> containing clinical data relevant to the application</w:t>
      </w:r>
      <w:r w:rsidR="00B06EC6">
        <w:t>)</w:t>
      </w:r>
      <w:r w:rsidR="005A35D1">
        <w:t>.</w:t>
      </w:r>
    </w:p>
    <w:p w14:paraId="10052666" w14:textId="624DDCBA" w:rsidR="003E3F2F" w:rsidRPr="00283D05" w:rsidRDefault="009055B6" w:rsidP="00283D05">
      <w:pPr>
        <w:pStyle w:val="Heading3"/>
        <w:rPr>
          <w:szCs w:val="28"/>
        </w:rPr>
      </w:pPr>
      <w:r>
        <w:rPr>
          <w:szCs w:val="28"/>
        </w:rPr>
        <w:t>Pathways from application to approval</w:t>
      </w:r>
    </w:p>
    <w:p w14:paraId="7FE98401" w14:textId="03827ABA" w:rsidR="000A3BF5" w:rsidRDefault="00B25892" w:rsidP="00FC5BAB">
      <w:r>
        <w:t>There are</w:t>
      </w:r>
      <w:r w:rsidDel="002C05B4">
        <w:t xml:space="preserve"> </w:t>
      </w:r>
      <w:r w:rsidR="002C05B4">
        <w:t xml:space="preserve">3 </w:t>
      </w:r>
      <w:r>
        <w:t>pathways the TGA can use to assess prescription medicine</w:t>
      </w:r>
      <w:r w:rsidR="009F2549">
        <w:t>s</w:t>
      </w:r>
      <w:r>
        <w:t>: the standard pathway, the priority review pathway and the provisional approval pathway.</w:t>
      </w:r>
      <w:r w:rsidR="00874DBB">
        <w:t xml:space="preserve"> </w:t>
      </w:r>
      <w:r w:rsidR="00CB5C43">
        <w:t xml:space="preserve">Priority review and provisional </w:t>
      </w:r>
      <w:r w:rsidR="00CB5C43">
        <w:lastRenderedPageBreak/>
        <w:t xml:space="preserve">approval are pathways that fast-track </w:t>
      </w:r>
      <w:r w:rsidR="00553822">
        <w:t xml:space="preserve">approval of new </w:t>
      </w:r>
      <w:r w:rsidR="00CB5C43">
        <w:t>prescription medicines</w:t>
      </w:r>
      <w:r w:rsidR="00553822">
        <w:t xml:space="preserve"> or new uses</w:t>
      </w:r>
      <w:r w:rsidR="00CB5C43">
        <w:t xml:space="preserve">, making them available to patients sooner than they would be </w:t>
      </w:r>
      <w:r w:rsidR="00916951">
        <w:t xml:space="preserve">if they were assessed </w:t>
      </w:r>
      <w:r w:rsidR="00CB5C43">
        <w:t xml:space="preserve">under the standard pathway. </w:t>
      </w:r>
    </w:p>
    <w:p w14:paraId="65770111" w14:textId="38722BF5" w:rsidR="006D3941" w:rsidRDefault="003022AC" w:rsidP="001907DE">
      <w:pPr>
        <w:pStyle w:val="Heading4"/>
      </w:pPr>
      <w:r>
        <w:t>Figure</w:t>
      </w:r>
      <w:r w:rsidR="00510135">
        <w:t xml:space="preserve"> </w:t>
      </w:r>
      <w:r w:rsidR="007C6FB1">
        <w:t>4</w:t>
      </w:r>
      <w:r w:rsidR="00510135">
        <w:t xml:space="preserve">: </w:t>
      </w:r>
      <w:r w:rsidR="0039707F">
        <w:t xml:space="preserve">Medicine standard pathway steps </w:t>
      </w:r>
    </w:p>
    <w:p w14:paraId="1ECE13CC" w14:textId="4C074855" w:rsidR="00553822" w:rsidRPr="00553822" w:rsidRDefault="00553822" w:rsidP="00553822">
      <w:r w:rsidRPr="00553822">
        <w:rPr>
          <w:noProof/>
        </w:rPr>
        <w:drawing>
          <wp:inline distT="0" distB="0" distL="0" distR="0" wp14:anchorId="4732C5DE" wp14:editId="45E9A1A6">
            <wp:extent cx="5617210" cy="4869180"/>
            <wp:effectExtent l="0" t="0" r="0" b="0"/>
            <wp:docPr id="155350199" name="Picture 155350199" descr="Figure 4: Medicine standard pathway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0199" name="Picture 155350199" descr="Figure 4: Medicine standard pathway step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7210" cy="4869180"/>
                    </a:xfrm>
                    <a:prstGeom prst="rect">
                      <a:avLst/>
                    </a:prstGeom>
                    <a:solidFill>
                      <a:schemeClr val="bg1"/>
                    </a:solidFill>
                    <a:ln>
                      <a:noFill/>
                    </a:ln>
                  </pic:spPr>
                </pic:pic>
              </a:graphicData>
            </a:graphic>
          </wp:inline>
        </w:drawing>
      </w:r>
    </w:p>
    <w:p w14:paraId="7DCA3C2E" w14:textId="77C1C99E" w:rsidR="00AE5D88" w:rsidRPr="00AE5D88" w:rsidRDefault="00CD344F" w:rsidP="001907DE">
      <w:pPr>
        <w:pStyle w:val="Heading4"/>
      </w:pPr>
      <w:r w:rsidRPr="00AE5D88">
        <w:t xml:space="preserve">Priority registration </w:t>
      </w:r>
    </w:p>
    <w:p w14:paraId="33429C1D" w14:textId="60ED39CC" w:rsidR="006A2102" w:rsidRDefault="006A2102" w:rsidP="006A2102">
      <w:r>
        <w:t xml:space="preserve">The standard prescription medicines registration process consists of </w:t>
      </w:r>
      <w:r w:rsidR="009B6126">
        <w:t xml:space="preserve">8 </w:t>
      </w:r>
      <w:r>
        <w:t xml:space="preserve">phases </w:t>
      </w:r>
      <w:r w:rsidR="00D47EFB">
        <w:t xml:space="preserve">as outlined </w:t>
      </w:r>
      <w:r w:rsidR="00916951">
        <w:t xml:space="preserve">in </w:t>
      </w:r>
      <w:r w:rsidR="003022AC">
        <w:t>Figure</w:t>
      </w:r>
      <w:r w:rsidR="00916951">
        <w:t xml:space="preserve"> </w:t>
      </w:r>
      <w:r w:rsidR="00C059ED">
        <w:t>4</w:t>
      </w:r>
      <w:r w:rsidR="00D47EFB">
        <w:t xml:space="preserve">. </w:t>
      </w:r>
      <w:r>
        <w:t>The priority registration process has</w:t>
      </w:r>
      <w:r w:rsidR="00E22438">
        <w:t xml:space="preserve"> the same</w:t>
      </w:r>
      <w:r>
        <w:t xml:space="preserve"> </w:t>
      </w:r>
      <w:r w:rsidR="00392AEA">
        <w:t xml:space="preserve">8 </w:t>
      </w:r>
      <w:r>
        <w:t>phases but with some modifications to reduce timeframes:</w:t>
      </w:r>
    </w:p>
    <w:p w14:paraId="4D252738" w14:textId="710B9947" w:rsidR="006A2102" w:rsidRDefault="001907DE" w:rsidP="00651D54">
      <w:pPr>
        <w:pStyle w:val="ListParagraph"/>
        <w:numPr>
          <w:ilvl w:val="0"/>
          <w:numId w:val="7"/>
        </w:numPr>
      </w:pPr>
      <w:r>
        <w:t>T</w:t>
      </w:r>
      <w:r w:rsidR="006A2102">
        <w:t>he priority registration process has greater flexibility between phases. Milestones are dynamic which allows the application to progress to the next phase more quickly</w:t>
      </w:r>
      <w:r>
        <w:t>.</w:t>
      </w:r>
    </w:p>
    <w:p w14:paraId="255E7CF7" w14:textId="689B0243" w:rsidR="006A2102" w:rsidRDefault="00F727C4" w:rsidP="00651D54">
      <w:pPr>
        <w:pStyle w:val="ListParagraph"/>
        <w:numPr>
          <w:ilvl w:val="0"/>
          <w:numId w:val="7"/>
        </w:numPr>
      </w:pPr>
      <w:r>
        <w:t>Sponsors</w:t>
      </w:r>
      <w:r w:rsidR="006A2102">
        <w:t xml:space="preserve"> receive rolling questions during the evaluation phase. If </w:t>
      </w:r>
      <w:r w:rsidR="004379D2">
        <w:t>sponsors</w:t>
      </w:r>
      <w:r w:rsidR="006A2102">
        <w:t xml:space="preserve"> respond to all rolling questions by the end of the first round of evaluation the evaluation can proceed to the next phase</w:t>
      </w:r>
      <w:r w:rsidR="001907DE">
        <w:t>.</w:t>
      </w:r>
    </w:p>
    <w:p w14:paraId="5301689E" w14:textId="32FC243B" w:rsidR="00D47EFB" w:rsidRDefault="001907DE" w:rsidP="00651D54">
      <w:pPr>
        <w:pStyle w:val="ListParagraph"/>
        <w:numPr>
          <w:ilvl w:val="0"/>
          <w:numId w:val="7"/>
        </w:numPr>
      </w:pPr>
      <w:r>
        <w:t>T</w:t>
      </w:r>
      <w:r w:rsidR="006A2102">
        <w:t>here are more flexible arrangements for accessing expert advice</w:t>
      </w:r>
      <w:r w:rsidR="00D47EFB">
        <w:t>.</w:t>
      </w:r>
      <w:r w:rsidR="00DB4DF1">
        <w:rPr>
          <w:rStyle w:val="FootnoteReference"/>
        </w:rPr>
        <w:footnoteReference w:id="14"/>
      </w:r>
    </w:p>
    <w:p w14:paraId="6C951CD9" w14:textId="24516193" w:rsidR="006D6505" w:rsidRDefault="00F53870" w:rsidP="00D47EFB">
      <w:r>
        <w:lastRenderedPageBreak/>
        <w:t xml:space="preserve">The priority review pathway </w:t>
      </w:r>
      <w:r w:rsidR="00F15CE6" w:rsidRPr="00F15CE6">
        <w:t xml:space="preserve">target timeframe of 150 working days is up to </w:t>
      </w:r>
      <w:r w:rsidR="00F13FA5">
        <w:t>3</w:t>
      </w:r>
      <w:r w:rsidR="00F13FA5" w:rsidRPr="00F15CE6">
        <w:t xml:space="preserve"> </w:t>
      </w:r>
      <w:r w:rsidR="00F15CE6" w:rsidRPr="00F15CE6">
        <w:t>months shorter than the standard prescription medicines registration process</w:t>
      </w:r>
      <w:r w:rsidR="00055834">
        <w:t xml:space="preserve"> which has a target timeframe of 220 working days</w:t>
      </w:r>
      <w:r w:rsidR="00F15CE6" w:rsidRPr="00F15CE6">
        <w:t>.</w:t>
      </w:r>
      <w:r w:rsidR="00F15CE6">
        <w:t xml:space="preserve"> </w:t>
      </w:r>
    </w:p>
    <w:p w14:paraId="533F8FBF" w14:textId="35596B7E" w:rsidR="00321704" w:rsidRDefault="003E3F2F" w:rsidP="00321704">
      <w:r w:rsidRPr="00F31CE0">
        <w:t xml:space="preserve">The flexible approach </w:t>
      </w:r>
      <w:r w:rsidR="00450021">
        <w:t>taken</w:t>
      </w:r>
      <w:r w:rsidRPr="00F31CE0">
        <w:t xml:space="preserve"> on priority applications is much more resource intensive than the standard pathway. This is not a feasible option for all medicines, so the pathway is reserved only for medicines that treat serious and life-threatening conditions</w:t>
      </w:r>
      <w:r w:rsidR="00D8349F">
        <w:t>.</w:t>
      </w:r>
    </w:p>
    <w:tbl>
      <w:tblPr>
        <w:tblStyle w:val="TableGrid"/>
        <w:tblW w:w="0" w:type="auto"/>
        <w:tblLook w:val="04A0" w:firstRow="1" w:lastRow="0" w:firstColumn="1" w:lastColumn="0" w:noHBand="0" w:noVBand="1"/>
      </w:tblPr>
      <w:tblGrid>
        <w:gridCol w:w="9026"/>
      </w:tblGrid>
      <w:tr w:rsidR="00D8349F" w14:paraId="77BA4BA7" w14:textId="77777777" w:rsidTr="00C379E7">
        <w:tc>
          <w:tcPr>
            <w:tcW w:w="9242" w:type="dxa"/>
            <w:tcBorders>
              <w:top w:val="nil"/>
              <w:left w:val="nil"/>
              <w:bottom w:val="nil"/>
              <w:right w:val="nil"/>
            </w:tcBorders>
            <w:shd w:val="clear" w:color="auto" w:fill="B4C6E7" w:themeFill="accent1" w:themeFillTint="66"/>
          </w:tcPr>
          <w:p w14:paraId="1191179A" w14:textId="5E5286C5" w:rsidR="00D8349F" w:rsidRDefault="00D8349F" w:rsidP="00C379E7">
            <w:pPr>
              <w:rPr>
                <w:b/>
                <w:bCs/>
              </w:rPr>
            </w:pPr>
            <w:r>
              <w:rPr>
                <w:b/>
                <w:bCs/>
              </w:rPr>
              <w:t>Eligibility criteria for</w:t>
            </w:r>
            <w:r w:rsidR="00C31CAE">
              <w:rPr>
                <w:b/>
                <w:bCs/>
              </w:rPr>
              <w:t xml:space="preserve"> medicine</w:t>
            </w:r>
            <w:r>
              <w:rPr>
                <w:b/>
                <w:bCs/>
              </w:rPr>
              <w:t xml:space="preserve"> priority registration</w:t>
            </w:r>
          </w:p>
          <w:p w14:paraId="0F8385D5" w14:textId="7D8A62B7" w:rsidR="00D8349F" w:rsidRDefault="005A35D1" w:rsidP="00651D54">
            <w:pPr>
              <w:pStyle w:val="ListParagraph"/>
              <w:numPr>
                <w:ilvl w:val="0"/>
                <w:numId w:val="8"/>
              </w:numPr>
            </w:pPr>
            <w:r>
              <w:t>N</w:t>
            </w:r>
            <w:r w:rsidR="00D8349F">
              <w:t>ew prescription medicine or new indication</w:t>
            </w:r>
            <w:r w:rsidR="00316895">
              <w:t xml:space="preserve"> for existing</w:t>
            </w:r>
            <w:r w:rsidR="00D8349F">
              <w:t xml:space="preserve"> medicine</w:t>
            </w:r>
            <w:r>
              <w:t>.</w:t>
            </w:r>
          </w:p>
          <w:p w14:paraId="43B200DD" w14:textId="40FA0569" w:rsidR="00D8349F" w:rsidRDefault="005A35D1" w:rsidP="00651D54">
            <w:pPr>
              <w:pStyle w:val="ListParagraph"/>
              <w:numPr>
                <w:ilvl w:val="0"/>
                <w:numId w:val="8"/>
              </w:numPr>
            </w:pPr>
            <w:r>
              <w:t>T</w:t>
            </w:r>
            <w:r w:rsidR="00D8349F">
              <w:t>he indication of the medicine is the treatment, prevention or diagnosis of a serious condition</w:t>
            </w:r>
            <w:r>
              <w:t>.</w:t>
            </w:r>
          </w:p>
          <w:p w14:paraId="1ED7F8E0" w14:textId="63F061D4" w:rsidR="00D8349F" w:rsidRDefault="005A35D1" w:rsidP="00651D54">
            <w:pPr>
              <w:pStyle w:val="ListParagraph"/>
              <w:numPr>
                <w:ilvl w:val="0"/>
                <w:numId w:val="8"/>
              </w:numPr>
            </w:pPr>
            <w:r>
              <w:t>E</w:t>
            </w:r>
            <w:r w:rsidR="00D8349F">
              <w:t>ither:</w:t>
            </w:r>
          </w:p>
          <w:p w14:paraId="5E737401" w14:textId="237D176E" w:rsidR="00D8349F" w:rsidRDefault="00ED6992" w:rsidP="00651D54">
            <w:pPr>
              <w:pStyle w:val="ListParagraph"/>
              <w:numPr>
                <w:ilvl w:val="1"/>
                <w:numId w:val="8"/>
              </w:numPr>
            </w:pPr>
            <w:r>
              <w:t>n</w:t>
            </w:r>
            <w:r w:rsidR="00D8349F">
              <w:t xml:space="preserve">o therapeutic good intended to treat, prevent or diagnose the condition is included </w:t>
            </w:r>
            <w:r>
              <w:t xml:space="preserve">on </w:t>
            </w:r>
            <w:r w:rsidR="00D8349F">
              <w:t>the register</w:t>
            </w:r>
            <w:r>
              <w:t>,</w:t>
            </w:r>
            <w:r w:rsidR="00D8349F">
              <w:t xml:space="preserve"> or</w:t>
            </w:r>
          </w:p>
          <w:p w14:paraId="0E3620E9" w14:textId="22E2EBE4" w:rsidR="00D8349F" w:rsidRDefault="00ED6992" w:rsidP="00651D54">
            <w:pPr>
              <w:pStyle w:val="ListParagraph"/>
              <w:numPr>
                <w:ilvl w:val="1"/>
                <w:numId w:val="8"/>
              </w:numPr>
            </w:pPr>
            <w:r>
              <w:t>t</w:t>
            </w:r>
            <w:r w:rsidR="00D8349F">
              <w:t xml:space="preserve">here is substantial evidence demonstrating that the medicine provides a significant improvement in efficacy or safety of the treatment prevention or diagnosis of the condition compared to those goods. </w:t>
            </w:r>
          </w:p>
          <w:p w14:paraId="67670F13" w14:textId="45AD46FC" w:rsidR="00D8349F" w:rsidRPr="00D8349F" w:rsidRDefault="005A35D1" w:rsidP="00651D54">
            <w:pPr>
              <w:pStyle w:val="ListParagraph"/>
              <w:numPr>
                <w:ilvl w:val="0"/>
                <w:numId w:val="8"/>
              </w:numPr>
              <w:spacing w:after="240"/>
            </w:pPr>
            <w:r>
              <w:t>T</w:t>
            </w:r>
            <w:r w:rsidR="00D8349F">
              <w:t>here is substantial evidence demonstrating the medicine provides a major therapeutic advance.</w:t>
            </w:r>
            <w:r w:rsidR="00D8349F">
              <w:rPr>
                <w:rStyle w:val="FootnoteReference"/>
              </w:rPr>
              <w:footnoteReference w:id="15"/>
            </w:r>
          </w:p>
        </w:tc>
      </w:tr>
    </w:tbl>
    <w:p w14:paraId="195892CC" w14:textId="39199BC0" w:rsidR="007B0A3C" w:rsidRDefault="007B0A3C" w:rsidP="007B0A3C">
      <w:r>
        <w:t>Sponsors must apply for a priority determination prior to making a submission</w:t>
      </w:r>
      <w:r w:rsidR="00FA2AA8">
        <w:t xml:space="preserve">. </w:t>
      </w:r>
      <w:r w:rsidR="00055834">
        <w:t>The TGA recommends that</w:t>
      </w:r>
      <w:r w:rsidR="00FA2AA8">
        <w:t xml:space="preserve"> this priority determination application is submitted </w:t>
      </w:r>
      <w:r w:rsidR="00A11245">
        <w:t xml:space="preserve">3 </w:t>
      </w:r>
      <w:r w:rsidR="001B0A12">
        <w:t xml:space="preserve">months </w:t>
      </w:r>
      <w:r w:rsidR="00A11245">
        <w:t>before</w:t>
      </w:r>
      <w:r w:rsidR="001B0A12">
        <w:t xml:space="preserve"> submission for registration. </w:t>
      </w:r>
    </w:p>
    <w:p w14:paraId="3D761A3D" w14:textId="7F750E8F" w:rsidR="00AE5D88" w:rsidRPr="00AE5D88" w:rsidRDefault="00AE5D88" w:rsidP="001907DE">
      <w:pPr>
        <w:pStyle w:val="Heading4"/>
      </w:pPr>
      <w:r w:rsidRPr="00AE5D88">
        <w:t xml:space="preserve">Provisional approval </w:t>
      </w:r>
    </w:p>
    <w:p w14:paraId="77CCDB4F" w14:textId="5BED4F36" w:rsidR="004C2434" w:rsidRPr="004C2434" w:rsidRDefault="00AE3FAB" w:rsidP="004C2434">
      <w:r w:rsidRPr="004C2434">
        <w:t>Under the standard pathway, a medicine is not available until after all clinical trials have been completed</w:t>
      </w:r>
      <w:r>
        <w:t xml:space="preserve">. </w:t>
      </w:r>
      <w:r w:rsidR="008F75B8" w:rsidRPr="008F75B8">
        <w:t>The provisional approval pathway allows sponsors to apply for time-limited provisional registration on the ARTG</w:t>
      </w:r>
      <w:r w:rsidR="00577AA0">
        <w:t xml:space="preserve"> </w:t>
      </w:r>
      <w:r w:rsidR="00577AA0" w:rsidRPr="00577AA0">
        <w:t>on the basis of preliminary clinical data</w:t>
      </w:r>
      <w:r w:rsidR="00D11E50">
        <w:t xml:space="preserve">. </w:t>
      </w:r>
      <w:r w:rsidR="00D11E50" w:rsidRPr="00B07066">
        <w:t>This makes the medicine available</w:t>
      </w:r>
      <w:r w:rsidR="00691916">
        <w:t xml:space="preserve"> on the market</w:t>
      </w:r>
      <w:r w:rsidR="00D11E50" w:rsidRPr="00B07066">
        <w:t xml:space="preserve"> for a limited period while the pharmaceutical company completes final clinical trials</w:t>
      </w:r>
      <w:r w:rsidR="00311F64">
        <w:t>. T</w:t>
      </w:r>
      <w:r w:rsidR="006A5887">
        <w:t>h</w:t>
      </w:r>
      <w:r w:rsidR="00916951">
        <w:t>is can enable authorisation of a</w:t>
      </w:r>
      <w:r w:rsidR="006A5887">
        <w:t xml:space="preserve"> </w:t>
      </w:r>
      <w:r w:rsidR="004C2434" w:rsidRPr="004C2434">
        <w:t xml:space="preserve">medicine up to </w:t>
      </w:r>
      <w:r w:rsidR="000A2806">
        <w:t>2</w:t>
      </w:r>
      <w:r w:rsidR="000A2806" w:rsidRPr="004C2434">
        <w:t xml:space="preserve"> </w:t>
      </w:r>
      <w:r w:rsidR="004C2434" w:rsidRPr="004C2434">
        <w:t xml:space="preserve">years earlier </w:t>
      </w:r>
      <w:r w:rsidR="00D07E32">
        <w:t xml:space="preserve">than </w:t>
      </w:r>
      <w:r w:rsidR="007F7762">
        <w:t xml:space="preserve">via </w:t>
      </w:r>
      <w:r w:rsidR="006A5887">
        <w:t xml:space="preserve">the </w:t>
      </w:r>
      <w:r w:rsidR="00B07066">
        <w:t>standard pathway</w:t>
      </w:r>
      <w:r w:rsidR="004C2434" w:rsidRPr="004C2434">
        <w:t>.</w:t>
      </w:r>
    </w:p>
    <w:p w14:paraId="325525BA" w14:textId="3457B982" w:rsidR="00514669" w:rsidRDefault="00514669" w:rsidP="00514669">
      <w:r w:rsidRPr="00514669">
        <w:t xml:space="preserve">The </w:t>
      </w:r>
      <w:r w:rsidR="00916951">
        <w:t>p</w:t>
      </w:r>
      <w:r w:rsidRPr="00514669">
        <w:t xml:space="preserve">rovisional approval pathway consists of </w:t>
      </w:r>
      <w:r w:rsidR="000B2632">
        <w:t>5</w:t>
      </w:r>
      <w:r w:rsidR="000B2632" w:rsidRPr="00514669">
        <w:t xml:space="preserve"> </w:t>
      </w:r>
      <w:r w:rsidRPr="00514669">
        <w:t xml:space="preserve">steps: </w:t>
      </w:r>
    </w:p>
    <w:p w14:paraId="62EA380E" w14:textId="5AB50443" w:rsidR="00706102" w:rsidRDefault="00514669" w:rsidP="00651D54">
      <w:pPr>
        <w:pStyle w:val="ListParagraph"/>
        <w:numPr>
          <w:ilvl w:val="0"/>
          <w:numId w:val="9"/>
        </w:numPr>
      </w:pPr>
      <w:r w:rsidRPr="00514669">
        <w:t>provisional determination</w:t>
      </w:r>
    </w:p>
    <w:p w14:paraId="07157D43" w14:textId="344E9072" w:rsidR="00706102" w:rsidRDefault="00514669" w:rsidP="00651D54">
      <w:pPr>
        <w:pStyle w:val="ListParagraph"/>
        <w:numPr>
          <w:ilvl w:val="0"/>
          <w:numId w:val="9"/>
        </w:numPr>
      </w:pPr>
      <w:r w:rsidRPr="00514669">
        <w:t>pre-market registration</w:t>
      </w:r>
    </w:p>
    <w:p w14:paraId="027413CD" w14:textId="67CE7986" w:rsidR="00706102" w:rsidRDefault="00514669" w:rsidP="00651D54">
      <w:pPr>
        <w:pStyle w:val="ListParagraph"/>
        <w:numPr>
          <w:ilvl w:val="0"/>
          <w:numId w:val="9"/>
        </w:numPr>
      </w:pPr>
      <w:r w:rsidRPr="00514669">
        <w:t>the provisional registration period</w:t>
      </w:r>
    </w:p>
    <w:p w14:paraId="7AE6E00E" w14:textId="302C8C92" w:rsidR="00706102" w:rsidRDefault="00514669" w:rsidP="00651D54">
      <w:pPr>
        <w:pStyle w:val="ListParagraph"/>
        <w:numPr>
          <w:ilvl w:val="0"/>
          <w:numId w:val="9"/>
        </w:numPr>
      </w:pPr>
      <w:r w:rsidRPr="00514669">
        <w:t>extension of provisional registration</w:t>
      </w:r>
      <w:r w:rsidR="00873C39">
        <w:t>, and</w:t>
      </w:r>
    </w:p>
    <w:p w14:paraId="586605D3" w14:textId="1BB93D3F" w:rsidR="008F75B8" w:rsidRDefault="00514669" w:rsidP="00651D54">
      <w:pPr>
        <w:pStyle w:val="ListParagraph"/>
        <w:numPr>
          <w:ilvl w:val="0"/>
          <w:numId w:val="9"/>
        </w:numPr>
      </w:pPr>
      <w:r w:rsidRPr="00514669">
        <w:t>transition to full registration.</w:t>
      </w:r>
      <w:r w:rsidR="00B93922">
        <w:rPr>
          <w:rStyle w:val="FootnoteReference"/>
        </w:rPr>
        <w:footnoteReference w:id="16"/>
      </w:r>
    </w:p>
    <w:p w14:paraId="503BF7DD" w14:textId="3C8014AB" w:rsidR="001975F5" w:rsidRDefault="004E10F2" w:rsidP="001975F5">
      <w:r>
        <w:t xml:space="preserve">For a </w:t>
      </w:r>
      <w:r w:rsidR="00290862">
        <w:t xml:space="preserve">medicine to be approved </w:t>
      </w:r>
      <w:r w:rsidR="007D7471">
        <w:t xml:space="preserve">through </w:t>
      </w:r>
      <w:r w:rsidR="00290862">
        <w:t xml:space="preserve">the provisional pathway, the TGA </w:t>
      </w:r>
      <w:r w:rsidR="001B7141">
        <w:t xml:space="preserve">must be assured that the benefit to patients from the treatment outweighs the risks of waiting for the </w:t>
      </w:r>
      <w:r w:rsidR="001975F5">
        <w:t xml:space="preserve">data </w:t>
      </w:r>
      <w:r w:rsidR="00691916">
        <w:t xml:space="preserve">normally </w:t>
      </w:r>
      <w:r w:rsidR="001975F5">
        <w:t xml:space="preserve">required. </w:t>
      </w:r>
    </w:p>
    <w:tbl>
      <w:tblPr>
        <w:tblStyle w:val="TableGrid"/>
        <w:tblW w:w="0" w:type="auto"/>
        <w:tblLook w:val="04A0" w:firstRow="1" w:lastRow="0" w:firstColumn="1" w:lastColumn="0" w:noHBand="0" w:noVBand="1"/>
      </w:tblPr>
      <w:tblGrid>
        <w:gridCol w:w="9026"/>
      </w:tblGrid>
      <w:tr w:rsidR="00D8349F" w14:paraId="5765FEBC" w14:textId="77777777" w:rsidTr="00C379E7">
        <w:tc>
          <w:tcPr>
            <w:tcW w:w="9242" w:type="dxa"/>
            <w:tcBorders>
              <w:top w:val="nil"/>
              <w:left w:val="nil"/>
              <w:bottom w:val="nil"/>
              <w:right w:val="nil"/>
            </w:tcBorders>
            <w:shd w:val="clear" w:color="auto" w:fill="B4C6E7" w:themeFill="accent1" w:themeFillTint="66"/>
          </w:tcPr>
          <w:p w14:paraId="12A39D6A" w14:textId="4B51D57D" w:rsidR="00D8349F" w:rsidRDefault="00D8349F" w:rsidP="00C379E7">
            <w:pPr>
              <w:rPr>
                <w:b/>
                <w:bCs/>
              </w:rPr>
            </w:pPr>
            <w:r>
              <w:rPr>
                <w:b/>
                <w:bCs/>
              </w:rPr>
              <w:t>Eligibility criteria for</w:t>
            </w:r>
            <w:r w:rsidR="00C31CAE">
              <w:rPr>
                <w:b/>
                <w:bCs/>
              </w:rPr>
              <w:t xml:space="preserve"> medicine</w:t>
            </w:r>
            <w:r>
              <w:rPr>
                <w:b/>
                <w:bCs/>
              </w:rPr>
              <w:t xml:space="preserve"> provisional approval</w:t>
            </w:r>
          </w:p>
          <w:p w14:paraId="40B35E85" w14:textId="62AB4429" w:rsidR="00D8349F" w:rsidRDefault="005A35D1" w:rsidP="00651D54">
            <w:pPr>
              <w:pStyle w:val="ListParagraph"/>
              <w:numPr>
                <w:ilvl w:val="0"/>
                <w:numId w:val="34"/>
              </w:numPr>
            </w:pPr>
            <w:r>
              <w:t>N</w:t>
            </w:r>
            <w:r w:rsidR="00D8349F">
              <w:t>ew prescription medicine or new indication</w:t>
            </w:r>
            <w:r w:rsidR="00316895">
              <w:t xml:space="preserve"> for existing</w:t>
            </w:r>
            <w:r w:rsidR="00D8349F">
              <w:t xml:space="preserve"> medicine</w:t>
            </w:r>
            <w:r>
              <w:t>.</w:t>
            </w:r>
          </w:p>
          <w:p w14:paraId="769E0F9B" w14:textId="5F62B701" w:rsidR="00D8349F" w:rsidRDefault="005A35D1" w:rsidP="00651D54">
            <w:pPr>
              <w:pStyle w:val="ListParagraph"/>
              <w:numPr>
                <w:ilvl w:val="0"/>
                <w:numId w:val="34"/>
              </w:numPr>
            </w:pPr>
            <w:r>
              <w:t>T</w:t>
            </w:r>
            <w:r w:rsidR="00D8349F">
              <w:t>he indication of the medicine is the treatment, prevention or diagnosis of a serious condition</w:t>
            </w:r>
            <w:r>
              <w:t>.</w:t>
            </w:r>
          </w:p>
          <w:p w14:paraId="456489B0" w14:textId="15C8D6B1" w:rsidR="00D8349F" w:rsidRDefault="005A35D1" w:rsidP="00651D54">
            <w:pPr>
              <w:pStyle w:val="ListParagraph"/>
              <w:numPr>
                <w:ilvl w:val="0"/>
                <w:numId w:val="34"/>
              </w:numPr>
            </w:pPr>
            <w:r>
              <w:t>E</w:t>
            </w:r>
            <w:r w:rsidR="00D8349F">
              <w:t>ither:</w:t>
            </w:r>
          </w:p>
          <w:p w14:paraId="3D0305D2" w14:textId="38BD35A1" w:rsidR="00D8349F" w:rsidRDefault="00613BE7" w:rsidP="00651D54">
            <w:pPr>
              <w:pStyle w:val="ListParagraph"/>
              <w:numPr>
                <w:ilvl w:val="1"/>
                <w:numId w:val="34"/>
              </w:numPr>
            </w:pPr>
            <w:r>
              <w:lastRenderedPageBreak/>
              <w:t>n</w:t>
            </w:r>
            <w:r w:rsidR="00D8349F">
              <w:t>o therapeutic good intended to treat, prevent or diagnose the condition is included in the register</w:t>
            </w:r>
            <w:r w:rsidR="00D00670">
              <w:t>,</w:t>
            </w:r>
            <w:r w:rsidR="00D8349F">
              <w:t xml:space="preserve"> or</w:t>
            </w:r>
          </w:p>
          <w:p w14:paraId="38031DCF" w14:textId="56BD216E" w:rsidR="00D8349F" w:rsidRDefault="00D00670" w:rsidP="00651D54">
            <w:pPr>
              <w:pStyle w:val="ListParagraph"/>
              <w:numPr>
                <w:ilvl w:val="1"/>
                <w:numId w:val="34"/>
              </w:numPr>
            </w:pPr>
            <w:r>
              <w:t>t</w:t>
            </w:r>
            <w:r w:rsidR="00D8349F">
              <w:t>here is preliminary clinical data demonstrating that the medicine provides a significant improvement in efficacy or safety of the treatment prevention or diagnosis of the condition compared to those goods</w:t>
            </w:r>
            <w:r w:rsidR="005A35D1">
              <w:t>.</w:t>
            </w:r>
            <w:r w:rsidR="00D8349F">
              <w:t xml:space="preserve"> </w:t>
            </w:r>
          </w:p>
          <w:p w14:paraId="322F5BA9" w14:textId="0521D238" w:rsidR="00D8349F" w:rsidRDefault="005A35D1" w:rsidP="00651D54">
            <w:pPr>
              <w:pStyle w:val="ListParagraph"/>
              <w:numPr>
                <w:ilvl w:val="0"/>
                <w:numId w:val="34"/>
              </w:numPr>
            </w:pPr>
            <w:r>
              <w:t>P</w:t>
            </w:r>
            <w:r w:rsidR="00D8349F">
              <w:t xml:space="preserve">reliminary clinical data demonstrating that the medicine is likely to provide a </w:t>
            </w:r>
            <w:r>
              <w:t>major therapeutic</w:t>
            </w:r>
            <w:r w:rsidR="00D8349F">
              <w:t xml:space="preserve"> advance</w:t>
            </w:r>
            <w:r>
              <w:t>.</w:t>
            </w:r>
          </w:p>
          <w:p w14:paraId="609F394C" w14:textId="3D471E03" w:rsidR="00D8349F" w:rsidRPr="00D8349F" w:rsidRDefault="005A35D1" w:rsidP="00651D54">
            <w:pPr>
              <w:pStyle w:val="ListParagraph"/>
              <w:numPr>
                <w:ilvl w:val="0"/>
                <w:numId w:val="34"/>
              </w:numPr>
              <w:spacing w:after="240"/>
            </w:pPr>
            <w:r>
              <w:t>A</w:t>
            </w:r>
            <w:r w:rsidR="00D8349F">
              <w:t xml:space="preserve">pplicant has provided sufficient evidence </w:t>
            </w:r>
            <w:r w:rsidR="00D8349F" w:rsidDel="00AC17C0">
              <w:t xml:space="preserve">of a plan </w:t>
            </w:r>
            <w:r w:rsidR="00D8349F">
              <w:t>to submit comprehensive clinical data.</w:t>
            </w:r>
            <w:r w:rsidR="00D8349F">
              <w:rPr>
                <w:rStyle w:val="FootnoteReference"/>
              </w:rPr>
              <w:footnoteReference w:id="17"/>
            </w:r>
          </w:p>
        </w:tc>
      </w:tr>
    </w:tbl>
    <w:p w14:paraId="1114EDA5" w14:textId="6585E625" w:rsidR="008C2D5A" w:rsidRDefault="009055B6" w:rsidP="00AD6A80">
      <w:pPr>
        <w:pStyle w:val="Heading2"/>
      </w:pPr>
      <w:bookmarkStart w:id="8" w:name="_Toc156576947"/>
      <w:r>
        <w:lastRenderedPageBreak/>
        <w:t>Approval process for biologicals</w:t>
      </w:r>
      <w:bookmarkEnd w:id="8"/>
    </w:p>
    <w:p w14:paraId="58CC3108" w14:textId="4FA52D4A" w:rsidR="001F1BC6" w:rsidRPr="001F1BC6" w:rsidRDefault="001F1BC6" w:rsidP="001F1BC6">
      <w:pPr>
        <w:pStyle w:val="Heading3"/>
      </w:pPr>
      <w:r>
        <w:t>Categories and definitions</w:t>
      </w:r>
    </w:p>
    <w:p w14:paraId="13C82D5B" w14:textId="43FC4878" w:rsidR="00C474F1" w:rsidRDefault="0084717B" w:rsidP="00C474F1">
      <w:pPr>
        <w:spacing w:after="240" w:line="240" w:lineRule="auto"/>
      </w:pPr>
      <w:bookmarkStart w:id="9" w:name="_Hlk136720823"/>
      <w:r w:rsidRPr="00176725">
        <w:t>The</w:t>
      </w:r>
      <w:bookmarkEnd w:id="9"/>
      <w:r w:rsidR="00DA6026">
        <w:t xml:space="preserve"> TG Act</w:t>
      </w:r>
      <w:r w:rsidR="00176725" w:rsidRPr="00176725">
        <w:rPr>
          <w:i/>
          <w:iCs/>
        </w:rPr>
        <w:t xml:space="preserve"> </w:t>
      </w:r>
      <w:r w:rsidR="00176725" w:rsidRPr="00176725">
        <w:t>sets the</w:t>
      </w:r>
      <w:r w:rsidR="00176725">
        <w:rPr>
          <w:i/>
          <w:iCs/>
        </w:rPr>
        <w:t xml:space="preserve"> </w:t>
      </w:r>
      <w:r w:rsidR="00176725">
        <w:t xml:space="preserve">definition of </w:t>
      </w:r>
      <w:r w:rsidR="00365962">
        <w:t xml:space="preserve">biological </w:t>
      </w:r>
      <w:r w:rsidR="00BA5BE3">
        <w:t>therapeutic</w:t>
      </w:r>
      <w:r w:rsidR="00365962">
        <w:t xml:space="preserve"> good</w:t>
      </w:r>
      <w:r w:rsidR="0016597D">
        <w:t xml:space="preserve">s. </w:t>
      </w:r>
      <w:r w:rsidR="00CE6EDD">
        <w:t>Under the</w:t>
      </w:r>
      <w:r w:rsidR="00DA6026">
        <w:t xml:space="preserve"> TG Act</w:t>
      </w:r>
      <w:r w:rsidR="00CE6EDD" w:rsidRPr="00CE6EDD">
        <w:t xml:space="preserve">, </w:t>
      </w:r>
      <w:r w:rsidR="00CE6EDD">
        <w:t xml:space="preserve">specific </w:t>
      </w:r>
      <w:r w:rsidR="00CE6EDD" w:rsidRPr="00CE6EDD">
        <w:t>therapeutic good</w:t>
      </w:r>
      <w:r w:rsidR="00690009">
        <w:t xml:space="preserve">s may be declared to either be or not be biologicals </w:t>
      </w:r>
      <w:r w:rsidR="00CE6EDD">
        <w:t xml:space="preserve">irrespective of whether they meet the definition, </w:t>
      </w:r>
      <w:r w:rsidR="00F91B93">
        <w:t xml:space="preserve">for the purposes of </w:t>
      </w:r>
      <w:r w:rsidR="0016597D">
        <w:t xml:space="preserve">regulation and the ARTG. </w:t>
      </w:r>
    </w:p>
    <w:p w14:paraId="2FEA22C0" w14:textId="36A61CB5" w:rsidR="00B6204A" w:rsidRDefault="00B6204A" w:rsidP="00C474F1">
      <w:pPr>
        <w:spacing w:after="240" w:line="240" w:lineRule="auto"/>
      </w:pPr>
      <w:r>
        <w:t>Once approved, biologicals are included on the ARTG</w:t>
      </w:r>
      <w:r w:rsidR="00553822">
        <w:t>.</w:t>
      </w:r>
    </w:p>
    <w:tbl>
      <w:tblPr>
        <w:tblStyle w:val="TableGrid"/>
        <w:tblW w:w="0" w:type="auto"/>
        <w:tblLook w:val="04A0" w:firstRow="1" w:lastRow="0" w:firstColumn="1" w:lastColumn="0" w:noHBand="0" w:noVBand="1"/>
      </w:tblPr>
      <w:tblGrid>
        <w:gridCol w:w="9016"/>
      </w:tblGrid>
      <w:tr w:rsidR="00114133" w14:paraId="12312AD2" w14:textId="77777777" w:rsidTr="00C379E7">
        <w:tc>
          <w:tcPr>
            <w:tcW w:w="9016" w:type="dxa"/>
            <w:tcBorders>
              <w:top w:val="nil"/>
              <w:left w:val="nil"/>
              <w:bottom w:val="nil"/>
              <w:right w:val="nil"/>
            </w:tcBorders>
            <w:shd w:val="clear" w:color="auto" w:fill="B4C6E7" w:themeFill="accent1" w:themeFillTint="66"/>
          </w:tcPr>
          <w:p w14:paraId="51772D33" w14:textId="4DE85571" w:rsidR="00114133" w:rsidRPr="00197770" w:rsidRDefault="00114133" w:rsidP="00C379E7">
            <w:pPr>
              <w:spacing w:after="120"/>
              <w:rPr>
                <w:rFonts w:cstheme="minorHAnsi"/>
                <w:b/>
                <w:bCs/>
              </w:rPr>
            </w:pPr>
            <w:r w:rsidRPr="00197770">
              <w:rPr>
                <w:rFonts w:cstheme="minorHAnsi"/>
                <w:b/>
                <w:bCs/>
              </w:rPr>
              <w:t>Therapeutic Goods Act 1989 (</w:t>
            </w:r>
            <w:proofErr w:type="spellStart"/>
            <w:r w:rsidRPr="00197770">
              <w:rPr>
                <w:rFonts w:cstheme="minorHAnsi"/>
                <w:b/>
                <w:bCs/>
              </w:rPr>
              <w:t>Cth</w:t>
            </w:r>
            <w:proofErr w:type="spellEnd"/>
            <w:r w:rsidRPr="00197770">
              <w:rPr>
                <w:rFonts w:cstheme="minorHAnsi"/>
                <w:b/>
                <w:bCs/>
              </w:rPr>
              <w:t xml:space="preserve">), 32A </w:t>
            </w:r>
            <w:r w:rsidR="00A15AD1">
              <w:rPr>
                <w:rFonts w:cstheme="minorHAnsi"/>
                <w:b/>
                <w:bCs/>
              </w:rPr>
              <w:t>m</w:t>
            </w:r>
            <w:r w:rsidRPr="00197770">
              <w:rPr>
                <w:rFonts w:cstheme="minorHAnsi"/>
                <w:b/>
                <w:bCs/>
              </w:rPr>
              <w:t>eaning of biological</w:t>
            </w:r>
          </w:p>
          <w:p w14:paraId="417A4DE1" w14:textId="77777777" w:rsidR="00114133" w:rsidRPr="00197770" w:rsidRDefault="00114133" w:rsidP="00651D54">
            <w:pPr>
              <w:pStyle w:val="subsection"/>
              <w:numPr>
                <w:ilvl w:val="0"/>
                <w:numId w:val="17"/>
              </w:numPr>
              <w:spacing w:before="0" w:beforeAutospacing="0" w:after="0" w:afterAutospacing="0"/>
              <w:contextualSpacing/>
              <w:rPr>
                <w:rFonts w:asciiTheme="minorHAnsi" w:hAnsiTheme="minorHAnsi" w:cstheme="minorHAnsi"/>
                <w:color w:val="000000"/>
                <w:szCs w:val="22"/>
              </w:rPr>
            </w:pPr>
            <w:r w:rsidRPr="00197770">
              <w:rPr>
                <w:rFonts w:asciiTheme="minorHAnsi" w:hAnsiTheme="minorHAnsi" w:cstheme="minorHAnsi"/>
                <w:color w:val="000000"/>
                <w:szCs w:val="22"/>
              </w:rPr>
              <w:t>Subject to subsection (3), a </w:t>
            </w:r>
            <w:r w:rsidRPr="00197770">
              <w:rPr>
                <w:rFonts w:asciiTheme="minorHAnsi" w:hAnsiTheme="minorHAnsi" w:cstheme="minorHAnsi"/>
                <w:b/>
                <w:bCs/>
                <w:i/>
                <w:iCs/>
                <w:color w:val="000000"/>
                <w:szCs w:val="22"/>
              </w:rPr>
              <w:t>biological </w:t>
            </w:r>
            <w:r w:rsidRPr="00197770">
              <w:rPr>
                <w:rFonts w:asciiTheme="minorHAnsi" w:hAnsiTheme="minorHAnsi" w:cstheme="minorHAnsi"/>
                <w:color w:val="000000"/>
                <w:szCs w:val="22"/>
              </w:rPr>
              <w:t>is a thing that:</w:t>
            </w:r>
          </w:p>
          <w:p w14:paraId="08AD2162" w14:textId="2318DD30" w:rsidR="00114133" w:rsidRPr="00553822" w:rsidRDefault="00DA6026" w:rsidP="00651D54">
            <w:pPr>
              <w:pStyle w:val="subsection"/>
              <w:numPr>
                <w:ilvl w:val="1"/>
                <w:numId w:val="17"/>
              </w:numPr>
              <w:spacing w:before="0" w:beforeAutospacing="0" w:after="0" w:afterAutospacing="0"/>
              <w:contextualSpacing/>
              <w:rPr>
                <w:rFonts w:asciiTheme="minorHAnsi" w:hAnsiTheme="minorHAnsi" w:cstheme="minorHAnsi"/>
                <w:color w:val="000000"/>
                <w:szCs w:val="22"/>
              </w:rPr>
            </w:pPr>
            <w:r>
              <w:rPr>
                <w:rFonts w:asciiTheme="minorHAnsi" w:hAnsiTheme="minorHAnsi" w:cstheme="minorHAnsi"/>
                <w:color w:val="000000"/>
                <w:szCs w:val="22"/>
              </w:rPr>
              <w:t>e</w:t>
            </w:r>
            <w:r w:rsidR="00114133" w:rsidRPr="00197770">
              <w:rPr>
                <w:rFonts w:asciiTheme="minorHAnsi" w:hAnsiTheme="minorHAnsi" w:cstheme="minorHAnsi"/>
                <w:color w:val="000000"/>
                <w:szCs w:val="22"/>
              </w:rPr>
              <w:t>ither</w:t>
            </w:r>
            <w:r w:rsidR="00553822">
              <w:rPr>
                <w:rFonts w:asciiTheme="minorHAnsi" w:hAnsiTheme="minorHAnsi" w:cstheme="minorHAnsi"/>
                <w:color w:val="000000"/>
                <w:szCs w:val="22"/>
              </w:rPr>
              <w:t xml:space="preserve"> </w:t>
            </w:r>
            <w:r w:rsidR="00114133" w:rsidRPr="00553822">
              <w:rPr>
                <w:rFonts w:asciiTheme="minorHAnsi" w:hAnsiTheme="minorHAnsi" w:cstheme="minorHAnsi"/>
                <w:color w:val="000000"/>
                <w:szCs w:val="22"/>
              </w:rPr>
              <w:t>comprises, contains or is derived from human cells or human tissues; or</w:t>
            </w:r>
          </w:p>
          <w:p w14:paraId="74E67415" w14:textId="4E088E5E" w:rsidR="00114133" w:rsidRPr="00197770" w:rsidRDefault="00114133" w:rsidP="00651D54">
            <w:pPr>
              <w:pStyle w:val="subsection"/>
              <w:numPr>
                <w:ilvl w:val="1"/>
                <w:numId w:val="17"/>
              </w:numPr>
              <w:spacing w:before="0" w:beforeAutospacing="0" w:after="0" w:afterAutospacing="0"/>
              <w:contextualSpacing/>
              <w:rPr>
                <w:rFonts w:asciiTheme="minorHAnsi" w:hAnsiTheme="minorHAnsi" w:cstheme="minorHAnsi"/>
                <w:color w:val="000000"/>
                <w:szCs w:val="22"/>
              </w:rPr>
            </w:pPr>
            <w:r w:rsidRPr="00197770">
              <w:rPr>
                <w:rFonts w:asciiTheme="minorHAnsi" w:hAnsiTheme="minorHAnsi" w:cstheme="minorHAnsi"/>
                <w:color w:val="000000"/>
                <w:szCs w:val="22"/>
              </w:rPr>
              <w:t>is specified under subsection (2); and</w:t>
            </w:r>
          </w:p>
          <w:p w14:paraId="48002E68" w14:textId="394A8371" w:rsidR="00114133" w:rsidRPr="00197770" w:rsidRDefault="00114133" w:rsidP="00651D54">
            <w:pPr>
              <w:pStyle w:val="subsection"/>
              <w:numPr>
                <w:ilvl w:val="0"/>
                <w:numId w:val="17"/>
              </w:numPr>
              <w:spacing w:before="0" w:beforeAutospacing="0" w:after="0" w:afterAutospacing="0"/>
              <w:contextualSpacing/>
              <w:rPr>
                <w:rFonts w:asciiTheme="minorHAnsi" w:hAnsiTheme="minorHAnsi" w:cstheme="minorHAnsi"/>
                <w:color w:val="000000"/>
                <w:szCs w:val="22"/>
              </w:rPr>
            </w:pPr>
            <w:r w:rsidRPr="00197770">
              <w:rPr>
                <w:rFonts w:asciiTheme="minorHAnsi" w:hAnsiTheme="minorHAnsi" w:cstheme="minorHAnsi"/>
                <w:color w:val="000000"/>
                <w:szCs w:val="22"/>
              </w:rPr>
              <w:t>is represented in any way to be, or is, whether because of the way in which it is presented or for any other reason, likely to be taken to be:</w:t>
            </w:r>
          </w:p>
          <w:p w14:paraId="4A013175" w14:textId="7AA150FA" w:rsidR="00114133" w:rsidRPr="00197770" w:rsidRDefault="00114133" w:rsidP="00651D54">
            <w:pPr>
              <w:pStyle w:val="subsection"/>
              <w:numPr>
                <w:ilvl w:val="1"/>
                <w:numId w:val="17"/>
              </w:numPr>
              <w:spacing w:before="0" w:beforeAutospacing="0" w:after="0" w:afterAutospacing="0"/>
              <w:contextualSpacing/>
              <w:rPr>
                <w:rFonts w:asciiTheme="minorHAnsi" w:hAnsiTheme="minorHAnsi" w:cstheme="minorHAnsi"/>
                <w:color w:val="000000"/>
                <w:szCs w:val="22"/>
              </w:rPr>
            </w:pPr>
            <w:r w:rsidRPr="00197770">
              <w:rPr>
                <w:rFonts w:asciiTheme="minorHAnsi" w:hAnsiTheme="minorHAnsi" w:cstheme="minorHAnsi"/>
                <w:color w:val="000000"/>
                <w:szCs w:val="22"/>
              </w:rPr>
              <w:t>for use in the treatment or prevention of a disease, ailment, defect or injury affecting persons; or</w:t>
            </w:r>
          </w:p>
          <w:p w14:paraId="2AD34200" w14:textId="19AC793D" w:rsidR="00114133" w:rsidRPr="00197770" w:rsidRDefault="00114133" w:rsidP="00651D54">
            <w:pPr>
              <w:pStyle w:val="subsection"/>
              <w:numPr>
                <w:ilvl w:val="1"/>
                <w:numId w:val="17"/>
              </w:numPr>
              <w:spacing w:before="0" w:beforeAutospacing="0" w:after="0" w:afterAutospacing="0"/>
              <w:contextualSpacing/>
              <w:rPr>
                <w:rFonts w:asciiTheme="minorHAnsi" w:hAnsiTheme="minorHAnsi" w:cstheme="minorHAnsi"/>
                <w:color w:val="000000"/>
                <w:szCs w:val="22"/>
              </w:rPr>
            </w:pPr>
            <w:r w:rsidRPr="00197770">
              <w:rPr>
                <w:rFonts w:asciiTheme="minorHAnsi" w:hAnsiTheme="minorHAnsi" w:cstheme="minorHAnsi"/>
                <w:color w:val="000000"/>
                <w:szCs w:val="22"/>
              </w:rPr>
              <w:t>for use in making a medical diagnosis of the condition of a person; or</w:t>
            </w:r>
          </w:p>
          <w:p w14:paraId="0597D471" w14:textId="08B3DABA" w:rsidR="00114133" w:rsidRPr="00197770" w:rsidRDefault="00114133" w:rsidP="00651D54">
            <w:pPr>
              <w:pStyle w:val="subsection"/>
              <w:numPr>
                <w:ilvl w:val="1"/>
                <w:numId w:val="17"/>
              </w:numPr>
              <w:spacing w:before="0" w:beforeAutospacing="0" w:after="0" w:afterAutospacing="0"/>
              <w:ind w:right="-54"/>
              <w:contextualSpacing/>
              <w:rPr>
                <w:rFonts w:asciiTheme="minorHAnsi" w:hAnsiTheme="minorHAnsi" w:cstheme="minorHAnsi"/>
                <w:color w:val="000000"/>
                <w:szCs w:val="22"/>
              </w:rPr>
            </w:pPr>
            <w:r w:rsidRPr="00197770">
              <w:rPr>
                <w:rFonts w:asciiTheme="minorHAnsi" w:hAnsiTheme="minorHAnsi" w:cstheme="minorHAnsi"/>
                <w:color w:val="000000"/>
                <w:szCs w:val="22"/>
              </w:rPr>
              <w:t>for use in influencing, inhibiting or modifying a physiological process in persons; or</w:t>
            </w:r>
          </w:p>
          <w:p w14:paraId="2CBDAFBF" w14:textId="76DAC292" w:rsidR="00114133" w:rsidRPr="00197770" w:rsidRDefault="00114133" w:rsidP="00651D54">
            <w:pPr>
              <w:pStyle w:val="subsection"/>
              <w:numPr>
                <w:ilvl w:val="1"/>
                <w:numId w:val="17"/>
              </w:numPr>
              <w:spacing w:before="0" w:beforeAutospacing="0" w:after="0" w:afterAutospacing="0"/>
              <w:contextualSpacing/>
              <w:rPr>
                <w:rFonts w:asciiTheme="minorHAnsi" w:hAnsiTheme="minorHAnsi" w:cstheme="minorHAnsi"/>
                <w:color w:val="000000"/>
                <w:szCs w:val="22"/>
              </w:rPr>
            </w:pPr>
            <w:r w:rsidRPr="00197770">
              <w:rPr>
                <w:rFonts w:asciiTheme="minorHAnsi" w:hAnsiTheme="minorHAnsi" w:cstheme="minorHAnsi"/>
                <w:color w:val="000000"/>
                <w:szCs w:val="22"/>
              </w:rPr>
              <w:t>for use in testing the susceptibility of persons to a disease or ailment; or</w:t>
            </w:r>
          </w:p>
          <w:p w14:paraId="040BEAD0" w14:textId="7E870898" w:rsidR="00114133" w:rsidRPr="00197770" w:rsidRDefault="00A3638F" w:rsidP="00651D54">
            <w:pPr>
              <w:pStyle w:val="subsection"/>
              <w:numPr>
                <w:ilvl w:val="1"/>
                <w:numId w:val="17"/>
              </w:numPr>
              <w:spacing w:before="0" w:beforeAutospacing="0" w:after="0" w:afterAutospacing="0"/>
              <w:contextualSpacing/>
              <w:rPr>
                <w:rFonts w:asciiTheme="minorHAnsi" w:hAnsiTheme="minorHAnsi" w:cstheme="minorHAnsi"/>
                <w:color w:val="000000"/>
                <w:szCs w:val="22"/>
              </w:rPr>
            </w:pPr>
            <w:r>
              <w:rPr>
                <w:rFonts w:asciiTheme="minorHAnsi" w:hAnsiTheme="minorHAnsi" w:cstheme="minorHAnsi"/>
                <w:color w:val="000000"/>
                <w:szCs w:val="22"/>
              </w:rPr>
              <w:t>f</w:t>
            </w:r>
            <w:r w:rsidR="00114133" w:rsidRPr="00197770">
              <w:rPr>
                <w:rFonts w:asciiTheme="minorHAnsi" w:hAnsiTheme="minorHAnsi" w:cstheme="minorHAnsi"/>
                <w:color w:val="000000"/>
                <w:szCs w:val="22"/>
              </w:rPr>
              <w:t>or use in the replacement or modification of parts of the anatomy in persons.</w:t>
            </w:r>
          </w:p>
          <w:p w14:paraId="583BD86C" w14:textId="33F378FB" w:rsidR="00114133" w:rsidRPr="00197770" w:rsidRDefault="00114133" w:rsidP="00651D54">
            <w:pPr>
              <w:pStyle w:val="subsection"/>
              <w:numPr>
                <w:ilvl w:val="0"/>
                <w:numId w:val="17"/>
              </w:numPr>
              <w:spacing w:before="0" w:beforeAutospacing="0" w:after="0" w:afterAutospacing="0"/>
              <w:contextualSpacing/>
              <w:rPr>
                <w:rFonts w:asciiTheme="minorHAnsi" w:hAnsiTheme="minorHAnsi" w:cstheme="minorHAnsi"/>
                <w:color w:val="000000"/>
                <w:szCs w:val="22"/>
              </w:rPr>
            </w:pPr>
            <w:r w:rsidRPr="00197770">
              <w:rPr>
                <w:rFonts w:asciiTheme="minorHAnsi" w:hAnsiTheme="minorHAnsi" w:cstheme="minorHAnsi"/>
                <w:color w:val="000000"/>
                <w:szCs w:val="22"/>
              </w:rPr>
              <w:t>The Secretary may, by legislative instrument, specify things for the purposes of subparagraph (1)(a)(ii).</w:t>
            </w:r>
          </w:p>
          <w:p w14:paraId="0DFF3216" w14:textId="48B408CE" w:rsidR="00114133" w:rsidRDefault="00114133" w:rsidP="00651D54">
            <w:pPr>
              <w:pStyle w:val="subsection"/>
              <w:numPr>
                <w:ilvl w:val="0"/>
                <w:numId w:val="17"/>
              </w:numPr>
              <w:spacing w:before="0" w:beforeAutospacing="0" w:after="240" w:afterAutospacing="0"/>
              <w:contextualSpacing/>
            </w:pPr>
            <w:r w:rsidRPr="00197770">
              <w:rPr>
                <w:rFonts w:asciiTheme="minorHAnsi" w:hAnsiTheme="minorHAnsi" w:cstheme="minorHAnsi"/>
                <w:color w:val="000000"/>
                <w:szCs w:val="22"/>
              </w:rPr>
              <w:t>The Secretary may, by legislative instrument, determine that a specified thing is not a biological for the purposes of this Act</w:t>
            </w:r>
          </w:p>
        </w:tc>
      </w:tr>
    </w:tbl>
    <w:p w14:paraId="184B90E4" w14:textId="6522B5CD" w:rsidR="00DE7D4E" w:rsidRDefault="008E78DD" w:rsidP="005B6453">
      <w:pPr>
        <w:tabs>
          <w:tab w:val="left" w:pos="1455"/>
        </w:tabs>
      </w:pPr>
      <w:r w:rsidRPr="001D3147">
        <w:t xml:space="preserve">The TGA </w:t>
      </w:r>
      <w:r w:rsidR="00834E3B">
        <w:t>regulates</w:t>
      </w:r>
      <w:r w:rsidR="0063785C" w:rsidRPr="001D3147">
        <w:t xml:space="preserve"> products that meet the definition of a biological in </w:t>
      </w:r>
      <w:r w:rsidR="00BF3103">
        <w:t>3</w:t>
      </w:r>
      <w:r w:rsidR="00BF3103" w:rsidRPr="001D3147">
        <w:t xml:space="preserve"> </w:t>
      </w:r>
      <w:r w:rsidR="0063785C" w:rsidRPr="001D3147">
        <w:t>ways</w:t>
      </w:r>
      <w:r w:rsidR="000F4424" w:rsidRPr="001D3147">
        <w:t xml:space="preserve"> as shown in </w:t>
      </w:r>
      <w:r w:rsidR="003022AC">
        <w:t>Figure</w:t>
      </w:r>
      <w:r w:rsidR="00DA6026">
        <w:t> </w:t>
      </w:r>
      <w:r w:rsidR="00A3449D">
        <w:t>5</w:t>
      </w:r>
      <w:r w:rsidR="000F4424" w:rsidRPr="001D3147">
        <w:t>.</w:t>
      </w:r>
    </w:p>
    <w:p w14:paraId="203CDE4D" w14:textId="23B17994" w:rsidR="001D3147" w:rsidRDefault="003022AC" w:rsidP="00083C7C">
      <w:pPr>
        <w:pStyle w:val="Heading4"/>
      </w:pPr>
      <w:r>
        <w:lastRenderedPageBreak/>
        <w:t>Figure</w:t>
      </w:r>
      <w:r w:rsidR="001D3147">
        <w:t xml:space="preserve"> </w:t>
      </w:r>
      <w:r w:rsidR="007C6FB1">
        <w:t>5</w:t>
      </w:r>
      <w:r w:rsidR="001D3147">
        <w:t xml:space="preserve">: </w:t>
      </w:r>
      <w:r w:rsidR="00DD689D">
        <w:t>Regulation of products that meet the definition of</w:t>
      </w:r>
      <w:r w:rsidR="00892E58">
        <w:t xml:space="preserve"> a biological</w:t>
      </w:r>
      <w:r w:rsidR="001D3147">
        <w:rPr>
          <w:rStyle w:val="FootnoteReference"/>
        </w:rPr>
        <w:footnoteReference w:id="18"/>
      </w:r>
    </w:p>
    <w:p w14:paraId="3DE051D7" w14:textId="3BEA5AC0" w:rsidR="00141D26" w:rsidRPr="001D3147" w:rsidRDefault="001D3147" w:rsidP="00083C7C">
      <w:pPr>
        <w:keepNext/>
        <w:keepLines/>
        <w:tabs>
          <w:tab w:val="left" w:pos="1455"/>
        </w:tabs>
        <w:rPr>
          <w:b/>
          <w:bCs/>
        </w:rPr>
      </w:pPr>
      <w:r>
        <w:rPr>
          <w:b/>
          <w:bCs/>
          <w:noProof/>
        </w:rPr>
        <w:drawing>
          <wp:inline distT="0" distB="0" distL="0" distR="0" wp14:anchorId="34B6137D" wp14:editId="2988168A">
            <wp:extent cx="5624623" cy="3810865"/>
            <wp:effectExtent l="0" t="0" r="0" b="0"/>
            <wp:docPr id="45" name="Picture 45" descr="Figure 5: Regulation of products that meet the definition of a biolog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5: Regulation of products that meet the definition of a biologica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4623" cy="3810865"/>
                    </a:xfrm>
                    <a:prstGeom prst="rect">
                      <a:avLst/>
                    </a:prstGeom>
                    <a:noFill/>
                  </pic:spPr>
                </pic:pic>
              </a:graphicData>
            </a:graphic>
          </wp:inline>
        </w:drawing>
      </w:r>
    </w:p>
    <w:p w14:paraId="38625066" w14:textId="2D799248" w:rsidR="005B6453" w:rsidRDefault="0015684D" w:rsidP="00D8349F">
      <w:pPr>
        <w:tabs>
          <w:tab w:val="left" w:pos="1455"/>
        </w:tabs>
        <w:rPr>
          <w:lang w:eastAsia="en-AU"/>
        </w:rPr>
      </w:pPr>
      <w:r>
        <w:rPr>
          <w:lang w:eastAsia="en-AU"/>
        </w:rPr>
        <w:t xml:space="preserve">As with </w:t>
      </w:r>
      <w:r w:rsidR="002C4A09">
        <w:rPr>
          <w:lang w:eastAsia="en-AU"/>
        </w:rPr>
        <w:t>the other</w:t>
      </w:r>
      <w:r>
        <w:rPr>
          <w:lang w:eastAsia="en-AU"/>
        </w:rPr>
        <w:t xml:space="preserve"> </w:t>
      </w:r>
      <w:r w:rsidR="00EB48CD">
        <w:rPr>
          <w:lang w:eastAsia="en-AU"/>
        </w:rPr>
        <w:t xml:space="preserve">categories of </w:t>
      </w:r>
      <w:r w:rsidR="00054330">
        <w:rPr>
          <w:lang w:eastAsia="en-AU"/>
        </w:rPr>
        <w:t>therapeutic</w:t>
      </w:r>
      <w:r w:rsidR="00EB48CD">
        <w:rPr>
          <w:lang w:eastAsia="en-AU"/>
        </w:rPr>
        <w:t xml:space="preserve"> </w:t>
      </w:r>
      <w:r w:rsidR="00054330">
        <w:rPr>
          <w:lang w:eastAsia="en-AU"/>
        </w:rPr>
        <w:t xml:space="preserve">goods regulated </w:t>
      </w:r>
      <w:r w:rsidR="00DA6026">
        <w:rPr>
          <w:lang w:eastAsia="en-AU"/>
        </w:rPr>
        <w:t>by</w:t>
      </w:r>
      <w:r w:rsidR="00054330">
        <w:rPr>
          <w:lang w:eastAsia="en-AU"/>
        </w:rPr>
        <w:t xml:space="preserve"> the TGA, t</w:t>
      </w:r>
      <w:r w:rsidR="002210B9" w:rsidRPr="002210B9">
        <w:rPr>
          <w:lang w:eastAsia="en-AU"/>
        </w:rPr>
        <w:t>he</w:t>
      </w:r>
      <w:r w:rsidR="00054330">
        <w:rPr>
          <w:lang w:eastAsia="en-AU"/>
        </w:rPr>
        <w:t xml:space="preserve"> regulatory</w:t>
      </w:r>
      <w:r w:rsidR="002210B9" w:rsidRPr="002210B9">
        <w:rPr>
          <w:lang w:eastAsia="en-AU"/>
        </w:rPr>
        <w:t xml:space="preserve"> framework </w:t>
      </w:r>
      <w:r w:rsidR="00054330">
        <w:rPr>
          <w:lang w:eastAsia="en-AU"/>
        </w:rPr>
        <w:t xml:space="preserve">for biologicals </w:t>
      </w:r>
      <w:r w:rsidR="002210B9" w:rsidRPr="002210B9">
        <w:rPr>
          <w:lang w:eastAsia="en-AU"/>
        </w:rPr>
        <w:t>applies different levels of regulation to products based on the risks associated with their use.</w:t>
      </w:r>
      <w:r w:rsidR="006F71A7">
        <w:rPr>
          <w:lang w:eastAsia="en-AU"/>
        </w:rPr>
        <w:t xml:space="preserve"> </w:t>
      </w:r>
      <w:r w:rsidR="002210B9" w:rsidRPr="002210B9">
        <w:rPr>
          <w:lang w:eastAsia="en-AU"/>
        </w:rPr>
        <w:t>It is designed to be flexible enough to accommodate emerging technologies.</w:t>
      </w:r>
      <w:r w:rsidR="00550E44">
        <w:rPr>
          <w:rStyle w:val="FootnoteReference"/>
          <w:lang w:eastAsia="en-AU"/>
        </w:rPr>
        <w:footnoteReference w:id="19"/>
      </w:r>
    </w:p>
    <w:p w14:paraId="1788AD0A" w14:textId="3583CAAB" w:rsidR="00915958" w:rsidRDefault="001A3974" w:rsidP="006C1205">
      <w:pPr>
        <w:tabs>
          <w:tab w:val="left" w:pos="1455"/>
        </w:tabs>
        <w:rPr>
          <w:lang w:eastAsia="en-AU"/>
        </w:rPr>
      </w:pPr>
      <w:r>
        <w:rPr>
          <w:lang w:eastAsia="en-AU"/>
        </w:rPr>
        <w:t>The TGA</w:t>
      </w:r>
      <w:r w:rsidDel="009A6FA6">
        <w:rPr>
          <w:lang w:eastAsia="en-AU"/>
        </w:rPr>
        <w:t xml:space="preserve"> </w:t>
      </w:r>
      <w:r w:rsidR="009A6FA6">
        <w:rPr>
          <w:lang w:eastAsia="en-AU"/>
        </w:rPr>
        <w:t xml:space="preserve">has </w:t>
      </w:r>
      <w:r>
        <w:rPr>
          <w:lang w:eastAsia="en-AU"/>
        </w:rPr>
        <w:t xml:space="preserve">further classified </w:t>
      </w:r>
      <w:r w:rsidR="00CB1B2E">
        <w:rPr>
          <w:lang w:eastAsia="en-AU"/>
        </w:rPr>
        <w:t xml:space="preserve">products regulated as a biological </w:t>
      </w:r>
      <w:r w:rsidR="006C1205">
        <w:rPr>
          <w:lang w:eastAsia="en-AU"/>
        </w:rPr>
        <w:t>according to the level of risk to patients associated with their use. This will be influenced by the level of processing applied to the biological and the intended use of the product, but also the level of external governance and clinical oversight.</w:t>
      </w:r>
      <w:r w:rsidR="005E72FB">
        <w:rPr>
          <w:lang w:eastAsia="en-AU"/>
        </w:rPr>
        <w:t xml:space="preserve"> </w:t>
      </w:r>
      <w:r w:rsidR="00B6204A">
        <w:rPr>
          <w:lang w:eastAsia="en-AU"/>
        </w:rPr>
        <w:t xml:space="preserve">Classification of biologicals is based on the following: </w:t>
      </w:r>
    </w:p>
    <w:p w14:paraId="1AF1B613" w14:textId="716306A3" w:rsidR="006C1205" w:rsidRDefault="005E72FB" w:rsidP="006C1205">
      <w:pPr>
        <w:tabs>
          <w:tab w:val="left" w:pos="1455"/>
        </w:tabs>
        <w:rPr>
          <w:lang w:eastAsia="en-AU"/>
        </w:rPr>
      </w:pPr>
      <w:r>
        <w:rPr>
          <w:lang w:eastAsia="en-AU"/>
        </w:rPr>
        <w:t xml:space="preserve">Classification of biologicals: </w:t>
      </w:r>
    </w:p>
    <w:p w14:paraId="26B17A41" w14:textId="77777777" w:rsidR="006C1205" w:rsidRDefault="006C1205" w:rsidP="00651D54">
      <w:pPr>
        <w:pStyle w:val="ListParagraph"/>
        <w:numPr>
          <w:ilvl w:val="0"/>
          <w:numId w:val="10"/>
        </w:numPr>
        <w:tabs>
          <w:tab w:val="left" w:pos="1455"/>
        </w:tabs>
        <w:rPr>
          <w:lang w:eastAsia="en-AU"/>
        </w:rPr>
      </w:pPr>
      <w:r>
        <w:rPr>
          <w:lang w:eastAsia="en-AU"/>
        </w:rPr>
        <w:t>Class 1 biologicals are low risk and have an appropriate level of external governance and clinical oversight.</w:t>
      </w:r>
    </w:p>
    <w:p w14:paraId="01ABCABC" w14:textId="77777777" w:rsidR="006C1205" w:rsidRDefault="006C1205" w:rsidP="00651D54">
      <w:pPr>
        <w:pStyle w:val="ListParagraph"/>
        <w:numPr>
          <w:ilvl w:val="0"/>
          <w:numId w:val="10"/>
        </w:numPr>
        <w:tabs>
          <w:tab w:val="left" w:pos="1455"/>
        </w:tabs>
        <w:rPr>
          <w:lang w:eastAsia="en-AU"/>
        </w:rPr>
      </w:pPr>
      <w:r>
        <w:rPr>
          <w:lang w:eastAsia="en-AU"/>
        </w:rPr>
        <w:t>Class 2 biologicals are low risk.</w:t>
      </w:r>
    </w:p>
    <w:p w14:paraId="368D4DD6" w14:textId="001A65B9" w:rsidR="006C1205" w:rsidRDefault="006C1205" w:rsidP="00651D54">
      <w:pPr>
        <w:pStyle w:val="ListParagraph"/>
        <w:numPr>
          <w:ilvl w:val="0"/>
          <w:numId w:val="10"/>
        </w:numPr>
        <w:tabs>
          <w:tab w:val="left" w:pos="1455"/>
        </w:tabs>
        <w:rPr>
          <w:lang w:eastAsia="en-AU"/>
        </w:rPr>
      </w:pPr>
      <w:r>
        <w:rPr>
          <w:lang w:eastAsia="en-AU"/>
        </w:rPr>
        <w:t>Class 3 biologicals are medium risk.</w:t>
      </w:r>
    </w:p>
    <w:p w14:paraId="153B93A3" w14:textId="0C766AA8" w:rsidR="00CB1B2E" w:rsidRDefault="006C1205" w:rsidP="00651D54">
      <w:pPr>
        <w:pStyle w:val="ListParagraph"/>
        <w:numPr>
          <w:ilvl w:val="0"/>
          <w:numId w:val="10"/>
        </w:numPr>
        <w:tabs>
          <w:tab w:val="left" w:pos="1455"/>
        </w:tabs>
        <w:rPr>
          <w:lang w:eastAsia="en-AU"/>
        </w:rPr>
      </w:pPr>
      <w:r>
        <w:rPr>
          <w:lang w:eastAsia="en-AU"/>
        </w:rPr>
        <w:t>Class 4 biologicals are high risk.</w:t>
      </w:r>
      <w:r w:rsidR="001A3974" w:rsidRPr="001A3974">
        <w:rPr>
          <w:rStyle w:val="FootnoteReference"/>
          <w:lang w:eastAsia="en-AU"/>
        </w:rPr>
        <w:t xml:space="preserve"> </w:t>
      </w:r>
      <w:bookmarkStart w:id="10" w:name="_Ref136352802"/>
      <w:r w:rsidR="001A3974">
        <w:rPr>
          <w:rStyle w:val="FootnoteReference"/>
          <w:lang w:eastAsia="en-AU"/>
        </w:rPr>
        <w:footnoteReference w:id="20"/>
      </w:r>
      <w:bookmarkEnd w:id="10"/>
    </w:p>
    <w:p w14:paraId="5B447CA0" w14:textId="2ABD589A" w:rsidR="00D64732" w:rsidRDefault="001E3CF5" w:rsidP="009D5C3B">
      <w:r w:rsidRPr="001E3CF5">
        <w:t xml:space="preserve">A sponsor must determine </w:t>
      </w:r>
      <w:r w:rsidR="00DA6026">
        <w:t>the</w:t>
      </w:r>
      <w:r w:rsidRPr="001E3CF5">
        <w:t xml:space="preserve"> class the biological before they can apply to the TGA for the biological to be included on the ARTG. </w:t>
      </w:r>
    </w:p>
    <w:p w14:paraId="2CD2275F" w14:textId="37C21E7D" w:rsidR="00D60AB0" w:rsidRDefault="009F3037" w:rsidP="0029697C">
      <w:pPr>
        <w:rPr>
          <w:vertAlign w:val="superscript"/>
        </w:rPr>
      </w:pPr>
      <w:r>
        <w:t xml:space="preserve">Class </w:t>
      </w:r>
      <w:r w:rsidR="00A77272">
        <w:t xml:space="preserve">1 biologicals </w:t>
      </w:r>
      <w:r w:rsidR="0029697C">
        <w:t>will</w:t>
      </w:r>
      <w:r w:rsidR="00A77272">
        <w:t xml:space="preserve"> </w:t>
      </w:r>
      <w:r w:rsidR="0029697C">
        <w:t>be included on the ARTG, following a declaration of compliance</w:t>
      </w:r>
      <w:r w:rsidR="00DF22F0">
        <w:t>. H</w:t>
      </w:r>
      <w:r w:rsidR="0029697C">
        <w:t>owever</w:t>
      </w:r>
      <w:r w:rsidR="00DF22F0">
        <w:t>,</w:t>
      </w:r>
      <w:r w:rsidR="0029697C">
        <w:t xml:space="preserve"> they </w:t>
      </w:r>
      <w:r w:rsidR="00834E3B">
        <w:t xml:space="preserve">do </w:t>
      </w:r>
      <w:r w:rsidR="0029697C">
        <w:t xml:space="preserve">not require manufacturers to hold a </w:t>
      </w:r>
      <w:r w:rsidR="009D70E1">
        <w:t>Good Manufacturing Practice</w:t>
      </w:r>
      <w:r w:rsidR="0029697C">
        <w:t xml:space="preserve"> </w:t>
      </w:r>
      <w:r w:rsidR="009D70E1">
        <w:t>(</w:t>
      </w:r>
      <w:r w:rsidR="0029697C">
        <w:t>GMP</w:t>
      </w:r>
      <w:r w:rsidR="009D70E1">
        <w:t>)</w:t>
      </w:r>
      <w:r w:rsidR="0029697C">
        <w:t xml:space="preserve">  licen</w:t>
      </w:r>
      <w:r w:rsidR="00F4682B">
        <w:t>c</w:t>
      </w:r>
      <w:r w:rsidR="0029697C">
        <w:t>e or certificate</w:t>
      </w:r>
      <w:r w:rsidR="00E55C5B">
        <w:t xml:space="preserve">, and </w:t>
      </w:r>
      <w:r w:rsidR="00293C32">
        <w:t>d</w:t>
      </w:r>
      <w:r w:rsidR="00E55C5B">
        <w:t>o</w:t>
      </w:r>
      <w:r w:rsidR="0029697C">
        <w:t xml:space="preserve"> not require pre-market assessment of supporting data</w:t>
      </w:r>
      <w:r w:rsidR="00E55C5B">
        <w:t>.</w:t>
      </w:r>
      <w:r w:rsidR="009D0C63">
        <w:t xml:space="preserve"> </w:t>
      </w:r>
      <w:r w:rsidR="009D0C63" w:rsidRPr="009D0C63">
        <w:rPr>
          <w:vertAlign w:val="superscript"/>
        </w:rPr>
        <w:fldChar w:fldCharType="begin"/>
      </w:r>
      <w:r w:rsidR="009D0C63" w:rsidRPr="009D0C63">
        <w:rPr>
          <w:vertAlign w:val="superscript"/>
        </w:rPr>
        <w:instrText xml:space="preserve"> NOTEREF _Ref136352802 \h </w:instrText>
      </w:r>
      <w:r w:rsidR="009D0C63">
        <w:rPr>
          <w:vertAlign w:val="superscript"/>
        </w:rPr>
        <w:instrText xml:space="preserve"> \* MERGEFORMAT </w:instrText>
      </w:r>
      <w:r w:rsidR="009D0C63" w:rsidRPr="009D0C63">
        <w:rPr>
          <w:vertAlign w:val="superscript"/>
        </w:rPr>
      </w:r>
      <w:r w:rsidR="009D0C63" w:rsidRPr="009D0C63">
        <w:rPr>
          <w:vertAlign w:val="superscript"/>
        </w:rPr>
        <w:fldChar w:fldCharType="separate"/>
      </w:r>
      <w:r w:rsidR="00A71271">
        <w:rPr>
          <w:vertAlign w:val="superscript"/>
        </w:rPr>
        <w:t>19</w:t>
      </w:r>
      <w:r w:rsidR="009D0C63" w:rsidRPr="009D0C63">
        <w:rPr>
          <w:vertAlign w:val="superscript"/>
        </w:rPr>
        <w:fldChar w:fldCharType="end"/>
      </w:r>
    </w:p>
    <w:p w14:paraId="3BF68F10" w14:textId="7C6D91F2" w:rsidR="00B6204A" w:rsidRDefault="00B6204A" w:rsidP="0029697C">
      <w:r>
        <w:lastRenderedPageBreak/>
        <w:t xml:space="preserve">Class 1 and Class 4 biologicals must be mentioned in Schedule 16 of the </w:t>
      </w:r>
      <w:r w:rsidRPr="00553822">
        <w:rPr>
          <w:i/>
          <w:iCs/>
        </w:rPr>
        <w:t>Therapeutic Goods Regulations 1990</w:t>
      </w:r>
      <w:r>
        <w:t>.</w:t>
      </w:r>
    </w:p>
    <w:p w14:paraId="745D532F" w14:textId="3B4D3007" w:rsidR="00DB54DC" w:rsidRDefault="00DB54DC" w:rsidP="00DB54DC">
      <w:pPr>
        <w:pStyle w:val="Heading3"/>
      </w:pPr>
      <w:r>
        <w:t>What assessment is made and what information is used to make the assessment?</w:t>
      </w:r>
    </w:p>
    <w:p w14:paraId="4B79C424" w14:textId="4A05A436" w:rsidR="00C06C72" w:rsidRDefault="00316895" w:rsidP="00C06C72">
      <w:r>
        <w:t>A</w:t>
      </w:r>
      <w:r w:rsidR="00C06C72">
        <w:t xml:space="preserve">pplications for registrations of </w:t>
      </w:r>
      <w:r w:rsidR="00264F63">
        <w:t>biological</w:t>
      </w:r>
      <w:r w:rsidR="00C06C72">
        <w:t xml:space="preserve"> </w:t>
      </w:r>
      <w:r w:rsidR="007857B5">
        <w:t xml:space="preserve">goods </w:t>
      </w:r>
      <w:r w:rsidR="00C06C72">
        <w:t xml:space="preserve">are made in the form of a dossier that contains necessary data to demonstrate </w:t>
      </w:r>
      <w:r w:rsidR="000D06EE">
        <w:t xml:space="preserve">its </w:t>
      </w:r>
      <w:r w:rsidR="00C06C72">
        <w:t>quality, safety and efficacy</w:t>
      </w:r>
      <w:r w:rsidR="00264F63">
        <w:t xml:space="preserve">. </w:t>
      </w:r>
      <w:r w:rsidR="00DA6026">
        <w:t>The</w:t>
      </w:r>
      <w:r w:rsidR="002D6E01">
        <w:t xml:space="preserve"> information required depends on the class of biological. The </w:t>
      </w:r>
      <w:r w:rsidR="00CE4550">
        <w:t xml:space="preserve">structure of the dossier for biologicals </w:t>
      </w:r>
      <w:r w:rsidR="008D081E">
        <w:t>is similar to the dossier for medicines. It comprises:</w:t>
      </w:r>
      <w:r w:rsidR="00CE4550">
        <w:t xml:space="preserve"> </w:t>
      </w:r>
    </w:p>
    <w:p w14:paraId="6E0EDAA0" w14:textId="2325F127" w:rsidR="00A74CFD" w:rsidRDefault="004624CE" w:rsidP="00651D54">
      <w:pPr>
        <w:pStyle w:val="ListParagraph"/>
        <w:numPr>
          <w:ilvl w:val="0"/>
          <w:numId w:val="19"/>
        </w:numPr>
      </w:pPr>
      <w:r>
        <w:t>i</w:t>
      </w:r>
      <w:r w:rsidR="00C84E6D">
        <w:t>ntroduction</w:t>
      </w:r>
    </w:p>
    <w:p w14:paraId="109ABA24" w14:textId="5BB0F320" w:rsidR="00C84E6D" w:rsidRDefault="004624CE" w:rsidP="00651D54">
      <w:pPr>
        <w:pStyle w:val="ListParagraph"/>
        <w:numPr>
          <w:ilvl w:val="0"/>
          <w:numId w:val="19"/>
        </w:numPr>
      </w:pPr>
      <w:r>
        <w:t>s</w:t>
      </w:r>
      <w:r w:rsidR="00C84E6D">
        <w:t>cope</w:t>
      </w:r>
    </w:p>
    <w:p w14:paraId="7274E8FA" w14:textId="47E492E9" w:rsidR="00C84E6D" w:rsidRDefault="004624CE" w:rsidP="00651D54">
      <w:pPr>
        <w:pStyle w:val="ListParagraph"/>
        <w:numPr>
          <w:ilvl w:val="0"/>
          <w:numId w:val="19"/>
        </w:numPr>
      </w:pPr>
      <w:r>
        <w:t>r</w:t>
      </w:r>
      <w:r w:rsidR="00C84E6D">
        <w:t>isk management</w:t>
      </w:r>
    </w:p>
    <w:p w14:paraId="0EE9B834" w14:textId="53977736" w:rsidR="00C84E6D" w:rsidRDefault="00E54573" w:rsidP="00651D54">
      <w:pPr>
        <w:pStyle w:val="ListParagraph"/>
        <w:numPr>
          <w:ilvl w:val="0"/>
          <w:numId w:val="19"/>
        </w:numPr>
      </w:pPr>
      <w:r>
        <w:t>q</w:t>
      </w:r>
      <w:r w:rsidR="00C84E6D">
        <w:t>uality and manufacturing aspects</w:t>
      </w:r>
    </w:p>
    <w:p w14:paraId="33F40FBA" w14:textId="5BBEA53E" w:rsidR="00C84E6D" w:rsidRDefault="00E54573" w:rsidP="00651D54">
      <w:pPr>
        <w:pStyle w:val="ListParagraph"/>
        <w:numPr>
          <w:ilvl w:val="0"/>
          <w:numId w:val="19"/>
        </w:numPr>
      </w:pPr>
      <w:r>
        <w:t>i</w:t>
      </w:r>
      <w:r w:rsidR="00C84E6D">
        <w:t>ntended use (Class 2 biologicals only)</w:t>
      </w:r>
    </w:p>
    <w:p w14:paraId="7126D85B" w14:textId="4549FBE9" w:rsidR="00C84E6D" w:rsidRDefault="00E54573" w:rsidP="00651D54">
      <w:pPr>
        <w:pStyle w:val="ListParagraph"/>
        <w:numPr>
          <w:ilvl w:val="0"/>
          <w:numId w:val="19"/>
        </w:numPr>
      </w:pPr>
      <w:r>
        <w:t>n</w:t>
      </w:r>
      <w:r w:rsidR="00C84E6D">
        <w:t>on-clinical development</w:t>
      </w:r>
      <w:r w:rsidR="000655E2">
        <w:t xml:space="preserve"> – fundamental biological, pharmacological and toxicological information</w:t>
      </w:r>
      <w:r w:rsidR="00C84E6D">
        <w:t xml:space="preserve"> (Class 3 and 4 biologicals only)</w:t>
      </w:r>
      <w:r w:rsidR="004C1D0D">
        <w:t>, and</w:t>
      </w:r>
    </w:p>
    <w:p w14:paraId="4EF81264" w14:textId="3EC8B9F5" w:rsidR="00C84E6D" w:rsidRPr="00A74CFD" w:rsidRDefault="004C1D0D" w:rsidP="00651D54">
      <w:pPr>
        <w:pStyle w:val="ListParagraph"/>
        <w:numPr>
          <w:ilvl w:val="0"/>
          <w:numId w:val="19"/>
        </w:numPr>
      </w:pPr>
      <w:r>
        <w:t>c</w:t>
      </w:r>
      <w:r w:rsidR="00C84E6D">
        <w:t>linical development</w:t>
      </w:r>
      <w:r w:rsidR="000D575A">
        <w:t xml:space="preserve"> </w:t>
      </w:r>
      <w:r w:rsidR="00C46C18">
        <w:t>–</w:t>
      </w:r>
      <w:r w:rsidR="000D575A">
        <w:t xml:space="preserve"> </w:t>
      </w:r>
      <w:r w:rsidR="00C46C18">
        <w:t xml:space="preserve">information from </w:t>
      </w:r>
      <w:r w:rsidR="00B37099">
        <w:t>clinical development studies</w:t>
      </w:r>
      <w:r w:rsidR="00C84E6D">
        <w:t xml:space="preserve"> (Class 3 and 4 biologicals only)</w:t>
      </w:r>
    </w:p>
    <w:p w14:paraId="0B44FC6E" w14:textId="5F9D7BA2" w:rsidR="009055B6" w:rsidRPr="009055B6" w:rsidRDefault="009055B6" w:rsidP="009055B6">
      <w:pPr>
        <w:pStyle w:val="Heading3"/>
      </w:pPr>
      <w:r>
        <w:t>Pathways from application to approval</w:t>
      </w:r>
    </w:p>
    <w:p w14:paraId="0DD22110" w14:textId="6A978DB2" w:rsidR="000A2F65" w:rsidRPr="001E3CF5" w:rsidRDefault="000A2F65" w:rsidP="0029697C">
      <w:r>
        <w:t xml:space="preserve">The steps for </w:t>
      </w:r>
      <w:r w:rsidR="004B2D22">
        <w:t>inclusion of</w:t>
      </w:r>
      <w:r>
        <w:t xml:space="preserve"> </w:t>
      </w:r>
      <w:r w:rsidR="004B2D22">
        <w:t>class 2,</w:t>
      </w:r>
      <w:r w:rsidR="00915958">
        <w:t xml:space="preserve"> </w:t>
      </w:r>
      <w:r w:rsidR="004B2D22">
        <w:t xml:space="preserve">3 and 4 biologicals on the ARTG </w:t>
      </w:r>
      <w:r w:rsidR="00B6204A">
        <w:t xml:space="preserve">are </w:t>
      </w:r>
      <w:r w:rsidR="004B2D22">
        <w:t xml:space="preserve">similar to </w:t>
      </w:r>
      <w:r w:rsidR="00F752B4">
        <w:t>the st</w:t>
      </w:r>
      <w:r w:rsidR="005D02C9">
        <w:t>e</w:t>
      </w:r>
      <w:r w:rsidR="00F752B4">
        <w:t xml:space="preserve">ps </w:t>
      </w:r>
      <w:r w:rsidR="005D02C9">
        <w:t>described</w:t>
      </w:r>
      <w:r w:rsidR="00F752B4">
        <w:t xml:space="preserve"> in the registration of prescription medicines shown in </w:t>
      </w:r>
      <w:r w:rsidR="003022AC">
        <w:t>Figure</w:t>
      </w:r>
      <w:r w:rsidR="00F752B4">
        <w:t xml:space="preserve"> </w:t>
      </w:r>
      <w:r w:rsidR="00603754">
        <w:t>4</w:t>
      </w:r>
      <w:r w:rsidR="00346BD1">
        <w:t>. H</w:t>
      </w:r>
      <w:r w:rsidR="00843DA7">
        <w:t>owever</w:t>
      </w:r>
      <w:r w:rsidR="00346BD1">
        <w:t>,</w:t>
      </w:r>
      <w:r w:rsidR="00843DA7">
        <w:t xml:space="preserve"> there</w:t>
      </w:r>
      <w:r w:rsidR="00DA6026">
        <w:t xml:space="preserve"> is an additional step to enable a further request for information from the sponsor and </w:t>
      </w:r>
      <w:r w:rsidR="00FE31F3">
        <w:t xml:space="preserve">an </w:t>
      </w:r>
      <w:r w:rsidR="00DA6026">
        <w:t>additional</w:t>
      </w:r>
      <w:r w:rsidR="003171EF">
        <w:t xml:space="preserve"> round</w:t>
      </w:r>
      <w:r w:rsidR="00843DA7">
        <w:t xml:space="preserve"> of </w:t>
      </w:r>
      <w:r w:rsidR="00EA3305">
        <w:t>evaluation</w:t>
      </w:r>
      <w:r w:rsidR="002A4E46">
        <w:t xml:space="preserve"> to assess further information</w:t>
      </w:r>
      <w:r w:rsidR="00DA6026">
        <w:t xml:space="preserve"> that can be used </w:t>
      </w:r>
      <w:r w:rsidR="002A4E46">
        <w:t>during the assessment if required</w:t>
      </w:r>
      <w:r w:rsidR="003171EF">
        <w:t xml:space="preserve">. </w:t>
      </w:r>
    </w:p>
    <w:p w14:paraId="61416027" w14:textId="7E7D65D5" w:rsidR="00027615" w:rsidRPr="00027615" w:rsidRDefault="003022AC" w:rsidP="00A12FCD">
      <w:pPr>
        <w:pStyle w:val="Heading4"/>
      </w:pPr>
      <w:r>
        <w:lastRenderedPageBreak/>
        <w:t>Figure</w:t>
      </w:r>
      <w:r w:rsidR="008C4A49">
        <w:t xml:space="preserve"> </w:t>
      </w:r>
      <w:r w:rsidR="007C6FB1">
        <w:t>6.</w:t>
      </w:r>
      <w:r w:rsidR="00A12FCD">
        <w:t xml:space="preserve"> </w:t>
      </w:r>
      <w:r w:rsidR="0014335B">
        <w:t>Biological standard pathway steps</w:t>
      </w:r>
      <w:r w:rsidR="00B209EA">
        <w:t xml:space="preserve"> </w:t>
      </w:r>
      <w:r w:rsidR="001D1424">
        <w:t>– class 2, 3 &amp; 4</w:t>
      </w:r>
    </w:p>
    <w:p w14:paraId="5D95F5DD" w14:textId="51922CDD" w:rsidR="00B6204A" w:rsidRDefault="00E528C1" w:rsidP="00B6204A">
      <w:pPr>
        <w:spacing w:before="0" w:line="240" w:lineRule="auto"/>
        <w:rPr>
          <w:rFonts w:ascii="Times New Roman" w:hAnsi="Times New Roman" w:cs="Times New Roman"/>
          <w:sz w:val="24"/>
          <w:szCs w:val="24"/>
          <w:lang w:eastAsia="en-AU"/>
        </w:rPr>
      </w:pPr>
      <w:r>
        <w:t> </w:t>
      </w:r>
      <w:r w:rsidR="00553822" w:rsidRPr="00553822">
        <w:rPr>
          <w:noProof/>
        </w:rPr>
        <w:drawing>
          <wp:inline distT="0" distB="0" distL="0" distR="0" wp14:anchorId="4234681B" wp14:editId="24F9FEAB">
            <wp:extent cx="5617210" cy="5996940"/>
            <wp:effectExtent l="0" t="0" r="0" b="0"/>
            <wp:docPr id="155350200" name="Picture 155350200" descr="Figure 6. Biological standard pathway steps – class 2, 3 &am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0200" name="Picture 155350200" descr="Figure 6. Biological standard pathway steps – class 2, 3 &amp;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7210" cy="5996940"/>
                    </a:xfrm>
                    <a:prstGeom prst="rect">
                      <a:avLst/>
                    </a:prstGeom>
                    <a:solidFill>
                      <a:schemeClr val="bg1"/>
                    </a:solidFill>
                    <a:ln>
                      <a:noFill/>
                    </a:ln>
                  </pic:spPr>
                </pic:pic>
              </a:graphicData>
            </a:graphic>
          </wp:inline>
        </w:drawing>
      </w:r>
      <w:r w:rsidR="00B6204A">
        <w:rPr>
          <w:rFonts w:ascii="Times New Roman" w:hAnsi="Times New Roman" w:cs="Times New Roman"/>
          <w:sz w:val="24"/>
          <w:szCs w:val="24"/>
          <w:lang w:eastAsia="en-AU"/>
        </w:rPr>
        <w:t xml:space="preserve"> </w:t>
      </w:r>
    </w:p>
    <w:p w14:paraId="48D5D14C" w14:textId="631E274B" w:rsidR="00F9216A" w:rsidRDefault="00136D75" w:rsidP="00F9216A">
      <w:pPr>
        <w:pStyle w:val="Heading4"/>
      </w:pPr>
      <w:r>
        <w:t>Priority inclusion pathway</w:t>
      </w:r>
    </w:p>
    <w:p w14:paraId="4814FE83" w14:textId="3A6C6D62" w:rsidR="002A4E46" w:rsidRDefault="002A4E46" w:rsidP="00864E59">
      <w:r>
        <w:t>As with the pathway for registering prescription medicines, biologicals have a priority pathway that follows the same principles and method to fast-track access to life</w:t>
      </w:r>
      <w:r w:rsidR="00D14832">
        <w:t>-</w:t>
      </w:r>
      <w:r>
        <w:t>saving biologicals.</w:t>
      </w:r>
      <w:r>
        <w:rPr>
          <w:rStyle w:val="FootnoteReference"/>
        </w:rPr>
        <w:footnoteReference w:id="21"/>
      </w:r>
    </w:p>
    <w:p w14:paraId="729C3EA8" w14:textId="38C065FA" w:rsidR="00864E59" w:rsidRDefault="00136D75" w:rsidP="00864E59">
      <w:r>
        <w:t xml:space="preserve">The priority inclusion pathway </w:t>
      </w:r>
      <w:r w:rsidR="004B585F">
        <w:t xml:space="preserve">also consists of 8 phases. </w:t>
      </w:r>
      <w:r w:rsidR="00864E59">
        <w:t>However,</w:t>
      </w:r>
      <w:r w:rsidR="00EA3305">
        <w:t xml:space="preserve"> similar to the priority pathway for prescription med</w:t>
      </w:r>
      <w:r w:rsidR="008D06E0">
        <w:t>ici</w:t>
      </w:r>
      <w:r w:rsidR="00EA3305">
        <w:t>nes,</w:t>
      </w:r>
      <w:r w:rsidR="00864E59">
        <w:t xml:space="preserve"> the priority pathway</w:t>
      </w:r>
      <w:r w:rsidR="00EA3305">
        <w:t xml:space="preserve"> for biologicals</w:t>
      </w:r>
      <w:r w:rsidR="00864E59">
        <w:t xml:space="preserve"> includes modifications</w:t>
      </w:r>
      <w:r w:rsidR="00EA3305">
        <w:t xml:space="preserve"> </w:t>
      </w:r>
      <w:r w:rsidR="00864E59">
        <w:t>to reduce timeframes:</w:t>
      </w:r>
    </w:p>
    <w:p w14:paraId="3B205607" w14:textId="4B00955A" w:rsidR="00864E59" w:rsidRDefault="005A35D1" w:rsidP="00651D54">
      <w:pPr>
        <w:pStyle w:val="ListParagraph"/>
        <w:numPr>
          <w:ilvl w:val="0"/>
          <w:numId w:val="20"/>
        </w:numPr>
      </w:pPr>
      <w:r>
        <w:t>T</w:t>
      </w:r>
      <w:r w:rsidR="00864E59">
        <w:t>he priority inclusion pathway has greater flexibility between phases, which allows the application to progress to the next phase more quickly</w:t>
      </w:r>
      <w:r>
        <w:t>.</w:t>
      </w:r>
    </w:p>
    <w:p w14:paraId="62911A7D" w14:textId="5A25E658" w:rsidR="00864E59" w:rsidRDefault="005A35D1" w:rsidP="00651D54">
      <w:pPr>
        <w:pStyle w:val="ListParagraph"/>
        <w:numPr>
          <w:ilvl w:val="0"/>
          <w:numId w:val="20"/>
        </w:numPr>
      </w:pPr>
      <w:r>
        <w:lastRenderedPageBreak/>
        <w:t>T</w:t>
      </w:r>
      <w:r w:rsidR="00EA3305">
        <w:t xml:space="preserve">he sponsor </w:t>
      </w:r>
      <w:r w:rsidR="00864E59">
        <w:t xml:space="preserve">will receive rolling questions during the evaluation phase. If </w:t>
      </w:r>
      <w:r w:rsidR="00EA3305">
        <w:t xml:space="preserve">they </w:t>
      </w:r>
      <w:r w:rsidR="00864E59">
        <w:t>can respond to all rolling questions by the end of the first round of evaluation a stop clock will not be applied, and the evaluation can proceed to the next phase.</w:t>
      </w:r>
    </w:p>
    <w:p w14:paraId="35B7ABE5" w14:textId="2F249F40" w:rsidR="00136D75" w:rsidRDefault="005A35D1" w:rsidP="00651D54">
      <w:pPr>
        <w:pStyle w:val="ListParagraph"/>
        <w:numPr>
          <w:ilvl w:val="0"/>
          <w:numId w:val="20"/>
        </w:numPr>
        <w:spacing w:after="240"/>
      </w:pPr>
      <w:r>
        <w:t>T</w:t>
      </w:r>
      <w:r w:rsidR="00864E59">
        <w:t>here are more flexible arrangements for accessing expert advice.</w:t>
      </w:r>
    </w:p>
    <w:tbl>
      <w:tblPr>
        <w:tblStyle w:val="TableGrid"/>
        <w:tblW w:w="0" w:type="auto"/>
        <w:tblLook w:val="04A0" w:firstRow="1" w:lastRow="0" w:firstColumn="1" w:lastColumn="0" w:noHBand="0" w:noVBand="1"/>
      </w:tblPr>
      <w:tblGrid>
        <w:gridCol w:w="9026"/>
      </w:tblGrid>
      <w:tr w:rsidR="00316895" w14:paraId="6F17B52D" w14:textId="77777777" w:rsidTr="00DC544F">
        <w:trPr>
          <w:trHeight w:val="512"/>
        </w:trPr>
        <w:tc>
          <w:tcPr>
            <w:tcW w:w="9242" w:type="dxa"/>
            <w:tcBorders>
              <w:top w:val="nil"/>
              <w:left w:val="nil"/>
              <w:bottom w:val="nil"/>
              <w:right w:val="nil"/>
            </w:tcBorders>
            <w:shd w:val="clear" w:color="auto" w:fill="B4C6E7" w:themeFill="accent1" w:themeFillTint="66"/>
          </w:tcPr>
          <w:p w14:paraId="374FF227" w14:textId="1BE851CA" w:rsidR="00316895" w:rsidRPr="00EF3234" w:rsidRDefault="00316895" w:rsidP="00B217E3">
            <w:pPr>
              <w:rPr>
                <w:rFonts w:ascii="Times New Roman" w:hAnsi="Times New Roman" w:cs="Times New Roman"/>
                <w:sz w:val="24"/>
                <w:szCs w:val="24"/>
                <w:lang w:eastAsia="en-AU"/>
              </w:rPr>
            </w:pPr>
            <w:r>
              <w:rPr>
                <w:b/>
                <w:bCs/>
              </w:rPr>
              <w:t xml:space="preserve">Eligibility criteria for </w:t>
            </w:r>
            <w:r w:rsidR="00EF3234">
              <w:rPr>
                <w:b/>
                <w:bCs/>
              </w:rPr>
              <w:t>pr</w:t>
            </w:r>
            <w:r w:rsidR="00B6204A">
              <w:rPr>
                <w:b/>
                <w:bCs/>
              </w:rPr>
              <w:t xml:space="preserve">iority pathway for </w:t>
            </w:r>
            <w:r>
              <w:rPr>
                <w:b/>
                <w:bCs/>
              </w:rPr>
              <w:t>a biological</w:t>
            </w:r>
          </w:p>
          <w:p w14:paraId="485F28AD" w14:textId="3862532C" w:rsidR="00316895" w:rsidRDefault="00316895" w:rsidP="00651D54">
            <w:pPr>
              <w:pStyle w:val="ListParagraph"/>
              <w:numPr>
                <w:ilvl w:val="0"/>
                <w:numId w:val="35"/>
              </w:numPr>
            </w:pPr>
            <w:r>
              <w:t>New biological or an existing biological that has a new intended use or therapeutic indication</w:t>
            </w:r>
            <w:r w:rsidR="002A4E46">
              <w:t>.</w:t>
            </w:r>
          </w:p>
          <w:p w14:paraId="3D4BC49F" w14:textId="77777777" w:rsidR="00316895" w:rsidRDefault="00316895" w:rsidP="00651D54">
            <w:pPr>
              <w:pStyle w:val="ListParagraph"/>
              <w:numPr>
                <w:ilvl w:val="0"/>
                <w:numId w:val="35"/>
              </w:numPr>
            </w:pPr>
            <w:r>
              <w:t xml:space="preserve">The biological is indicated for the treatment, prevention or diagnosis of a life threatening or seriously debilitating condition. </w:t>
            </w:r>
          </w:p>
          <w:p w14:paraId="3C0EA2FD" w14:textId="77777777" w:rsidR="00316895" w:rsidRDefault="00316895" w:rsidP="00651D54">
            <w:pPr>
              <w:pStyle w:val="ListParagraph"/>
              <w:numPr>
                <w:ilvl w:val="0"/>
                <w:numId w:val="35"/>
              </w:numPr>
            </w:pPr>
            <w:r>
              <w:t>Either:</w:t>
            </w:r>
          </w:p>
          <w:p w14:paraId="188F9343" w14:textId="2AFE21CF" w:rsidR="00316895" w:rsidRDefault="00316895" w:rsidP="00651D54">
            <w:pPr>
              <w:pStyle w:val="ListParagraph"/>
              <w:numPr>
                <w:ilvl w:val="1"/>
                <w:numId w:val="35"/>
              </w:numPr>
            </w:pPr>
            <w:r>
              <w:t>no therapeutic good intended to treat, prevent or diagnose the condition is included in the register</w:t>
            </w:r>
            <w:r w:rsidR="005A35D1">
              <w:t>;</w:t>
            </w:r>
            <w:r>
              <w:t xml:space="preserve"> or</w:t>
            </w:r>
          </w:p>
          <w:p w14:paraId="57113287" w14:textId="6ED89DA1" w:rsidR="00316895" w:rsidRDefault="00316895" w:rsidP="00651D54">
            <w:pPr>
              <w:pStyle w:val="ListParagraph"/>
              <w:numPr>
                <w:ilvl w:val="1"/>
                <w:numId w:val="35"/>
              </w:numPr>
            </w:pPr>
            <w:r>
              <w:t xml:space="preserve">there is substantial evidence demonstrating that the biological provides a significant improvement in efficacy or safety of the treatment prevention or diagnosis of the condition compared to those goods. </w:t>
            </w:r>
          </w:p>
          <w:p w14:paraId="2B4AC942" w14:textId="5EA8110B" w:rsidR="00316895" w:rsidRPr="00D8349F" w:rsidRDefault="00316895" w:rsidP="00651D54">
            <w:pPr>
              <w:pStyle w:val="ListParagraph"/>
              <w:numPr>
                <w:ilvl w:val="0"/>
                <w:numId w:val="35"/>
              </w:numPr>
              <w:spacing w:after="240"/>
            </w:pPr>
            <w:r>
              <w:t>There is substantial evidence demonstrating that the biological provides a major therapeutic advance.</w:t>
            </w:r>
            <w:r>
              <w:rPr>
                <w:rStyle w:val="FootnoteReference"/>
              </w:rPr>
              <w:footnoteReference w:id="22"/>
            </w:r>
          </w:p>
        </w:tc>
      </w:tr>
    </w:tbl>
    <w:p w14:paraId="46933187" w14:textId="77777777" w:rsidR="00293C32" w:rsidRDefault="00293C32" w:rsidP="00651D54">
      <w:pPr>
        <w:pStyle w:val="Heading2"/>
        <w:numPr>
          <w:ilvl w:val="1"/>
          <w:numId w:val="14"/>
        </w:numPr>
        <w:ind w:left="578" w:hanging="578"/>
      </w:pPr>
      <w:bookmarkStart w:id="11" w:name="_Toc156576948"/>
      <w:r>
        <w:t>Approval process for medical devices</w:t>
      </w:r>
      <w:bookmarkEnd w:id="11"/>
    </w:p>
    <w:p w14:paraId="491D696A" w14:textId="76FA14A4" w:rsidR="00323515" w:rsidRPr="00F52FA5" w:rsidRDefault="00323515" w:rsidP="00F52FA5">
      <w:pPr>
        <w:rPr>
          <w:rFonts w:cstheme="minorHAnsi"/>
          <w:lang w:eastAsia="en-AU"/>
        </w:rPr>
      </w:pPr>
      <w:r w:rsidRPr="00F52FA5">
        <w:rPr>
          <w:rFonts w:cstheme="minorHAnsi"/>
          <w:lang w:eastAsia="en-AU"/>
        </w:rPr>
        <w:t xml:space="preserve">Medical devices are defined </w:t>
      </w:r>
      <w:r w:rsidR="009215A0">
        <w:rPr>
          <w:rFonts w:cstheme="minorHAnsi"/>
          <w:lang w:eastAsia="en-AU"/>
        </w:rPr>
        <w:t>under</w:t>
      </w:r>
      <w:r w:rsidR="009215A0" w:rsidRPr="00F52FA5">
        <w:rPr>
          <w:rFonts w:cstheme="minorHAnsi"/>
          <w:lang w:eastAsia="en-AU"/>
        </w:rPr>
        <w:t xml:space="preserve"> </w:t>
      </w:r>
      <w:r w:rsidRPr="00F52FA5">
        <w:rPr>
          <w:rFonts w:cstheme="minorHAnsi"/>
          <w:lang w:eastAsia="en-AU"/>
        </w:rPr>
        <w:t xml:space="preserve">section 41BD of the </w:t>
      </w:r>
      <w:r w:rsidR="002A4E46">
        <w:rPr>
          <w:rFonts w:cstheme="minorHAnsi"/>
          <w:lang w:eastAsia="en-AU"/>
        </w:rPr>
        <w:t xml:space="preserve">TG Act. There are </w:t>
      </w:r>
      <w:r w:rsidRPr="00F52FA5">
        <w:rPr>
          <w:rFonts w:cstheme="minorHAnsi"/>
          <w:lang w:eastAsia="en-AU"/>
        </w:rPr>
        <w:t xml:space="preserve">further </w:t>
      </w:r>
      <w:r w:rsidR="002A4E46">
        <w:rPr>
          <w:rFonts w:cstheme="minorHAnsi"/>
          <w:lang w:eastAsia="en-AU"/>
        </w:rPr>
        <w:t>definitions under</w:t>
      </w:r>
      <w:r w:rsidRPr="00F52FA5">
        <w:rPr>
          <w:rFonts w:cstheme="minorHAnsi"/>
          <w:lang w:eastAsia="en-AU"/>
        </w:rPr>
        <w:t xml:space="preserve"> the </w:t>
      </w:r>
      <w:r w:rsidRPr="00F52FA5">
        <w:rPr>
          <w:rFonts w:cstheme="minorHAnsi"/>
          <w:i/>
          <w:iCs/>
          <w:lang w:eastAsia="en-AU"/>
        </w:rPr>
        <w:t xml:space="preserve">Therapeutic Goods (Medical Devices </w:t>
      </w:r>
      <w:r w:rsidR="004E512A">
        <w:rPr>
          <w:rFonts w:cstheme="minorHAnsi"/>
          <w:i/>
          <w:iCs/>
          <w:lang w:eastAsia="en-AU"/>
        </w:rPr>
        <w:t>–</w:t>
      </w:r>
      <w:r w:rsidRPr="00F52FA5">
        <w:rPr>
          <w:rFonts w:cstheme="minorHAnsi"/>
          <w:i/>
          <w:iCs/>
          <w:lang w:eastAsia="en-AU"/>
        </w:rPr>
        <w:t xml:space="preserve"> Specified Articles) Instrument 2020</w:t>
      </w:r>
      <w:r w:rsidRPr="00F52FA5">
        <w:rPr>
          <w:rFonts w:cstheme="minorHAnsi"/>
          <w:lang w:eastAsia="en-AU"/>
        </w:rPr>
        <w:t xml:space="preserve">. </w:t>
      </w:r>
      <w:r w:rsidR="002A4E46">
        <w:rPr>
          <w:rFonts w:cstheme="minorHAnsi"/>
          <w:lang w:eastAsia="en-AU"/>
        </w:rPr>
        <w:t>Therapeutics are defined as medical devices where they</w:t>
      </w:r>
      <w:r w:rsidRPr="00F52FA5">
        <w:rPr>
          <w:rFonts w:cstheme="minorHAnsi"/>
          <w:lang w:eastAsia="en-AU"/>
        </w:rPr>
        <w:t>:</w:t>
      </w:r>
    </w:p>
    <w:p w14:paraId="2F1FF8B8" w14:textId="77777777" w:rsidR="00323515" w:rsidRPr="00F52FA5" w:rsidRDefault="00323515" w:rsidP="00651D54">
      <w:pPr>
        <w:pStyle w:val="ListParagraph"/>
        <w:numPr>
          <w:ilvl w:val="0"/>
          <w:numId w:val="21"/>
        </w:numPr>
        <w:rPr>
          <w:rFonts w:cstheme="minorHAnsi"/>
          <w:lang w:eastAsia="en-AU"/>
        </w:rPr>
      </w:pPr>
      <w:r w:rsidRPr="00F52FA5">
        <w:rPr>
          <w:rFonts w:cstheme="minorHAnsi"/>
          <w:lang w:eastAsia="en-AU"/>
        </w:rPr>
        <w:t>are used for humans</w:t>
      </w:r>
    </w:p>
    <w:p w14:paraId="78957C5D" w14:textId="6CDF4A67" w:rsidR="00323515" w:rsidRDefault="00323515" w:rsidP="00651D54">
      <w:pPr>
        <w:pStyle w:val="ListParagraph"/>
        <w:numPr>
          <w:ilvl w:val="0"/>
          <w:numId w:val="21"/>
        </w:numPr>
        <w:rPr>
          <w:rFonts w:cstheme="minorHAnsi"/>
          <w:lang w:eastAsia="en-AU"/>
        </w:rPr>
      </w:pPr>
      <w:r w:rsidRPr="00F52FA5">
        <w:rPr>
          <w:rFonts w:cstheme="minorHAnsi"/>
          <w:lang w:eastAsia="en-AU"/>
        </w:rPr>
        <w:t>are intended to diagnose, prevent, monitor, treat or alleviate a disease or injury, or</w:t>
      </w:r>
      <w:r w:rsidR="005850E0">
        <w:rPr>
          <w:rFonts w:cstheme="minorHAnsi"/>
          <w:lang w:eastAsia="en-AU"/>
        </w:rPr>
        <w:t xml:space="preserve"> to investigate or</w:t>
      </w:r>
      <w:r w:rsidRPr="00F52FA5">
        <w:rPr>
          <w:rFonts w:cstheme="minorHAnsi"/>
          <w:lang w:eastAsia="en-AU"/>
        </w:rPr>
        <w:t xml:space="preserve"> modify </w:t>
      </w:r>
      <w:r w:rsidR="005850E0">
        <w:rPr>
          <w:rFonts w:cstheme="minorHAnsi"/>
          <w:lang w:eastAsia="en-AU"/>
        </w:rPr>
        <w:t>the</w:t>
      </w:r>
      <w:r w:rsidRPr="00F52FA5">
        <w:rPr>
          <w:rFonts w:cstheme="minorHAnsi"/>
          <w:lang w:eastAsia="en-AU"/>
        </w:rPr>
        <w:t xml:space="preserve"> anatomy or physiological functions of the body</w:t>
      </w:r>
      <w:r w:rsidR="00815599">
        <w:rPr>
          <w:rFonts w:cstheme="minorHAnsi"/>
          <w:lang w:eastAsia="en-AU"/>
        </w:rPr>
        <w:t>, and</w:t>
      </w:r>
    </w:p>
    <w:p w14:paraId="45BF0AC3" w14:textId="1E9EFB44" w:rsidR="005850E0" w:rsidRPr="005850E0" w:rsidRDefault="005850E0" w:rsidP="00651D54">
      <w:pPr>
        <w:pStyle w:val="ListParagraph"/>
        <w:numPr>
          <w:ilvl w:val="0"/>
          <w:numId w:val="21"/>
        </w:numPr>
        <w:rPr>
          <w:rFonts w:cstheme="minorHAnsi"/>
          <w:lang w:eastAsia="en-AU"/>
        </w:rPr>
      </w:pPr>
      <w:r>
        <w:t>do not achieve their principal intended action in or on the human body by pharmacological, immunological or metabolic means</w:t>
      </w:r>
      <w:r w:rsidR="002A4E46">
        <w:t>.</w:t>
      </w:r>
    </w:p>
    <w:p w14:paraId="7F38037C" w14:textId="77777777" w:rsidR="00323515" w:rsidRPr="005850E0" w:rsidRDefault="00323515" w:rsidP="005850E0">
      <w:pPr>
        <w:rPr>
          <w:rFonts w:cstheme="minorHAnsi"/>
          <w:lang w:eastAsia="en-AU"/>
        </w:rPr>
      </w:pPr>
      <w:r w:rsidRPr="005850E0">
        <w:rPr>
          <w:rFonts w:cstheme="minorHAnsi"/>
          <w:lang w:eastAsia="en-AU"/>
        </w:rPr>
        <w:t>For example, implantable prostheses are medical devices due to their function to replace and/or modify the human anatomy and/or a physiological process.</w:t>
      </w:r>
    </w:p>
    <w:p w14:paraId="5F86C899" w14:textId="05CFBFF4" w:rsidR="00323515" w:rsidRPr="007123C0" w:rsidRDefault="00A0239D" w:rsidP="00F52FA5">
      <w:pPr>
        <w:rPr>
          <w:rFonts w:cstheme="minorHAnsi"/>
          <w:lang w:eastAsia="en-AU"/>
        </w:rPr>
      </w:pPr>
      <w:r w:rsidRPr="00F52FA5">
        <w:rPr>
          <w:rFonts w:cstheme="minorHAnsi"/>
          <w:lang w:eastAsia="en-AU"/>
        </w:rPr>
        <w:t>In Australia,</w:t>
      </w:r>
      <w:r w:rsidR="009215A0">
        <w:rPr>
          <w:rFonts w:cstheme="minorHAnsi"/>
          <w:lang w:eastAsia="en-AU"/>
        </w:rPr>
        <w:t xml:space="preserve"> in vitro diagnostic</w:t>
      </w:r>
      <w:r w:rsidRPr="00F52FA5">
        <w:rPr>
          <w:rFonts w:cstheme="minorHAnsi"/>
          <w:lang w:eastAsia="en-AU"/>
        </w:rPr>
        <w:t xml:space="preserve"> </w:t>
      </w:r>
      <w:r w:rsidR="009215A0">
        <w:rPr>
          <w:rFonts w:cstheme="minorHAnsi"/>
          <w:lang w:eastAsia="en-AU"/>
        </w:rPr>
        <w:t>(</w:t>
      </w:r>
      <w:r w:rsidR="00323515" w:rsidRPr="00F52FA5">
        <w:rPr>
          <w:rFonts w:cstheme="minorHAnsi"/>
          <w:lang w:eastAsia="en-AU"/>
        </w:rPr>
        <w:t>IVD</w:t>
      </w:r>
      <w:r w:rsidR="009215A0">
        <w:rPr>
          <w:rFonts w:cstheme="minorHAnsi"/>
          <w:lang w:eastAsia="en-AU"/>
        </w:rPr>
        <w:t>)</w:t>
      </w:r>
      <w:r w:rsidR="00323515" w:rsidRPr="00F52FA5">
        <w:rPr>
          <w:rFonts w:cstheme="minorHAnsi"/>
          <w:lang w:eastAsia="en-AU"/>
        </w:rPr>
        <w:t xml:space="preserve"> medical devices are also regulated as a subset of medical devices.</w:t>
      </w:r>
      <w:r w:rsidR="001C5870" w:rsidRPr="00F52FA5">
        <w:rPr>
          <w:rFonts w:cstheme="minorHAnsi"/>
          <w:lang w:eastAsia="en-AU"/>
        </w:rPr>
        <w:t xml:space="preserve"> </w:t>
      </w:r>
      <w:r w:rsidR="001C5870" w:rsidRPr="00F52FA5">
        <w:rPr>
          <w:rFonts w:cstheme="minorHAnsi"/>
        </w:rPr>
        <w:t>IVD medical devices are defined in the </w:t>
      </w:r>
      <w:hyperlink r:id="rId28" w:tooltip="link to the FRL website" w:history="1">
        <w:r w:rsidR="001C5870" w:rsidRPr="00F52FA5">
          <w:rPr>
            <w:rStyle w:val="HTMLCite"/>
            <w:rFonts w:cstheme="minorHAnsi"/>
          </w:rPr>
          <w:t>Therapeutic Goods (Medical Devices) Regulations 2002</w:t>
        </w:r>
        <w:r w:rsidR="000A5664" w:rsidRPr="00F52FA5">
          <w:rPr>
            <w:rStyle w:val="sr-only"/>
            <w:rFonts w:cstheme="minorHAnsi"/>
            <w:bdr w:val="none" w:sz="0" w:space="0" w:color="auto" w:frame="1"/>
          </w:rPr>
          <w:t>.</w:t>
        </w:r>
      </w:hyperlink>
      <w:r w:rsidR="000A5664" w:rsidRPr="00F52FA5">
        <w:rPr>
          <w:rFonts w:cstheme="minorHAnsi"/>
        </w:rPr>
        <w:t xml:space="preserve"> </w:t>
      </w:r>
      <w:r w:rsidR="00171412" w:rsidRPr="00F52FA5">
        <w:rPr>
          <w:rFonts w:cstheme="minorHAnsi"/>
        </w:rPr>
        <w:t xml:space="preserve">Typically, IVD medical devices are pathology tests (and related instrumentation) used to carry out testing on human samples where the results are intended to assist in clinical diagnosis or in making decisions concerning clinical management. IVD medical devices can also be intended for use by a health professional at the point of care or for use by lay persons for self-testing. </w:t>
      </w:r>
      <w:r w:rsidR="00171412" w:rsidRPr="00F52FA5">
        <w:rPr>
          <w:rStyle w:val="FootnoteReference"/>
          <w:rFonts w:cstheme="minorHAnsi"/>
        </w:rPr>
        <w:footnoteReference w:id="23"/>
      </w:r>
    </w:p>
    <w:p w14:paraId="37A77967" w14:textId="7F1A9EA4" w:rsidR="00582C00" w:rsidRPr="00F52FA5" w:rsidRDefault="008E695B" w:rsidP="00F52FA5">
      <w:pPr>
        <w:rPr>
          <w:rFonts w:cstheme="minorHAnsi"/>
          <w:lang w:eastAsia="en-AU"/>
        </w:rPr>
      </w:pPr>
      <w:r>
        <w:rPr>
          <w:rFonts w:cstheme="minorHAnsi"/>
          <w:lang w:eastAsia="en-AU"/>
        </w:rPr>
        <w:t>B</w:t>
      </w:r>
      <w:r w:rsidR="00582C00" w:rsidRPr="00F52FA5">
        <w:rPr>
          <w:rFonts w:cstheme="minorHAnsi"/>
          <w:lang w:eastAsia="en-AU"/>
        </w:rPr>
        <w:t xml:space="preserve">efore a medical device can be supplied in Australia, the sponsor must ensure (and be able to demonstrate) the device meets </w:t>
      </w:r>
      <w:r w:rsidR="009D626C">
        <w:rPr>
          <w:rFonts w:cstheme="minorHAnsi"/>
          <w:lang w:eastAsia="en-AU"/>
        </w:rPr>
        <w:t>applicable</w:t>
      </w:r>
      <w:r w:rsidR="00582C00" w:rsidRPr="00F52FA5">
        <w:rPr>
          <w:rFonts w:cstheme="minorHAnsi"/>
          <w:lang w:eastAsia="en-AU"/>
        </w:rPr>
        <w:t xml:space="preserve"> Essential Principles</w:t>
      </w:r>
      <w:r w:rsidR="009D626C">
        <w:rPr>
          <w:rFonts w:cstheme="minorHAnsi"/>
          <w:lang w:eastAsia="en-AU"/>
        </w:rPr>
        <w:t xml:space="preserve"> set out in Schedule 1 of the </w:t>
      </w:r>
      <w:r w:rsidR="009D626C" w:rsidRPr="009D0C63">
        <w:rPr>
          <w:rFonts w:cstheme="minorHAnsi"/>
          <w:i/>
          <w:iCs/>
          <w:lang w:eastAsia="en-AU"/>
        </w:rPr>
        <w:t>Therapeutic Goods (Medical Devices) Regulations 2002</w:t>
      </w:r>
      <w:r w:rsidR="009D626C">
        <w:rPr>
          <w:rFonts w:cstheme="minorHAnsi"/>
          <w:lang w:eastAsia="en-AU"/>
        </w:rPr>
        <w:t xml:space="preserve"> to ensure </w:t>
      </w:r>
      <w:r w:rsidR="00582C00" w:rsidRPr="00F52FA5">
        <w:rPr>
          <w:rFonts w:cstheme="minorHAnsi"/>
          <w:lang w:eastAsia="en-AU"/>
        </w:rPr>
        <w:t>it is safe and performs as intended.</w:t>
      </w:r>
    </w:p>
    <w:p w14:paraId="0409D26A" w14:textId="1116B053" w:rsidR="00323515" w:rsidRPr="00F52FA5" w:rsidRDefault="00582C00" w:rsidP="00F52FA5">
      <w:pPr>
        <w:rPr>
          <w:rFonts w:cstheme="minorHAnsi"/>
          <w:lang w:eastAsia="en-AU"/>
        </w:rPr>
      </w:pPr>
      <w:r w:rsidRPr="00F52FA5">
        <w:rPr>
          <w:rFonts w:cstheme="minorHAnsi"/>
          <w:lang w:eastAsia="en-AU"/>
        </w:rPr>
        <w:lastRenderedPageBreak/>
        <w:t>There are</w:t>
      </w:r>
      <w:r w:rsidRPr="00F52FA5" w:rsidDel="00FA2B06">
        <w:rPr>
          <w:rFonts w:cstheme="minorHAnsi"/>
          <w:lang w:eastAsia="en-AU"/>
        </w:rPr>
        <w:t xml:space="preserve"> </w:t>
      </w:r>
      <w:r w:rsidR="00FA2B06">
        <w:rPr>
          <w:rFonts w:cstheme="minorHAnsi"/>
          <w:lang w:eastAsia="en-AU"/>
        </w:rPr>
        <w:t>6</w:t>
      </w:r>
      <w:r w:rsidR="00FA2B06" w:rsidRPr="00F52FA5">
        <w:rPr>
          <w:rFonts w:cstheme="minorHAnsi"/>
          <w:lang w:eastAsia="en-AU"/>
        </w:rPr>
        <w:t xml:space="preserve"> </w:t>
      </w:r>
      <w:r w:rsidRPr="00F52FA5">
        <w:rPr>
          <w:rFonts w:cstheme="minorHAnsi"/>
          <w:lang w:eastAsia="en-AU"/>
        </w:rPr>
        <w:t xml:space="preserve">general Essential Principles that apply to all devices (relating to health and safety, including long-term safety, with benefits outweighing the risks), and a further </w:t>
      </w:r>
      <w:r w:rsidR="00F75B47">
        <w:rPr>
          <w:rFonts w:cstheme="minorHAnsi"/>
          <w:lang w:eastAsia="en-AU"/>
        </w:rPr>
        <w:t>9</w:t>
      </w:r>
      <w:r w:rsidR="00F75B47" w:rsidRPr="00F52FA5">
        <w:rPr>
          <w:rFonts w:cstheme="minorHAnsi"/>
          <w:lang w:eastAsia="en-AU"/>
        </w:rPr>
        <w:t xml:space="preserve"> </w:t>
      </w:r>
      <w:r w:rsidRPr="00F52FA5">
        <w:rPr>
          <w:rFonts w:cstheme="minorHAnsi"/>
          <w:lang w:eastAsia="en-AU"/>
        </w:rPr>
        <w:t>Essential Principles about design and construction that apply to devices on a case-by-case basis.</w:t>
      </w:r>
    </w:p>
    <w:p w14:paraId="24D40939" w14:textId="79AF1120" w:rsidR="00AE4EB9" w:rsidRPr="00F52FA5" w:rsidRDefault="00AE4EB9" w:rsidP="00F52FA5">
      <w:pPr>
        <w:rPr>
          <w:rFonts w:cstheme="minorHAnsi"/>
          <w:lang w:eastAsia="en-AU"/>
        </w:rPr>
      </w:pPr>
      <w:r w:rsidRPr="00F52FA5">
        <w:rPr>
          <w:rFonts w:cstheme="minorHAnsi"/>
          <w:lang w:eastAsia="en-AU"/>
        </w:rPr>
        <w:t>The process a sponsor follows to have their medical device included on the ARTG is</w:t>
      </w:r>
      <w:r w:rsidR="005A35D1">
        <w:rPr>
          <w:rFonts w:cstheme="minorHAnsi"/>
          <w:lang w:eastAsia="en-AU"/>
        </w:rPr>
        <w:t xml:space="preserve"> as follows</w:t>
      </w:r>
      <w:r w:rsidRPr="00F52FA5">
        <w:rPr>
          <w:rFonts w:cstheme="minorHAnsi"/>
          <w:lang w:eastAsia="en-AU"/>
        </w:rPr>
        <w:t xml:space="preserve">: </w:t>
      </w:r>
    </w:p>
    <w:p w14:paraId="6B3DF615" w14:textId="14585CD1" w:rsidR="00135340" w:rsidRPr="00F132FE" w:rsidRDefault="00B91DF8" w:rsidP="00651D54">
      <w:pPr>
        <w:pStyle w:val="ListParagraph"/>
        <w:numPr>
          <w:ilvl w:val="0"/>
          <w:numId w:val="11"/>
        </w:numPr>
        <w:shd w:val="clear" w:color="auto" w:fill="FFFFFF"/>
        <w:spacing w:before="100" w:beforeAutospacing="1" w:after="100" w:afterAutospacing="1" w:line="240" w:lineRule="auto"/>
        <w:rPr>
          <w:rFonts w:cstheme="minorHAnsi"/>
          <w:lang w:eastAsia="en-AU"/>
        </w:rPr>
      </w:pPr>
      <w:r>
        <w:rPr>
          <w:rFonts w:cstheme="minorHAnsi"/>
          <w:lang w:eastAsia="en-AU"/>
        </w:rPr>
        <w:t>c</w:t>
      </w:r>
      <w:r w:rsidR="00135340" w:rsidRPr="00F132FE">
        <w:rPr>
          <w:rFonts w:cstheme="minorHAnsi"/>
          <w:lang w:eastAsia="en-AU"/>
        </w:rPr>
        <w:t xml:space="preserve">onfirm </w:t>
      </w:r>
      <w:r w:rsidR="00664CC1" w:rsidRPr="00F132FE">
        <w:rPr>
          <w:rFonts w:cstheme="minorHAnsi"/>
          <w:lang w:eastAsia="en-AU"/>
        </w:rPr>
        <w:t>the</w:t>
      </w:r>
      <w:r w:rsidR="00135340" w:rsidRPr="00F132FE">
        <w:rPr>
          <w:rFonts w:cstheme="minorHAnsi"/>
          <w:lang w:eastAsia="en-AU"/>
        </w:rPr>
        <w:t xml:space="preserve"> product is a medical device that needs to be included </w:t>
      </w:r>
      <w:r w:rsidR="00293C32">
        <w:rPr>
          <w:rFonts w:cstheme="minorHAnsi"/>
          <w:lang w:eastAsia="en-AU"/>
        </w:rPr>
        <w:t>o</w:t>
      </w:r>
      <w:r w:rsidR="00135340" w:rsidRPr="00F132FE">
        <w:rPr>
          <w:rFonts w:cstheme="minorHAnsi"/>
          <w:lang w:eastAsia="en-AU"/>
        </w:rPr>
        <w:t>n the ARTG</w:t>
      </w:r>
    </w:p>
    <w:p w14:paraId="4F3FD168" w14:textId="6FAED115" w:rsidR="00135340" w:rsidRPr="00513920" w:rsidRDefault="00AB61B8" w:rsidP="00651D54">
      <w:pPr>
        <w:pStyle w:val="ListParagraph"/>
        <w:numPr>
          <w:ilvl w:val="0"/>
          <w:numId w:val="11"/>
        </w:numPr>
        <w:shd w:val="clear" w:color="auto" w:fill="FFFFFF"/>
        <w:spacing w:before="100" w:beforeAutospacing="1" w:after="100" w:afterAutospacing="1" w:line="240" w:lineRule="auto"/>
        <w:rPr>
          <w:rFonts w:cstheme="minorHAnsi"/>
          <w:lang w:eastAsia="en-AU"/>
        </w:rPr>
      </w:pPr>
      <w:r>
        <w:rPr>
          <w:rFonts w:cstheme="minorHAnsi"/>
          <w:lang w:eastAsia="en-AU"/>
        </w:rPr>
        <w:t>d</w:t>
      </w:r>
      <w:r w:rsidR="00664CC1" w:rsidRPr="00F132FE">
        <w:rPr>
          <w:rFonts w:cstheme="minorHAnsi"/>
          <w:lang w:eastAsia="en-AU"/>
        </w:rPr>
        <w:t>etermine w</w:t>
      </w:r>
      <w:r w:rsidR="00135340" w:rsidRPr="00F132FE">
        <w:rPr>
          <w:rFonts w:cstheme="minorHAnsi"/>
          <w:lang w:eastAsia="en-AU"/>
        </w:rPr>
        <w:t>hat 'kind of medical device' it</w:t>
      </w:r>
      <w:r w:rsidR="005850E0">
        <w:rPr>
          <w:rFonts w:cstheme="minorHAnsi"/>
          <w:lang w:eastAsia="en-AU"/>
        </w:rPr>
        <w:t xml:space="preserve"> </w:t>
      </w:r>
      <w:r w:rsidR="005F6BA8">
        <w:rPr>
          <w:rFonts w:cstheme="minorHAnsi"/>
          <w:lang w:eastAsia="en-AU"/>
        </w:rPr>
        <w:t xml:space="preserve">is </w:t>
      </w:r>
      <w:r w:rsidR="005850E0">
        <w:rPr>
          <w:rFonts w:cstheme="minorHAnsi"/>
          <w:lang w:eastAsia="en-AU"/>
        </w:rPr>
        <w:t>and its</w:t>
      </w:r>
      <w:r w:rsidR="00513920">
        <w:rPr>
          <w:rFonts w:cstheme="minorHAnsi"/>
          <w:lang w:eastAsia="en-AU"/>
        </w:rPr>
        <w:t xml:space="preserve"> </w:t>
      </w:r>
      <w:r w:rsidR="00135340" w:rsidRPr="00513920">
        <w:rPr>
          <w:rFonts w:cstheme="minorHAnsi"/>
          <w:lang w:eastAsia="en-AU"/>
        </w:rPr>
        <w:t xml:space="preserve">classification </w:t>
      </w:r>
    </w:p>
    <w:p w14:paraId="35471AE3" w14:textId="7FBBF434" w:rsidR="005850E0" w:rsidRPr="00513920" w:rsidRDefault="005F6BA8" w:rsidP="00651D54">
      <w:pPr>
        <w:pStyle w:val="ListParagraph"/>
        <w:numPr>
          <w:ilvl w:val="0"/>
          <w:numId w:val="11"/>
        </w:numPr>
        <w:shd w:val="clear" w:color="auto" w:fill="FFFFFF"/>
        <w:spacing w:before="100" w:beforeAutospacing="1" w:after="100" w:afterAutospacing="1" w:line="240" w:lineRule="auto"/>
        <w:rPr>
          <w:rFonts w:cstheme="minorHAnsi"/>
          <w:lang w:eastAsia="en-AU"/>
        </w:rPr>
      </w:pPr>
      <w:r>
        <w:rPr>
          <w:rFonts w:cstheme="minorHAnsi"/>
          <w:lang w:eastAsia="en-AU"/>
        </w:rPr>
        <w:t>h</w:t>
      </w:r>
      <w:r w:rsidR="005850E0">
        <w:rPr>
          <w:rFonts w:cstheme="minorHAnsi"/>
          <w:lang w:eastAsia="en-AU"/>
        </w:rPr>
        <w:t>ave appropriate conformity assessment documentation that relates to the manufacturer’s quality management system, and if required, documentation that relates to product assessment</w:t>
      </w:r>
    </w:p>
    <w:p w14:paraId="748018BB" w14:textId="42D3448B" w:rsidR="00135340" w:rsidRPr="00F132FE" w:rsidRDefault="00AF2706" w:rsidP="00651D54">
      <w:pPr>
        <w:pStyle w:val="ListParagraph"/>
        <w:numPr>
          <w:ilvl w:val="0"/>
          <w:numId w:val="11"/>
        </w:numPr>
        <w:shd w:val="clear" w:color="auto" w:fill="FFFFFF"/>
        <w:spacing w:before="100" w:beforeAutospacing="1" w:after="100" w:afterAutospacing="1" w:line="240" w:lineRule="auto"/>
        <w:rPr>
          <w:rFonts w:cstheme="minorHAnsi"/>
          <w:lang w:eastAsia="en-AU"/>
        </w:rPr>
      </w:pPr>
      <w:r>
        <w:rPr>
          <w:rFonts w:cstheme="minorHAnsi"/>
          <w:lang w:eastAsia="en-AU"/>
        </w:rPr>
        <w:t>h</w:t>
      </w:r>
      <w:r w:rsidR="005850E0">
        <w:rPr>
          <w:rFonts w:cstheme="minorHAnsi"/>
          <w:lang w:eastAsia="en-AU"/>
        </w:rPr>
        <w:t xml:space="preserve">ave on hand </w:t>
      </w:r>
      <w:r w:rsidR="005A35D1">
        <w:rPr>
          <w:rFonts w:cstheme="minorHAnsi"/>
          <w:lang w:eastAsia="en-AU"/>
        </w:rPr>
        <w:t>evidence to</w:t>
      </w:r>
      <w:r w:rsidR="00BF0FC1">
        <w:rPr>
          <w:rFonts w:cstheme="minorHAnsi"/>
          <w:lang w:eastAsia="en-AU"/>
        </w:rPr>
        <w:t xml:space="preserve"> support compliance with the Essential Principles</w:t>
      </w:r>
      <w:r w:rsidR="00E86EA1">
        <w:rPr>
          <w:rFonts w:cstheme="minorHAnsi"/>
          <w:lang w:eastAsia="en-AU"/>
        </w:rPr>
        <w:t>, and</w:t>
      </w:r>
    </w:p>
    <w:p w14:paraId="4D66ED3A" w14:textId="0D53A895" w:rsidR="00323515" w:rsidRPr="00F132FE" w:rsidRDefault="00E86EA1" w:rsidP="00651D54">
      <w:pPr>
        <w:pStyle w:val="ListParagraph"/>
        <w:numPr>
          <w:ilvl w:val="0"/>
          <w:numId w:val="11"/>
        </w:numPr>
        <w:shd w:val="clear" w:color="auto" w:fill="FFFFFF"/>
        <w:spacing w:before="100" w:beforeAutospacing="1" w:after="100" w:afterAutospacing="1" w:line="240" w:lineRule="auto"/>
        <w:rPr>
          <w:rFonts w:cstheme="minorHAnsi"/>
          <w:lang w:eastAsia="en-AU"/>
        </w:rPr>
      </w:pPr>
      <w:r>
        <w:rPr>
          <w:rFonts w:cstheme="minorHAnsi"/>
          <w:lang w:eastAsia="en-AU"/>
        </w:rPr>
        <w:t>s</w:t>
      </w:r>
      <w:r w:rsidR="004A325B">
        <w:rPr>
          <w:rFonts w:cstheme="minorHAnsi"/>
          <w:lang w:eastAsia="en-AU"/>
        </w:rPr>
        <w:t>ubmit</w:t>
      </w:r>
      <w:r w:rsidR="005850E0">
        <w:rPr>
          <w:rFonts w:cstheme="minorHAnsi"/>
          <w:lang w:eastAsia="en-AU"/>
        </w:rPr>
        <w:t xml:space="preserve"> an</w:t>
      </w:r>
      <w:r w:rsidR="004A325B">
        <w:rPr>
          <w:rFonts w:cstheme="minorHAnsi"/>
          <w:lang w:eastAsia="en-AU"/>
        </w:rPr>
        <w:t xml:space="preserve"> </w:t>
      </w:r>
      <w:r w:rsidR="00135340" w:rsidRPr="00F132FE">
        <w:rPr>
          <w:rFonts w:cstheme="minorHAnsi"/>
          <w:lang w:eastAsia="en-AU"/>
        </w:rPr>
        <w:t xml:space="preserve">application </w:t>
      </w:r>
      <w:r w:rsidR="00135340" w:rsidRPr="00F132FE" w:rsidDel="00A342B6">
        <w:rPr>
          <w:rFonts w:cstheme="minorHAnsi"/>
          <w:lang w:eastAsia="en-AU"/>
        </w:rPr>
        <w:t xml:space="preserve">for </w:t>
      </w:r>
      <w:r w:rsidR="005850E0">
        <w:rPr>
          <w:rFonts w:cstheme="minorHAnsi"/>
          <w:lang w:eastAsia="en-AU"/>
        </w:rPr>
        <w:t>their</w:t>
      </w:r>
      <w:r w:rsidR="00135340" w:rsidRPr="00F132FE">
        <w:rPr>
          <w:rFonts w:cstheme="minorHAnsi"/>
          <w:lang w:eastAsia="en-AU"/>
        </w:rPr>
        <w:t xml:space="preserve"> medical device</w:t>
      </w:r>
      <w:r w:rsidR="00A342B6">
        <w:rPr>
          <w:rFonts w:cstheme="minorHAnsi"/>
          <w:lang w:eastAsia="en-AU"/>
        </w:rPr>
        <w:t xml:space="preserve"> to be included</w:t>
      </w:r>
      <w:r w:rsidR="00BF0FC1">
        <w:rPr>
          <w:rFonts w:cstheme="minorHAnsi"/>
          <w:lang w:eastAsia="en-AU"/>
        </w:rPr>
        <w:t>.</w:t>
      </w:r>
    </w:p>
    <w:p w14:paraId="3BE2015E" w14:textId="4C9D6380" w:rsidR="00C468F4" w:rsidRPr="00F132FE" w:rsidRDefault="00C468F4" w:rsidP="00C468F4">
      <w:pPr>
        <w:shd w:val="clear" w:color="auto" w:fill="FFFFFF"/>
        <w:spacing w:before="100" w:beforeAutospacing="1" w:after="100" w:afterAutospacing="1" w:line="240" w:lineRule="auto"/>
        <w:rPr>
          <w:rFonts w:cstheme="minorHAnsi"/>
          <w:lang w:eastAsia="en-AU"/>
        </w:rPr>
      </w:pPr>
      <w:bookmarkStart w:id="12" w:name="_Hlk136726205"/>
      <w:r w:rsidRPr="00F132FE">
        <w:rPr>
          <w:rFonts w:cstheme="minorHAnsi"/>
          <w:lang w:eastAsia="en-AU"/>
        </w:rPr>
        <w:t>Medical devices</w:t>
      </w:r>
      <w:r w:rsidR="00574D00">
        <w:rPr>
          <w:rFonts w:cstheme="minorHAnsi"/>
          <w:lang w:eastAsia="en-AU"/>
        </w:rPr>
        <w:t>,</w:t>
      </w:r>
      <w:r w:rsidRPr="00F132FE">
        <w:rPr>
          <w:rFonts w:cstheme="minorHAnsi"/>
          <w:lang w:eastAsia="en-AU"/>
        </w:rPr>
        <w:t xml:space="preserve"> including IVD medical devices</w:t>
      </w:r>
      <w:r w:rsidR="00574D00">
        <w:rPr>
          <w:rFonts w:cstheme="minorHAnsi"/>
          <w:lang w:eastAsia="en-AU"/>
        </w:rPr>
        <w:t>,</w:t>
      </w:r>
      <w:r w:rsidRPr="00F132FE">
        <w:rPr>
          <w:rFonts w:cstheme="minorHAnsi"/>
          <w:lang w:eastAsia="en-AU"/>
        </w:rPr>
        <w:t xml:space="preserve"> are assessed against the Essential Principles </w:t>
      </w:r>
      <w:r w:rsidR="005850E0">
        <w:rPr>
          <w:rFonts w:cstheme="minorHAnsi"/>
          <w:lang w:eastAsia="en-AU"/>
        </w:rPr>
        <w:t>based on</w:t>
      </w:r>
      <w:r w:rsidRPr="00F132FE">
        <w:rPr>
          <w:rFonts w:cstheme="minorHAnsi"/>
          <w:lang w:eastAsia="en-AU"/>
        </w:rPr>
        <w:t xml:space="preserve"> their intended purpose and risk-based classification. The regulatory framework for medical devices spans the life of the device and includes</w:t>
      </w:r>
      <w:bookmarkEnd w:id="12"/>
      <w:r w:rsidRPr="00F132FE">
        <w:rPr>
          <w:rFonts w:cstheme="minorHAnsi"/>
          <w:lang w:eastAsia="en-AU"/>
        </w:rPr>
        <w:t>:</w:t>
      </w:r>
    </w:p>
    <w:p w14:paraId="03A0F03C" w14:textId="63413DD1" w:rsidR="00513920" w:rsidRDefault="00C468F4" w:rsidP="00651D54">
      <w:pPr>
        <w:numPr>
          <w:ilvl w:val="0"/>
          <w:numId w:val="6"/>
        </w:numPr>
        <w:shd w:val="clear" w:color="auto" w:fill="FFFFFF"/>
        <w:spacing w:before="100" w:beforeAutospacing="1" w:after="100" w:afterAutospacing="1" w:line="240" w:lineRule="auto"/>
        <w:rPr>
          <w:rFonts w:cstheme="minorHAnsi"/>
          <w:lang w:eastAsia="en-AU"/>
        </w:rPr>
      </w:pPr>
      <w:r w:rsidRPr="00F132FE">
        <w:rPr>
          <w:rFonts w:cstheme="minorHAnsi"/>
          <w:b/>
          <w:bCs/>
          <w:lang w:eastAsia="en-AU"/>
        </w:rPr>
        <w:t xml:space="preserve">pre-market </w:t>
      </w:r>
      <w:r w:rsidR="005850E0">
        <w:rPr>
          <w:rFonts w:cstheme="minorHAnsi"/>
          <w:b/>
          <w:bCs/>
          <w:lang w:eastAsia="en-AU"/>
        </w:rPr>
        <w:t>authorisation</w:t>
      </w:r>
    </w:p>
    <w:p w14:paraId="1393C157" w14:textId="16462EF9" w:rsidR="00C468F4" w:rsidRPr="00513920" w:rsidRDefault="00C468F4" w:rsidP="00651D54">
      <w:pPr>
        <w:numPr>
          <w:ilvl w:val="0"/>
          <w:numId w:val="6"/>
        </w:numPr>
        <w:shd w:val="clear" w:color="auto" w:fill="FFFFFF"/>
        <w:spacing w:before="100" w:beforeAutospacing="1" w:after="100" w:afterAutospacing="1" w:line="240" w:lineRule="auto"/>
        <w:rPr>
          <w:rFonts w:cstheme="minorHAnsi"/>
          <w:b/>
          <w:bCs/>
          <w:lang w:eastAsia="en-AU"/>
        </w:rPr>
      </w:pPr>
      <w:r w:rsidRPr="00513920">
        <w:rPr>
          <w:rFonts w:cstheme="minorHAnsi"/>
          <w:b/>
          <w:bCs/>
          <w:lang w:eastAsia="en-AU"/>
        </w:rPr>
        <w:t xml:space="preserve">inclusion </w:t>
      </w:r>
      <w:r w:rsidR="0070043C">
        <w:rPr>
          <w:rFonts w:cstheme="minorHAnsi"/>
          <w:b/>
          <w:bCs/>
          <w:lang w:eastAsia="en-AU"/>
        </w:rPr>
        <w:t>on</w:t>
      </w:r>
      <w:r w:rsidR="0070043C" w:rsidRPr="00513920">
        <w:rPr>
          <w:rFonts w:cstheme="minorHAnsi"/>
          <w:b/>
          <w:bCs/>
          <w:lang w:eastAsia="en-AU"/>
        </w:rPr>
        <w:t xml:space="preserve"> </w:t>
      </w:r>
      <w:r w:rsidRPr="00513920">
        <w:rPr>
          <w:rFonts w:cstheme="minorHAnsi"/>
          <w:b/>
          <w:bCs/>
          <w:lang w:eastAsia="en-AU"/>
        </w:rPr>
        <w:t>the ARTG</w:t>
      </w:r>
    </w:p>
    <w:p w14:paraId="266CEDB7" w14:textId="61D0F4D9" w:rsidR="00C468F4" w:rsidRPr="00F132FE" w:rsidRDefault="00C468F4" w:rsidP="00651D54">
      <w:pPr>
        <w:numPr>
          <w:ilvl w:val="0"/>
          <w:numId w:val="6"/>
        </w:numPr>
        <w:shd w:val="clear" w:color="auto" w:fill="FFFFFF"/>
        <w:spacing w:before="100" w:beforeAutospacing="1" w:after="100" w:afterAutospacing="1" w:line="240" w:lineRule="auto"/>
        <w:rPr>
          <w:rFonts w:cstheme="minorHAnsi"/>
          <w:lang w:eastAsia="en-AU"/>
        </w:rPr>
      </w:pPr>
      <w:r w:rsidRPr="00F132FE">
        <w:rPr>
          <w:rFonts w:cstheme="minorHAnsi"/>
          <w:b/>
          <w:bCs/>
          <w:lang w:eastAsia="en-AU"/>
        </w:rPr>
        <w:t>post-market monitoring:</w:t>
      </w:r>
      <w:r w:rsidRPr="00F132FE">
        <w:rPr>
          <w:rFonts w:cstheme="minorHAnsi"/>
          <w:lang w:eastAsia="en-AU"/>
        </w:rPr>
        <w:t> continuing compliance with all regulatory, safety and performance requirements and standards.</w:t>
      </w:r>
    </w:p>
    <w:p w14:paraId="3B380D72" w14:textId="1215D514" w:rsidR="000C13A8" w:rsidRDefault="009055B6" w:rsidP="000C13A8">
      <w:pPr>
        <w:pStyle w:val="Heading2"/>
      </w:pPr>
      <w:bookmarkStart w:id="13" w:name="_Toc156576949"/>
      <w:r>
        <w:t>Timeframes to regulatory approval</w:t>
      </w:r>
      <w:bookmarkEnd w:id="13"/>
    </w:p>
    <w:p w14:paraId="30E4DD39" w14:textId="16660ED1" w:rsidR="007B1097" w:rsidRPr="007B1097" w:rsidRDefault="007B1097" w:rsidP="007B1097">
      <w:pPr>
        <w:pStyle w:val="5Bodytext"/>
        <w:rPr>
          <w:rFonts w:asciiTheme="minorHAnsi" w:eastAsiaTheme="minorHAnsi" w:hAnsiTheme="minorHAnsi" w:cstheme="minorHAnsi"/>
          <w:sz w:val="22"/>
          <w:szCs w:val="22"/>
        </w:rPr>
      </w:pPr>
      <w:r w:rsidRPr="007B1097">
        <w:rPr>
          <w:rFonts w:asciiTheme="minorHAnsi" w:eastAsiaTheme="minorHAnsi" w:hAnsiTheme="minorHAnsi" w:cstheme="minorHAnsi"/>
          <w:sz w:val="22"/>
          <w:szCs w:val="22"/>
        </w:rPr>
        <w:t xml:space="preserve">The TGA is required by </w:t>
      </w:r>
      <w:r>
        <w:rPr>
          <w:rFonts w:asciiTheme="minorHAnsi" w:eastAsiaTheme="minorHAnsi" w:hAnsiTheme="minorHAnsi" w:cstheme="minorHAnsi"/>
          <w:sz w:val="22"/>
          <w:szCs w:val="22"/>
        </w:rPr>
        <w:t>legislation</w:t>
      </w:r>
      <w:r w:rsidRPr="007B1097">
        <w:rPr>
          <w:rFonts w:asciiTheme="minorHAnsi" w:eastAsiaTheme="minorHAnsi" w:hAnsiTheme="minorHAnsi" w:cstheme="minorHAnsi"/>
          <w:sz w:val="22"/>
          <w:szCs w:val="22"/>
        </w:rPr>
        <w:t xml:space="preserve"> to complete its evaluation for approval of </w:t>
      </w:r>
      <w:r w:rsidR="009C30F6">
        <w:rPr>
          <w:rFonts w:asciiTheme="minorHAnsi" w:eastAsiaTheme="minorHAnsi" w:hAnsiTheme="minorHAnsi" w:cstheme="minorHAnsi"/>
          <w:sz w:val="22"/>
          <w:szCs w:val="22"/>
        </w:rPr>
        <w:t>a medicine</w:t>
      </w:r>
      <w:r w:rsidRPr="007B1097">
        <w:rPr>
          <w:rFonts w:asciiTheme="minorHAnsi" w:eastAsiaTheme="minorHAnsi" w:hAnsiTheme="minorHAnsi" w:cstheme="minorHAnsi"/>
          <w:sz w:val="22"/>
          <w:szCs w:val="22"/>
        </w:rPr>
        <w:t xml:space="preserve"> in the standard pathway within 255 working days</w:t>
      </w:r>
      <w:r w:rsidR="009C30F6">
        <w:rPr>
          <w:rFonts w:asciiTheme="minorHAnsi" w:eastAsiaTheme="minorHAnsi" w:hAnsiTheme="minorHAnsi" w:cstheme="minorHAnsi"/>
          <w:sz w:val="22"/>
          <w:szCs w:val="22"/>
        </w:rPr>
        <w:t>. In practice, the TGA works to various target timeframes.</w:t>
      </w:r>
    </w:p>
    <w:p w14:paraId="6A9C08A6" w14:textId="3B47145C" w:rsidR="007C6FB1" w:rsidRPr="007C6FB1" w:rsidRDefault="007C6FB1" w:rsidP="007C6FB1">
      <w:pPr>
        <w:pStyle w:val="Heading4"/>
      </w:pPr>
      <w:r>
        <w:t>Table 2</w:t>
      </w:r>
      <w:r w:rsidR="00B97D53">
        <w:t>. Target timeframes for different regulatory approval pathways</w:t>
      </w:r>
    </w:p>
    <w:tbl>
      <w:tblPr>
        <w:tblStyle w:val="DepartmentofHealthtable"/>
        <w:tblW w:w="8647" w:type="dxa"/>
        <w:tblLook w:val="04A0" w:firstRow="1" w:lastRow="0" w:firstColumn="1" w:lastColumn="0" w:noHBand="0" w:noVBand="1"/>
      </w:tblPr>
      <w:tblGrid>
        <w:gridCol w:w="2268"/>
        <w:gridCol w:w="1843"/>
        <w:gridCol w:w="4536"/>
      </w:tblGrid>
      <w:tr w:rsidR="000C13A8" w:rsidRPr="00557D5A" w14:paraId="36E51885" w14:textId="77777777" w:rsidTr="002C72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70689AD7" w14:textId="77777777" w:rsidR="000C13A8" w:rsidRPr="00513920" w:rsidRDefault="000C13A8" w:rsidP="002C7227">
            <w:pPr>
              <w:pStyle w:val="TableHeaderWhite"/>
              <w:rPr>
                <w:rFonts w:asciiTheme="minorHAnsi" w:hAnsiTheme="minorHAnsi" w:cstheme="minorHAnsi"/>
                <w:szCs w:val="22"/>
              </w:rPr>
            </w:pPr>
            <w:r w:rsidRPr="00513920">
              <w:rPr>
                <w:rFonts w:asciiTheme="minorHAnsi" w:hAnsiTheme="minorHAnsi" w:cstheme="minorHAnsi"/>
                <w:szCs w:val="22"/>
              </w:rPr>
              <w:t>Pathway</w:t>
            </w:r>
          </w:p>
        </w:tc>
        <w:tc>
          <w:tcPr>
            <w:tcW w:w="1843" w:type="dxa"/>
          </w:tcPr>
          <w:p w14:paraId="78090E6E" w14:textId="77777777" w:rsidR="000C13A8" w:rsidRPr="00513920" w:rsidRDefault="000C13A8" w:rsidP="002C7227">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513920">
              <w:rPr>
                <w:rFonts w:asciiTheme="minorHAnsi" w:hAnsiTheme="minorHAnsi" w:cstheme="minorHAnsi"/>
                <w:szCs w:val="22"/>
              </w:rPr>
              <w:t>Target timeframe (working days)</w:t>
            </w:r>
          </w:p>
        </w:tc>
        <w:tc>
          <w:tcPr>
            <w:tcW w:w="4536" w:type="dxa"/>
          </w:tcPr>
          <w:p w14:paraId="0E7B9A8F" w14:textId="77777777" w:rsidR="000C13A8" w:rsidRPr="00513920" w:rsidRDefault="000C13A8" w:rsidP="002C7227">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513920">
              <w:rPr>
                <w:rFonts w:asciiTheme="minorHAnsi" w:hAnsiTheme="minorHAnsi" w:cstheme="minorHAnsi"/>
                <w:szCs w:val="22"/>
              </w:rPr>
              <w:t>Pathway Description</w:t>
            </w:r>
          </w:p>
        </w:tc>
      </w:tr>
      <w:tr w:rsidR="000C13A8" w:rsidRPr="00557D5A" w14:paraId="05F2C28E" w14:textId="77777777" w:rsidTr="002C7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C3CE776" w14:textId="09AB069E" w:rsidR="00551A56" w:rsidRPr="00513920" w:rsidRDefault="00551A56" w:rsidP="00551A56">
            <w:pPr>
              <w:pStyle w:val="Tabletextleft"/>
            </w:pPr>
            <w:r w:rsidRPr="00513920">
              <w:fldChar w:fldCharType="begin"/>
            </w:r>
            <w:r w:rsidRPr="00513920">
              <w:instrText xml:space="preserve"> REF _Ref122438609 \h  \* MERGEFORMAT </w:instrText>
            </w:r>
            <w:r w:rsidRPr="00513920">
              <w:fldChar w:fldCharType="separate"/>
            </w:r>
            <w:r w:rsidR="00A71271">
              <w:rPr>
                <w:b/>
                <w:bCs/>
                <w:lang w:val="en-US"/>
              </w:rPr>
              <w:t>Error! Reference source not found.</w:t>
            </w:r>
            <w:r w:rsidRPr="00513920">
              <w:fldChar w:fldCharType="end"/>
            </w:r>
            <w:r w:rsidRPr="00513920">
              <w:t xml:space="preserve"> </w:t>
            </w:r>
          </w:p>
          <w:p w14:paraId="790F6705" w14:textId="3788609A" w:rsidR="000C13A8" w:rsidRPr="00513920" w:rsidRDefault="00551A56" w:rsidP="00551A56">
            <w:pPr>
              <w:pStyle w:val="Tabletextleft"/>
            </w:pPr>
            <w:r w:rsidRPr="00513920">
              <w:t>(for prescription medicines)</w:t>
            </w:r>
          </w:p>
        </w:tc>
        <w:tc>
          <w:tcPr>
            <w:tcW w:w="1843" w:type="dxa"/>
          </w:tcPr>
          <w:p w14:paraId="5EF01284" w14:textId="77777777" w:rsidR="000C13A8" w:rsidRPr="00513920" w:rsidRDefault="000C13A8" w:rsidP="00B739FA">
            <w:pPr>
              <w:pStyle w:val="Tabletextleft"/>
              <w:cnfStyle w:val="000000100000" w:firstRow="0" w:lastRow="0" w:firstColumn="0" w:lastColumn="0" w:oddVBand="0" w:evenVBand="0" w:oddHBand="1" w:evenHBand="0" w:firstRowFirstColumn="0" w:firstRowLastColumn="0" w:lastRowFirstColumn="0" w:lastRowLastColumn="0"/>
            </w:pPr>
            <w:r w:rsidRPr="00513920">
              <w:t>220</w:t>
            </w:r>
          </w:p>
        </w:tc>
        <w:tc>
          <w:tcPr>
            <w:tcW w:w="4536" w:type="dxa"/>
          </w:tcPr>
          <w:p w14:paraId="3B033AC7" w14:textId="34B0576A" w:rsidR="000C13A8" w:rsidRPr="00513920" w:rsidRDefault="000C13A8" w:rsidP="00EF6D62">
            <w:pPr>
              <w:pStyle w:val="Tabletextcentre"/>
              <w:cnfStyle w:val="000000100000" w:firstRow="0" w:lastRow="0" w:firstColumn="0" w:lastColumn="0" w:oddVBand="0" w:evenVBand="0" w:oddHBand="1" w:evenHBand="0" w:firstRowFirstColumn="0" w:firstRowLastColumn="0" w:lastRowFirstColumn="0" w:lastRowLastColumn="0"/>
            </w:pPr>
            <w:r w:rsidRPr="00513920">
              <w:t>Designed to improve the efficiency and timeliness of the registration of prescription medicines without compromising the scientific rigour of the evaluation process, thus ensuring the maintenance of appropriate standards of quality, safety, and efficacy</w:t>
            </w:r>
            <w:r w:rsidR="00C17B0B">
              <w:t>.</w:t>
            </w:r>
            <w:r w:rsidRPr="00513920">
              <w:rPr>
                <w:rStyle w:val="FootnoteReference"/>
                <w:rFonts w:asciiTheme="minorHAnsi" w:hAnsiTheme="minorHAnsi" w:cstheme="minorHAnsi"/>
                <w:sz w:val="22"/>
                <w:szCs w:val="22"/>
              </w:rPr>
              <w:footnoteReference w:id="24"/>
            </w:r>
            <w:r w:rsidRPr="00513920">
              <w:t xml:space="preserve"> </w:t>
            </w:r>
          </w:p>
        </w:tc>
      </w:tr>
      <w:tr w:rsidR="000C13A8" w:rsidRPr="00557D5A" w14:paraId="387582AE" w14:textId="77777777" w:rsidTr="002C7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E4B86B8" w14:textId="7515B6C8" w:rsidR="00551A56" w:rsidRPr="00513920" w:rsidRDefault="00551A56" w:rsidP="00551A56">
            <w:pPr>
              <w:pStyle w:val="Tabletextleft"/>
            </w:pPr>
            <w:r w:rsidRPr="00513920">
              <w:fldChar w:fldCharType="begin"/>
            </w:r>
            <w:r w:rsidRPr="00513920">
              <w:instrText xml:space="preserve"> REF _Ref122438627 \h  \* MERGEFORMAT </w:instrText>
            </w:r>
            <w:r w:rsidRPr="00513920">
              <w:fldChar w:fldCharType="separate"/>
            </w:r>
            <w:r w:rsidR="00A71271">
              <w:rPr>
                <w:b/>
                <w:bCs/>
                <w:lang w:val="en-US"/>
              </w:rPr>
              <w:t>Error! Reference source not found.</w:t>
            </w:r>
            <w:r w:rsidRPr="00513920">
              <w:fldChar w:fldCharType="end"/>
            </w:r>
          </w:p>
          <w:p w14:paraId="227C1AE9" w14:textId="77777777" w:rsidR="00551A56" w:rsidRPr="00513920" w:rsidRDefault="00551A56" w:rsidP="00551A56">
            <w:pPr>
              <w:pStyle w:val="Tabletextleft"/>
            </w:pPr>
            <w:r w:rsidRPr="00513920">
              <w:t>(for prescription medicines)</w:t>
            </w:r>
          </w:p>
          <w:p w14:paraId="2911FE3B" w14:textId="77777777" w:rsidR="000C13A8" w:rsidRPr="00513920" w:rsidRDefault="000C13A8" w:rsidP="00B739FA">
            <w:pPr>
              <w:pStyle w:val="Tabletextleft"/>
            </w:pPr>
          </w:p>
        </w:tc>
        <w:tc>
          <w:tcPr>
            <w:tcW w:w="1843" w:type="dxa"/>
          </w:tcPr>
          <w:p w14:paraId="3252D93A" w14:textId="77777777" w:rsidR="000C13A8" w:rsidRPr="00513920" w:rsidRDefault="000C13A8" w:rsidP="00B739FA">
            <w:pPr>
              <w:pStyle w:val="Tabletextleft"/>
              <w:cnfStyle w:val="000000010000" w:firstRow="0" w:lastRow="0" w:firstColumn="0" w:lastColumn="0" w:oddVBand="0" w:evenVBand="0" w:oddHBand="0" w:evenHBand="1" w:firstRowFirstColumn="0" w:firstRowLastColumn="0" w:lastRowFirstColumn="0" w:lastRowLastColumn="0"/>
            </w:pPr>
            <w:r w:rsidRPr="00513920">
              <w:t>150</w:t>
            </w:r>
          </w:p>
        </w:tc>
        <w:tc>
          <w:tcPr>
            <w:tcW w:w="4536" w:type="dxa"/>
          </w:tcPr>
          <w:p w14:paraId="2F645DF6" w14:textId="2EC032EA" w:rsidR="000C13A8" w:rsidRPr="00513920" w:rsidRDefault="000C13A8" w:rsidP="00EF6D62">
            <w:pPr>
              <w:pStyle w:val="Tabletextcentre"/>
              <w:cnfStyle w:val="000000010000" w:firstRow="0" w:lastRow="0" w:firstColumn="0" w:lastColumn="0" w:oddVBand="0" w:evenVBand="0" w:oddHBand="0" w:evenHBand="1" w:firstRowFirstColumn="0" w:firstRowLastColumn="0" w:lastRowFirstColumn="0" w:lastRowLastColumn="0"/>
            </w:pPr>
            <w:r w:rsidRPr="00513920">
              <w:t>Provides a formal mechanism for faster assessment of vital and life-saving prescription medicines. Unlike provisional medicines, a medicine approved under priority review will receive ongoing approval, identical to approval under the standard pathway</w:t>
            </w:r>
            <w:r w:rsidR="00C17B0B">
              <w:t>.</w:t>
            </w:r>
            <w:r w:rsidRPr="00513920">
              <w:rPr>
                <w:rStyle w:val="FootnoteReference"/>
                <w:rFonts w:asciiTheme="minorHAnsi" w:hAnsiTheme="minorHAnsi" w:cstheme="minorHAnsi"/>
                <w:sz w:val="22"/>
                <w:szCs w:val="22"/>
              </w:rPr>
              <w:footnoteReference w:id="25"/>
            </w:r>
          </w:p>
        </w:tc>
      </w:tr>
      <w:tr w:rsidR="000C13A8" w:rsidRPr="00557D5A" w14:paraId="02AC3717" w14:textId="77777777" w:rsidTr="002C7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AC14DF6" w14:textId="278F119C" w:rsidR="00551A56" w:rsidRPr="00513920" w:rsidRDefault="00551A56" w:rsidP="00551A56">
            <w:pPr>
              <w:pStyle w:val="Tabletextleft"/>
            </w:pPr>
            <w:r w:rsidRPr="00513920">
              <w:fldChar w:fldCharType="begin"/>
            </w:r>
            <w:r w:rsidRPr="00513920">
              <w:instrText xml:space="preserve"> REF _Ref121842756 \h  \* MERGEFORMAT </w:instrText>
            </w:r>
            <w:r w:rsidRPr="00513920">
              <w:fldChar w:fldCharType="separate"/>
            </w:r>
            <w:r w:rsidR="00A71271">
              <w:rPr>
                <w:b/>
                <w:bCs/>
                <w:lang w:val="en-US"/>
              </w:rPr>
              <w:t>Error! Reference source not found.</w:t>
            </w:r>
            <w:r w:rsidRPr="00513920">
              <w:fldChar w:fldCharType="end"/>
            </w:r>
          </w:p>
          <w:p w14:paraId="7DFF6B38" w14:textId="77777777" w:rsidR="00551A56" w:rsidRDefault="00551A56" w:rsidP="00B739FA">
            <w:pPr>
              <w:pStyle w:val="Tabletextleft"/>
            </w:pPr>
          </w:p>
          <w:p w14:paraId="515BFDE1" w14:textId="376A244D" w:rsidR="000C13A8" w:rsidRPr="00513920" w:rsidRDefault="000C13A8" w:rsidP="00B739FA">
            <w:pPr>
              <w:pStyle w:val="Tabletextleft"/>
            </w:pPr>
            <w:r w:rsidRPr="00513920">
              <w:lastRenderedPageBreak/>
              <w:t>(for prescription medicines)</w:t>
            </w:r>
          </w:p>
          <w:p w14:paraId="51277B53" w14:textId="77777777" w:rsidR="000C13A8" w:rsidRPr="00513920" w:rsidRDefault="000C13A8" w:rsidP="00B739FA">
            <w:pPr>
              <w:pStyle w:val="Tabletextleft"/>
            </w:pPr>
          </w:p>
        </w:tc>
        <w:tc>
          <w:tcPr>
            <w:tcW w:w="1843" w:type="dxa"/>
          </w:tcPr>
          <w:p w14:paraId="72B31024" w14:textId="77777777" w:rsidR="000C13A8" w:rsidRPr="00513920" w:rsidRDefault="000C13A8" w:rsidP="00B739FA">
            <w:pPr>
              <w:pStyle w:val="Tabletextleft"/>
              <w:cnfStyle w:val="000000100000" w:firstRow="0" w:lastRow="0" w:firstColumn="0" w:lastColumn="0" w:oddVBand="0" w:evenVBand="0" w:oddHBand="1" w:evenHBand="0" w:firstRowFirstColumn="0" w:firstRowLastColumn="0" w:lastRowFirstColumn="0" w:lastRowLastColumn="0"/>
            </w:pPr>
            <w:r w:rsidRPr="00513920">
              <w:lastRenderedPageBreak/>
              <w:t>220</w:t>
            </w:r>
          </w:p>
        </w:tc>
        <w:tc>
          <w:tcPr>
            <w:tcW w:w="4536" w:type="dxa"/>
          </w:tcPr>
          <w:p w14:paraId="5A7F31FB" w14:textId="7B8DCF44" w:rsidR="000C13A8" w:rsidRPr="00513920" w:rsidRDefault="000C13A8" w:rsidP="002A4E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13920">
              <w:rPr>
                <w:rFonts w:asciiTheme="minorHAnsi" w:hAnsiTheme="minorHAnsi" w:cstheme="minorHAnsi"/>
                <w:sz w:val="22"/>
                <w:szCs w:val="22"/>
              </w:rPr>
              <w:t xml:space="preserve">Provides access to certain promising new medicines where the TGA assesses that the benefit of early availability of the medicine </w:t>
            </w:r>
            <w:r w:rsidRPr="00513920">
              <w:rPr>
                <w:rFonts w:asciiTheme="minorHAnsi" w:hAnsiTheme="minorHAnsi" w:cstheme="minorHAnsi"/>
                <w:sz w:val="22"/>
                <w:szCs w:val="22"/>
              </w:rPr>
              <w:lastRenderedPageBreak/>
              <w:t>outweighs the risk inherent in the fact that additional data are still required</w:t>
            </w:r>
            <w:r w:rsidR="00C17B0B">
              <w:rPr>
                <w:rFonts w:asciiTheme="minorHAnsi" w:hAnsiTheme="minorHAnsi" w:cstheme="minorHAnsi"/>
                <w:sz w:val="22"/>
                <w:szCs w:val="22"/>
              </w:rPr>
              <w:t>.</w:t>
            </w:r>
            <w:r w:rsidRPr="00513920">
              <w:rPr>
                <w:rStyle w:val="FootnoteReference"/>
                <w:rFonts w:asciiTheme="minorHAnsi" w:hAnsiTheme="minorHAnsi" w:cstheme="minorHAnsi"/>
                <w:sz w:val="22"/>
                <w:szCs w:val="22"/>
              </w:rPr>
              <w:footnoteReference w:id="26"/>
            </w:r>
          </w:p>
          <w:p w14:paraId="5CAD6298" w14:textId="77777777" w:rsidR="000C13A8" w:rsidRPr="00513920" w:rsidRDefault="000C13A8" w:rsidP="002A4E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13920">
              <w:rPr>
                <w:rFonts w:asciiTheme="minorHAnsi" w:hAnsiTheme="minorHAnsi" w:cstheme="minorHAnsi"/>
                <w:sz w:val="22"/>
                <w:szCs w:val="22"/>
              </w:rPr>
              <w:t xml:space="preserve">Provisional registration: Maximum of 6 years </w:t>
            </w:r>
          </w:p>
        </w:tc>
      </w:tr>
      <w:tr w:rsidR="000C13A8" w:rsidRPr="00557D5A" w14:paraId="7AA462C5" w14:textId="77777777" w:rsidTr="002C7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3CA26FA" w14:textId="77777777" w:rsidR="000C13A8" w:rsidRPr="00513920" w:rsidRDefault="000C13A8" w:rsidP="00B739FA">
            <w:pPr>
              <w:pStyle w:val="Tabletextleft"/>
            </w:pPr>
            <w:r w:rsidRPr="00513920">
              <w:lastRenderedPageBreak/>
              <w:t>Standard inclusion pathway</w:t>
            </w:r>
          </w:p>
          <w:p w14:paraId="1D461273" w14:textId="77777777" w:rsidR="000C13A8" w:rsidRPr="00513920" w:rsidRDefault="000C13A8" w:rsidP="00B739FA">
            <w:pPr>
              <w:pStyle w:val="Tabletextleft"/>
            </w:pPr>
            <w:r w:rsidRPr="00513920">
              <w:t>(for biologicals)</w:t>
            </w:r>
          </w:p>
        </w:tc>
        <w:tc>
          <w:tcPr>
            <w:tcW w:w="1843" w:type="dxa"/>
          </w:tcPr>
          <w:p w14:paraId="243E9727" w14:textId="77777777" w:rsidR="000C13A8" w:rsidRPr="00513920" w:rsidRDefault="000C13A8" w:rsidP="00B739FA">
            <w:pPr>
              <w:pStyle w:val="Tabletextleft"/>
              <w:cnfStyle w:val="000000010000" w:firstRow="0" w:lastRow="0" w:firstColumn="0" w:lastColumn="0" w:oddVBand="0" w:evenVBand="0" w:oddHBand="0" w:evenHBand="1" w:firstRowFirstColumn="0" w:firstRowLastColumn="0" w:lastRowFirstColumn="0" w:lastRowLastColumn="0"/>
            </w:pPr>
            <w:r w:rsidRPr="00513920">
              <w:t>255</w:t>
            </w:r>
          </w:p>
        </w:tc>
        <w:tc>
          <w:tcPr>
            <w:tcW w:w="4536" w:type="dxa"/>
          </w:tcPr>
          <w:p w14:paraId="103970B0" w14:textId="2ABCF130" w:rsidR="000C13A8" w:rsidRPr="00513920" w:rsidRDefault="000C13A8" w:rsidP="00A120E9">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13920">
              <w:rPr>
                <w:rFonts w:asciiTheme="minorHAnsi" w:hAnsiTheme="minorHAnsi" w:cstheme="minorHAnsi"/>
                <w:sz w:val="22"/>
                <w:szCs w:val="22"/>
              </w:rPr>
              <w:t>Process specific for the inclusion of new biologicals on the ARTG that are new biological entities or new biological based on a parent biological already on the ARTG.</w:t>
            </w:r>
            <w:r w:rsidRPr="00513920">
              <w:rPr>
                <w:rStyle w:val="FootnoteReference"/>
                <w:rFonts w:asciiTheme="minorHAnsi" w:hAnsiTheme="minorHAnsi" w:cstheme="minorHAnsi"/>
                <w:sz w:val="22"/>
                <w:szCs w:val="22"/>
              </w:rPr>
              <w:footnoteReference w:id="27"/>
            </w:r>
          </w:p>
          <w:p w14:paraId="06A4C84A" w14:textId="77777777" w:rsidR="000C13A8" w:rsidRPr="00513920" w:rsidRDefault="000C13A8" w:rsidP="002C72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0C13A8" w:rsidRPr="00557D5A" w14:paraId="759FA80A" w14:textId="77777777" w:rsidTr="002C7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6E1FFF" w14:textId="56C6E059" w:rsidR="000C13A8" w:rsidRPr="00513920" w:rsidRDefault="00A120E9" w:rsidP="00B739FA">
            <w:pPr>
              <w:pStyle w:val="Tabletextleft"/>
            </w:pPr>
            <w:r w:rsidRPr="00513920">
              <w:t>P</w:t>
            </w:r>
            <w:r w:rsidR="000C13A8" w:rsidRPr="00513920">
              <w:t>riority review pathway</w:t>
            </w:r>
          </w:p>
          <w:p w14:paraId="0ECE3A01" w14:textId="77777777" w:rsidR="000C13A8" w:rsidRPr="00513920" w:rsidRDefault="000C13A8" w:rsidP="00B739FA">
            <w:pPr>
              <w:pStyle w:val="Tabletextleft"/>
            </w:pPr>
            <w:r w:rsidRPr="00513920">
              <w:t>(for biologicals)</w:t>
            </w:r>
          </w:p>
        </w:tc>
        <w:tc>
          <w:tcPr>
            <w:tcW w:w="1843" w:type="dxa"/>
          </w:tcPr>
          <w:p w14:paraId="1893ECF7" w14:textId="77777777" w:rsidR="000C13A8" w:rsidRPr="00513920" w:rsidRDefault="000C13A8" w:rsidP="00B739FA">
            <w:pPr>
              <w:pStyle w:val="Tabletextleft"/>
              <w:cnfStyle w:val="000000100000" w:firstRow="0" w:lastRow="0" w:firstColumn="0" w:lastColumn="0" w:oddVBand="0" w:evenVBand="0" w:oddHBand="1" w:evenHBand="0" w:firstRowFirstColumn="0" w:firstRowLastColumn="0" w:lastRowFirstColumn="0" w:lastRowLastColumn="0"/>
            </w:pPr>
            <w:r w:rsidRPr="00513920">
              <w:t>150</w:t>
            </w:r>
          </w:p>
        </w:tc>
        <w:tc>
          <w:tcPr>
            <w:tcW w:w="4536" w:type="dxa"/>
          </w:tcPr>
          <w:p w14:paraId="7DF686D5" w14:textId="07D85930" w:rsidR="000C13A8" w:rsidRPr="00513920" w:rsidRDefault="000C13A8" w:rsidP="002C72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13920">
              <w:rPr>
                <w:rFonts w:asciiTheme="minorHAnsi" w:hAnsiTheme="minorHAnsi" w:cstheme="minorHAnsi"/>
                <w:sz w:val="22"/>
                <w:szCs w:val="22"/>
              </w:rPr>
              <w:t>Provides a formal mechanism for faster assessment of vital and life-saving biologicals. The target timeframe of 150 working days is up to 105 days shorter than the timeframe for the standard assessment pathway</w:t>
            </w:r>
            <w:r w:rsidR="00C17B0B">
              <w:rPr>
                <w:rFonts w:asciiTheme="minorHAnsi" w:hAnsiTheme="minorHAnsi" w:cstheme="minorHAnsi"/>
                <w:sz w:val="22"/>
                <w:szCs w:val="22"/>
              </w:rPr>
              <w:t>.</w:t>
            </w:r>
            <w:r w:rsidRPr="00513920">
              <w:rPr>
                <w:rStyle w:val="FootnoteReference"/>
                <w:rFonts w:asciiTheme="minorHAnsi" w:hAnsiTheme="minorHAnsi" w:cstheme="minorHAnsi"/>
                <w:sz w:val="22"/>
                <w:szCs w:val="22"/>
              </w:rPr>
              <w:footnoteReference w:id="28"/>
            </w:r>
            <w:r w:rsidRPr="00513920">
              <w:rPr>
                <w:rFonts w:asciiTheme="minorHAnsi" w:hAnsiTheme="minorHAnsi" w:cstheme="minorHAnsi"/>
                <w:sz w:val="22"/>
                <w:szCs w:val="22"/>
              </w:rPr>
              <w:t xml:space="preserve"> </w:t>
            </w:r>
          </w:p>
        </w:tc>
      </w:tr>
      <w:tr w:rsidR="00455E5A" w:rsidRPr="00557D5A" w14:paraId="2D7A7DC7" w14:textId="77777777" w:rsidTr="005850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0E6971E" w14:textId="57B0CF90" w:rsidR="00455E5A" w:rsidRPr="00513920" w:rsidRDefault="00513C52" w:rsidP="00B739FA">
            <w:pPr>
              <w:pStyle w:val="Tabletextleft"/>
            </w:pPr>
            <w:r w:rsidRPr="00513920">
              <w:t>Medium and high</w:t>
            </w:r>
            <w:r w:rsidR="002A4E46">
              <w:t>-</w:t>
            </w:r>
            <w:r w:rsidRPr="00513920">
              <w:t xml:space="preserve">risk </w:t>
            </w:r>
            <w:r w:rsidR="00E02CCB" w:rsidRPr="00513920">
              <w:t>medical devices</w:t>
            </w:r>
          </w:p>
        </w:tc>
        <w:tc>
          <w:tcPr>
            <w:tcW w:w="1843" w:type="dxa"/>
            <w:vAlign w:val="center"/>
          </w:tcPr>
          <w:p w14:paraId="59404EB6" w14:textId="0328E3A5" w:rsidR="00455E5A" w:rsidRPr="00513920" w:rsidRDefault="005850E0" w:rsidP="005850E0">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13920">
              <w:rPr>
                <w:rFonts w:asciiTheme="minorHAnsi" w:hAnsiTheme="minorHAnsi" w:cstheme="minorHAnsi"/>
                <w:sz w:val="22"/>
                <w:szCs w:val="22"/>
              </w:rPr>
              <w:t>255</w:t>
            </w:r>
            <w:r w:rsidR="00513920" w:rsidRPr="00513920">
              <w:rPr>
                <w:rFonts w:asciiTheme="minorHAnsi" w:hAnsiTheme="minorHAnsi" w:cstheme="minorHAnsi"/>
                <w:sz w:val="22"/>
                <w:szCs w:val="22"/>
              </w:rPr>
              <w:t xml:space="preserve"> days for completing the conformity assessment</w:t>
            </w:r>
          </w:p>
        </w:tc>
        <w:tc>
          <w:tcPr>
            <w:tcW w:w="4536" w:type="dxa"/>
          </w:tcPr>
          <w:p w14:paraId="13187CDA" w14:textId="77777777" w:rsidR="00455E5A" w:rsidRPr="00513920" w:rsidRDefault="00455E5A" w:rsidP="002C72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bl>
    <w:p w14:paraId="22719894" w14:textId="77777777" w:rsidR="00F279C9" w:rsidRDefault="00F279C9">
      <w:pPr>
        <w:spacing w:before="0" w:after="160"/>
        <w:rPr>
          <w:rFonts w:asciiTheme="majorHAnsi" w:eastAsiaTheme="majorEastAsia" w:hAnsiTheme="majorHAnsi" w:cstheme="majorBidi"/>
          <w:sz w:val="52"/>
          <w:szCs w:val="32"/>
        </w:rPr>
      </w:pPr>
      <w:r>
        <w:br w:type="page"/>
      </w:r>
    </w:p>
    <w:p w14:paraId="729D0B1E" w14:textId="06D487FD" w:rsidR="00A54875" w:rsidRDefault="00A54875" w:rsidP="00411DBF">
      <w:pPr>
        <w:pStyle w:val="Heading1"/>
      </w:pPr>
      <w:bookmarkStart w:id="14" w:name="_Toc156576950"/>
      <w:r w:rsidRPr="00A54875">
        <w:lastRenderedPageBreak/>
        <w:t>Pharmaceutical Benefits Scheme</w:t>
      </w:r>
      <w:bookmarkEnd w:id="14"/>
    </w:p>
    <w:p w14:paraId="2DC670C7" w14:textId="7C9FC0BA" w:rsidR="00A54875" w:rsidRDefault="008D6EE6" w:rsidP="00411DBF">
      <w:pPr>
        <w:pStyle w:val="Heading2"/>
      </w:pPr>
      <w:bookmarkStart w:id="15" w:name="_Toc156576951"/>
      <w:r>
        <w:t>Ba</w:t>
      </w:r>
      <w:r w:rsidR="00311917">
        <w:t>c</w:t>
      </w:r>
      <w:r>
        <w:t>kground</w:t>
      </w:r>
      <w:bookmarkEnd w:id="15"/>
    </w:p>
    <w:p w14:paraId="19190E84" w14:textId="5D4658CE" w:rsidR="002B3C7F" w:rsidRPr="000E43AC" w:rsidRDefault="00175F50" w:rsidP="002B3C7F">
      <w:r>
        <w:t xml:space="preserve">The PBS is established under the </w:t>
      </w:r>
      <w:r w:rsidRPr="000E43AC">
        <w:rPr>
          <w:i/>
          <w:iCs/>
        </w:rPr>
        <w:t>National Health Act 1953</w:t>
      </w:r>
      <w:r>
        <w:t xml:space="preserve"> (NH Act). It</w:t>
      </w:r>
      <w:r w:rsidR="00D65410" w:rsidRPr="00D65410">
        <w:t xml:space="preserve"> is the </w:t>
      </w:r>
      <w:r w:rsidR="000E43AC">
        <w:t>main funding program</w:t>
      </w:r>
      <w:r w:rsidR="00D65410" w:rsidRPr="00D65410">
        <w:t xml:space="preserve"> for </w:t>
      </w:r>
      <w:r w:rsidR="000E43AC">
        <w:t>medicines in Australia</w:t>
      </w:r>
      <w:r w:rsidR="00D65410" w:rsidRPr="00D65410">
        <w:t>.</w:t>
      </w:r>
      <w:bookmarkStart w:id="16" w:name="_Ref136353242"/>
      <w:r w:rsidR="009221AD">
        <w:rPr>
          <w:rStyle w:val="FootnoteReference"/>
        </w:rPr>
        <w:footnoteReference w:id="29"/>
      </w:r>
      <w:bookmarkEnd w:id="16"/>
      <w:r w:rsidR="000E43AC">
        <w:t xml:space="preserve"> It is a demand</w:t>
      </w:r>
      <w:r w:rsidR="0036708B">
        <w:t>-</w:t>
      </w:r>
      <w:r w:rsidR="000E43AC">
        <w:t>driven program that subsidises the cost of listed medicines at the point of dispensing (in community pharmac</w:t>
      </w:r>
      <w:r w:rsidR="00DC127F">
        <w:t>ies</w:t>
      </w:r>
      <w:r w:rsidR="000E43AC">
        <w:t xml:space="preserve"> or in public and private hospitals in certain circumstances). </w:t>
      </w:r>
    </w:p>
    <w:p w14:paraId="48AF4E81" w14:textId="5814F61C" w:rsidR="006C4F90" w:rsidRPr="006C4F90" w:rsidRDefault="0022094D" w:rsidP="00350934">
      <w:r>
        <w:t>A</w:t>
      </w:r>
      <w:r w:rsidR="00401F7D">
        <w:t xml:space="preserve"> limited version of the </w:t>
      </w:r>
      <w:r w:rsidR="006D0CFB">
        <w:t xml:space="preserve">PBS </w:t>
      </w:r>
      <w:r w:rsidR="00401F7D">
        <w:t>began in 1948, offering free medicines for pensioners and 139 ‘life-saving and disease preventing’ medicines free of charge to the general public. The PBS became a comprehensive scheme offering access to a wide range of medicines in 1960.</w:t>
      </w:r>
      <w:r w:rsidR="00827C8B">
        <w:t xml:space="preserve"> </w:t>
      </w:r>
      <w:r w:rsidR="00510C85">
        <w:t>As of 30 June 2023, t</w:t>
      </w:r>
      <w:r w:rsidR="00510C85" w:rsidRPr="00510C85">
        <w:t>here were 928 different medicines in 5,261 brands listed on the PBS.</w:t>
      </w:r>
    </w:p>
    <w:p w14:paraId="1BF5643C" w14:textId="34BE6A29" w:rsidR="006C4F90" w:rsidRPr="006C4F90" w:rsidRDefault="006C4F90" w:rsidP="006C4F90">
      <w:r w:rsidRPr="006C4F90">
        <w:t>Medicines that are subsidised</w:t>
      </w:r>
      <w:r w:rsidR="00175F50">
        <w:t xml:space="preserve"> through</w:t>
      </w:r>
      <w:r w:rsidRPr="006C4F90">
        <w:t xml:space="preserve"> the PBS are listed on the Schedule of Pharmaceutical Benefits (the Schedule). Changes to the Schedule are made every month by amendments to the </w:t>
      </w:r>
      <w:r w:rsidRPr="00175F50">
        <w:rPr>
          <w:i/>
          <w:iCs/>
        </w:rPr>
        <w:t>National Health (Listing of Pharmaceutical Benefits) Instrument 2012</w:t>
      </w:r>
      <w:r w:rsidRPr="006C4F90">
        <w:t>, which is made under the NH</w:t>
      </w:r>
      <w:r w:rsidR="00175F50">
        <w:t xml:space="preserve"> Act</w:t>
      </w:r>
      <w:r w:rsidRPr="006C4F90">
        <w:t>.</w:t>
      </w:r>
      <w:r w:rsidR="009D0C63" w:rsidRPr="009D0C63">
        <w:rPr>
          <w:vertAlign w:val="superscript"/>
        </w:rPr>
        <w:fldChar w:fldCharType="begin"/>
      </w:r>
      <w:r w:rsidR="009D0C63" w:rsidRPr="009D0C63">
        <w:rPr>
          <w:vertAlign w:val="superscript"/>
        </w:rPr>
        <w:instrText xml:space="preserve"> NOTEREF _Ref136353242 \h </w:instrText>
      </w:r>
      <w:r w:rsidR="009D0C63">
        <w:rPr>
          <w:vertAlign w:val="superscript"/>
        </w:rPr>
        <w:instrText xml:space="preserve"> \* MERGEFORMAT </w:instrText>
      </w:r>
      <w:r w:rsidR="009D0C63" w:rsidRPr="009D0C63">
        <w:rPr>
          <w:vertAlign w:val="superscript"/>
        </w:rPr>
      </w:r>
      <w:r w:rsidR="009D0C63" w:rsidRPr="009D0C63">
        <w:rPr>
          <w:vertAlign w:val="superscript"/>
        </w:rPr>
        <w:fldChar w:fldCharType="separate"/>
      </w:r>
      <w:r w:rsidR="00A71271">
        <w:rPr>
          <w:vertAlign w:val="superscript"/>
        </w:rPr>
        <w:t>28</w:t>
      </w:r>
      <w:r w:rsidR="009D0C63" w:rsidRPr="009D0C63">
        <w:rPr>
          <w:vertAlign w:val="superscript"/>
        </w:rPr>
        <w:fldChar w:fldCharType="end"/>
      </w:r>
    </w:p>
    <w:p w14:paraId="68FCAF37" w14:textId="1E298FE0" w:rsidR="006C4F90" w:rsidRPr="00BF12EA" w:rsidRDefault="00BF12EA" w:rsidP="00D135FB">
      <w:r w:rsidRPr="00BF12EA">
        <w:t>Most PBS medicines are dispensed by community pharmacies and used by patients at home. These are known as ‘General Schedule’ or ‘section 85’ medicines because they are dispensed under section 85 of the</w:t>
      </w:r>
      <w:r w:rsidR="00726C68">
        <w:t xml:space="preserve"> NH Act</w:t>
      </w:r>
      <w:r w:rsidRPr="00BF12EA">
        <w:t>.</w:t>
      </w:r>
    </w:p>
    <w:p w14:paraId="3A4BB584" w14:textId="680228AD" w:rsidR="006854C4" w:rsidRPr="006854C4" w:rsidRDefault="006D123F" w:rsidP="006854C4">
      <w:r>
        <w:t>S</w:t>
      </w:r>
      <w:r w:rsidR="006854C4" w:rsidRPr="006854C4">
        <w:t>ome PBS medicines are supplied through special arrangements</w:t>
      </w:r>
      <w:r w:rsidR="006C15E4">
        <w:t xml:space="preserve"> under section 100</w:t>
      </w:r>
      <w:r w:rsidR="008F42AE">
        <w:t xml:space="preserve"> of the</w:t>
      </w:r>
      <w:r w:rsidR="006C15E4">
        <w:t xml:space="preserve"> </w:t>
      </w:r>
      <w:r w:rsidR="00726C68">
        <w:t xml:space="preserve">NH Act </w:t>
      </w:r>
      <w:r w:rsidR="006854C4" w:rsidRPr="006854C4">
        <w:t xml:space="preserve">where </w:t>
      </w:r>
      <w:r w:rsidR="00786D0E" w:rsidRPr="006854C4">
        <w:t xml:space="preserve">normal supply </w:t>
      </w:r>
      <w:r w:rsidR="003F645D">
        <w:t>arrangements are</w:t>
      </w:r>
      <w:r w:rsidR="006854C4" w:rsidRPr="006854C4">
        <w:t xml:space="preserve"> not suitable. For example, some medicines may require special storage or dispensing, specialist monitoring during treatmen</w:t>
      </w:r>
      <w:r>
        <w:t>t</w:t>
      </w:r>
      <w:r w:rsidR="006854C4" w:rsidRPr="006854C4">
        <w:t>, or administration in a hospital outpatient setting.</w:t>
      </w:r>
    </w:p>
    <w:p w14:paraId="625E8BFB" w14:textId="6B41A352" w:rsidR="005B5477" w:rsidRDefault="006854C4" w:rsidP="00F92762">
      <w:pPr>
        <w:spacing w:line="240" w:lineRule="auto"/>
      </w:pPr>
      <w:r w:rsidRPr="006854C4">
        <w:t xml:space="preserve">Such medicines are subsidised </w:t>
      </w:r>
      <w:r w:rsidR="00B217E3">
        <w:t>through</w:t>
      </w:r>
      <w:r w:rsidRPr="006854C4">
        <w:t xml:space="preserve"> the PBS under a number of ‘Section 100’ programs, </w:t>
      </w:r>
    </w:p>
    <w:p w14:paraId="033754D6" w14:textId="05A34523" w:rsidR="006854C4" w:rsidRPr="005B5477" w:rsidRDefault="005B5477" w:rsidP="005B5477">
      <w:pPr>
        <w:spacing w:before="0" w:line="240" w:lineRule="auto"/>
        <w:rPr>
          <w:rFonts w:ascii="Times New Roman" w:hAnsi="Times New Roman" w:cs="Times New Roman"/>
          <w:sz w:val="24"/>
          <w:szCs w:val="24"/>
          <w:lang w:eastAsia="en-AU"/>
        </w:rPr>
      </w:pPr>
      <w:r>
        <w:t>including</w:t>
      </w:r>
      <w:r w:rsidR="006854C4" w:rsidRPr="006854C4">
        <w:t>:</w:t>
      </w:r>
    </w:p>
    <w:p w14:paraId="2A2005A0" w14:textId="1084061C" w:rsidR="006854C4" w:rsidRPr="006854C4" w:rsidRDefault="00AF147E" w:rsidP="00651D54">
      <w:pPr>
        <w:pStyle w:val="ListParagraph"/>
        <w:numPr>
          <w:ilvl w:val="0"/>
          <w:numId w:val="13"/>
        </w:numPr>
      </w:pPr>
      <w:r>
        <w:t>t</w:t>
      </w:r>
      <w:r w:rsidR="006854C4" w:rsidRPr="006854C4">
        <w:t xml:space="preserve">he </w:t>
      </w:r>
      <w:r w:rsidR="006854C4" w:rsidRPr="005820B5">
        <w:rPr>
          <w:b/>
          <w:bCs/>
        </w:rPr>
        <w:t xml:space="preserve">Highly Specialised Drugs Program </w:t>
      </w:r>
      <w:r w:rsidR="006854C4" w:rsidRPr="006854C4">
        <w:t>for PBS medicines, which must be prescribed by or under the guidance of a treating specialist, and dispensed by a hospital pharmacy (with some exceptions)</w:t>
      </w:r>
    </w:p>
    <w:p w14:paraId="29848DE3" w14:textId="2EECEA8D" w:rsidR="006854C4" w:rsidRPr="006854C4" w:rsidRDefault="006854C4" w:rsidP="00651D54">
      <w:pPr>
        <w:pStyle w:val="ListParagraph"/>
        <w:numPr>
          <w:ilvl w:val="0"/>
          <w:numId w:val="13"/>
        </w:numPr>
      </w:pPr>
      <w:r w:rsidRPr="006E2806">
        <w:rPr>
          <w:b/>
          <w:bCs/>
        </w:rPr>
        <w:t>Efficient Funding of Chemotherapy</w:t>
      </w:r>
      <w:r w:rsidRPr="006854C4">
        <w:t xml:space="preserve"> arrangements for PBS cancer medicines that are administered through infusion or injection</w:t>
      </w:r>
    </w:p>
    <w:p w14:paraId="5D44113C" w14:textId="7E5604EA" w:rsidR="006854C4" w:rsidRPr="006854C4" w:rsidRDefault="00891A07" w:rsidP="00651D54">
      <w:pPr>
        <w:pStyle w:val="ListParagraph"/>
        <w:numPr>
          <w:ilvl w:val="0"/>
          <w:numId w:val="13"/>
        </w:numPr>
      </w:pPr>
      <w:r>
        <w:t>p</w:t>
      </w:r>
      <w:r w:rsidR="006854C4" w:rsidRPr="006854C4">
        <w:t xml:space="preserve">rograms for PBS-subsided supply of </w:t>
      </w:r>
      <w:r w:rsidR="006854C4" w:rsidRPr="008D25C3">
        <w:rPr>
          <w:b/>
          <w:bCs/>
        </w:rPr>
        <w:t>botulinum toxin</w:t>
      </w:r>
      <w:r w:rsidR="006854C4" w:rsidRPr="006854C4">
        <w:t xml:space="preserve">, </w:t>
      </w:r>
      <w:r w:rsidR="006854C4" w:rsidRPr="008D25C3">
        <w:rPr>
          <w:b/>
          <w:bCs/>
        </w:rPr>
        <w:t>human growth hormone</w:t>
      </w:r>
      <w:r w:rsidR="006854C4" w:rsidRPr="006854C4">
        <w:t xml:space="preserve"> and </w:t>
      </w:r>
      <w:r w:rsidR="006854C4" w:rsidRPr="008D25C3">
        <w:rPr>
          <w:b/>
          <w:bCs/>
        </w:rPr>
        <w:t xml:space="preserve">In Vitro Fertilisation </w:t>
      </w:r>
      <w:r w:rsidR="00786D0E" w:rsidRPr="008D25C3">
        <w:rPr>
          <w:b/>
          <w:bCs/>
        </w:rPr>
        <w:t>(IVF)</w:t>
      </w:r>
      <w:r w:rsidR="00786D0E" w:rsidRPr="006854C4">
        <w:t xml:space="preserve"> medicines</w:t>
      </w:r>
      <w:r w:rsidR="00D65A0C">
        <w:t>, and</w:t>
      </w:r>
      <w:r w:rsidR="006854C4" w:rsidRPr="006854C4">
        <w:t xml:space="preserve"> </w:t>
      </w:r>
    </w:p>
    <w:p w14:paraId="1756077C" w14:textId="5B12D7F8" w:rsidR="006854C4" w:rsidRPr="006854C4" w:rsidRDefault="00D65A0C" w:rsidP="00651D54">
      <w:pPr>
        <w:pStyle w:val="ListParagraph"/>
        <w:numPr>
          <w:ilvl w:val="0"/>
          <w:numId w:val="13"/>
        </w:numPr>
      </w:pPr>
      <w:r>
        <w:t>t</w:t>
      </w:r>
      <w:r w:rsidR="006854C4" w:rsidRPr="006854C4">
        <w:t xml:space="preserve">he </w:t>
      </w:r>
      <w:r w:rsidR="006854C4" w:rsidRPr="008D25C3">
        <w:rPr>
          <w:b/>
          <w:bCs/>
        </w:rPr>
        <w:t>Opiate Dependence Treatment Program</w:t>
      </w:r>
      <w:r w:rsidR="006854C4" w:rsidRPr="006854C4">
        <w:t>, which funds the cost of methadone and other medicines for the treatment of opioid addiction</w:t>
      </w:r>
      <w:r w:rsidR="005B5477">
        <w:t>, and Take</w:t>
      </w:r>
      <w:r w:rsidR="00175F50">
        <w:t>-</w:t>
      </w:r>
      <w:r w:rsidR="005B5477">
        <w:t>Home Naloxone Program</w:t>
      </w:r>
      <w:r w:rsidR="00D74250">
        <w:t>.</w:t>
      </w:r>
    </w:p>
    <w:p w14:paraId="07170D9C" w14:textId="03446668" w:rsidR="000C5C51" w:rsidRDefault="006854C4" w:rsidP="00D135FB">
      <w:r w:rsidRPr="006854C4">
        <w:t xml:space="preserve">In addition to the above programs for specific medicines, </w:t>
      </w:r>
      <w:r w:rsidR="00F92762">
        <w:t>s</w:t>
      </w:r>
      <w:r w:rsidRPr="006854C4">
        <w:t>ection 100</w:t>
      </w:r>
      <w:r w:rsidR="00F92762">
        <w:t xml:space="preserve"> of the NH Act</w:t>
      </w:r>
      <w:r w:rsidRPr="006854C4">
        <w:t xml:space="preserve"> also allows for the supply of </w:t>
      </w:r>
      <w:r w:rsidR="00293C32">
        <w:t>a number of</w:t>
      </w:r>
      <w:r w:rsidR="00293C32" w:rsidRPr="006854C4">
        <w:t xml:space="preserve"> </w:t>
      </w:r>
      <w:r w:rsidRPr="006854C4">
        <w:t>PBS medicines to remote area Aboriginal Health Services (AHS). Under these arrangements, patients of an approved AHS can receive medicines at the time of consultation without being charged and without the need for a normal PBS prescription.</w:t>
      </w:r>
    </w:p>
    <w:p w14:paraId="30A56283" w14:textId="0B5CC832" w:rsidR="00ED448A" w:rsidRDefault="00CD61B4" w:rsidP="001B5B95">
      <w:pPr>
        <w:pStyle w:val="Heading2"/>
      </w:pPr>
      <w:bookmarkStart w:id="17" w:name="_Toc156576952"/>
      <w:r>
        <w:lastRenderedPageBreak/>
        <w:t>L</w:t>
      </w:r>
      <w:r w:rsidR="00ED448A">
        <w:t>isting process for PBS medicines</w:t>
      </w:r>
      <w:bookmarkEnd w:id="17"/>
    </w:p>
    <w:p w14:paraId="44B6B40F" w14:textId="6EBB6FCB" w:rsidR="00D45B12" w:rsidRDefault="00E87A0B" w:rsidP="00B217E3">
      <w:r>
        <w:t>The listing of a medicine on the PBS is generally initiated</w:t>
      </w:r>
      <w:r w:rsidR="006D123F">
        <w:t xml:space="preserve"> by</w:t>
      </w:r>
      <w:r>
        <w:t xml:space="preserve"> </w:t>
      </w:r>
      <w:r w:rsidRPr="00E87A0B">
        <w:t xml:space="preserve">the </w:t>
      </w:r>
      <w:r w:rsidR="00CD1672">
        <w:t>sponsor</w:t>
      </w:r>
      <w:r w:rsidRPr="00E87A0B">
        <w:t xml:space="preserve"> making a submission to </w:t>
      </w:r>
      <w:r w:rsidRPr="00E87A0B" w:rsidDel="00D34FA1">
        <w:t xml:space="preserve">the </w:t>
      </w:r>
      <w:r w:rsidRPr="00E87A0B">
        <w:t>PBAC for consideration</w:t>
      </w:r>
      <w:r>
        <w:t xml:space="preserve">. </w:t>
      </w:r>
      <w:r w:rsidRPr="00E87A0B">
        <w:t xml:space="preserve">This is because </w:t>
      </w:r>
      <w:r w:rsidR="007A7656">
        <w:t>sponsors</w:t>
      </w:r>
      <w:r w:rsidR="00F17C44">
        <w:t xml:space="preserve"> decide themselves</w:t>
      </w:r>
      <w:r w:rsidR="0067656D">
        <w:t xml:space="preserve"> whether to supply medicines to particular markets and, if so, under what circumstances</w:t>
      </w:r>
      <w:r w:rsidR="0067656D" w:rsidRPr="00E87A0B">
        <w:t>.</w:t>
      </w:r>
      <w:r w:rsidR="00F17C44">
        <w:t xml:space="preserve"> The also</w:t>
      </w:r>
      <w:r w:rsidRPr="00E87A0B">
        <w:t xml:space="preserve"> usually hold the scientific data and other information necessary to inform </w:t>
      </w:r>
      <w:r w:rsidRPr="00E87A0B" w:rsidDel="00613A36">
        <w:t xml:space="preserve">the </w:t>
      </w:r>
      <w:r w:rsidRPr="00E87A0B">
        <w:t xml:space="preserve">PBAC’s </w:t>
      </w:r>
      <w:r w:rsidR="00D45B12" w:rsidRPr="00E87A0B">
        <w:t>consideration</w:t>
      </w:r>
      <w:r w:rsidR="00457E65">
        <w:t xml:space="preserve">. </w:t>
      </w:r>
    </w:p>
    <w:p w14:paraId="49C70702" w14:textId="0A252190" w:rsidR="006D536F" w:rsidRDefault="005B5477" w:rsidP="006D536F">
      <w:r>
        <w:t>Before a medicine can be listed on the PBS, it must first be approved for use in Australia by the TGA and included on the ARTG</w:t>
      </w:r>
      <w:r w:rsidR="00F45AB1">
        <w:t xml:space="preserve">. </w:t>
      </w:r>
    </w:p>
    <w:p w14:paraId="016E03F0" w14:textId="23BA1158" w:rsidR="006D536F" w:rsidRDefault="006D536F" w:rsidP="006D536F">
      <w:r>
        <w:t xml:space="preserve">Sponsors are permitted to make submissions for PBS listing as soon as an application is submitted for ARTG registration </w:t>
      </w:r>
      <w:r w:rsidR="00B9661C">
        <w:t xml:space="preserve">– </w:t>
      </w:r>
      <w:r>
        <w:t xml:space="preserve">and the TGA and </w:t>
      </w:r>
      <w:r w:rsidR="008853BD">
        <w:t xml:space="preserve">the </w:t>
      </w:r>
      <w:r>
        <w:t>PBAC applications are progressed in parallel. A recommendation for PBS listing will generally not be able to be made until the TGA application is sufficiently progressed and a TGA Delegate’s Overview is available.</w:t>
      </w:r>
    </w:p>
    <w:p w14:paraId="6E375C7B" w14:textId="4EB48815" w:rsidR="00317671" w:rsidRDefault="00317671" w:rsidP="00317671">
      <w:pPr>
        <w:pStyle w:val="Heading3"/>
      </w:pPr>
      <w:r>
        <w:t>Who</w:t>
      </w:r>
      <w:r w:rsidR="00331395">
        <w:t xml:space="preserve"> considers</w:t>
      </w:r>
      <w:r>
        <w:t xml:space="preserve"> submissions</w:t>
      </w:r>
      <w:r w:rsidR="00B27844">
        <w:t xml:space="preserve"> for PBS listing</w:t>
      </w:r>
      <w:r>
        <w:t>?</w:t>
      </w:r>
    </w:p>
    <w:p w14:paraId="5CE3D770" w14:textId="72544280" w:rsidR="00317671" w:rsidRDefault="00317671" w:rsidP="00317671">
      <w:r w:rsidRPr="007D7ABD">
        <w:t xml:space="preserve">Applications for PBS listing are considered by </w:t>
      </w:r>
      <w:r w:rsidRPr="007D7ABD" w:rsidDel="00F349CA">
        <w:t xml:space="preserve">the </w:t>
      </w:r>
      <w:r>
        <w:t>PBAC</w:t>
      </w:r>
      <w:r w:rsidR="0023065A">
        <w:t xml:space="preserve">, </w:t>
      </w:r>
      <w:r w:rsidRPr="007D7ABD">
        <w:t>an independent expert body appointed by the Australian Government.</w:t>
      </w:r>
      <w:r>
        <w:t xml:space="preserve"> </w:t>
      </w:r>
      <w:r w:rsidDel="00B022F7">
        <w:t xml:space="preserve">The </w:t>
      </w:r>
      <w:r>
        <w:t xml:space="preserve">PBAC comprises experts from a range of areas including clinicians, health economists, epidemiologists and consumer representatives.  </w:t>
      </w:r>
    </w:p>
    <w:p w14:paraId="2BCCCE2A" w14:textId="6E79A2C0" w:rsidR="00317671" w:rsidRDefault="00317671" w:rsidP="00317671">
      <w:r w:rsidDel="004939C6">
        <w:t xml:space="preserve">The </w:t>
      </w:r>
      <w:r>
        <w:t xml:space="preserve">PBAC’s primary responsibility is to make recommendations to </w:t>
      </w:r>
      <w:r w:rsidR="004C4BAE">
        <w:t xml:space="preserve">the </w:t>
      </w:r>
      <w:r>
        <w:t>Government about which medicines should be subsidised through the PBS.</w:t>
      </w:r>
      <w:r w:rsidRPr="007D7ABD">
        <w:t xml:space="preserve"> A new medicine cannot be listed on the PBS unless </w:t>
      </w:r>
      <w:r w:rsidRPr="007D7ABD" w:rsidDel="005217EC">
        <w:t xml:space="preserve">the </w:t>
      </w:r>
      <w:r w:rsidRPr="007D7ABD">
        <w:t xml:space="preserve">PBAC makes a positive recommendation for its listing. </w:t>
      </w:r>
    </w:p>
    <w:p w14:paraId="093AB4DE" w14:textId="028CF9D4" w:rsidR="00776CEB" w:rsidRDefault="00295D2D" w:rsidP="00776CEB">
      <w:pPr>
        <w:pStyle w:val="Heading3"/>
      </w:pPr>
      <w:r>
        <w:t>Submission categories</w:t>
      </w:r>
    </w:p>
    <w:p w14:paraId="54EEEFAF" w14:textId="60333CE6" w:rsidR="007E13B5" w:rsidRDefault="00B217E3" w:rsidP="00D135FB">
      <w:r>
        <w:t>There</w:t>
      </w:r>
      <w:r w:rsidR="00776CEB">
        <w:t xml:space="preserve"> are </w:t>
      </w:r>
      <w:r w:rsidR="00716E62">
        <w:t xml:space="preserve">6 </w:t>
      </w:r>
      <w:r w:rsidR="00314916">
        <w:t>categories for initial</w:t>
      </w:r>
      <w:r w:rsidR="00776CEB">
        <w:t xml:space="preserve"> submission</w:t>
      </w:r>
      <w:r w:rsidR="00314916">
        <w:t>s</w:t>
      </w:r>
      <w:r w:rsidR="00776CEB">
        <w:t xml:space="preserve"> for listing medicines on the PBS. </w:t>
      </w:r>
      <w:r w:rsidR="007E13B5">
        <w:t xml:space="preserve">These categories </w:t>
      </w:r>
      <w:r w:rsidR="00047D20">
        <w:t xml:space="preserve">were </w:t>
      </w:r>
      <w:r>
        <w:t>developed with the pharmaceutical industry through the Access to Medicines Working Group as part of the 2017</w:t>
      </w:r>
      <w:r w:rsidR="001F3BBC">
        <w:t>–</w:t>
      </w:r>
      <w:r>
        <w:t>22 Strategic Agreement with Medicines Australia</w:t>
      </w:r>
      <w:r w:rsidR="0068582E">
        <w:t>,</w:t>
      </w:r>
      <w:r>
        <w:t xml:space="preserve"> and introduced in 2021. They </w:t>
      </w:r>
      <w:r w:rsidR="007E13B5">
        <w:t>are intended to:</w:t>
      </w:r>
    </w:p>
    <w:p w14:paraId="79992A7C" w14:textId="0748A6F2" w:rsidR="007E13B5" w:rsidRDefault="00220A39" w:rsidP="00651D54">
      <w:pPr>
        <w:pStyle w:val="ListParagraph"/>
        <w:numPr>
          <w:ilvl w:val="0"/>
          <w:numId w:val="38"/>
        </w:numPr>
      </w:pPr>
      <w:r>
        <w:t>p</w:t>
      </w:r>
      <w:r w:rsidR="007E13B5">
        <w:t xml:space="preserve">rovide </w:t>
      </w:r>
      <w:r w:rsidR="007E13B5" w:rsidRPr="007E13B5">
        <w:t xml:space="preserve">greater transparency on the type of submissions being considered by </w:t>
      </w:r>
      <w:r w:rsidR="007E13B5" w:rsidRPr="007E13B5" w:rsidDel="005D2F79">
        <w:t xml:space="preserve">the </w:t>
      </w:r>
      <w:r w:rsidR="007E13B5">
        <w:t>PBAC</w:t>
      </w:r>
      <w:r w:rsidR="007E13B5" w:rsidRPr="007E13B5">
        <w:t xml:space="preserve"> and the level and the complexity of activities required to assess these submissions</w:t>
      </w:r>
    </w:p>
    <w:p w14:paraId="27C46B0E" w14:textId="309395F3" w:rsidR="007E13B5" w:rsidRDefault="0012298D" w:rsidP="00651D54">
      <w:pPr>
        <w:pStyle w:val="ListParagraph"/>
        <w:numPr>
          <w:ilvl w:val="0"/>
          <w:numId w:val="38"/>
        </w:numPr>
      </w:pPr>
      <w:r>
        <w:t>b</w:t>
      </w:r>
      <w:r w:rsidR="007E13B5">
        <w:t>ette</w:t>
      </w:r>
      <w:r w:rsidR="007E13B5" w:rsidRPr="007E13B5">
        <w:t>r align departmental and PBAC work and cost recovery arrangements based on the expected complexity of a submission</w:t>
      </w:r>
      <w:r w:rsidR="00F27555">
        <w:t>, and</w:t>
      </w:r>
    </w:p>
    <w:p w14:paraId="1787C5D0" w14:textId="24644021" w:rsidR="007E13B5" w:rsidRDefault="00F27555" w:rsidP="00651D54">
      <w:pPr>
        <w:pStyle w:val="ListParagraph"/>
        <w:numPr>
          <w:ilvl w:val="0"/>
          <w:numId w:val="38"/>
        </w:numPr>
      </w:pPr>
      <w:r>
        <w:t>c</w:t>
      </w:r>
      <w:r w:rsidR="005D7E57">
        <w:t xml:space="preserve">learly </w:t>
      </w:r>
      <w:r w:rsidR="005D7E57" w:rsidRPr="005D7E57">
        <w:t>differentiate between initial submissions and resubmissions.</w:t>
      </w:r>
    </w:p>
    <w:p w14:paraId="5F820742" w14:textId="7971C11E" w:rsidR="00354098" w:rsidRDefault="00B97D53" w:rsidP="00C26B78">
      <w:pPr>
        <w:pStyle w:val="Heading4"/>
      </w:pPr>
      <w:r>
        <w:lastRenderedPageBreak/>
        <w:t>Table 3</w:t>
      </w:r>
      <w:r w:rsidR="00354098">
        <w:t>. Categories of submissions for PBS listing</w:t>
      </w:r>
      <w:r w:rsidR="00354098">
        <w:rPr>
          <w:rStyle w:val="FootnoteReference"/>
        </w:rPr>
        <w:footnoteReference w:id="30"/>
      </w:r>
    </w:p>
    <w:tbl>
      <w:tblPr>
        <w:tblStyle w:val="DepartmentofHealthtable1"/>
        <w:tblW w:w="9072" w:type="dxa"/>
        <w:tblLook w:val="04A0" w:firstRow="1" w:lastRow="0" w:firstColumn="1" w:lastColumn="0" w:noHBand="0" w:noVBand="1"/>
      </w:tblPr>
      <w:tblGrid>
        <w:gridCol w:w="1602"/>
        <w:gridCol w:w="7470"/>
      </w:tblGrid>
      <w:tr w:rsidR="004C5BC1" w:rsidRPr="00295D2D" w14:paraId="2ECF10F0" w14:textId="77777777" w:rsidTr="001F4248">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670DDFD6" w14:textId="77777777" w:rsidR="004C5BC1" w:rsidRPr="001F4248" w:rsidRDefault="004C5BC1" w:rsidP="00C26B78">
            <w:pPr>
              <w:keepNext/>
              <w:keepLines/>
              <w:spacing w:before="0"/>
              <w:rPr>
                <w:rFonts w:ascii="Calibri" w:hAnsi="Calibri" w:cs="Calibri"/>
                <w:b/>
                <w:bCs/>
                <w:color w:val="FFFFFF"/>
                <w:szCs w:val="22"/>
              </w:rPr>
            </w:pPr>
            <w:r w:rsidRPr="001F4248">
              <w:rPr>
                <w:rFonts w:ascii="Calibri" w:hAnsi="Calibri" w:cs="Calibri"/>
                <w:b/>
                <w:bCs/>
                <w:color w:val="FFFFFF"/>
                <w:szCs w:val="22"/>
              </w:rPr>
              <w:lastRenderedPageBreak/>
              <w:t>Category</w:t>
            </w:r>
          </w:p>
        </w:tc>
        <w:tc>
          <w:tcPr>
            <w:tcW w:w="7470" w:type="dxa"/>
            <w:noWrap/>
            <w:vAlign w:val="center"/>
            <w:hideMark/>
          </w:tcPr>
          <w:p w14:paraId="1A50F4E1" w14:textId="77777777" w:rsidR="004C5BC1" w:rsidRPr="001F4248" w:rsidRDefault="004C5BC1" w:rsidP="00C26B78">
            <w:pPr>
              <w:keepNext/>
              <w:keepLines/>
              <w:spacing w:before="0"/>
              <w:cnfStyle w:val="100000000000" w:firstRow="1" w:lastRow="0" w:firstColumn="0" w:lastColumn="0" w:oddVBand="0" w:evenVBand="0" w:oddHBand="0" w:evenHBand="0" w:firstRowFirstColumn="0" w:firstRowLastColumn="0" w:lastRowFirstColumn="0" w:lastRowLastColumn="0"/>
              <w:rPr>
                <w:rFonts w:ascii="Calibri" w:hAnsi="Calibri" w:cs="Calibri"/>
                <w:b/>
                <w:bCs/>
                <w:color w:val="FFFFFF"/>
                <w:szCs w:val="22"/>
              </w:rPr>
            </w:pPr>
            <w:r w:rsidRPr="001F4248">
              <w:rPr>
                <w:rFonts w:ascii="Calibri" w:hAnsi="Calibri" w:cs="Calibri"/>
                <w:b/>
                <w:bCs/>
                <w:color w:val="FFFFFF"/>
                <w:szCs w:val="22"/>
              </w:rPr>
              <w:t>Type of PBS listing request</w:t>
            </w:r>
          </w:p>
        </w:tc>
      </w:tr>
      <w:tr w:rsidR="004C5BC1" w:rsidRPr="00BE6AD3" w14:paraId="0B13425A" w14:textId="77777777" w:rsidTr="0076025C">
        <w:trPr>
          <w:cnfStyle w:val="000000100000" w:firstRow="0" w:lastRow="0" w:firstColumn="0" w:lastColumn="0" w:oddVBand="0" w:evenVBand="0" w:oddHBand="1" w:evenHBand="0" w:firstRowFirstColumn="0" w:firstRowLastColumn="0" w:lastRowFirstColumn="0" w:lastRowLastColumn="0"/>
          <w:cantSplit/>
          <w:trHeight w:val="723"/>
        </w:trPr>
        <w:tc>
          <w:tcPr>
            <w:cnfStyle w:val="001000000000" w:firstRow="0" w:lastRow="0" w:firstColumn="1" w:lastColumn="0" w:oddVBand="0" w:evenVBand="0" w:oddHBand="0" w:evenHBand="0" w:firstRowFirstColumn="0" w:firstRowLastColumn="0" w:lastRowFirstColumn="0" w:lastRowLastColumn="0"/>
            <w:tcW w:w="1602" w:type="dxa"/>
            <w:noWrap/>
            <w:hideMark/>
          </w:tcPr>
          <w:p w14:paraId="58C99FAD" w14:textId="77777777" w:rsidR="004C5BC1" w:rsidRPr="001F4248" w:rsidRDefault="004C5BC1" w:rsidP="00C26B78">
            <w:pPr>
              <w:keepNext/>
              <w:keepLines/>
              <w:rPr>
                <w:rFonts w:ascii="Calibri" w:hAnsi="Calibri" w:cs="Calibri"/>
                <w:color w:val="000000"/>
                <w:sz w:val="22"/>
                <w:szCs w:val="22"/>
              </w:rPr>
            </w:pPr>
            <w:r w:rsidRPr="001F4248">
              <w:rPr>
                <w:rFonts w:ascii="Calibri" w:hAnsi="Calibri" w:cs="Calibri"/>
                <w:color w:val="000000"/>
                <w:sz w:val="22"/>
                <w:szCs w:val="22"/>
              </w:rPr>
              <w:t>Category 1</w:t>
            </w:r>
          </w:p>
        </w:tc>
        <w:tc>
          <w:tcPr>
            <w:tcW w:w="7470" w:type="dxa"/>
            <w:noWrap/>
          </w:tcPr>
          <w:p w14:paraId="49FF9D8B" w14:textId="141596CB" w:rsidR="004C5BC1" w:rsidRPr="00476A08" w:rsidRDefault="004C5BC1" w:rsidP="00C26B78">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476A08">
              <w:rPr>
                <w:rFonts w:ascii="Calibri" w:hAnsi="Calibri" w:cs="Calibri"/>
                <w:color w:val="000000"/>
                <w:sz w:val="22"/>
                <w:szCs w:val="22"/>
              </w:rPr>
              <w:t>A first</w:t>
            </w:r>
            <w:r w:rsidR="0006562E">
              <w:rPr>
                <w:rFonts w:ascii="Calibri" w:hAnsi="Calibri" w:cs="Calibri"/>
                <w:color w:val="000000"/>
                <w:sz w:val="22"/>
                <w:szCs w:val="22"/>
              </w:rPr>
              <w:t>-</w:t>
            </w:r>
            <w:r w:rsidRPr="00476A08">
              <w:rPr>
                <w:rFonts w:ascii="Calibri" w:hAnsi="Calibri" w:cs="Calibri"/>
                <w:color w:val="000000"/>
                <w:sz w:val="22"/>
                <w:szCs w:val="22"/>
              </w:rPr>
              <w:t>in</w:t>
            </w:r>
            <w:r w:rsidR="0006562E">
              <w:rPr>
                <w:rFonts w:ascii="Calibri" w:hAnsi="Calibri" w:cs="Calibri"/>
                <w:color w:val="000000"/>
                <w:sz w:val="22"/>
                <w:szCs w:val="22"/>
              </w:rPr>
              <w:t>-</w:t>
            </w:r>
            <w:r w:rsidRPr="00476A08">
              <w:rPr>
                <w:rFonts w:ascii="Calibri" w:hAnsi="Calibri" w:cs="Calibri"/>
                <w:color w:val="000000"/>
                <w:sz w:val="22"/>
                <w:szCs w:val="22"/>
              </w:rPr>
              <w:t>class medicine, and/or a medicine for a new population.</w:t>
            </w:r>
          </w:p>
          <w:p w14:paraId="6E4BB456" w14:textId="0BD20E0C" w:rsidR="004C5BC1" w:rsidRPr="00334D1D" w:rsidRDefault="004C5BC1" w:rsidP="00651D54">
            <w:pPr>
              <w:keepNext/>
              <w:keepLines/>
              <w:numPr>
                <w:ilvl w:val="0"/>
                <w:numId w:val="22"/>
              </w:numPr>
              <w:spacing w:before="0"/>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sz w:val="22"/>
                <w:szCs w:val="22"/>
              </w:rPr>
            </w:pPr>
            <w:r w:rsidRPr="00334D1D">
              <w:rPr>
                <w:rFonts w:ascii="Calibri" w:hAnsi="Calibri" w:cs="Calibri"/>
                <w:iCs/>
                <w:color w:val="000000"/>
                <w:sz w:val="22"/>
                <w:szCs w:val="22"/>
              </w:rPr>
              <w:t xml:space="preserve">A first-in-class medicine represents a drug with a unique mechanism of action that has not been considered by </w:t>
            </w:r>
            <w:r w:rsidRPr="00334D1D" w:rsidDel="00EC3904">
              <w:rPr>
                <w:rFonts w:ascii="Calibri" w:hAnsi="Calibri" w:cs="Calibri"/>
                <w:iCs/>
                <w:color w:val="000000"/>
                <w:sz w:val="22"/>
                <w:szCs w:val="22"/>
              </w:rPr>
              <w:t xml:space="preserve">the </w:t>
            </w:r>
            <w:r w:rsidRPr="00334D1D">
              <w:rPr>
                <w:rFonts w:ascii="Calibri" w:hAnsi="Calibri" w:cs="Calibri"/>
                <w:iCs/>
                <w:color w:val="000000"/>
                <w:sz w:val="22"/>
                <w:szCs w:val="22"/>
              </w:rPr>
              <w:t xml:space="preserve">PBAC. </w:t>
            </w:r>
          </w:p>
          <w:p w14:paraId="69523516" w14:textId="346E7582" w:rsidR="004C5BC1" w:rsidRPr="00334D1D" w:rsidRDefault="004C5BC1" w:rsidP="00651D54">
            <w:pPr>
              <w:keepNext/>
              <w:keepLines/>
              <w:numPr>
                <w:ilvl w:val="0"/>
                <w:numId w:val="22"/>
              </w:numPr>
              <w:spacing w:before="0"/>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sz w:val="22"/>
                <w:szCs w:val="22"/>
              </w:rPr>
            </w:pPr>
            <w:r w:rsidRPr="00334D1D">
              <w:rPr>
                <w:rFonts w:ascii="Calibri" w:hAnsi="Calibri" w:cs="Calibri"/>
                <w:iCs/>
                <w:color w:val="000000"/>
                <w:sz w:val="22"/>
                <w:szCs w:val="22"/>
              </w:rPr>
              <w:t xml:space="preserve">A new population could include a disease or medical condition not previously considered by </w:t>
            </w:r>
            <w:r w:rsidRPr="00334D1D" w:rsidDel="00EC3904">
              <w:rPr>
                <w:rFonts w:ascii="Calibri" w:hAnsi="Calibri" w:cs="Calibri"/>
                <w:iCs/>
                <w:color w:val="000000"/>
                <w:sz w:val="22"/>
                <w:szCs w:val="22"/>
              </w:rPr>
              <w:t xml:space="preserve">the </w:t>
            </w:r>
            <w:r w:rsidRPr="00334D1D">
              <w:rPr>
                <w:rFonts w:ascii="Calibri" w:hAnsi="Calibri" w:cs="Calibri"/>
                <w:iCs/>
                <w:color w:val="000000"/>
                <w:sz w:val="22"/>
                <w:szCs w:val="22"/>
              </w:rPr>
              <w:t xml:space="preserve">PBAC. </w:t>
            </w:r>
          </w:p>
          <w:p w14:paraId="11CB71EC" w14:textId="77777777" w:rsidR="004C5BC1" w:rsidRPr="00334D1D" w:rsidRDefault="004C5BC1" w:rsidP="00651D54">
            <w:pPr>
              <w:keepNext/>
              <w:keepLines/>
              <w:numPr>
                <w:ilvl w:val="0"/>
                <w:numId w:val="22"/>
              </w:numPr>
              <w:spacing w:before="0"/>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sz w:val="22"/>
                <w:szCs w:val="22"/>
              </w:rPr>
            </w:pPr>
            <w:r w:rsidRPr="00334D1D">
              <w:rPr>
                <w:rFonts w:ascii="Calibri" w:hAnsi="Calibri" w:cs="Calibri"/>
                <w:iCs/>
                <w:color w:val="000000"/>
                <w:sz w:val="22"/>
                <w:szCs w:val="22"/>
              </w:rPr>
              <w:t>A disease is intended to cover whole diseases when all stages and genetic subtypes are considered.</w:t>
            </w:r>
          </w:p>
          <w:p w14:paraId="44DE37E9" w14:textId="77777777" w:rsidR="004C5BC1" w:rsidRPr="00476A08" w:rsidRDefault="004C5BC1" w:rsidP="00C26B78">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476A08">
              <w:rPr>
                <w:rFonts w:ascii="Calibri" w:hAnsi="Calibri" w:cs="Calibri"/>
                <w:color w:val="000000"/>
                <w:sz w:val="22"/>
                <w:szCs w:val="22"/>
              </w:rPr>
              <w:t>OR</w:t>
            </w:r>
          </w:p>
          <w:p w14:paraId="1C13C2EF" w14:textId="5DAC401B" w:rsidR="004C5BC1" w:rsidRPr="00476A08" w:rsidRDefault="004C5BC1" w:rsidP="00C26B78">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476A08">
              <w:rPr>
                <w:rFonts w:ascii="Calibri" w:hAnsi="Calibri" w:cs="Calibri"/>
                <w:color w:val="000000"/>
                <w:sz w:val="22"/>
                <w:szCs w:val="22"/>
              </w:rPr>
              <w:t>A drug with a codependent technology that requires an integrated codependent submission to PBAC and</w:t>
            </w:r>
            <w:r w:rsidR="006F1B02">
              <w:rPr>
                <w:rFonts w:ascii="Calibri" w:hAnsi="Calibri" w:cs="Calibri"/>
                <w:color w:val="000000"/>
                <w:sz w:val="22"/>
                <w:szCs w:val="22"/>
              </w:rPr>
              <w:t xml:space="preserve"> </w:t>
            </w:r>
            <w:r w:rsidRPr="00476A08">
              <w:rPr>
                <w:rFonts w:ascii="Calibri" w:hAnsi="Calibri" w:cs="Calibri"/>
                <w:color w:val="000000"/>
                <w:sz w:val="22"/>
                <w:szCs w:val="22"/>
              </w:rPr>
              <w:t>MSAC.</w:t>
            </w:r>
          </w:p>
          <w:p w14:paraId="3D2A03C5" w14:textId="77777777" w:rsidR="004C5BC1" w:rsidRPr="00476A08" w:rsidRDefault="004C5BC1" w:rsidP="00C26B78">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476A08">
              <w:rPr>
                <w:rFonts w:ascii="Calibri" w:hAnsi="Calibri" w:cs="Calibri"/>
                <w:color w:val="000000"/>
                <w:sz w:val="22"/>
                <w:szCs w:val="22"/>
              </w:rPr>
              <w:t>OR</w:t>
            </w:r>
          </w:p>
          <w:p w14:paraId="0FDF7835" w14:textId="6FE11D54" w:rsidR="004C5BC1" w:rsidRPr="001F4248" w:rsidRDefault="004C5BC1" w:rsidP="00C26B78">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476A08">
              <w:rPr>
                <w:rFonts w:ascii="Calibri" w:hAnsi="Calibri" w:cs="Calibri"/>
                <w:color w:val="000000"/>
                <w:sz w:val="22"/>
                <w:szCs w:val="22"/>
              </w:rPr>
              <w:t xml:space="preserve">A drug with a TGA </w:t>
            </w:r>
            <w:r w:rsidR="00334D1D">
              <w:rPr>
                <w:rFonts w:ascii="Calibri" w:hAnsi="Calibri" w:cs="Calibri"/>
                <w:color w:val="000000"/>
                <w:sz w:val="22"/>
                <w:szCs w:val="22"/>
              </w:rPr>
              <w:t>p</w:t>
            </w:r>
            <w:r w:rsidRPr="00476A08">
              <w:rPr>
                <w:rFonts w:ascii="Calibri" w:hAnsi="Calibri" w:cs="Calibri"/>
                <w:color w:val="000000"/>
                <w:sz w:val="22"/>
                <w:szCs w:val="22"/>
              </w:rPr>
              <w:t xml:space="preserve">rovisional determination related to the proposed population. </w:t>
            </w:r>
          </w:p>
        </w:tc>
      </w:tr>
      <w:tr w:rsidR="004C5BC1" w:rsidRPr="00476A08" w14:paraId="36D42793" w14:textId="77777777" w:rsidTr="001F4248">
        <w:trPr>
          <w:cnfStyle w:val="000000010000" w:firstRow="0" w:lastRow="0" w:firstColumn="0" w:lastColumn="0" w:oddVBand="0" w:evenVBand="0" w:oddHBand="0" w:evenHBand="1"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tcPr>
          <w:p w14:paraId="7CE539E7" w14:textId="77777777" w:rsidR="004C5BC1" w:rsidRPr="001F4248" w:rsidRDefault="004C5BC1" w:rsidP="00C26B78">
            <w:pPr>
              <w:keepNext/>
              <w:keepLines/>
              <w:rPr>
                <w:rFonts w:ascii="Calibri" w:hAnsi="Calibri" w:cs="Calibri"/>
                <w:color w:val="000000"/>
                <w:sz w:val="22"/>
                <w:szCs w:val="22"/>
              </w:rPr>
            </w:pPr>
            <w:r w:rsidRPr="001F4248">
              <w:rPr>
                <w:rFonts w:ascii="Calibri" w:hAnsi="Calibri" w:cs="Calibri"/>
                <w:color w:val="000000"/>
                <w:sz w:val="22"/>
                <w:szCs w:val="22"/>
              </w:rPr>
              <w:t>Category 2</w:t>
            </w:r>
          </w:p>
        </w:tc>
        <w:tc>
          <w:tcPr>
            <w:tcW w:w="7470" w:type="dxa"/>
            <w:noWrap/>
          </w:tcPr>
          <w:p w14:paraId="00EB5081" w14:textId="2C16C78D" w:rsidR="004C5BC1" w:rsidRPr="001F4248" w:rsidRDefault="004C5BC1" w:rsidP="00C26B78">
            <w:pPr>
              <w:keepNext/>
              <w:keepLines/>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1F4248">
              <w:rPr>
                <w:rFonts w:ascii="Calibri" w:hAnsi="Calibri" w:cs="Calibri"/>
                <w:color w:val="000000"/>
                <w:sz w:val="22"/>
                <w:szCs w:val="22"/>
              </w:rPr>
              <w:t xml:space="preserve">A new medicine, </w:t>
            </w:r>
            <w:r w:rsidR="002C7227">
              <w:rPr>
                <w:rFonts w:ascii="Calibri" w:hAnsi="Calibri" w:cs="Calibri"/>
                <w:color w:val="000000"/>
                <w:sz w:val="22"/>
                <w:szCs w:val="22"/>
              </w:rPr>
              <w:t>or</w:t>
            </w:r>
            <w:r w:rsidRPr="001F4248">
              <w:rPr>
                <w:rFonts w:ascii="Calibri" w:hAnsi="Calibri" w:cs="Calibri"/>
                <w:color w:val="000000"/>
                <w:sz w:val="22"/>
                <w:szCs w:val="22"/>
              </w:rPr>
              <w:t xml:space="preserve"> new indication of a currently listed medicine, or a material change to a currently listed indication and the criteria for a Category 1 submission are not met.  </w:t>
            </w:r>
          </w:p>
          <w:p w14:paraId="5E7C0275" w14:textId="3FBEF192" w:rsidR="004C5BC1" w:rsidRPr="001F4248" w:rsidRDefault="004C5BC1" w:rsidP="00C26B78">
            <w:pPr>
              <w:keepNext/>
              <w:keepLines/>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1F4248">
              <w:rPr>
                <w:rFonts w:ascii="Calibri" w:hAnsi="Calibri" w:cs="Calibri"/>
                <w:color w:val="000000"/>
                <w:sz w:val="22"/>
                <w:szCs w:val="22"/>
              </w:rPr>
              <w:t xml:space="preserve">A request for </w:t>
            </w:r>
            <w:r w:rsidRPr="001F4248" w:rsidDel="00AE6778">
              <w:rPr>
                <w:rFonts w:ascii="Calibri" w:hAnsi="Calibri" w:cs="Calibri"/>
                <w:color w:val="000000"/>
                <w:sz w:val="22"/>
                <w:szCs w:val="22"/>
              </w:rPr>
              <w:t xml:space="preserve">the </w:t>
            </w:r>
            <w:r w:rsidRPr="001F4248">
              <w:rPr>
                <w:rFonts w:ascii="Calibri" w:hAnsi="Calibri" w:cs="Calibri"/>
                <w:color w:val="000000"/>
                <w:sz w:val="22"/>
                <w:szCs w:val="22"/>
              </w:rPr>
              <w:t xml:space="preserve">PBAC to reconsider an existing recommendation where there is a change to the clinical, economic and/or financial information most recently relied on by </w:t>
            </w:r>
            <w:r w:rsidRPr="001F4248" w:rsidDel="00D77621">
              <w:rPr>
                <w:rFonts w:ascii="Calibri" w:hAnsi="Calibri" w:cs="Calibri"/>
                <w:color w:val="000000"/>
                <w:sz w:val="22"/>
                <w:szCs w:val="22"/>
              </w:rPr>
              <w:t xml:space="preserve">the </w:t>
            </w:r>
            <w:r w:rsidRPr="001F4248">
              <w:rPr>
                <w:rFonts w:ascii="Calibri" w:hAnsi="Calibri" w:cs="Calibri"/>
                <w:color w:val="000000"/>
                <w:sz w:val="22"/>
                <w:szCs w:val="22"/>
              </w:rPr>
              <w:t xml:space="preserve">PBAC. </w:t>
            </w:r>
          </w:p>
          <w:p w14:paraId="5677390A" w14:textId="77777777" w:rsidR="004C5BC1" w:rsidRPr="001F4248" w:rsidRDefault="004C5BC1" w:rsidP="00C26B78">
            <w:pPr>
              <w:keepNext/>
              <w:keepLines/>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1F4248">
              <w:rPr>
                <w:rFonts w:ascii="Calibri" w:hAnsi="Calibri" w:cs="Calibri"/>
                <w:color w:val="000000"/>
                <w:sz w:val="22"/>
                <w:szCs w:val="22"/>
              </w:rPr>
              <w:t>May be required for a new form or strength of an already-listed medicine that is not bioequivalent to an existing listed form of the medicine. This may be necessary to demonstrate that the new form delivers similar clinical outcomes to the existing form.</w:t>
            </w:r>
          </w:p>
        </w:tc>
      </w:tr>
      <w:tr w:rsidR="004C5BC1" w14:paraId="7E37FFE3" w14:textId="77777777" w:rsidTr="001F4248">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tcPr>
          <w:p w14:paraId="03FEFE4F" w14:textId="77777777" w:rsidR="004C5BC1" w:rsidRPr="001F4248" w:rsidRDefault="004C5BC1" w:rsidP="00C26B78">
            <w:pPr>
              <w:keepNext/>
              <w:keepLines/>
              <w:rPr>
                <w:rFonts w:ascii="Calibri" w:hAnsi="Calibri" w:cs="Calibri"/>
                <w:color w:val="000000"/>
                <w:sz w:val="22"/>
                <w:szCs w:val="22"/>
              </w:rPr>
            </w:pPr>
            <w:r w:rsidRPr="001F4248">
              <w:rPr>
                <w:rFonts w:ascii="Calibri" w:hAnsi="Calibri" w:cs="Calibri"/>
                <w:color w:val="000000"/>
                <w:sz w:val="22"/>
                <w:szCs w:val="22"/>
              </w:rPr>
              <w:t>Category 3</w:t>
            </w:r>
          </w:p>
        </w:tc>
        <w:tc>
          <w:tcPr>
            <w:tcW w:w="7470" w:type="dxa"/>
            <w:noWrap/>
          </w:tcPr>
          <w:p w14:paraId="686ED03F" w14:textId="243A0F93" w:rsidR="004C5BC1" w:rsidRPr="001F4248" w:rsidRDefault="004C5BC1" w:rsidP="00C26B78">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4248">
              <w:rPr>
                <w:rFonts w:ascii="Calibri" w:hAnsi="Calibri" w:cs="Calibri"/>
                <w:color w:val="000000"/>
                <w:sz w:val="22"/>
                <w:szCs w:val="22"/>
              </w:rPr>
              <w:t xml:space="preserve">A change to </w:t>
            </w:r>
            <w:r w:rsidR="003258A6">
              <w:rPr>
                <w:rFonts w:ascii="Calibri" w:hAnsi="Calibri" w:cs="Calibri"/>
                <w:color w:val="000000"/>
                <w:sz w:val="22"/>
                <w:szCs w:val="22"/>
              </w:rPr>
              <w:t xml:space="preserve">an </w:t>
            </w:r>
            <w:r w:rsidRPr="001F4248">
              <w:rPr>
                <w:rFonts w:ascii="Calibri" w:hAnsi="Calibri" w:cs="Calibri"/>
                <w:color w:val="000000"/>
                <w:sz w:val="22"/>
                <w:szCs w:val="22"/>
              </w:rPr>
              <w:t>existing listing that do</w:t>
            </w:r>
            <w:r w:rsidR="003258A6">
              <w:rPr>
                <w:rFonts w:ascii="Calibri" w:hAnsi="Calibri" w:cs="Calibri"/>
                <w:color w:val="000000"/>
                <w:sz w:val="22"/>
                <w:szCs w:val="22"/>
              </w:rPr>
              <w:t>es</w:t>
            </w:r>
            <w:r w:rsidRPr="001F4248">
              <w:rPr>
                <w:rFonts w:ascii="Calibri" w:hAnsi="Calibri" w:cs="Calibri"/>
                <w:color w:val="000000"/>
                <w:sz w:val="22"/>
                <w:szCs w:val="22"/>
              </w:rPr>
              <w:t xml:space="preserve"> not change the population or cost-effectiveness of the medicine and the criteria for a Category 4 submission are not met.</w:t>
            </w:r>
          </w:p>
        </w:tc>
      </w:tr>
      <w:tr w:rsidR="004C5BC1" w14:paraId="2A8BDF4E" w14:textId="77777777" w:rsidTr="001F4248">
        <w:trPr>
          <w:cnfStyle w:val="000000010000" w:firstRow="0" w:lastRow="0" w:firstColumn="0" w:lastColumn="0" w:oddVBand="0" w:evenVBand="0" w:oddHBand="0" w:evenHBand="1"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tcPr>
          <w:p w14:paraId="4560A319" w14:textId="77777777" w:rsidR="004C5BC1" w:rsidRPr="001F4248" w:rsidRDefault="004C5BC1" w:rsidP="00C26B78">
            <w:pPr>
              <w:keepNext/>
              <w:keepLines/>
              <w:rPr>
                <w:rFonts w:ascii="Calibri" w:hAnsi="Calibri" w:cs="Calibri"/>
                <w:color w:val="000000"/>
                <w:sz w:val="22"/>
                <w:szCs w:val="22"/>
              </w:rPr>
            </w:pPr>
            <w:r w:rsidRPr="001F4248">
              <w:rPr>
                <w:rFonts w:ascii="Calibri" w:hAnsi="Calibri" w:cs="Calibri"/>
                <w:color w:val="000000"/>
                <w:sz w:val="22"/>
                <w:szCs w:val="22"/>
              </w:rPr>
              <w:t>Category 4</w:t>
            </w:r>
          </w:p>
        </w:tc>
        <w:tc>
          <w:tcPr>
            <w:tcW w:w="7470" w:type="dxa"/>
            <w:noWrap/>
          </w:tcPr>
          <w:p w14:paraId="275DC4D5" w14:textId="627435E5" w:rsidR="004C5BC1" w:rsidRPr="001F4248" w:rsidRDefault="00293C32" w:rsidP="00C26B78">
            <w:pPr>
              <w:keepNext/>
              <w:keepLines/>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A request to consider PBS l</w:t>
            </w:r>
            <w:r w:rsidRPr="001F4248">
              <w:rPr>
                <w:rFonts w:ascii="Calibri" w:hAnsi="Calibri" w:cs="Calibri"/>
                <w:color w:val="000000"/>
                <w:sz w:val="22"/>
                <w:szCs w:val="22"/>
              </w:rPr>
              <w:t xml:space="preserve">isting </w:t>
            </w:r>
            <w:r w:rsidR="004C5BC1" w:rsidRPr="001F4248">
              <w:rPr>
                <w:rFonts w:ascii="Calibri" w:hAnsi="Calibri" w:cs="Calibri"/>
                <w:color w:val="000000"/>
                <w:sz w:val="22"/>
                <w:szCs w:val="22"/>
              </w:rPr>
              <w:t>of a new pharmaceutical item of a listed medicine.</w:t>
            </w:r>
          </w:p>
          <w:p w14:paraId="5354F58C" w14:textId="5763F079" w:rsidR="004C5BC1" w:rsidRPr="001F4248" w:rsidRDefault="004C5BC1" w:rsidP="00C26B78">
            <w:pPr>
              <w:keepNext/>
              <w:keepLines/>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1F4248">
              <w:rPr>
                <w:rFonts w:ascii="Calibri" w:hAnsi="Calibri" w:cs="Calibri"/>
                <w:color w:val="000000"/>
                <w:sz w:val="22"/>
                <w:szCs w:val="22"/>
              </w:rPr>
              <w:t xml:space="preserve">Consideration as an exempt item (Exempt item as per subsection 84AH of the </w:t>
            </w:r>
            <w:r w:rsidR="00334D1D">
              <w:rPr>
                <w:rFonts w:ascii="Calibri" w:hAnsi="Calibri" w:cs="Calibri"/>
                <w:color w:val="000000"/>
                <w:sz w:val="22"/>
                <w:szCs w:val="22"/>
              </w:rPr>
              <w:t>NH Act</w:t>
            </w:r>
            <w:r w:rsidRPr="001F4248">
              <w:rPr>
                <w:rFonts w:ascii="Calibri" w:hAnsi="Calibri" w:cs="Calibri"/>
                <w:color w:val="000000"/>
                <w:sz w:val="22"/>
                <w:szCs w:val="22"/>
              </w:rPr>
              <w:t xml:space="preserve">). </w:t>
            </w:r>
          </w:p>
          <w:p w14:paraId="7D5CD159" w14:textId="1F447493" w:rsidR="004C5BC1" w:rsidRPr="001F4248" w:rsidRDefault="00293C32" w:rsidP="00C26B78">
            <w:pPr>
              <w:keepNext/>
              <w:keepLines/>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A request to consider i</w:t>
            </w:r>
            <w:r w:rsidR="004C5BC1" w:rsidRPr="001F4248">
              <w:rPr>
                <w:rFonts w:ascii="Calibri" w:hAnsi="Calibri" w:cs="Calibri"/>
                <w:color w:val="000000"/>
                <w:sz w:val="22"/>
                <w:szCs w:val="22"/>
              </w:rPr>
              <w:t xml:space="preserve">ncluding a listed medicine on the prescriber bag, or varying an existing prescriber bag listing. </w:t>
            </w:r>
          </w:p>
          <w:p w14:paraId="6CD84D33" w14:textId="30DC217D" w:rsidR="004C5BC1" w:rsidRPr="001F4248" w:rsidRDefault="004C5BC1" w:rsidP="00C26B78">
            <w:pPr>
              <w:keepNext/>
              <w:keepLines/>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1F4248">
              <w:rPr>
                <w:rFonts w:ascii="Calibri" w:hAnsi="Calibri" w:cs="Calibri"/>
                <w:color w:val="000000"/>
                <w:sz w:val="22"/>
                <w:szCs w:val="22"/>
              </w:rPr>
              <w:t>A change to the existing, or the addition of a new form or manner of administration</w:t>
            </w:r>
            <w:r w:rsidR="00A44CA9">
              <w:rPr>
                <w:rFonts w:ascii="Calibri" w:hAnsi="Calibri" w:cs="Calibri"/>
                <w:color w:val="000000"/>
                <w:sz w:val="22"/>
                <w:szCs w:val="22"/>
              </w:rPr>
              <w:t>,</w:t>
            </w:r>
            <w:r w:rsidRPr="001F4248">
              <w:rPr>
                <w:rFonts w:ascii="Calibri" w:hAnsi="Calibri" w:cs="Calibri"/>
                <w:color w:val="000000"/>
                <w:sz w:val="22"/>
                <w:szCs w:val="22"/>
              </w:rPr>
              <w:t xml:space="preserve"> of a listed medicine.</w:t>
            </w:r>
          </w:p>
          <w:p w14:paraId="41167FC2" w14:textId="77777777" w:rsidR="004C5BC1" w:rsidRPr="001F4248" w:rsidRDefault="004C5BC1" w:rsidP="00C26B78">
            <w:pPr>
              <w:keepNext/>
              <w:keepLines/>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1F4248">
              <w:rPr>
                <w:rFonts w:ascii="Calibri" w:hAnsi="Calibri" w:cs="Calibri"/>
                <w:color w:val="000000"/>
                <w:sz w:val="22"/>
                <w:szCs w:val="22"/>
              </w:rPr>
              <w:t>A change to the maximum quantity and/or number of repeats of a listed medicine.</w:t>
            </w:r>
          </w:p>
          <w:p w14:paraId="1730146A" w14:textId="77777777" w:rsidR="004C5BC1" w:rsidRPr="001F4248" w:rsidRDefault="004C5BC1" w:rsidP="00C26B78">
            <w:pPr>
              <w:keepNext/>
              <w:keepLines/>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1F4248">
              <w:rPr>
                <w:rFonts w:ascii="Calibri" w:hAnsi="Calibri" w:cs="Calibri"/>
                <w:color w:val="000000"/>
                <w:sz w:val="22"/>
                <w:szCs w:val="22"/>
              </w:rPr>
              <w:t>A change or addition to the prescriber type(s) of a listed medicine.</w:t>
            </w:r>
          </w:p>
        </w:tc>
      </w:tr>
      <w:tr w:rsidR="004C5BC1" w:rsidRPr="00295D2D" w14:paraId="2E8E61A9" w14:textId="77777777" w:rsidTr="0076025C">
        <w:trPr>
          <w:cnfStyle w:val="000000100000" w:firstRow="0" w:lastRow="0" w:firstColumn="0" w:lastColumn="0" w:oddVBand="0" w:evenVBand="0" w:oddHBand="1" w:evenHBand="0" w:firstRowFirstColumn="0" w:firstRowLastColumn="0" w:lastRowFirstColumn="0" w:lastRowLastColumn="0"/>
          <w:cantSplit/>
          <w:trHeight w:val="723"/>
        </w:trPr>
        <w:tc>
          <w:tcPr>
            <w:cnfStyle w:val="001000000000" w:firstRow="0" w:lastRow="0" w:firstColumn="1" w:lastColumn="0" w:oddVBand="0" w:evenVBand="0" w:oddHBand="0" w:evenHBand="0" w:firstRowFirstColumn="0" w:firstRowLastColumn="0" w:lastRowFirstColumn="0" w:lastRowLastColumn="0"/>
            <w:tcW w:w="1602" w:type="dxa"/>
            <w:noWrap/>
          </w:tcPr>
          <w:p w14:paraId="53028109" w14:textId="77777777" w:rsidR="004C5BC1" w:rsidRPr="001F4248" w:rsidRDefault="004C5BC1" w:rsidP="009757F0">
            <w:pPr>
              <w:keepNext/>
              <w:keepLines/>
              <w:rPr>
                <w:rFonts w:ascii="Calibri" w:hAnsi="Calibri" w:cs="Calibri"/>
                <w:color w:val="000000"/>
                <w:sz w:val="22"/>
                <w:szCs w:val="22"/>
              </w:rPr>
            </w:pPr>
            <w:r w:rsidRPr="001F4248">
              <w:rPr>
                <w:rFonts w:ascii="Calibri" w:hAnsi="Calibri" w:cs="Calibri"/>
                <w:color w:val="000000"/>
                <w:sz w:val="22"/>
                <w:szCs w:val="22"/>
              </w:rPr>
              <w:lastRenderedPageBreak/>
              <w:t>Committee secretariat submissions</w:t>
            </w:r>
          </w:p>
        </w:tc>
        <w:tc>
          <w:tcPr>
            <w:tcW w:w="7470" w:type="dxa"/>
            <w:noWrap/>
          </w:tcPr>
          <w:p w14:paraId="221D1DF9" w14:textId="096626FF" w:rsidR="004C5BC1" w:rsidRPr="001F4248" w:rsidRDefault="004C5BC1" w:rsidP="009757F0">
            <w:pPr>
              <w:keepNext/>
              <w:keepLines/>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4248">
              <w:rPr>
                <w:rFonts w:ascii="Calibri" w:hAnsi="Calibri" w:cs="Calibri"/>
                <w:color w:val="000000"/>
                <w:sz w:val="22"/>
                <w:szCs w:val="22"/>
              </w:rPr>
              <w:t xml:space="preserve">Committee secretariat submissions relate to applications where the requested listing changes do not require </w:t>
            </w:r>
            <w:r w:rsidRPr="001F4248" w:rsidDel="007E6244">
              <w:rPr>
                <w:rFonts w:ascii="Calibri" w:hAnsi="Calibri" w:cs="Calibri"/>
                <w:color w:val="000000"/>
                <w:sz w:val="22"/>
                <w:szCs w:val="22"/>
              </w:rPr>
              <w:t xml:space="preserve">the </w:t>
            </w:r>
            <w:r w:rsidRPr="001F4248">
              <w:rPr>
                <w:rFonts w:ascii="Calibri" w:hAnsi="Calibri" w:cs="Calibri"/>
                <w:color w:val="000000"/>
                <w:sz w:val="22"/>
                <w:szCs w:val="22"/>
              </w:rPr>
              <w:t xml:space="preserve">PBAC to consider comparative effectiveness, cost-effectiveness or clinical need: </w:t>
            </w:r>
          </w:p>
          <w:p w14:paraId="52139BEB" w14:textId="462B7727" w:rsidR="004C5BC1" w:rsidRPr="001F4248" w:rsidRDefault="004C5BC1" w:rsidP="00651D54">
            <w:pPr>
              <w:pStyle w:val="ListParagraph"/>
              <w:keepNext/>
              <w:keepLines/>
              <w:numPr>
                <w:ilvl w:val="0"/>
                <w:numId w:val="24"/>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4248">
              <w:rPr>
                <w:rFonts w:ascii="Calibri" w:hAnsi="Calibri" w:cs="Calibri"/>
                <w:color w:val="000000"/>
                <w:sz w:val="22"/>
                <w:szCs w:val="22"/>
              </w:rPr>
              <w:t>there is no difference in patient safety or population for the new pharmaceutical item in the submission compared to an already-listed pharmaceutical item</w:t>
            </w:r>
            <w:r w:rsidR="00B660C5">
              <w:rPr>
                <w:rFonts w:ascii="Calibri" w:hAnsi="Calibri" w:cs="Calibri"/>
                <w:color w:val="000000"/>
                <w:sz w:val="22"/>
                <w:szCs w:val="22"/>
              </w:rPr>
              <w:t>,</w:t>
            </w:r>
            <w:r w:rsidRPr="001F4248">
              <w:rPr>
                <w:rFonts w:ascii="Calibri" w:hAnsi="Calibri" w:cs="Calibri"/>
                <w:color w:val="000000"/>
                <w:sz w:val="22"/>
                <w:szCs w:val="22"/>
              </w:rPr>
              <w:t xml:space="preserve"> and </w:t>
            </w:r>
          </w:p>
          <w:p w14:paraId="555164A1" w14:textId="77777777" w:rsidR="004C5BC1" w:rsidRPr="001F4248" w:rsidRDefault="004C5BC1" w:rsidP="00651D54">
            <w:pPr>
              <w:pStyle w:val="ListParagraph"/>
              <w:keepNext/>
              <w:keepLines/>
              <w:numPr>
                <w:ilvl w:val="0"/>
                <w:numId w:val="23"/>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4248">
              <w:rPr>
                <w:rFonts w:ascii="Calibri" w:hAnsi="Calibri" w:cs="Calibri"/>
                <w:color w:val="000000"/>
                <w:sz w:val="22"/>
                <w:szCs w:val="22"/>
              </w:rPr>
              <w:t>there is no financial effect associated with the proposed change to the PBS.</w:t>
            </w:r>
          </w:p>
        </w:tc>
      </w:tr>
      <w:tr w:rsidR="004C5BC1" w:rsidRPr="00295D2D" w14:paraId="3E4B378E" w14:textId="77777777" w:rsidTr="001F4248">
        <w:trPr>
          <w:cnfStyle w:val="000000010000" w:firstRow="0" w:lastRow="0" w:firstColumn="0" w:lastColumn="0" w:oddVBand="0" w:evenVBand="0" w:oddHBand="0" w:evenHBand="1"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tcPr>
          <w:p w14:paraId="27455CD3" w14:textId="77777777" w:rsidR="004C5BC1" w:rsidRPr="001F4248" w:rsidRDefault="004C5BC1" w:rsidP="009757F0">
            <w:pPr>
              <w:keepNext/>
              <w:keepLines/>
              <w:rPr>
                <w:rFonts w:ascii="Calibri" w:hAnsi="Calibri" w:cs="Calibri"/>
                <w:color w:val="000000"/>
                <w:sz w:val="22"/>
                <w:szCs w:val="22"/>
              </w:rPr>
            </w:pPr>
            <w:r w:rsidRPr="001F4248">
              <w:rPr>
                <w:rFonts w:ascii="Calibri" w:hAnsi="Calibri" w:cs="Calibri"/>
                <w:color w:val="000000"/>
                <w:sz w:val="22"/>
                <w:szCs w:val="22"/>
              </w:rPr>
              <w:t>New brand or new oral form of existing pharmaceutical item</w:t>
            </w:r>
          </w:p>
        </w:tc>
        <w:tc>
          <w:tcPr>
            <w:tcW w:w="7470" w:type="dxa"/>
            <w:noWrap/>
          </w:tcPr>
          <w:p w14:paraId="2B06C89F" w14:textId="049033F2" w:rsidR="004C5BC1" w:rsidRPr="001F4248" w:rsidRDefault="004C5BC1" w:rsidP="009757F0">
            <w:pPr>
              <w:keepNext/>
              <w:keepLines/>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1F4248">
              <w:rPr>
                <w:rFonts w:ascii="Calibri" w:hAnsi="Calibri" w:cs="Calibri"/>
                <w:color w:val="000000"/>
                <w:sz w:val="22"/>
                <w:szCs w:val="22"/>
              </w:rPr>
              <w:t xml:space="preserve">Applications that do not require </w:t>
            </w:r>
            <w:r w:rsidR="008853BD" w:rsidDel="007E6244">
              <w:rPr>
                <w:rFonts w:ascii="Calibri" w:hAnsi="Calibri" w:cs="Calibri"/>
                <w:color w:val="000000"/>
                <w:sz w:val="22"/>
                <w:szCs w:val="22"/>
              </w:rPr>
              <w:t xml:space="preserve">the </w:t>
            </w:r>
            <w:r w:rsidRPr="001F4248">
              <w:rPr>
                <w:rFonts w:ascii="Calibri" w:hAnsi="Calibri" w:cs="Calibri"/>
                <w:color w:val="000000"/>
                <w:sz w:val="22"/>
                <w:szCs w:val="22"/>
              </w:rPr>
              <w:t xml:space="preserve">PBAC consideration for listing an additional brand (a generic medicine) or new oral form of an existing TGA-approved and PBS-listed pharmaceutical item should be lodged directly to the </w:t>
            </w:r>
            <w:r w:rsidR="00B70D07">
              <w:rPr>
                <w:rFonts w:ascii="Calibri" w:hAnsi="Calibri" w:cs="Calibri"/>
                <w:color w:val="000000"/>
                <w:sz w:val="22"/>
                <w:szCs w:val="22"/>
              </w:rPr>
              <w:t>D</w:t>
            </w:r>
            <w:r w:rsidRPr="001F4248">
              <w:rPr>
                <w:rFonts w:ascii="Calibri" w:hAnsi="Calibri" w:cs="Calibri"/>
                <w:color w:val="000000"/>
                <w:sz w:val="22"/>
                <w:szCs w:val="22"/>
              </w:rPr>
              <w:t>epartment</w:t>
            </w:r>
            <w:r w:rsidR="00B70D07">
              <w:rPr>
                <w:rFonts w:ascii="Calibri" w:hAnsi="Calibri" w:cs="Calibri"/>
                <w:color w:val="000000"/>
                <w:sz w:val="22"/>
                <w:szCs w:val="22"/>
              </w:rPr>
              <w:t xml:space="preserve"> of Health and Aged Care</w:t>
            </w:r>
            <w:r w:rsidRPr="001F4248">
              <w:rPr>
                <w:rFonts w:ascii="Calibri" w:hAnsi="Calibri" w:cs="Calibri"/>
                <w:color w:val="000000"/>
                <w:sz w:val="22"/>
                <w:szCs w:val="22"/>
              </w:rPr>
              <w:t xml:space="preserve">. Evidence of equivalence from the TGA must also be provided.  </w:t>
            </w:r>
          </w:p>
        </w:tc>
      </w:tr>
    </w:tbl>
    <w:p w14:paraId="1B38636C" w14:textId="5D4AE8C5" w:rsidR="00DB54DC" w:rsidRDefault="00DB54DC" w:rsidP="00DB54DC">
      <w:pPr>
        <w:pStyle w:val="Heading3"/>
      </w:pPr>
      <w:r>
        <w:t>What assessment is made and what information is used to make the assessment?</w:t>
      </w:r>
    </w:p>
    <w:p w14:paraId="20E5BA7F" w14:textId="3118EBC6" w:rsidR="00CE41F9" w:rsidRDefault="004215AE" w:rsidP="00CE41F9">
      <w:r>
        <w:t xml:space="preserve">When deciding whether to recommend a medicine </w:t>
      </w:r>
      <w:r w:rsidR="00BD1814">
        <w:t>fo</w:t>
      </w:r>
      <w:r w:rsidR="00FF617D">
        <w:t>r listing on</w:t>
      </w:r>
      <w:r>
        <w:t xml:space="preserve"> the PBS, </w:t>
      </w:r>
      <w:r w:rsidDel="001A7BBA">
        <w:t xml:space="preserve">the </w:t>
      </w:r>
      <w:r>
        <w:t xml:space="preserve">PBAC undertakes an assessment of effectiveness and cost of the medicine in comparison </w:t>
      </w:r>
      <w:r w:rsidR="00AA50BA">
        <w:t xml:space="preserve">to </w:t>
      </w:r>
      <w:r>
        <w:t xml:space="preserve">alternative therapies. </w:t>
      </w:r>
      <w:r w:rsidR="00124E9B">
        <w:t>If</w:t>
      </w:r>
      <w:r w:rsidR="00124E9B" w:rsidDel="00CE6843">
        <w:t xml:space="preserve"> </w:t>
      </w:r>
      <w:r w:rsidR="00124E9B">
        <w:t>PBAC recommends listing of a new medicine on the PBS that is more costly than alternative therapies, it</w:t>
      </w:r>
      <w:r>
        <w:t xml:space="preserve"> must satisfy itself that any additional cost of a medicine over alternative therapies is commensurate with a</w:t>
      </w:r>
      <w:r w:rsidR="00534CED">
        <w:t xml:space="preserve"> significant</w:t>
      </w:r>
      <w:r>
        <w:t xml:space="preserve"> improvement in efficacy or reduction in toxicity </w:t>
      </w:r>
      <w:r w:rsidR="006D3DB9">
        <w:t xml:space="preserve">compared to the </w:t>
      </w:r>
      <w:r>
        <w:t>alternative</w:t>
      </w:r>
      <w:r w:rsidR="006D3DB9">
        <w:t>s</w:t>
      </w:r>
      <w:r>
        <w:t xml:space="preserve">. </w:t>
      </w:r>
    </w:p>
    <w:p w14:paraId="0D34C2EA" w14:textId="1EF62277" w:rsidR="004215AE" w:rsidRDefault="00C61D3F" w:rsidP="00CE41F9">
      <w:r>
        <w:t>How the</w:t>
      </w:r>
      <w:r w:rsidR="004215AE">
        <w:t xml:space="preserve"> PBAC</w:t>
      </w:r>
      <w:r>
        <w:t xml:space="preserve"> makes its</w:t>
      </w:r>
      <w:r w:rsidR="004215AE">
        <w:t xml:space="preserve"> assessment depends on the submission type as set out in Table </w:t>
      </w:r>
      <w:r w:rsidR="00A3449D">
        <w:t>4</w:t>
      </w:r>
      <w:r w:rsidR="004215AE">
        <w:t xml:space="preserve">. </w:t>
      </w:r>
    </w:p>
    <w:p w14:paraId="3FD1C84B" w14:textId="5E6C7F42" w:rsidR="00D42F42" w:rsidRDefault="00D42F42" w:rsidP="00D42F42">
      <w:pPr>
        <w:pStyle w:val="Heading4"/>
      </w:pPr>
      <w:r>
        <w:t xml:space="preserve">Table </w:t>
      </w:r>
      <w:r w:rsidR="00B97D53">
        <w:t>4</w:t>
      </w:r>
      <w:r>
        <w:t xml:space="preserve">. </w:t>
      </w:r>
      <w:r w:rsidR="00DB54DC">
        <w:t>What assessment is made for different PBAC submissions</w:t>
      </w:r>
    </w:p>
    <w:tbl>
      <w:tblPr>
        <w:tblStyle w:val="DepartmentofHealthtable1"/>
        <w:tblW w:w="9072" w:type="dxa"/>
        <w:tblLook w:val="04A0" w:firstRow="1" w:lastRow="0" w:firstColumn="1" w:lastColumn="0" w:noHBand="0" w:noVBand="1"/>
      </w:tblPr>
      <w:tblGrid>
        <w:gridCol w:w="1602"/>
        <w:gridCol w:w="7470"/>
      </w:tblGrid>
      <w:tr w:rsidR="00CE41F9" w:rsidRPr="001F4248" w14:paraId="26DC145F" w14:textId="77777777" w:rsidTr="002C7227">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7E5070BA" w14:textId="77777777" w:rsidR="00CE41F9" w:rsidRPr="001F4248" w:rsidRDefault="00CE41F9" w:rsidP="002C7227">
            <w:pPr>
              <w:spacing w:before="0"/>
              <w:rPr>
                <w:rFonts w:ascii="Calibri" w:hAnsi="Calibri" w:cs="Calibri"/>
                <w:b/>
                <w:bCs/>
                <w:color w:val="FFFFFF"/>
                <w:szCs w:val="22"/>
              </w:rPr>
            </w:pPr>
            <w:r w:rsidRPr="001F4248">
              <w:rPr>
                <w:rFonts w:ascii="Calibri" w:hAnsi="Calibri" w:cs="Calibri"/>
                <w:b/>
                <w:bCs/>
                <w:color w:val="FFFFFF"/>
                <w:szCs w:val="22"/>
              </w:rPr>
              <w:t>Category</w:t>
            </w:r>
          </w:p>
        </w:tc>
        <w:tc>
          <w:tcPr>
            <w:tcW w:w="7470" w:type="dxa"/>
            <w:noWrap/>
            <w:vAlign w:val="center"/>
            <w:hideMark/>
          </w:tcPr>
          <w:p w14:paraId="6F017B17" w14:textId="3D8747F1" w:rsidR="00CE41F9" w:rsidRPr="001F4248" w:rsidRDefault="00DB54DC" w:rsidP="002C7227">
            <w:pPr>
              <w:spacing w:before="0"/>
              <w:cnfStyle w:val="100000000000" w:firstRow="1" w:lastRow="0" w:firstColumn="0" w:lastColumn="0" w:oddVBand="0" w:evenVBand="0" w:oddHBand="0" w:evenHBand="0" w:firstRowFirstColumn="0" w:firstRowLastColumn="0" w:lastRowFirstColumn="0" w:lastRowLastColumn="0"/>
              <w:rPr>
                <w:rFonts w:ascii="Calibri" w:hAnsi="Calibri" w:cs="Calibri"/>
                <w:b/>
                <w:bCs/>
                <w:color w:val="FFFFFF"/>
                <w:szCs w:val="22"/>
              </w:rPr>
            </w:pPr>
            <w:r>
              <w:rPr>
                <w:rFonts w:ascii="Calibri" w:hAnsi="Calibri" w:cs="Calibri"/>
                <w:b/>
                <w:bCs/>
                <w:color w:val="FFFFFF"/>
                <w:szCs w:val="22"/>
              </w:rPr>
              <w:t>What assessment is made</w:t>
            </w:r>
          </w:p>
        </w:tc>
      </w:tr>
      <w:tr w:rsidR="00CE41F9" w:rsidRPr="001F4248" w14:paraId="173E66E3" w14:textId="77777777" w:rsidTr="002C7227">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hideMark/>
          </w:tcPr>
          <w:p w14:paraId="64065375" w14:textId="77777777" w:rsidR="00CE41F9" w:rsidRPr="001F4248" w:rsidRDefault="00CE41F9" w:rsidP="002C7227">
            <w:pPr>
              <w:rPr>
                <w:rFonts w:ascii="Calibri" w:hAnsi="Calibri" w:cs="Calibri"/>
                <w:color w:val="000000"/>
                <w:sz w:val="22"/>
                <w:szCs w:val="22"/>
              </w:rPr>
            </w:pPr>
            <w:r w:rsidRPr="001F4248">
              <w:rPr>
                <w:rFonts w:ascii="Calibri" w:hAnsi="Calibri" w:cs="Calibri"/>
                <w:color w:val="000000"/>
                <w:sz w:val="22"/>
                <w:szCs w:val="22"/>
              </w:rPr>
              <w:t>Category 1</w:t>
            </w:r>
          </w:p>
        </w:tc>
        <w:tc>
          <w:tcPr>
            <w:tcW w:w="7470" w:type="dxa"/>
            <w:noWrap/>
          </w:tcPr>
          <w:p w14:paraId="402CF1A0" w14:textId="010C0AB7" w:rsidR="00CE41F9" w:rsidRPr="001F4248" w:rsidRDefault="00CE41F9" w:rsidP="002C72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E41F9">
              <w:rPr>
                <w:rFonts w:ascii="Calibri" w:hAnsi="Calibri" w:cs="Calibri"/>
                <w:color w:val="000000"/>
                <w:sz w:val="22"/>
                <w:szCs w:val="22"/>
              </w:rPr>
              <w:t xml:space="preserve">These submissions require </w:t>
            </w:r>
            <w:r w:rsidRPr="00CE41F9" w:rsidDel="00911DB6">
              <w:rPr>
                <w:rFonts w:ascii="Calibri" w:hAnsi="Calibri" w:cs="Calibri"/>
                <w:color w:val="000000"/>
                <w:sz w:val="22"/>
                <w:szCs w:val="22"/>
              </w:rPr>
              <w:t xml:space="preserve">the </w:t>
            </w:r>
            <w:r w:rsidRPr="00CE41F9">
              <w:rPr>
                <w:rFonts w:ascii="Calibri" w:hAnsi="Calibri" w:cs="Calibri"/>
                <w:color w:val="000000"/>
                <w:sz w:val="22"/>
                <w:szCs w:val="22"/>
              </w:rPr>
              <w:t>PBAC to assess the magnitude of clinical improvement or toxicity reduction, the incremental cost and the comparative costs and outcomes where an economic evaluation is required to support a claim of cost-effectiveness, cost-utility or cost minimisation.</w:t>
            </w:r>
          </w:p>
        </w:tc>
      </w:tr>
      <w:tr w:rsidR="00CE41F9" w:rsidRPr="001F4248" w14:paraId="27C1C349" w14:textId="77777777" w:rsidTr="002C7227">
        <w:trPr>
          <w:cnfStyle w:val="000000010000" w:firstRow="0" w:lastRow="0" w:firstColumn="0" w:lastColumn="0" w:oddVBand="0" w:evenVBand="0" w:oddHBand="0" w:evenHBand="1"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tcPr>
          <w:p w14:paraId="4FFDCB2F" w14:textId="77777777" w:rsidR="00CE41F9" w:rsidRPr="001F4248" w:rsidRDefault="00CE41F9" w:rsidP="002C7227">
            <w:pPr>
              <w:rPr>
                <w:rFonts w:ascii="Calibri" w:hAnsi="Calibri" w:cs="Calibri"/>
                <w:color w:val="000000"/>
                <w:sz w:val="22"/>
                <w:szCs w:val="22"/>
              </w:rPr>
            </w:pPr>
            <w:r w:rsidRPr="001F4248">
              <w:rPr>
                <w:rFonts w:ascii="Calibri" w:hAnsi="Calibri" w:cs="Calibri"/>
                <w:color w:val="000000"/>
                <w:sz w:val="22"/>
                <w:szCs w:val="22"/>
              </w:rPr>
              <w:t>Category 2</w:t>
            </w:r>
          </w:p>
        </w:tc>
        <w:tc>
          <w:tcPr>
            <w:tcW w:w="7470" w:type="dxa"/>
            <w:noWrap/>
          </w:tcPr>
          <w:p w14:paraId="01474F81" w14:textId="6C8513BC" w:rsidR="00CE41F9" w:rsidRPr="001F4248" w:rsidRDefault="00CE41F9" w:rsidP="002C7227">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CE41F9">
              <w:rPr>
                <w:rFonts w:ascii="Calibri" w:hAnsi="Calibri" w:cs="Calibri"/>
                <w:color w:val="000000"/>
                <w:sz w:val="22"/>
                <w:szCs w:val="22"/>
              </w:rPr>
              <w:t xml:space="preserve">These submissions require </w:t>
            </w:r>
            <w:r w:rsidRPr="00CE41F9" w:rsidDel="00AE6BB7">
              <w:rPr>
                <w:rFonts w:ascii="Calibri" w:hAnsi="Calibri" w:cs="Calibri"/>
                <w:color w:val="000000"/>
                <w:sz w:val="22"/>
                <w:szCs w:val="22"/>
              </w:rPr>
              <w:t xml:space="preserve">the </w:t>
            </w:r>
            <w:r w:rsidRPr="00CE41F9">
              <w:rPr>
                <w:rFonts w:ascii="Calibri" w:hAnsi="Calibri" w:cs="Calibri"/>
                <w:color w:val="000000"/>
                <w:sz w:val="22"/>
                <w:szCs w:val="22"/>
              </w:rPr>
              <w:t>PBAC to assess the magnitude of clinical improvement or toxicity reduction, the incremental cost and the comparative costs and outcomes where an economic evaluation is required to support a claim of cost-effectiveness, cost-utility or cost minimisation.</w:t>
            </w:r>
          </w:p>
        </w:tc>
      </w:tr>
      <w:tr w:rsidR="00CE41F9" w:rsidRPr="001F4248" w14:paraId="53594DFA" w14:textId="77777777" w:rsidTr="002C7227">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tcPr>
          <w:p w14:paraId="4F6D7C92" w14:textId="77777777" w:rsidR="00CE41F9" w:rsidRPr="001F4248" w:rsidRDefault="00CE41F9" w:rsidP="002C7227">
            <w:pPr>
              <w:rPr>
                <w:rFonts w:ascii="Calibri" w:hAnsi="Calibri" w:cs="Calibri"/>
                <w:color w:val="000000"/>
                <w:sz w:val="22"/>
                <w:szCs w:val="22"/>
              </w:rPr>
            </w:pPr>
            <w:r w:rsidRPr="001F4248">
              <w:rPr>
                <w:rFonts w:ascii="Calibri" w:hAnsi="Calibri" w:cs="Calibri"/>
                <w:color w:val="000000"/>
                <w:sz w:val="22"/>
                <w:szCs w:val="22"/>
              </w:rPr>
              <w:t>Category 3</w:t>
            </w:r>
          </w:p>
        </w:tc>
        <w:tc>
          <w:tcPr>
            <w:tcW w:w="7470" w:type="dxa"/>
            <w:noWrap/>
          </w:tcPr>
          <w:p w14:paraId="3650C318" w14:textId="2703D4ED" w:rsidR="00CE41F9" w:rsidRPr="001F4248" w:rsidRDefault="00C90FFB" w:rsidP="002C72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90FFB">
              <w:rPr>
                <w:rFonts w:ascii="Calibri" w:hAnsi="Calibri" w:cs="Calibri"/>
                <w:color w:val="000000"/>
                <w:sz w:val="22"/>
                <w:szCs w:val="22"/>
              </w:rPr>
              <w:t xml:space="preserve">Although </w:t>
            </w:r>
            <w:r w:rsidRPr="00C90FFB" w:rsidDel="00C31BE3">
              <w:rPr>
                <w:rFonts w:ascii="Calibri" w:hAnsi="Calibri" w:cs="Calibri"/>
                <w:color w:val="000000"/>
                <w:sz w:val="22"/>
                <w:szCs w:val="22"/>
              </w:rPr>
              <w:t xml:space="preserve">the </w:t>
            </w:r>
            <w:r w:rsidRPr="00C90FFB">
              <w:rPr>
                <w:rFonts w:ascii="Calibri" w:hAnsi="Calibri" w:cs="Calibri"/>
                <w:color w:val="000000"/>
                <w:sz w:val="22"/>
                <w:szCs w:val="22"/>
              </w:rPr>
              <w:t>PBAC will assess the clinical need for</w:t>
            </w:r>
            <w:r w:rsidR="008A1EF5">
              <w:rPr>
                <w:rFonts w:ascii="Calibri" w:hAnsi="Calibri" w:cs="Calibri"/>
                <w:color w:val="000000"/>
                <w:sz w:val="22"/>
                <w:szCs w:val="22"/>
              </w:rPr>
              <w:t>,</w:t>
            </w:r>
            <w:r w:rsidRPr="00C90FFB">
              <w:rPr>
                <w:rFonts w:ascii="Calibri" w:hAnsi="Calibri" w:cs="Calibri"/>
                <w:color w:val="000000"/>
                <w:sz w:val="22"/>
                <w:szCs w:val="22"/>
              </w:rPr>
              <w:t xml:space="preserve"> and clinical effectiveness of</w:t>
            </w:r>
            <w:r w:rsidR="008A1EF5">
              <w:rPr>
                <w:rFonts w:ascii="Calibri" w:hAnsi="Calibri" w:cs="Calibri"/>
                <w:color w:val="000000"/>
                <w:sz w:val="22"/>
                <w:szCs w:val="22"/>
              </w:rPr>
              <w:t>,</w:t>
            </w:r>
            <w:r w:rsidRPr="00C90FFB">
              <w:rPr>
                <w:rFonts w:ascii="Calibri" w:hAnsi="Calibri" w:cs="Calibri"/>
                <w:color w:val="000000"/>
                <w:sz w:val="22"/>
                <w:szCs w:val="22"/>
              </w:rPr>
              <w:t xml:space="preserve"> the requested listing, an economic evaluation is not necessary to support the claims made in the submission. Additionally, the financial estimates do not require </w:t>
            </w:r>
            <w:r w:rsidRPr="00C90FFB" w:rsidDel="006F3885">
              <w:rPr>
                <w:rFonts w:ascii="Calibri" w:hAnsi="Calibri" w:cs="Calibri"/>
                <w:color w:val="000000"/>
                <w:sz w:val="22"/>
                <w:szCs w:val="22"/>
              </w:rPr>
              <w:t xml:space="preserve">the </w:t>
            </w:r>
            <w:r w:rsidRPr="00C90FFB">
              <w:rPr>
                <w:rFonts w:ascii="Calibri" w:hAnsi="Calibri" w:cs="Calibri"/>
                <w:color w:val="000000"/>
                <w:sz w:val="22"/>
                <w:szCs w:val="22"/>
              </w:rPr>
              <w:t>PBAC to assess any substantial financial implications for the supply of a listed medicine.</w:t>
            </w:r>
          </w:p>
        </w:tc>
      </w:tr>
      <w:tr w:rsidR="00CE41F9" w:rsidRPr="001F4248" w14:paraId="321BE19E" w14:textId="77777777" w:rsidTr="002C7227">
        <w:trPr>
          <w:cnfStyle w:val="000000010000" w:firstRow="0" w:lastRow="0" w:firstColumn="0" w:lastColumn="0" w:oddVBand="0" w:evenVBand="0" w:oddHBand="0" w:evenHBand="1"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tcPr>
          <w:p w14:paraId="24115CFE" w14:textId="77777777" w:rsidR="00CE41F9" w:rsidRPr="001F4248" w:rsidRDefault="00CE41F9" w:rsidP="002C7227">
            <w:pPr>
              <w:rPr>
                <w:rFonts w:ascii="Calibri" w:hAnsi="Calibri" w:cs="Calibri"/>
                <w:color w:val="000000"/>
                <w:sz w:val="22"/>
                <w:szCs w:val="22"/>
              </w:rPr>
            </w:pPr>
            <w:r w:rsidRPr="001F4248">
              <w:rPr>
                <w:rFonts w:ascii="Calibri" w:hAnsi="Calibri" w:cs="Calibri"/>
                <w:color w:val="000000"/>
                <w:sz w:val="22"/>
                <w:szCs w:val="22"/>
              </w:rPr>
              <w:t>Category 4</w:t>
            </w:r>
          </w:p>
        </w:tc>
        <w:tc>
          <w:tcPr>
            <w:tcW w:w="7470" w:type="dxa"/>
            <w:noWrap/>
          </w:tcPr>
          <w:p w14:paraId="39133D1A" w14:textId="4EE7DD37" w:rsidR="00CE41F9" w:rsidRPr="001F4248" w:rsidRDefault="00C90FFB" w:rsidP="002C7227">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Varies depending on the submission, an economic evaluation is not necessary to support the claims made in the submission. </w:t>
            </w:r>
          </w:p>
        </w:tc>
      </w:tr>
    </w:tbl>
    <w:p w14:paraId="3724BEA9" w14:textId="48ECA17B" w:rsidR="0082198A" w:rsidRDefault="0082198A" w:rsidP="0082198A">
      <w:r w:rsidRPr="00C32F9E" w:rsidDel="00F93BAE">
        <w:t>The</w:t>
      </w:r>
      <w:r w:rsidR="00EA5C41" w:rsidDel="00F93BAE">
        <w:t xml:space="preserve"> </w:t>
      </w:r>
      <w:r w:rsidR="00EA5C41">
        <w:t>PBAC</w:t>
      </w:r>
      <w:r w:rsidRPr="00C32F9E">
        <w:t xml:space="preserve"> </w:t>
      </w:r>
      <w:r w:rsidR="00EA5C41">
        <w:t>G</w:t>
      </w:r>
      <w:r w:rsidRPr="00C32F9E">
        <w:t xml:space="preserve">uidelines provide detailed instructions on what information is required by the </w:t>
      </w:r>
      <w:r w:rsidR="00095A3F">
        <w:t>committee</w:t>
      </w:r>
      <w:r w:rsidR="00095A3F" w:rsidRPr="00C32F9E">
        <w:t xml:space="preserve"> </w:t>
      </w:r>
      <w:r w:rsidRPr="00C32F9E">
        <w:t>to support a proposed new medicine, and the most appropriate form of clinical evidence and economic evaluation for specific submissions.</w:t>
      </w:r>
      <w:r>
        <w:rPr>
          <w:rStyle w:val="FootnoteReference"/>
        </w:rPr>
        <w:footnoteReference w:id="31"/>
      </w:r>
    </w:p>
    <w:p w14:paraId="72FA104E" w14:textId="1511981D" w:rsidR="00CE41F9" w:rsidRPr="006D536F" w:rsidRDefault="00CB2DE8" w:rsidP="006D536F">
      <w:pPr>
        <w:spacing w:before="0" w:line="240" w:lineRule="auto"/>
        <w:rPr>
          <w:rFonts w:ascii="Times New Roman" w:hAnsi="Times New Roman" w:cs="Times New Roman"/>
          <w:sz w:val="24"/>
          <w:szCs w:val="24"/>
          <w:lang w:eastAsia="en-AU"/>
        </w:rPr>
      </w:pPr>
      <w:r>
        <w:lastRenderedPageBreak/>
        <w:t xml:space="preserve">Category 1 and 2 submissions to </w:t>
      </w:r>
      <w:r w:rsidDel="009D46AE">
        <w:t xml:space="preserve">the </w:t>
      </w:r>
      <w:r>
        <w:t xml:space="preserve">PBAC include the following sections as set out in the </w:t>
      </w:r>
      <w:r w:rsidR="004D406C">
        <w:t xml:space="preserve">committee’s </w:t>
      </w:r>
      <w:r>
        <w:t>guidelines.</w:t>
      </w:r>
      <w:r w:rsidR="00C43F68" w:rsidRPr="00C43F68">
        <w:rPr>
          <w:rStyle w:val="FootnoteReference"/>
          <w:rFonts w:cstheme="minorHAnsi"/>
          <w:color w:val="222222"/>
          <w:szCs w:val="24"/>
        </w:rPr>
        <w:t xml:space="preserve"> </w:t>
      </w:r>
      <w:r w:rsidR="00C43F68" w:rsidRPr="006044E8">
        <w:rPr>
          <w:rStyle w:val="FootnoteReference"/>
          <w:rFonts w:cstheme="minorHAnsi"/>
          <w:color w:val="222222"/>
          <w:szCs w:val="24"/>
        </w:rPr>
        <w:footnoteReference w:id="32"/>
      </w:r>
      <w:r>
        <w:t xml:space="preserve"> </w:t>
      </w:r>
    </w:p>
    <w:p w14:paraId="46C29412" w14:textId="7C87BE54" w:rsidR="00D42F42" w:rsidRPr="00CE41F9" w:rsidRDefault="00D42F42" w:rsidP="00D42F42">
      <w:pPr>
        <w:pStyle w:val="Heading4"/>
      </w:pPr>
      <w:r>
        <w:t xml:space="preserve">Table </w:t>
      </w:r>
      <w:r w:rsidR="00B97D53">
        <w:t>5</w:t>
      </w:r>
      <w:r>
        <w:t>. Sections for submission to the PBAC</w:t>
      </w:r>
    </w:p>
    <w:tbl>
      <w:tblPr>
        <w:tblStyle w:val="DepartmentofHealthtable"/>
        <w:tblW w:w="0" w:type="auto"/>
        <w:tblLook w:val="04A0" w:firstRow="1" w:lastRow="0" w:firstColumn="1" w:lastColumn="0" w:noHBand="0" w:noVBand="1"/>
      </w:tblPr>
      <w:tblGrid>
        <w:gridCol w:w="2376"/>
        <w:gridCol w:w="6640"/>
      </w:tblGrid>
      <w:tr w:rsidR="00C43F68" w14:paraId="67481DE5" w14:textId="77777777" w:rsidTr="00B017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14:paraId="20512A2A" w14:textId="1885593F" w:rsidR="00C43F68" w:rsidRPr="00C43F68" w:rsidRDefault="00C43F68" w:rsidP="00C43F68">
            <w:pPr>
              <w:spacing w:before="0"/>
              <w:rPr>
                <w:rFonts w:asciiTheme="minorHAnsi" w:hAnsiTheme="minorHAnsi" w:cstheme="minorHAnsi"/>
                <w:b/>
                <w:bCs/>
                <w:szCs w:val="22"/>
              </w:rPr>
            </w:pPr>
            <w:r w:rsidRPr="00C43F68">
              <w:rPr>
                <w:rFonts w:asciiTheme="minorHAnsi" w:hAnsiTheme="minorHAnsi" w:cstheme="minorHAnsi"/>
                <w:b/>
                <w:bCs/>
                <w:szCs w:val="22"/>
              </w:rPr>
              <w:t>Section</w:t>
            </w:r>
          </w:p>
        </w:tc>
        <w:tc>
          <w:tcPr>
            <w:tcW w:w="6640" w:type="dxa"/>
          </w:tcPr>
          <w:p w14:paraId="64CB5350" w14:textId="35CBC06B" w:rsidR="00C43F68" w:rsidRPr="00C43F68" w:rsidRDefault="00C43F68" w:rsidP="00C43F6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sidRPr="00C43F68">
              <w:rPr>
                <w:rFonts w:asciiTheme="minorHAnsi" w:hAnsiTheme="minorHAnsi" w:cstheme="minorHAnsi"/>
                <w:b/>
                <w:bCs/>
                <w:szCs w:val="22"/>
              </w:rPr>
              <w:t>Description</w:t>
            </w:r>
          </w:p>
        </w:tc>
      </w:tr>
      <w:tr w:rsidR="00C43F68" w14:paraId="32A06FB2" w14:textId="77777777" w:rsidTr="00C6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4AFC15E" w14:textId="1016011B" w:rsidR="00C43F68" w:rsidRPr="00C43F68" w:rsidRDefault="00C43F68" w:rsidP="00C43F68">
            <w:pPr>
              <w:spacing w:before="0"/>
              <w:rPr>
                <w:rFonts w:asciiTheme="minorHAnsi" w:hAnsiTheme="minorHAnsi" w:cstheme="minorHAnsi"/>
                <w:color w:val="222222"/>
                <w:sz w:val="22"/>
                <w:szCs w:val="22"/>
              </w:rPr>
            </w:pPr>
            <w:r w:rsidRPr="00C43F68">
              <w:rPr>
                <w:rFonts w:asciiTheme="minorHAnsi" w:hAnsiTheme="minorHAnsi" w:cstheme="minorHAnsi"/>
                <w:color w:val="222222"/>
                <w:sz w:val="22"/>
                <w:szCs w:val="22"/>
              </w:rPr>
              <w:t>Section 1 Context</w:t>
            </w:r>
          </w:p>
        </w:tc>
        <w:tc>
          <w:tcPr>
            <w:tcW w:w="6640" w:type="dxa"/>
          </w:tcPr>
          <w:p w14:paraId="759A118E" w14:textId="77A8EBCD" w:rsidR="00C43F68" w:rsidRPr="00C43F68" w:rsidRDefault="00C43F68" w:rsidP="00C43F68">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2"/>
              </w:rPr>
            </w:pPr>
            <w:r w:rsidRPr="00C43F68">
              <w:rPr>
                <w:rFonts w:asciiTheme="minorHAnsi" w:hAnsiTheme="minorHAnsi" w:cstheme="minorHAnsi"/>
                <w:color w:val="222222"/>
                <w:sz w:val="22"/>
                <w:szCs w:val="22"/>
              </w:rPr>
              <w:t>Describes the proposed medicine, its intended use on the PBS and rationale for funding, and the therapy(</w:t>
            </w:r>
            <w:proofErr w:type="spellStart"/>
            <w:r w:rsidRPr="00C43F68">
              <w:rPr>
                <w:rFonts w:asciiTheme="minorHAnsi" w:hAnsiTheme="minorHAnsi" w:cstheme="minorHAnsi"/>
                <w:color w:val="222222"/>
                <w:sz w:val="22"/>
                <w:szCs w:val="22"/>
              </w:rPr>
              <w:t>ies</w:t>
            </w:r>
            <w:proofErr w:type="spellEnd"/>
            <w:r w:rsidRPr="00C43F68">
              <w:rPr>
                <w:rFonts w:asciiTheme="minorHAnsi" w:hAnsiTheme="minorHAnsi" w:cstheme="minorHAnsi"/>
                <w:color w:val="222222"/>
                <w:sz w:val="22"/>
                <w:szCs w:val="22"/>
              </w:rPr>
              <w:t>) likely to be most replaced by prescribers in practice (the ‘main comparator’)</w:t>
            </w:r>
          </w:p>
        </w:tc>
      </w:tr>
      <w:tr w:rsidR="00C43F68" w14:paraId="770C6FA5" w14:textId="77777777" w:rsidTr="00C61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FE9C3EC" w14:textId="0B2C6224" w:rsidR="00C43F68" w:rsidRPr="00C43F68" w:rsidRDefault="00C43F68" w:rsidP="00C43F68">
            <w:pPr>
              <w:spacing w:before="0"/>
              <w:rPr>
                <w:rFonts w:asciiTheme="minorHAnsi" w:hAnsiTheme="minorHAnsi" w:cstheme="minorHAnsi"/>
                <w:color w:val="222222"/>
                <w:sz w:val="22"/>
                <w:szCs w:val="22"/>
              </w:rPr>
            </w:pPr>
            <w:r w:rsidRPr="00C43F68">
              <w:rPr>
                <w:rFonts w:asciiTheme="minorHAnsi" w:hAnsiTheme="minorHAnsi" w:cstheme="minorHAnsi"/>
                <w:color w:val="222222"/>
                <w:sz w:val="22"/>
                <w:szCs w:val="22"/>
              </w:rPr>
              <w:t>Section 2 Clinical evaluation</w:t>
            </w:r>
          </w:p>
        </w:tc>
        <w:tc>
          <w:tcPr>
            <w:tcW w:w="6640" w:type="dxa"/>
          </w:tcPr>
          <w:p w14:paraId="560E20C8" w14:textId="28505382" w:rsidR="00C43F68" w:rsidRPr="00C43F68" w:rsidRDefault="00C43F68" w:rsidP="00C43F68">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22222"/>
                <w:sz w:val="22"/>
                <w:szCs w:val="22"/>
              </w:rPr>
            </w:pPr>
            <w:r w:rsidRPr="00C43F68">
              <w:rPr>
                <w:rFonts w:asciiTheme="minorHAnsi" w:hAnsiTheme="minorHAnsi" w:cstheme="minorHAnsi"/>
                <w:color w:val="222222"/>
                <w:sz w:val="22"/>
                <w:szCs w:val="22"/>
              </w:rPr>
              <w:t>Provides the best available evidence comparing the clinical performance of the proposed medicine with that of the main comparator (preferably from direct randomised trials, or, if these are not available, from other suitable trials or studies). Concludes with a therapeutic conclusion stating whether the proposed medicine is superior, noninferior or inferior to the main comparator, taking account of any differences between the trial population and circumstances of use, and those proposed for the listing (applicability).</w:t>
            </w:r>
          </w:p>
        </w:tc>
      </w:tr>
      <w:tr w:rsidR="00C43F68" w14:paraId="3837C860" w14:textId="77777777" w:rsidTr="00C61D3F">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2376" w:type="dxa"/>
          </w:tcPr>
          <w:p w14:paraId="332408B9" w14:textId="7797087F" w:rsidR="00C43F68" w:rsidRPr="00C43F68" w:rsidRDefault="00C43F68" w:rsidP="00C43F68">
            <w:pPr>
              <w:spacing w:before="0"/>
              <w:rPr>
                <w:rFonts w:asciiTheme="minorHAnsi" w:hAnsiTheme="minorHAnsi" w:cstheme="minorHAnsi"/>
                <w:color w:val="222222"/>
                <w:sz w:val="22"/>
                <w:szCs w:val="22"/>
              </w:rPr>
            </w:pPr>
            <w:r w:rsidRPr="00C43F68">
              <w:rPr>
                <w:rFonts w:asciiTheme="minorHAnsi" w:hAnsiTheme="minorHAnsi" w:cstheme="minorHAnsi"/>
                <w:color w:val="222222"/>
                <w:sz w:val="22"/>
                <w:szCs w:val="22"/>
              </w:rPr>
              <w:t>Section 3 Economic evaluation</w:t>
            </w:r>
          </w:p>
        </w:tc>
        <w:tc>
          <w:tcPr>
            <w:tcW w:w="6640" w:type="dxa"/>
          </w:tcPr>
          <w:p w14:paraId="5C45E6F7" w14:textId="3E49714B" w:rsidR="00C43F68" w:rsidRPr="00C43F68" w:rsidRDefault="00C43F68" w:rsidP="00C43F68">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2"/>
              </w:rPr>
            </w:pPr>
            <w:r w:rsidRPr="00C43F68">
              <w:rPr>
                <w:rFonts w:asciiTheme="minorHAnsi" w:hAnsiTheme="minorHAnsi" w:cstheme="minorHAnsi"/>
                <w:color w:val="222222"/>
                <w:sz w:val="22"/>
                <w:szCs w:val="22"/>
              </w:rPr>
              <w:t>Presents an economic evaluation of the consequences of substituting the proposed medicine for the main comparator in the context of the listing requested.</w:t>
            </w:r>
          </w:p>
          <w:p w14:paraId="086F7DBF" w14:textId="77777777" w:rsidR="00C43F68" w:rsidRPr="00C43F68" w:rsidRDefault="00C43F68" w:rsidP="00C43F68">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2"/>
              </w:rPr>
            </w:pPr>
          </w:p>
        </w:tc>
      </w:tr>
      <w:tr w:rsidR="00C43F68" w14:paraId="53F7E0C7" w14:textId="77777777" w:rsidTr="00C61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F0EE95C" w14:textId="705605B0" w:rsidR="00C43F68" w:rsidRPr="00C43F68" w:rsidRDefault="00C43F68" w:rsidP="00C43F68">
            <w:pPr>
              <w:spacing w:before="0"/>
              <w:rPr>
                <w:rFonts w:asciiTheme="minorHAnsi" w:hAnsiTheme="minorHAnsi" w:cstheme="minorHAnsi"/>
                <w:color w:val="222222"/>
                <w:sz w:val="22"/>
                <w:szCs w:val="22"/>
              </w:rPr>
            </w:pPr>
            <w:r w:rsidRPr="00C43F68">
              <w:rPr>
                <w:rFonts w:asciiTheme="minorHAnsi" w:hAnsiTheme="minorHAnsi" w:cstheme="minorHAnsi"/>
                <w:color w:val="222222"/>
                <w:sz w:val="22"/>
                <w:szCs w:val="22"/>
              </w:rPr>
              <w:t>Section 4 Use of the medicine in practice</w:t>
            </w:r>
          </w:p>
        </w:tc>
        <w:tc>
          <w:tcPr>
            <w:tcW w:w="6640" w:type="dxa"/>
          </w:tcPr>
          <w:p w14:paraId="0A1B4A23" w14:textId="7E9D9406" w:rsidR="00C43F68" w:rsidRPr="002F0514" w:rsidRDefault="00C43F68" w:rsidP="00C43F68">
            <w:pPr>
              <w:spacing w:befor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43F68">
              <w:rPr>
                <w:rFonts w:asciiTheme="minorHAnsi" w:hAnsiTheme="minorHAnsi" w:cstheme="minorHAnsi"/>
                <w:color w:val="222222"/>
                <w:sz w:val="22"/>
                <w:szCs w:val="22"/>
              </w:rPr>
              <w:t>Includes the predicted extent of use of the medicine, and financial analyses for the PBS/Repatriation Pharmaceutical Benefits Scheme (RPBS) and the Australian Government health budget</w:t>
            </w:r>
          </w:p>
        </w:tc>
      </w:tr>
      <w:tr w:rsidR="00C43F68" w14:paraId="72424A9F" w14:textId="77777777" w:rsidTr="00C6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77717BE" w14:textId="3E1AC396" w:rsidR="00C43F68" w:rsidRPr="00C43F68" w:rsidRDefault="00C43F68" w:rsidP="00C43F68">
            <w:pPr>
              <w:spacing w:before="0"/>
              <w:rPr>
                <w:rFonts w:asciiTheme="minorHAnsi" w:hAnsiTheme="minorHAnsi" w:cstheme="minorHAnsi"/>
                <w:color w:val="222222"/>
                <w:sz w:val="22"/>
                <w:szCs w:val="22"/>
              </w:rPr>
            </w:pPr>
            <w:r w:rsidRPr="00C43F68">
              <w:rPr>
                <w:rFonts w:asciiTheme="minorHAnsi" w:hAnsiTheme="minorHAnsi" w:cstheme="minorHAnsi"/>
                <w:color w:val="222222"/>
                <w:sz w:val="22"/>
                <w:szCs w:val="22"/>
              </w:rPr>
              <w:t>Section 5 - Options to present additional relevant information</w:t>
            </w:r>
          </w:p>
        </w:tc>
        <w:tc>
          <w:tcPr>
            <w:tcW w:w="6640" w:type="dxa"/>
          </w:tcPr>
          <w:p w14:paraId="5ED6D1FA" w14:textId="5A42E5EA" w:rsidR="00C43F68" w:rsidRPr="00C43F68" w:rsidRDefault="00C43F68" w:rsidP="00C43F68">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2"/>
              </w:rPr>
            </w:pPr>
            <w:r w:rsidRPr="00C43F68">
              <w:rPr>
                <w:rFonts w:asciiTheme="minorHAnsi" w:hAnsiTheme="minorHAnsi" w:cstheme="minorHAnsi"/>
                <w:color w:val="222222"/>
                <w:sz w:val="22"/>
                <w:szCs w:val="22"/>
              </w:rPr>
              <w:t>Includes any other relevant information to support a submission</w:t>
            </w:r>
          </w:p>
        </w:tc>
      </w:tr>
    </w:tbl>
    <w:p w14:paraId="15389605" w14:textId="77777777" w:rsidR="00081EFB" w:rsidRDefault="00081EFB" w:rsidP="00081EFB">
      <w:pPr>
        <w:pStyle w:val="Heading3"/>
      </w:pPr>
      <w:r>
        <w:t>Consideration of evidence from patients, consumers and others</w:t>
      </w:r>
    </w:p>
    <w:p w14:paraId="36E00347" w14:textId="6A4F67D2" w:rsidR="00081EFB" w:rsidRPr="002F0514" w:rsidRDefault="00081EFB" w:rsidP="00081EFB">
      <w:pPr>
        <w:spacing w:before="0" w:line="240" w:lineRule="auto"/>
        <w:rPr>
          <w:rFonts w:ascii="Times New Roman" w:hAnsi="Times New Roman" w:cs="Times New Roman"/>
          <w:sz w:val="24"/>
          <w:szCs w:val="24"/>
          <w:lang w:eastAsia="en-AU"/>
        </w:rPr>
      </w:pPr>
      <w:r>
        <w:t xml:space="preserve">When deciding whether to recommend a medicine for listing on the PBS, </w:t>
      </w:r>
      <w:r w:rsidDel="00AF1B6E">
        <w:t xml:space="preserve">the </w:t>
      </w:r>
      <w:r>
        <w:t>PBAC also considers less-readily quantifiable factors</w:t>
      </w:r>
      <w:r w:rsidR="001C6420">
        <w:t>,</w:t>
      </w:r>
      <w:r>
        <w:t xml:space="preserve"> including evidence and input from consumers (patients, family members, carers) and other stakeholders that can be </w:t>
      </w:r>
      <w:r w:rsidR="00D710CA">
        <w:t>provided</w:t>
      </w:r>
      <w:r w:rsidR="00E62F9A">
        <w:t xml:space="preserve"> </w:t>
      </w:r>
      <w:r>
        <w:t xml:space="preserve">after a submission is received from a </w:t>
      </w:r>
      <w:r w:rsidR="00C03F21">
        <w:t>sponsor</w:t>
      </w:r>
      <w:r>
        <w:t xml:space="preserve">.  </w:t>
      </w:r>
    </w:p>
    <w:p w14:paraId="47995618" w14:textId="77FA9F47" w:rsidR="00362893" w:rsidRDefault="00362893" w:rsidP="00362893">
      <w:r>
        <w:t>I</w:t>
      </w:r>
      <w:r w:rsidRPr="006B6540">
        <w:t>ndividuals, health professionals and other interested parties can</w:t>
      </w:r>
      <w:r>
        <w:t xml:space="preserve"> provide input about medicines or vaccines being considered by </w:t>
      </w:r>
      <w:r w:rsidDel="00201F41">
        <w:t xml:space="preserve">the </w:t>
      </w:r>
      <w:r>
        <w:t>PBAC</w:t>
      </w:r>
      <w:r w:rsidRPr="006B6540">
        <w:t xml:space="preserve"> via an online form</w:t>
      </w:r>
      <w:r>
        <w:t xml:space="preserve"> on the </w:t>
      </w:r>
      <w:r w:rsidRPr="00522D09">
        <w:t>Office of Health Technology Assessment consultation hub</w:t>
      </w:r>
      <w:r>
        <w:t>,</w:t>
      </w:r>
      <w:r w:rsidRPr="006B6540">
        <w:t xml:space="preserve"> up to 3 weeks</w:t>
      </w:r>
      <w:r>
        <w:t xml:space="preserve"> before the PBAC meeting. The form is updated in week 8 of the cycle to include early pathway resubmissions, and previous positive</w:t>
      </w:r>
      <w:r w:rsidR="006229C5">
        <w:t xml:space="preserve"> </w:t>
      </w:r>
      <w:r>
        <w:t>PBS listing recommendations that have not been progressed by the applicant, allowing interested parties to provide input to these items</w:t>
      </w:r>
      <w:r w:rsidRPr="006B6540">
        <w:t>.</w:t>
      </w:r>
      <w:r>
        <w:rPr>
          <w:rStyle w:val="FootnoteReference"/>
        </w:rPr>
        <w:footnoteReference w:id="33"/>
      </w:r>
    </w:p>
    <w:p w14:paraId="4AEA7CE1" w14:textId="7F788EFB" w:rsidR="00081EFB" w:rsidRPr="007F4F65" w:rsidRDefault="00081EFB" w:rsidP="00081EFB">
      <w:r w:rsidRPr="007F4F65">
        <w:t xml:space="preserve">Consumer comments are provided to </w:t>
      </w:r>
      <w:r w:rsidRPr="007F4F65" w:rsidDel="00655F3E">
        <w:t xml:space="preserve">the </w:t>
      </w:r>
      <w:r w:rsidRPr="007F4F65">
        <w:t xml:space="preserve">PBAC’s consumer representative, who reviews and collates the comments for </w:t>
      </w:r>
      <w:r w:rsidRPr="007F4F65" w:rsidDel="00906EDB">
        <w:t xml:space="preserve">the </w:t>
      </w:r>
      <w:r w:rsidRPr="007F4F65">
        <w:t>PBAC</w:t>
      </w:r>
      <w:r w:rsidR="00906EDB">
        <w:t>’s</w:t>
      </w:r>
      <w:r w:rsidRPr="007F4F65">
        <w:t xml:space="preserve"> agenda.</w:t>
      </w:r>
      <w:r>
        <w:t xml:space="preserve"> </w:t>
      </w:r>
      <w:r w:rsidRPr="007F4F65">
        <w:t xml:space="preserve">All comments received </w:t>
      </w:r>
      <w:r w:rsidR="00334D1D">
        <w:t>are</w:t>
      </w:r>
      <w:r w:rsidRPr="007F4F65">
        <w:t xml:space="preserve"> considered by </w:t>
      </w:r>
      <w:r w:rsidRPr="007F4F65" w:rsidDel="003D429A">
        <w:t xml:space="preserve">the </w:t>
      </w:r>
      <w:r w:rsidRPr="007F4F65">
        <w:t>PBAC</w:t>
      </w:r>
      <w:r w:rsidR="00F5030B">
        <w:t xml:space="preserve"> </w:t>
      </w:r>
      <w:r w:rsidR="00266CAD">
        <w:t xml:space="preserve">as part of the </w:t>
      </w:r>
      <w:r w:rsidR="00DD73D0">
        <w:t>committee</w:t>
      </w:r>
      <w:r w:rsidR="00E21F0B">
        <w:t>’s</w:t>
      </w:r>
      <w:r w:rsidDel="00DE5AED">
        <w:t xml:space="preserve"> </w:t>
      </w:r>
      <w:r w:rsidRPr="007F4F65">
        <w:t>consider</w:t>
      </w:r>
      <w:r w:rsidR="00E21F0B">
        <w:t>ation of</w:t>
      </w:r>
      <w:r w:rsidRPr="007F4F65">
        <w:t xml:space="preserve"> the relevant </w:t>
      </w:r>
      <w:r w:rsidR="00334D1D">
        <w:t>application to subsidise a medicine</w:t>
      </w:r>
      <w:r w:rsidRPr="007F4F65">
        <w:t xml:space="preserve">. </w:t>
      </w:r>
      <w:r w:rsidR="00691F5C">
        <w:t>Consumer comments</w:t>
      </w:r>
      <w:r w:rsidRPr="007F4F65">
        <w:t xml:space="preserve"> are considered at the same time as </w:t>
      </w:r>
      <w:r w:rsidR="00691F5C">
        <w:t xml:space="preserve">the application and </w:t>
      </w:r>
      <w:r w:rsidRPr="007F4F65">
        <w:t xml:space="preserve">other technical papers </w:t>
      </w:r>
      <w:r w:rsidR="00334D1D">
        <w:t>are considered</w:t>
      </w:r>
      <w:r w:rsidRPr="007F4F65">
        <w:t>.</w:t>
      </w:r>
    </w:p>
    <w:p w14:paraId="20C5A586" w14:textId="64563DA9" w:rsidR="00081EFB" w:rsidRPr="00CF59C8" w:rsidRDefault="00081EFB" w:rsidP="00081EFB">
      <w:r w:rsidRPr="007F4F65">
        <w:lastRenderedPageBreak/>
        <w:t>Consumer hearings provide a</w:t>
      </w:r>
      <w:r w:rsidR="00691F5C">
        <w:t xml:space="preserve"> further</w:t>
      </w:r>
      <w:r w:rsidRPr="007F4F65">
        <w:t xml:space="preserve"> opportunity</w:t>
      </w:r>
      <w:r w:rsidR="00691F5C">
        <w:t xml:space="preserve"> for</w:t>
      </w:r>
      <w:r w:rsidRPr="007F4F65">
        <w:t xml:space="preserve"> </w:t>
      </w:r>
      <w:r w:rsidR="00691F5C">
        <w:t>p</w:t>
      </w:r>
      <w:r w:rsidRPr="007F4F65">
        <w:t>atient</w:t>
      </w:r>
      <w:r w:rsidR="00691F5C">
        <w:t xml:space="preserve"> </w:t>
      </w:r>
      <w:r w:rsidRPr="007F4F65">
        <w:t>groups/organisations</w:t>
      </w:r>
      <w:r w:rsidR="00691F5C">
        <w:t xml:space="preserve"> to engage with </w:t>
      </w:r>
      <w:r w:rsidR="00691F5C" w:rsidDel="009E35B8">
        <w:t xml:space="preserve">the </w:t>
      </w:r>
      <w:r w:rsidR="00691F5C">
        <w:t xml:space="preserve">PBAC. </w:t>
      </w:r>
      <w:r w:rsidRPr="007F4F65" w:rsidDel="009E35B8">
        <w:t xml:space="preserve">The </w:t>
      </w:r>
      <w:r w:rsidRPr="007F4F65">
        <w:t>PBAC can convene meetings with stakeholders:</w:t>
      </w:r>
      <w:r>
        <w:t xml:space="preserve"> w</w:t>
      </w:r>
      <w:r w:rsidRPr="007F4F65">
        <w:t>here there is a submission for a medicine that has not been recommended or deferred.</w:t>
      </w:r>
      <w:r>
        <w:t xml:space="preserve"> </w:t>
      </w:r>
    </w:p>
    <w:p w14:paraId="5C157387" w14:textId="39F8C773" w:rsidR="00F05501" w:rsidRDefault="00105CC6" w:rsidP="0076025C">
      <w:pPr>
        <w:pStyle w:val="Heading3"/>
      </w:pPr>
      <w:r>
        <w:t xml:space="preserve">Pathway </w:t>
      </w:r>
      <w:r w:rsidR="00581B4E">
        <w:t xml:space="preserve">from PBAC submission </w:t>
      </w:r>
      <w:r>
        <w:t>to PBS listing</w:t>
      </w:r>
    </w:p>
    <w:p w14:paraId="6C1BF6F4" w14:textId="30BBF763" w:rsidR="002F0514" w:rsidRPr="00362893" w:rsidRDefault="006A68CE" w:rsidP="002F0514">
      <w:pPr>
        <w:spacing w:before="0" w:line="240" w:lineRule="auto"/>
        <w:rPr>
          <w:rFonts w:ascii="Times New Roman" w:hAnsi="Times New Roman" w:cs="Times New Roman"/>
          <w:sz w:val="24"/>
          <w:szCs w:val="24"/>
          <w:lang w:eastAsia="en-AU"/>
        </w:rPr>
      </w:pPr>
      <w:r>
        <w:t xml:space="preserve">Submissions to </w:t>
      </w:r>
      <w:r w:rsidDel="00C67F00">
        <w:t xml:space="preserve">the </w:t>
      </w:r>
      <w:r>
        <w:t>PBAC are evaluated over a 17</w:t>
      </w:r>
      <w:r w:rsidR="000E43AC">
        <w:t>-</w:t>
      </w:r>
      <w:r>
        <w:t xml:space="preserve">week </w:t>
      </w:r>
      <w:r w:rsidR="00522D09">
        <w:t>cycle</w:t>
      </w:r>
      <w:r>
        <w:t xml:space="preserve">. </w:t>
      </w:r>
      <w:r w:rsidR="000E43AC">
        <w:t xml:space="preserve">Category 1 and 2 submissions </w:t>
      </w:r>
      <w:r w:rsidR="002F0514">
        <w:t xml:space="preserve">are </w:t>
      </w:r>
      <w:r w:rsidR="00513920">
        <w:t>typically evaluated by</w:t>
      </w:r>
      <w:r w:rsidR="002F0514">
        <w:t xml:space="preserve"> external evaluators who </w:t>
      </w:r>
      <w:r w:rsidR="000E43AC">
        <w:t xml:space="preserve">prepare commentaries about the evidence provided in the submission. </w:t>
      </w:r>
    </w:p>
    <w:p w14:paraId="7F7516C4" w14:textId="41913AE5" w:rsidR="000E43AC" w:rsidRPr="002F0514" w:rsidRDefault="000E43AC" w:rsidP="00362893">
      <w:pPr>
        <w:spacing w:line="240" w:lineRule="auto"/>
        <w:rPr>
          <w:rFonts w:ascii="Times New Roman" w:hAnsi="Times New Roman" w:cs="Times New Roman"/>
          <w:sz w:val="24"/>
          <w:szCs w:val="24"/>
          <w:lang w:eastAsia="en-AU"/>
        </w:rPr>
      </w:pPr>
      <w:r>
        <w:t xml:space="preserve">After </w:t>
      </w:r>
      <w:r w:rsidR="002F0514">
        <w:t xml:space="preserve">commentaries </w:t>
      </w:r>
      <w:r>
        <w:t xml:space="preserve">have been prepared, they are provided back to sponsors for comment before being considered by </w:t>
      </w:r>
      <w:r w:rsidR="004E0016">
        <w:t>the</w:t>
      </w:r>
      <w:r>
        <w:t xml:space="preserve"> </w:t>
      </w:r>
      <w:r w:rsidR="00873FB8">
        <w:t>PBAC</w:t>
      </w:r>
      <w:r w:rsidR="004E0016">
        <w:t>’s</w:t>
      </w:r>
      <w:r w:rsidR="00873FB8">
        <w:t xml:space="preserve"> </w:t>
      </w:r>
      <w:r>
        <w:t xml:space="preserve">subcommittees. </w:t>
      </w:r>
    </w:p>
    <w:tbl>
      <w:tblPr>
        <w:tblStyle w:val="TableGrid"/>
        <w:tblW w:w="0" w:type="auto"/>
        <w:tblLook w:val="04A0" w:firstRow="1" w:lastRow="0" w:firstColumn="1" w:lastColumn="0" w:noHBand="0" w:noVBand="1"/>
      </w:tblPr>
      <w:tblGrid>
        <w:gridCol w:w="9026"/>
      </w:tblGrid>
      <w:tr w:rsidR="006A1F3A" w14:paraId="67C2CDFC" w14:textId="77777777" w:rsidTr="00C379E7">
        <w:tc>
          <w:tcPr>
            <w:tcW w:w="9242" w:type="dxa"/>
            <w:tcBorders>
              <w:top w:val="nil"/>
              <w:left w:val="nil"/>
              <w:bottom w:val="nil"/>
              <w:right w:val="nil"/>
            </w:tcBorders>
            <w:shd w:val="clear" w:color="auto" w:fill="B4C6E7" w:themeFill="accent1" w:themeFillTint="66"/>
          </w:tcPr>
          <w:p w14:paraId="37653422" w14:textId="77777777" w:rsidR="006A1F3A" w:rsidRPr="007562C2" w:rsidRDefault="006A1F3A" w:rsidP="00C379E7">
            <w:pPr>
              <w:rPr>
                <w:b/>
                <w:bCs/>
              </w:rPr>
            </w:pPr>
            <w:r>
              <w:rPr>
                <w:b/>
                <w:bCs/>
              </w:rPr>
              <w:t>PBAC subcommittees</w:t>
            </w:r>
            <w:r w:rsidRPr="007562C2">
              <w:rPr>
                <w:b/>
                <w:bCs/>
              </w:rPr>
              <w:t xml:space="preserve"> </w:t>
            </w:r>
          </w:p>
          <w:p w14:paraId="408DD24B" w14:textId="1BA454F4" w:rsidR="006A1F3A" w:rsidRPr="000346A5" w:rsidRDefault="006A1F3A" w:rsidP="006A1F3A">
            <w:r w:rsidDel="006D0368">
              <w:t>Th</w:t>
            </w:r>
            <w:r w:rsidR="005A35D1" w:rsidDel="006D0368">
              <w:t>e</w:t>
            </w:r>
            <w:r w:rsidDel="006D0368">
              <w:t xml:space="preserve"> </w:t>
            </w:r>
            <w:r>
              <w:t xml:space="preserve">PBAC has </w:t>
            </w:r>
            <w:r w:rsidR="00805763">
              <w:t>two</w:t>
            </w:r>
            <w:r w:rsidR="006D0368">
              <w:t xml:space="preserve"> </w:t>
            </w:r>
            <w:r w:rsidR="00874169">
              <w:t xml:space="preserve">main </w:t>
            </w:r>
            <w:r>
              <w:t>subcommittees</w:t>
            </w:r>
            <w:r w:rsidRPr="000346A5">
              <w:t>, the Economic Sub-Committee (</w:t>
            </w:r>
            <w:r w:rsidR="005A35D1">
              <w:t xml:space="preserve">PBAC </w:t>
            </w:r>
            <w:r w:rsidRPr="000346A5">
              <w:t xml:space="preserve">ESC) and the Drug Utilisation Sub-Committee (DUSC). </w:t>
            </w:r>
          </w:p>
          <w:p w14:paraId="1BC96E33" w14:textId="10685450" w:rsidR="006A1F3A" w:rsidRDefault="00B63A32" w:rsidP="00651D54">
            <w:pPr>
              <w:pStyle w:val="ListParagraph"/>
              <w:numPr>
                <w:ilvl w:val="1"/>
                <w:numId w:val="12"/>
              </w:numPr>
              <w:ind w:left="851"/>
            </w:pPr>
            <w:r w:rsidDel="00FB3378">
              <w:t xml:space="preserve">The </w:t>
            </w:r>
            <w:r w:rsidR="005A35D1">
              <w:t xml:space="preserve">PBAC </w:t>
            </w:r>
            <w:r w:rsidR="006A1F3A" w:rsidRPr="000346A5">
              <w:t xml:space="preserve">ESC assesses clinical and economic evaluations of medicines submitted to </w:t>
            </w:r>
            <w:r w:rsidR="006A1F3A" w:rsidRPr="000346A5" w:rsidDel="00F17229">
              <w:t xml:space="preserve">the </w:t>
            </w:r>
            <w:r w:rsidR="006A1F3A" w:rsidRPr="000346A5">
              <w:t xml:space="preserve">PBAC for listing and advises the </w:t>
            </w:r>
            <w:r w:rsidR="006A1F3A" w:rsidRPr="000346A5" w:rsidDel="009715BD">
              <w:t xml:space="preserve">PBAC </w:t>
            </w:r>
            <w:r w:rsidR="006A1F3A" w:rsidRPr="000346A5">
              <w:t>on the technical aspects of these evaluations.</w:t>
            </w:r>
            <w:r w:rsidR="003051FE">
              <w:t xml:space="preserve"> For certain submissions </w:t>
            </w:r>
            <w:r w:rsidDel="000F6DCB">
              <w:t xml:space="preserve">the </w:t>
            </w:r>
            <w:r w:rsidR="005A35D1">
              <w:t xml:space="preserve">PBAC </w:t>
            </w:r>
            <w:r w:rsidR="003051FE">
              <w:t xml:space="preserve">ESC advises on the financial costs. </w:t>
            </w:r>
          </w:p>
          <w:p w14:paraId="1251D0C5" w14:textId="61AB9341" w:rsidR="006A1F3A" w:rsidRPr="00BF3AE4" w:rsidRDefault="00BF3AE4" w:rsidP="00651D54">
            <w:pPr>
              <w:pStyle w:val="ListParagraph"/>
              <w:numPr>
                <w:ilvl w:val="1"/>
                <w:numId w:val="12"/>
              </w:numPr>
              <w:spacing w:after="240"/>
              <w:ind w:left="851"/>
            </w:pPr>
            <w:r w:rsidRPr="00BF3AE4">
              <w:t xml:space="preserve">DUSC </w:t>
            </w:r>
            <w:r w:rsidR="005B5477" w:rsidRPr="00BF3AE4">
              <w:t>advises</w:t>
            </w:r>
            <w:r w:rsidR="00A519C4">
              <w:t xml:space="preserve"> </w:t>
            </w:r>
            <w:r w:rsidR="00A519C4" w:rsidDel="004629DC">
              <w:t>the</w:t>
            </w:r>
            <w:r w:rsidR="005B5477" w:rsidRPr="00BF3AE4" w:rsidDel="004629DC">
              <w:t xml:space="preserve"> </w:t>
            </w:r>
            <w:r w:rsidR="005B5477" w:rsidRPr="00BF3AE4">
              <w:t xml:space="preserve">PBAC on </w:t>
            </w:r>
            <w:r w:rsidR="006A1F3A" w:rsidRPr="00BF3AE4">
              <w:t>estimates o</w:t>
            </w:r>
            <w:r w:rsidR="005B5477" w:rsidRPr="00BF3AE4">
              <w:t>f</w:t>
            </w:r>
            <w:r w:rsidR="006A1F3A" w:rsidRPr="00BF3AE4">
              <w:t xml:space="preserve"> projected usage and financial cost for medicines</w:t>
            </w:r>
            <w:r w:rsidR="003051FE">
              <w:t xml:space="preserve"> for certain submissions</w:t>
            </w:r>
            <w:r w:rsidR="005B5477" w:rsidRPr="00BF3AE4">
              <w:t xml:space="preserve"> and the</w:t>
            </w:r>
            <w:r w:rsidR="006A1F3A" w:rsidRPr="00BF3AE4">
              <w:t xml:space="preserve"> actual </w:t>
            </w:r>
            <w:r w:rsidR="005B5477" w:rsidRPr="00BF3AE4">
              <w:t>utilisation of medicines</w:t>
            </w:r>
            <w:r w:rsidR="003051FE">
              <w:t xml:space="preserve"> after they have been funded.</w:t>
            </w:r>
          </w:p>
        </w:tc>
      </w:tr>
    </w:tbl>
    <w:p w14:paraId="50A3BEA3" w14:textId="2734EF8B" w:rsidR="00874169" w:rsidRDefault="00874169" w:rsidP="00105CC6">
      <w:r>
        <w:t xml:space="preserve">Once </w:t>
      </w:r>
      <w:r w:rsidDel="00500302">
        <w:t xml:space="preserve">the </w:t>
      </w:r>
      <w:r>
        <w:t xml:space="preserve">PBAC’s subcommittees have provided their advice, sponsors are </w:t>
      </w:r>
      <w:r w:rsidR="00BD2AB6">
        <w:t>given an</w:t>
      </w:r>
      <w:r>
        <w:t xml:space="preserve"> opportunity to comment on their advice before it is considered at the PBAC meeting.</w:t>
      </w:r>
    </w:p>
    <w:p w14:paraId="6DE49418" w14:textId="795AC25C" w:rsidR="006A1F3A" w:rsidRDefault="00D13C92" w:rsidP="00105CC6">
      <w:r>
        <w:t xml:space="preserve">In its decision-making process, </w:t>
      </w:r>
      <w:r w:rsidDel="00441FE2">
        <w:t>t</w:t>
      </w:r>
      <w:r w:rsidR="006A1F3A" w:rsidDel="00441FE2">
        <w:t xml:space="preserve">he </w:t>
      </w:r>
      <w:r w:rsidR="006A1F3A">
        <w:t>PBAC considers the</w:t>
      </w:r>
      <w:r w:rsidR="004766E4">
        <w:t xml:space="preserve"> information provided by the sponsor</w:t>
      </w:r>
      <w:r>
        <w:t xml:space="preserve"> in</w:t>
      </w:r>
      <w:r w:rsidR="006A1F3A">
        <w:t xml:space="preserve"> submissions, commentaries</w:t>
      </w:r>
      <w:r>
        <w:t xml:space="preserve"> on the submissions prepared by external evaluators</w:t>
      </w:r>
      <w:r w:rsidR="006A1F3A">
        <w:t xml:space="preserve">, advice from its </w:t>
      </w:r>
      <w:r w:rsidR="00805763">
        <w:t>two</w:t>
      </w:r>
      <w:r w:rsidR="00861D58">
        <w:t xml:space="preserve"> </w:t>
      </w:r>
      <w:r w:rsidR="006A1F3A">
        <w:t xml:space="preserve">subcommittees and consumer comments. </w:t>
      </w:r>
    </w:p>
    <w:p w14:paraId="6770E610" w14:textId="3FAF7680" w:rsidR="006A1F3A" w:rsidRPr="00874169" w:rsidRDefault="003A5753" w:rsidP="00874169">
      <w:r>
        <w:t xml:space="preserve">Following a positive recommendation from </w:t>
      </w:r>
      <w:r w:rsidDel="007C1FB1">
        <w:t xml:space="preserve">the </w:t>
      </w:r>
      <w:r>
        <w:t xml:space="preserve">PBAC, </w:t>
      </w:r>
      <w:r w:rsidR="002974CD">
        <w:t>several additional processes must be completed before the medicine can be listed on the PBS</w:t>
      </w:r>
      <w:r w:rsidR="00EB52FE">
        <w:t xml:space="preserve"> (see </w:t>
      </w:r>
      <w:r w:rsidR="003022AC">
        <w:t>Figure</w:t>
      </w:r>
      <w:r w:rsidR="00EB52FE">
        <w:t xml:space="preserve"> 7 below)</w:t>
      </w:r>
      <w:r w:rsidR="002974CD">
        <w:t>.</w:t>
      </w:r>
      <w:r w:rsidR="009A786C">
        <w:t xml:space="preserve"> </w:t>
      </w:r>
      <w:r w:rsidR="009A786C" w:rsidDel="00782844">
        <w:t xml:space="preserve">The </w:t>
      </w:r>
      <w:r w:rsidR="009A786C">
        <w:t>PBAC’s recommendation may be conditional on certain terms of listing. In t</w:t>
      </w:r>
      <w:r w:rsidR="00D856E5">
        <w:t xml:space="preserve">hese instances, the sponsor needs to agree on these terms to progress the recommendation to listing. </w:t>
      </w:r>
      <w:r w:rsidR="002974CD">
        <w:t xml:space="preserve"> </w:t>
      </w:r>
      <w:r w:rsidR="006A1F3A">
        <w:t xml:space="preserve">If </w:t>
      </w:r>
      <w:r w:rsidR="006A1F3A" w:rsidDel="00242B95">
        <w:t xml:space="preserve">the </w:t>
      </w:r>
      <w:r w:rsidR="006A1F3A">
        <w:t xml:space="preserve">PBAC does not recommend a medicine </w:t>
      </w:r>
      <w:r w:rsidR="00371603">
        <w:t xml:space="preserve">for listing </w:t>
      </w:r>
      <w:r w:rsidR="006A1F3A">
        <w:t xml:space="preserve">on the PBS, </w:t>
      </w:r>
      <w:r w:rsidR="00BF3AE4">
        <w:t>it may nominate one of the early resubmission pathways.</w:t>
      </w:r>
    </w:p>
    <w:p w14:paraId="3A04ED4E" w14:textId="72A3CD06" w:rsidR="00105CC6" w:rsidRDefault="002924F5" w:rsidP="00105CC6">
      <w:r>
        <w:t xml:space="preserve">The </w:t>
      </w:r>
      <w:r w:rsidR="00314A36">
        <w:t>pathway</w:t>
      </w:r>
      <w:r>
        <w:t xml:space="preserve"> </w:t>
      </w:r>
      <w:r w:rsidR="006A1F3A">
        <w:t xml:space="preserve">from PBAC submission to listing on the PBS, including resubmission pathways is set out in </w:t>
      </w:r>
      <w:r w:rsidR="003022AC">
        <w:t>Figure</w:t>
      </w:r>
      <w:r w:rsidR="00362893">
        <w:t xml:space="preserve"> 7</w:t>
      </w:r>
      <w:r w:rsidR="006A1F3A">
        <w:t xml:space="preserve">. </w:t>
      </w:r>
    </w:p>
    <w:p w14:paraId="35C884A3" w14:textId="63EA9CCB" w:rsidR="002924F5" w:rsidRDefault="003022AC" w:rsidP="00314A36">
      <w:pPr>
        <w:pStyle w:val="Heading4"/>
      </w:pPr>
      <w:r>
        <w:lastRenderedPageBreak/>
        <w:t>Figure</w:t>
      </w:r>
      <w:r w:rsidR="00314A36">
        <w:t xml:space="preserve"> </w:t>
      </w:r>
      <w:r w:rsidR="00B97D53">
        <w:t>7</w:t>
      </w:r>
      <w:r w:rsidR="00314A36">
        <w:t xml:space="preserve"> – Pathway to PBS listing </w:t>
      </w:r>
    </w:p>
    <w:p w14:paraId="44969A87" w14:textId="7F3E1368" w:rsidR="00314A36" w:rsidRPr="00314A36" w:rsidRDefault="00E4573D" w:rsidP="00314A36">
      <w:r w:rsidRPr="00E4573D">
        <w:rPr>
          <w:noProof/>
        </w:rPr>
        <w:drawing>
          <wp:inline distT="0" distB="0" distL="0" distR="0" wp14:anchorId="4B9BFAA4" wp14:editId="77037370">
            <wp:extent cx="5614035" cy="8081010"/>
            <wp:effectExtent l="0" t="0" r="0" b="0"/>
            <wp:docPr id="1" name="Picture 1" descr="Figure 7 – Pathway to PBS lis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7 – Pathway to PBS listing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4035" cy="8081010"/>
                    </a:xfrm>
                    <a:prstGeom prst="rect">
                      <a:avLst/>
                    </a:prstGeom>
                    <a:solidFill>
                      <a:schemeClr val="bg1"/>
                    </a:solidFill>
                    <a:ln>
                      <a:noFill/>
                    </a:ln>
                  </pic:spPr>
                </pic:pic>
              </a:graphicData>
            </a:graphic>
          </wp:inline>
        </w:drawing>
      </w:r>
    </w:p>
    <w:p w14:paraId="225889C1" w14:textId="77777777" w:rsidR="00C8543C" w:rsidRDefault="00C8543C">
      <w:pPr>
        <w:spacing w:before="0" w:after="160"/>
        <w:rPr>
          <w:rFonts w:eastAsiaTheme="majorEastAsia" w:cstheme="majorBidi"/>
          <w:iCs/>
          <w:color w:val="1F3864" w:themeColor="accent1" w:themeShade="80"/>
        </w:rPr>
      </w:pPr>
      <w:r>
        <w:br w:type="page"/>
      </w:r>
    </w:p>
    <w:p w14:paraId="56299CF4" w14:textId="5DF530A8" w:rsidR="008F2C8F" w:rsidRDefault="008F2C8F" w:rsidP="0076025C">
      <w:pPr>
        <w:pStyle w:val="Heading4"/>
      </w:pPr>
      <w:r>
        <w:lastRenderedPageBreak/>
        <w:t>Pricing pathways</w:t>
      </w:r>
    </w:p>
    <w:p w14:paraId="23175E16" w14:textId="6445240F" w:rsidR="008F2C8F" w:rsidRDefault="006D5564" w:rsidP="008F2C8F">
      <w:pPr>
        <w:spacing w:after="200" w:line="276" w:lineRule="auto"/>
        <w:rPr>
          <w:rFonts w:ascii="Calibri" w:eastAsia="Calibri" w:hAnsi="Calibri" w:cs="Calibri"/>
        </w:rPr>
      </w:pPr>
      <w:r>
        <w:rPr>
          <w:rFonts w:ascii="Calibri" w:eastAsia="Calibri" w:hAnsi="Calibri" w:cs="Calibri"/>
        </w:rPr>
        <w:t>T</w:t>
      </w:r>
      <w:r w:rsidR="008F2C8F" w:rsidRPr="00FE0BCE">
        <w:rPr>
          <w:rFonts w:ascii="Calibri" w:eastAsia="Calibri" w:hAnsi="Calibri" w:cs="Calibri"/>
        </w:rPr>
        <w:t xml:space="preserve">here are </w:t>
      </w:r>
      <w:r w:rsidR="00C1347B">
        <w:rPr>
          <w:rFonts w:ascii="Calibri" w:eastAsia="Calibri" w:hAnsi="Calibri" w:cs="Calibri"/>
        </w:rPr>
        <w:t>5</w:t>
      </w:r>
      <w:r w:rsidR="00C1347B" w:rsidRPr="00FE0BCE">
        <w:rPr>
          <w:rFonts w:ascii="Calibri" w:eastAsia="Calibri" w:hAnsi="Calibri" w:cs="Calibri"/>
        </w:rPr>
        <w:t xml:space="preserve"> </w:t>
      </w:r>
      <w:r w:rsidR="008F2C8F" w:rsidRPr="00FE0BCE">
        <w:rPr>
          <w:rFonts w:ascii="Calibri" w:eastAsia="Calibri" w:hAnsi="Calibri" w:cs="Calibri"/>
        </w:rPr>
        <w:t xml:space="preserve">different pricing pathways to progress a positive PBAC recommendation. </w:t>
      </w:r>
    </w:p>
    <w:p w14:paraId="310A7277" w14:textId="7483585D" w:rsidR="00B97D53" w:rsidRDefault="00B97D53" w:rsidP="00B97D53">
      <w:pPr>
        <w:pStyle w:val="Heading4"/>
      </w:pPr>
      <w:r>
        <w:t>Table 6. Pricing pathways following positive PBAC recommendation</w:t>
      </w:r>
    </w:p>
    <w:tbl>
      <w:tblPr>
        <w:tblStyle w:val="DepartmentofHealthtable1"/>
        <w:tblW w:w="9072" w:type="dxa"/>
        <w:tblLook w:val="04A0" w:firstRow="1" w:lastRow="0" w:firstColumn="1" w:lastColumn="0" w:noHBand="0" w:noVBand="1"/>
      </w:tblPr>
      <w:tblGrid>
        <w:gridCol w:w="1602"/>
        <w:gridCol w:w="7470"/>
      </w:tblGrid>
      <w:tr w:rsidR="008F2C8F" w:rsidRPr="001F4248" w14:paraId="5342B243" w14:textId="77777777" w:rsidTr="002C7227">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602" w:type="dxa"/>
            <w:noWrap/>
            <w:vAlign w:val="center"/>
            <w:hideMark/>
          </w:tcPr>
          <w:p w14:paraId="233079A9" w14:textId="77777777" w:rsidR="008F2C8F" w:rsidRPr="001F4248" w:rsidRDefault="008F2C8F" w:rsidP="002C7227">
            <w:pPr>
              <w:spacing w:before="0"/>
              <w:rPr>
                <w:rFonts w:ascii="Calibri" w:hAnsi="Calibri" w:cs="Calibri"/>
                <w:b/>
                <w:bCs/>
                <w:color w:val="FFFFFF"/>
                <w:szCs w:val="22"/>
              </w:rPr>
            </w:pPr>
            <w:r w:rsidRPr="001F4248">
              <w:rPr>
                <w:rFonts w:ascii="Calibri" w:hAnsi="Calibri" w:cs="Calibri"/>
                <w:b/>
                <w:bCs/>
                <w:color w:val="FFFFFF"/>
                <w:szCs w:val="22"/>
              </w:rPr>
              <w:t>Category</w:t>
            </w:r>
          </w:p>
        </w:tc>
        <w:tc>
          <w:tcPr>
            <w:tcW w:w="7470" w:type="dxa"/>
            <w:noWrap/>
            <w:vAlign w:val="center"/>
            <w:hideMark/>
          </w:tcPr>
          <w:p w14:paraId="15B81D24" w14:textId="12D492EC" w:rsidR="008F2C8F" w:rsidRPr="001F4248" w:rsidRDefault="008F2C8F" w:rsidP="002C7227">
            <w:pPr>
              <w:spacing w:before="0"/>
              <w:cnfStyle w:val="100000000000" w:firstRow="1" w:lastRow="0" w:firstColumn="0" w:lastColumn="0" w:oddVBand="0" w:evenVBand="0" w:oddHBand="0" w:evenHBand="0" w:firstRowFirstColumn="0" w:firstRowLastColumn="0" w:lastRowFirstColumn="0" w:lastRowLastColumn="0"/>
              <w:rPr>
                <w:rFonts w:ascii="Calibri" w:hAnsi="Calibri" w:cs="Calibri"/>
                <w:b/>
                <w:bCs/>
                <w:color w:val="FFFFFF"/>
                <w:szCs w:val="22"/>
              </w:rPr>
            </w:pPr>
            <w:r>
              <w:rPr>
                <w:rFonts w:ascii="Calibri" w:hAnsi="Calibri" w:cs="Calibri"/>
                <w:b/>
                <w:bCs/>
                <w:color w:val="FFFFFF"/>
                <w:szCs w:val="22"/>
              </w:rPr>
              <w:t>Detail</w:t>
            </w:r>
          </w:p>
        </w:tc>
      </w:tr>
      <w:tr w:rsidR="003051FE" w:rsidRPr="001F4248" w14:paraId="402C0FD2" w14:textId="77777777" w:rsidTr="002C7227">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tcPr>
          <w:p w14:paraId="3E8AA804" w14:textId="726A4D5B" w:rsidR="003051FE" w:rsidRPr="008F2C8F" w:rsidRDefault="003051FE" w:rsidP="002C7227">
            <w:pPr>
              <w:rPr>
                <w:rFonts w:ascii="Calibri" w:hAnsi="Calibri" w:cs="Calibri"/>
                <w:color w:val="000000"/>
              </w:rPr>
            </w:pPr>
            <w:r>
              <w:rPr>
                <w:rFonts w:ascii="Calibri" w:hAnsi="Calibri" w:cs="Calibri"/>
                <w:color w:val="000000"/>
              </w:rPr>
              <w:t>All submissions</w:t>
            </w:r>
          </w:p>
        </w:tc>
        <w:tc>
          <w:tcPr>
            <w:tcW w:w="7470" w:type="dxa"/>
            <w:noWrap/>
          </w:tcPr>
          <w:p w14:paraId="685C8375" w14:textId="3BEEA633" w:rsidR="003051FE" w:rsidRPr="008F2C8F" w:rsidRDefault="003051FE" w:rsidP="00BF3AE4">
            <w:pPr>
              <w:cnfStyle w:val="000000100000" w:firstRow="0" w:lastRow="0" w:firstColumn="0" w:lastColumn="0" w:oddVBand="0" w:evenVBand="0" w:oddHBand="1" w:evenHBand="0" w:firstRowFirstColumn="0" w:firstRowLastColumn="0" w:lastRowFirstColumn="0" w:lastRowLastColumn="0"/>
              <w:rPr>
                <w:rFonts w:cstheme="minorHAnsi"/>
              </w:rPr>
            </w:pPr>
            <w:r w:rsidRPr="00BF3AE4">
              <w:rPr>
                <w:rFonts w:asciiTheme="minorHAnsi" w:hAnsiTheme="minorHAnsi" w:cstheme="minorHAnsi"/>
                <w:sz w:val="22"/>
                <w:szCs w:val="22"/>
              </w:rPr>
              <w:t xml:space="preserve">A high-level outcome of </w:t>
            </w:r>
            <w:r w:rsidRPr="00BF3AE4" w:rsidDel="000107AE">
              <w:rPr>
                <w:rFonts w:asciiTheme="minorHAnsi" w:hAnsiTheme="minorHAnsi" w:cstheme="minorHAnsi"/>
                <w:sz w:val="22"/>
                <w:szCs w:val="22"/>
              </w:rPr>
              <w:t xml:space="preserve">the </w:t>
            </w:r>
            <w:r w:rsidRPr="00BF3AE4">
              <w:rPr>
                <w:rFonts w:asciiTheme="minorHAnsi" w:hAnsiTheme="minorHAnsi" w:cstheme="minorHAnsi"/>
                <w:sz w:val="22"/>
                <w:szCs w:val="22"/>
              </w:rPr>
              <w:t xml:space="preserve">PBAC's advice is provided to the applicant </w:t>
            </w:r>
            <w:r w:rsidR="001C59CA">
              <w:rPr>
                <w:rFonts w:asciiTheme="minorHAnsi" w:hAnsiTheme="minorHAnsi" w:cstheme="minorHAnsi"/>
                <w:sz w:val="22"/>
                <w:szCs w:val="22"/>
              </w:rPr>
              <w:t>1</w:t>
            </w:r>
            <w:r w:rsidR="001C59CA" w:rsidRPr="00BF3AE4">
              <w:rPr>
                <w:rFonts w:asciiTheme="minorHAnsi" w:hAnsiTheme="minorHAnsi" w:cstheme="minorHAnsi"/>
                <w:sz w:val="22"/>
                <w:szCs w:val="22"/>
              </w:rPr>
              <w:t xml:space="preserve"> </w:t>
            </w:r>
            <w:r w:rsidRPr="00BF3AE4">
              <w:rPr>
                <w:rFonts w:asciiTheme="minorHAnsi" w:hAnsiTheme="minorHAnsi" w:cstheme="minorHAnsi"/>
                <w:sz w:val="22"/>
                <w:szCs w:val="22"/>
              </w:rPr>
              <w:t>week after the meeting</w:t>
            </w:r>
            <w:r>
              <w:rPr>
                <w:rFonts w:asciiTheme="minorHAnsi" w:hAnsiTheme="minorHAnsi" w:cstheme="minorHAnsi"/>
                <w:sz w:val="22"/>
                <w:szCs w:val="22"/>
              </w:rPr>
              <w:t xml:space="preserve"> (week 18)</w:t>
            </w:r>
            <w:r w:rsidRPr="00BF3AE4">
              <w:rPr>
                <w:rFonts w:asciiTheme="minorHAnsi" w:hAnsiTheme="minorHAnsi" w:cstheme="minorHAnsi"/>
                <w:sz w:val="22"/>
                <w:szCs w:val="22"/>
              </w:rPr>
              <w:t xml:space="preserve">. For applications that are recommended, details of </w:t>
            </w:r>
            <w:r w:rsidRPr="00BF3AE4" w:rsidDel="00EA2876">
              <w:rPr>
                <w:rFonts w:asciiTheme="minorHAnsi" w:hAnsiTheme="minorHAnsi" w:cstheme="minorHAnsi"/>
                <w:sz w:val="22"/>
                <w:szCs w:val="22"/>
              </w:rPr>
              <w:t xml:space="preserve">the </w:t>
            </w:r>
            <w:r w:rsidRPr="00BF3AE4">
              <w:rPr>
                <w:rFonts w:asciiTheme="minorHAnsi" w:hAnsiTheme="minorHAnsi" w:cstheme="minorHAnsi"/>
                <w:sz w:val="22"/>
                <w:szCs w:val="22"/>
              </w:rPr>
              <w:t xml:space="preserve">PBAC's advice will be included in the PBAC </w:t>
            </w:r>
            <w:r w:rsidR="005A5347">
              <w:rPr>
                <w:rFonts w:asciiTheme="minorHAnsi" w:hAnsiTheme="minorHAnsi" w:cstheme="minorHAnsi"/>
                <w:sz w:val="22"/>
                <w:szCs w:val="22"/>
              </w:rPr>
              <w:t>m</w:t>
            </w:r>
            <w:r w:rsidRPr="00BF3AE4">
              <w:rPr>
                <w:rFonts w:asciiTheme="minorHAnsi" w:hAnsiTheme="minorHAnsi" w:cstheme="minorHAnsi"/>
                <w:sz w:val="22"/>
                <w:szCs w:val="22"/>
              </w:rPr>
              <w:t>inutes received by the applicant in the third week</w:t>
            </w:r>
            <w:r>
              <w:rPr>
                <w:rFonts w:asciiTheme="minorHAnsi" w:hAnsiTheme="minorHAnsi" w:cstheme="minorHAnsi"/>
                <w:sz w:val="22"/>
                <w:szCs w:val="22"/>
              </w:rPr>
              <w:t xml:space="preserve"> (week 20)</w:t>
            </w:r>
            <w:r w:rsidRPr="00BF3AE4">
              <w:rPr>
                <w:rFonts w:asciiTheme="minorHAnsi" w:hAnsiTheme="minorHAnsi" w:cstheme="minorHAnsi"/>
                <w:sz w:val="22"/>
                <w:szCs w:val="22"/>
              </w:rPr>
              <w:t xml:space="preserve"> after the PBAC meeting.</w:t>
            </w:r>
          </w:p>
        </w:tc>
      </w:tr>
      <w:tr w:rsidR="008F2C8F" w:rsidRPr="001F4248" w14:paraId="34353097" w14:textId="77777777" w:rsidTr="002C7227">
        <w:trPr>
          <w:cnfStyle w:val="000000010000" w:firstRow="0" w:lastRow="0" w:firstColumn="0" w:lastColumn="0" w:oddVBand="0" w:evenVBand="0" w:oddHBand="0" w:evenHBand="1"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hideMark/>
          </w:tcPr>
          <w:p w14:paraId="40BD996B" w14:textId="4D8371D2" w:rsidR="008F2C8F" w:rsidRPr="001F4248" w:rsidRDefault="008F2C8F" w:rsidP="002C7227">
            <w:pPr>
              <w:rPr>
                <w:rFonts w:ascii="Calibri" w:hAnsi="Calibri" w:cs="Calibri"/>
                <w:color w:val="000000"/>
                <w:sz w:val="22"/>
                <w:szCs w:val="22"/>
              </w:rPr>
            </w:pPr>
            <w:r w:rsidRPr="008F2C8F">
              <w:rPr>
                <w:rFonts w:ascii="Calibri" w:hAnsi="Calibri" w:cs="Calibri"/>
                <w:color w:val="000000"/>
                <w:sz w:val="22"/>
                <w:szCs w:val="22"/>
              </w:rPr>
              <w:t>Pricing pathway A - Facilitated</w:t>
            </w:r>
          </w:p>
        </w:tc>
        <w:tc>
          <w:tcPr>
            <w:tcW w:w="7470" w:type="dxa"/>
            <w:noWrap/>
          </w:tcPr>
          <w:p w14:paraId="778F0433" w14:textId="5F2F2079" w:rsidR="00BF3AE4" w:rsidRPr="00BF3AE4" w:rsidRDefault="008F2C8F" w:rsidP="003051FE">
            <w:pPr>
              <w:spacing w:after="24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F2C8F" w:rsidDel="00CA3A68">
              <w:rPr>
                <w:rFonts w:asciiTheme="minorHAnsi" w:hAnsiTheme="minorHAnsi" w:cstheme="minorHAnsi"/>
                <w:sz w:val="22"/>
                <w:szCs w:val="22"/>
              </w:rPr>
              <w:t xml:space="preserve">The </w:t>
            </w:r>
            <w:r w:rsidRPr="008F2C8F">
              <w:rPr>
                <w:rFonts w:asciiTheme="minorHAnsi" w:hAnsiTheme="minorHAnsi" w:cstheme="minorHAnsi"/>
                <w:sz w:val="22"/>
                <w:szCs w:val="22"/>
              </w:rPr>
              <w:t xml:space="preserve">PBAC will determine whether a submission is eligible for Pricing Pathway A as part of its recommendation. </w:t>
            </w:r>
            <w:r w:rsidR="003051FE">
              <w:rPr>
                <w:rFonts w:asciiTheme="minorHAnsi" w:hAnsiTheme="minorHAnsi" w:cstheme="minorHAnsi"/>
                <w:sz w:val="22"/>
                <w:szCs w:val="22"/>
              </w:rPr>
              <w:t>Notification in week 18 includes whether pricing Pathway A applies.</w:t>
            </w:r>
          </w:p>
          <w:p w14:paraId="1C461BDB" w14:textId="7355B784" w:rsidR="008F2C8F" w:rsidRPr="00BF3AE4" w:rsidRDefault="00BF3AE4" w:rsidP="00BF3AE4">
            <w:pPr>
              <w:spacing w:befor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F3AE4">
              <w:rPr>
                <w:rFonts w:asciiTheme="minorHAnsi" w:hAnsiTheme="minorHAnsi" w:cstheme="minorHAnsi"/>
                <w:sz w:val="22"/>
                <w:szCs w:val="22"/>
              </w:rPr>
              <w:t xml:space="preserve">Pricing Pathway A can apply for submissions where </w:t>
            </w:r>
            <w:r w:rsidRPr="00BF3AE4" w:rsidDel="00491861">
              <w:rPr>
                <w:rFonts w:asciiTheme="minorHAnsi" w:hAnsiTheme="minorHAnsi" w:cstheme="minorHAnsi"/>
                <w:sz w:val="22"/>
                <w:szCs w:val="22"/>
              </w:rPr>
              <w:t xml:space="preserve">the </w:t>
            </w:r>
            <w:r w:rsidRPr="00BF3AE4">
              <w:rPr>
                <w:rFonts w:asciiTheme="minorHAnsi" w:hAnsiTheme="minorHAnsi" w:cstheme="minorHAnsi"/>
                <w:sz w:val="22"/>
                <w:szCs w:val="22"/>
              </w:rPr>
              <w:t xml:space="preserve">PBAC considers </w:t>
            </w:r>
            <w:r w:rsidR="008F2C8F" w:rsidRPr="008F2C8F">
              <w:rPr>
                <w:rFonts w:asciiTheme="minorHAnsi" w:hAnsiTheme="minorHAnsi" w:cstheme="minorHAnsi"/>
                <w:sz w:val="22"/>
                <w:szCs w:val="22"/>
              </w:rPr>
              <w:t>that:</w:t>
            </w:r>
          </w:p>
          <w:p w14:paraId="48A76724" w14:textId="69F8AAEE" w:rsidR="008F2C8F" w:rsidRPr="008F2C8F" w:rsidRDefault="008F2C8F" w:rsidP="00651D54">
            <w:pPr>
              <w:pStyle w:val="ListParagraph"/>
              <w:numPr>
                <w:ilvl w:val="0"/>
                <w:numId w:val="23"/>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F2C8F">
              <w:rPr>
                <w:rFonts w:asciiTheme="minorHAnsi" w:hAnsiTheme="minorHAnsi" w:cstheme="minorHAnsi"/>
                <w:sz w:val="22"/>
                <w:szCs w:val="22"/>
              </w:rPr>
              <w:t>the medicine is expected to provide a substantial and clinically relevant improvement in efficacy, or reduction of toxicity, over any alternative therapies</w:t>
            </w:r>
            <w:r w:rsidR="00BF6C6D">
              <w:rPr>
                <w:rFonts w:asciiTheme="minorHAnsi" w:hAnsiTheme="minorHAnsi" w:cstheme="minorHAnsi"/>
                <w:sz w:val="22"/>
                <w:szCs w:val="22"/>
              </w:rPr>
              <w:t>,</w:t>
            </w:r>
            <w:r w:rsidRPr="008F2C8F">
              <w:rPr>
                <w:rFonts w:asciiTheme="minorHAnsi" w:hAnsiTheme="minorHAnsi" w:cstheme="minorHAnsi"/>
                <w:sz w:val="22"/>
                <w:szCs w:val="22"/>
              </w:rPr>
              <w:t xml:space="preserve"> and</w:t>
            </w:r>
          </w:p>
          <w:p w14:paraId="592CADF6" w14:textId="662FB258" w:rsidR="008F2C8F" w:rsidRPr="008F2C8F" w:rsidRDefault="008F2C8F" w:rsidP="00651D54">
            <w:pPr>
              <w:pStyle w:val="ListParagraph"/>
              <w:numPr>
                <w:ilvl w:val="0"/>
                <w:numId w:val="23"/>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F2C8F">
              <w:rPr>
                <w:rFonts w:asciiTheme="minorHAnsi" w:hAnsiTheme="minorHAnsi" w:cstheme="minorHAnsi"/>
                <w:sz w:val="22"/>
                <w:szCs w:val="22"/>
              </w:rPr>
              <w:t>the medicine addresses a high and urgent unmet clinical need</w:t>
            </w:r>
            <w:r w:rsidR="00BF6C6D">
              <w:rPr>
                <w:rFonts w:asciiTheme="minorHAnsi" w:hAnsiTheme="minorHAnsi" w:cstheme="minorHAnsi"/>
                <w:sz w:val="22"/>
                <w:szCs w:val="22"/>
              </w:rPr>
              <w:t>,</w:t>
            </w:r>
            <w:r w:rsidRPr="008F2C8F">
              <w:rPr>
                <w:rFonts w:asciiTheme="minorHAnsi" w:hAnsiTheme="minorHAnsi" w:cstheme="minorHAnsi"/>
                <w:sz w:val="22"/>
                <w:szCs w:val="22"/>
              </w:rPr>
              <w:t xml:space="preserve"> and</w:t>
            </w:r>
          </w:p>
          <w:p w14:paraId="221AA710" w14:textId="0151F08C" w:rsidR="008F2C8F" w:rsidRPr="008F2C8F" w:rsidRDefault="008F2C8F" w:rsidP="00651D54">
            <w:pPr>
              <w:pStyle w:val="ListParagraph"/>
              <w:numPr>
                <w:ilvl w:val="0"/>
                <w:numId w:val="23"/>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F2C8F">
              <w:rPr>
                <w:rFonts w:asciiTheme="minorHAnsi" w:hAnsiTheme="minorHAnsi" w:cstheme="minorHAnsi"/>
                <w:sz w:val="22"/>
                <w:szCs w:val="22"/>
              </w:rPr>
              <w:t>it would be in the public interest for the submission to be recommended to follow this pathway</w:t>
            </w:r>
            <w:r w:rsidR="0020521E">
              <w:rPr>
                <w:rFonts w:asciiTheme="minorHAnsi" w:hAnsiTheme="minorHAnsi" w:cstheme="minorHAnsi"/>
                <w:sz w:val="22"/>
                <w:szCs w:val="22"/>
              </w:rPr>
              <w:t>.</w:t>
            </w:r>
          </w:p>
          <w:p w14:paraId="7387CB7B" w14:textId="2E9B0838" w:rsidR="008F2C8F" w:rsidRPr="008F2C8F" w:rsidRDefault="008F2C8F" w:rsidP="008F2C8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F2C8F">
              <w:rPr>
                <w:rFonts w:asciiTheme="minorHAnsi" w:hAnsiTheme="minorHAnsi" w:cstheme="minorHAnsi"/>
                <w:sz w:val="22"/>
                <w:szCs w:val="22"/>
              </w:rPr>
              <w:t xml:space="preserve">In relation to the public interest component of the criteria, </w:t>
            </w:r>
            <w:r w:rsidRPr="008F2C8F" w:rsidDel="0020521E">
              <w:rPr>
                <w:rFonts w:asciiTheme="minorHAnsi" w:hAnsiTheme="minorHAnsi" w:cstheme="minorHAnsi"/>
                <w:sz w:val="22"/>
                <w:szCs w:val="22"/>
              </w:rPr>
              <w:t xml:space="preserve">the </w:t>
            </w:r>
            <w:r w:rsidRPr="008F2C8F">
              <w:rPr>
                <w:rFonts w:asciiTheme="minorHAnsi" w:hAnsiTheme="minorHAnsi" w:cstheme="minorHAnsi"/>
                <w:sz w:val="22"/>
                <w:szCs w:val="22"/>
              </w:rPr>
              <w:t>PBAC will have regard to whether it is likely that the interests of the Australian public will be advanced by the recommendation being progressed via Pricing Pathway A, noting that the submission must also meet the first two criteria.</w:t>
            </w:r>
          </w:p>
          <w:p w14:paraId="3B961024" w14:textId="73BD3D28" w:rsidR="008F2C8F" w:rsidRPr="008F2C8F" w:rsidRDefault="008F2C8F" w:rsidP="008F2C8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F2C8F">
              <w:rPr>
                <w:rFonts w:asciiTheme="minorHAnsi" w:hAnsiTheme="minorHAnsi" w:cstheme="minorHAnsi"/>
                <w:sz w:val="22"/>
                <w:szCs w:val="22"/>
              </w:rPr>
              <w:t xml:space="preserve">An applicant will either accept </w:t>
            </w:r>
            <w:r w:rsidRPr="008F2C8F" w:rsidDel="00855260">
              <w:rPr>
                <w:rFonts w:asciiTheme="minorHAnsi" w:hAnsiTheme="minorHAnsi" w:cstheme="minorHAnsi"/>
                <w:sz w:val="22"/>
                <w:szCs w:val="22"/>
              </w:rPr>
              <w:t xml:space="preserve">the </w:t>
            </w:r>
            <w:r w:rsidRPr="008F2C8F">
              <w:rPr>
                <w:rFonts w:asciiTheme="minorHAnsi" w:hAnsiTheme="minorHAnsi" w:cstheme="minorHAnsi"/>
                <w:sz w:val="22"/>
                <w:szCs w:val="22"/>
              </w:rPr>
              <w:t xml:space="preserve">PBAC’s Pricing Pathway A recommendation or nominate another pricing pathway via the Notice of Intent for Pricing form. </w:t>
            </w:r>
          </w:p>
          <w:p w14:paraId="44B378FC" w14:textId="2610BF89" w:rsidR="008F2C8F" w:rsidRPr="005F4206" w:rsidRDefault="008F2C8F" w:rsidP="002C72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F2C8F">
              <w:rPr>
                <w:rFonts w:asciiTheme="minorHAnsi" w:hAnsiTheme="minorHAnsi" w:cstheme="minorHAnsi"/>
                <w:sz w:val="22"/>
                <w:szCs w:val="22"/>
              </w:rPr>
              <w:t xml:space="preserve">A </w:t>
            </w:r>
            <w:r w:rsidR="001B7CA2">
              <w:rPr>
                <w:rFonts w:asciiTheme="minorHAnsi" w:hAnsiTheme="minorHAnsi" w:cstheme="minorHAnsi"/>
                <w:sz w:val="22"/>
                <w:szCs w:val="22"/>
              </w:rPr>
              <w:t>c</w:t>
            </w:r>
            <w:r w:rsidRPr="008F2C8F">
              <w:rPr>
                <w:rFonts w:asciiTheme="minorHAnsi" w:hAnsiTheme="minorHAnsi" w:cstheme="minorHAnsi"/>
                <w:sz w:val="22"/>
                <w:szCs w:val="22"/>
              </w:rPr>
              <w:t xml:space="preserve">ase </w:t>
            </w:r>
            <w:r w:rsidR="001B7CA2">
              <w:rPr>
                <w:rFonts w:asciiTheme="minorHAnsi" w:hAnsiTheme="minorHAnsi" w:cstheme="minorHAnsi"/>
                <w:sz w:val="22"/>
                <w:szCs w:val="22"/>
              </w:rPr>
              <w:t>m</w:t>
            </w:r>
            <w:r w:rsidRPr="008F2C8F">
              <w:rPr>
                <w:rFonts w:asciiTheme="minorHAnsi" w:hAnsiTheme="minorHAnsi" w:cstheme="minorHAnsi"/>
                <w:sz w:val="22"/>
                <w:szCs w:val="22"/>
              </w:rPr>
              <w:t xml:space="preserve">anager will be assigned where the applicant has accepted </w:t>
            </w:r>
            <w:r w:rsidRPr="008F2C8F" w:rsidDel="003837DC">
              <w:rPr>
                <w:rFonts w:asciiTheme="minorHAnsi" w:hAnsiTheme="minorHAnsi" w:cstheme="minorHAnsi"/>
                <w:sz w:val="22"/>
                <w:szCs w:val="22"/>
              </w:rPr>
              <w:t xml:space="preserve">the </w:t>
            </w:r>
            <w:r w:rsidRPr="008F2C8F">
              <w:rPr>
                <w:rFonts w:asciiTheme="minorHAnsi" w:hAnsiTheme="minorHAnsi" w:cstheme="minorHAnsi"/>
                <w:sz w:val="22"/>
                <w:szCs w:val="22"/>
              </w:rPr>
              <w:t xml:space="preserve">PBAC’s recommendation for Pricing Pathway A. </w:t>
            </w:r>
          </w:p>
        </w:tc>
      </w:tr>
      <w:tr w:rsidR="008F2C8F" w:rsidRPr="001F4248" w14:paraId="3E7191A2" w14:textId="77777777" w:rsidTr="002C7227">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tcPr>
          <w:p w14:paraId="7795F0E9" w14:textId="7C7E7111" w:rsidR="008F2C8F" w:rsidRPr="001F4248" w:rsidRDefault="008F2C8F" w:rsidP="002C7227">
            <w:pPr>
              <w:rPr>
                <w:rFonts w:ascii="Calibri" w:hAnsi="Calibri" w:cs="Calibri"/>
                <w:color w:val="000000"/>
                <w:sz w:val="22"/>
                <w:szCs w:val="22"/>
              </w:rPr>
            </w:pPr>
            <w:r w:rsidRPr="008F2C8F">
              <w:rPr>
                <w:rFonts w:ascii="Calibri" w:hAnsi="Calibri" w:cs="Calibri"/>
                <w:color w:val="000000"/>
                <w:sz w:val="22"/>
                <w:szCs w:val="22"/>
              </w:rPr>
              <w:t>Pricing pathway B – New deed</w:t>
            </w:r>
          </w:p>
        </w:tc>
        <w:tc>
          <w:tcPr>
            <w:tcW w:w="7470" w:type="dxa"/>
            <w:noWrap/>
          </w:tcPr>
          <w:p w14:paraId="4E48159A" w14:textId="3ED59AFB" w:rsidR="008F2C8F" w:rsidRPr="001F4248" w:rsidRDefault="008F2C8F" w:rsidP="002C72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8F2C8F">
              <w:rPr>
                <w:rFonts w:ascii="Calibri" w:hAnsi="Calibri" w:cs="Calibri"/>
                <w:color w:val="000000"/>
                <w:sz w:val="22"/>
                <w:szCs w:val="22"/>
              </w:rPr>
              <w:t>Pricing Pathway B applies for submissions which require negotiation and finalisation of a new deed of agreement where there are no similar arrangements in place. This could include an assessment of proposed risk-sharing, managed entry and/or special pricing arrangements.</w:t>
            </w:r>
          </w:p>
        </w:tc>
      </w:tr>
      <w:tr w:rsidR="008F2C8F" w:rsidRPr="001F4248" w14:paraId="5EF0F53B" w14:textId="77777777" w:rsidTr="002C7227">
        <w:trPr>
          <w:cnfStyle w:val="000000010000" w:firstRow="0" w:lastRow="0" w:firstColumn="0" w:lastColumn="0" w:oddVBand="0" w:evenVBand="0" w:oddHBand="0" w:evenHBand="1"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tcPr>
          <w:p w14:paraId="25ECC1C7" w14:textId="03DA6C0F" w:rsidR="008F2C8F" w:rsidRPr="001F4248" w:rsidRDefault="008F2C8F" w:rsidP="002C7227">
            <w:pPr>
              <w:rPr>
                <w:rFonts w:ascii="Calibri" w:hAnsi="Calibri" w:cs="Calibri"/>
                <w:color w:val="000000"/>
                <w:sz w:val="22"/>
                <w:szCs w:val="22"/>
              </w:rPr>
            </w:pPr>
            <w:r w:rsidRPr="008F2C8F">
              <w:rPr>
                <w:rFonts w:ascii="Calibri" w:hAnsi="Calibri" w:cs="Calibri"/>
                <w:color w:val="000000"/>
                <w:sz w:val="22"/>
                <w:szCs w:val="22"/>
              </w:rPr>
              <w:t>Pricing pathway C – Existing deed</w:t>
            </w:r>
          </w:p>
        </w:tc>
        <w:tc>
          <w:tcPr>
            <w:tcW w:w="7470" w:type="dxa"/>
            <w:noWrap/>
          </w:tcPr>
          <w:p w14:paraId="06D2C58A" w14:textId="60FBBBBD" w:rsidR="008F2C8F" w:rsidRPr="001F4248" w:rsidRDefault="008F2C8F" w:rsidP="002C7227">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8F2C8F">
              <w:rPr>
                <w:rFonts w:ascii="Calibri" w:hAnsi="Calibri" w:cs="Calibri"/>
                <w:color w:val="000000"/>
                <w:sz w:val="22"/>
                <w:szCs w:val="22"/>
              </w:rPr>
              <w:t>Pricing Pathway C applies to submissions which require third-party responsible person notification of changes to an existing deed of agreement, and/or where an applicant has received a positive PBAC recommendation to list within the scope of existing arrangements, whether these relate to the new listing or to another existing listing. Where required, the deed’s original responsible person(s) will be notified of the provision of information to the new applicant. Refer to Section 8.1.2 for additional guidance.</w:t>
            </w:r>
          </w:p>
        </w:tc>
      </w:tr>
      <w:tr w:rsidR="008F2C8F" w:rsidRPr="001F4248" w14:paraId="286ECFBF" w14:textId="77777777" w:rsidTr="002C7227">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tcPr>
          <w:p w14:paraId="5CFCB7D1" w14:textId="636947DA" w:rsidR="008F2C8F" w:rsidRPr="001F4248" w:rsidRDefault="008F2C8F" w:rsidP="002C7227">
            <w:pPr>
              <w:rPr>
                <w:rFonts w:ascii="Calibri" w:hAnsi="Calibri" w:cs="Calibri"/>
                <w:color w:val="000000"/>
                <w:sz w:val="22"/>
                <w:szCs w:val="22"/>
              </w:rPr>
            </w:pPr>
            <w:r w:rsidRPr="008F2C8F">
              <w:rPr>
                <w:rFonts w:ascii="Calibri" w:hAnsi="Calibri" w:cs="Calibri"/>
                <w:color w:val="000000"/>
                <w:sz w:val="22"/>
                <w:szCs w:val="22"/>
              </w:rPr>
              <w:t>Pricing pathway D – no deed</w:t>
            </w:r>
          </w:p>
        </w:tc>
        <w:tc>
          <w:tcPr>
            <w:tcW w:w="7470" w:type="dxa"/>
            <w:noWrap/>
          </w:tcPr>
          <w:p w14:paraId="6624AF88" w14:textId="4EC34559" w:rsidR="008F2C8F" w:rsidRPr="001F4248" w:rsidRDefault="008F2C8F" w:rsidP="002C72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8F2C8F">
              <w:rPr>
                <w:rFonts w:ascii="Calibri" w:hAnsi="Calibri" w:cs="Calibri"/>
                <w:color w:val="000000"/>
                <w:sz w:val="22"/>
                <w:szCs w:val="22"/>
              </w:rPr>
              <w:t>Pricing Pathway D applies to submissions which do not involve negotiation of a new or existing deed of agreement.</w:t>
            </w:r>
          </w:p>
        </w:tc>
      </w:tr>
      <w:tr w:rsidR="008F2C8F" w:rsidRPr="001F4248" w14:paraId="58E841C9" w14:textId="77777777" w:rsidTr="002C7227">
        <w:trPr>
          <w:cnfStyle w:val="000000010000" w:firstRow="0" w:lastRow="0" w:firstColumn="0" w:lastColumn="0" w:oddVBand="0" w:evenVBand="0" w:oddHBand="0" w:evenHBand="1"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602" w:type="dxa"/>
            <w:noWrap/>
          </w:tcPr>
          <w:p w14:paraId="5992C430" w14:textId="73E953C4" w:rsidR="008F2C8F" w:rsidRPr="008F2C8F" w:rsidRDefault="008F2C8F" w:rsidP="002C7227">
            <w:pPr>
              <w:rPr>
                <w:rFonts w:ascii="Calibri" w:hAnsi="Calibri" w:cs="Calibri"/>
                <w:color w:val="000000"/>
              </w:rPr>
            </w:pPr>
            <w:r w:rsidRPr="008F2C8F">
              <w:rPr>
                <w:rFonts w:ascii="Calibri" w:hAnsi="Calibri" w:cs="Calibri"/>
                <w:color w:val="000000"/>
                <w:sz w:val="22"/>
                <w:szCs w:val="21"/>
              </w:rPr>
              <w:t>Secretariat pricing</w:t>
            </w:r>
          </w:p>
        </w:tc>
        <w:tc>
          <w:tcPr>
            <w:tcW w:w="7470" w:type="dxa"/>
            <w:noWrap/>
          </w:tcPr>
          <w:p w14:paraId="6E7D530E" w14:textId="61CF8F3B" w:rsidR="008F2C8F" w:rsidRDefault="008F2C8F" w:rsidP="002C7227">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8F2C8F">
              <w:rPr>
                <w:rFonts w:ascii="Calibri" w:hAnsi="Calibri" w:cs="Calibri"/>
                <w:color w:val="000000"/>
                <w:sz w:val="22"/>
                <w:szCs w:val="21"/>
              </w:rPr>
              <w:t>The secretariat pricing pathway applies to changes to listings of existing medicines which do not require a new price.</w:t>
            </w:r>
          </w:p>
        </w:tc>
      </w:tr>
    </w:tbl>
    <w:p w14:paraId="5D0DDA63" w14:textId="137DA4D8" w:rsidR="0076025C" w:rsidRDefault="0076025C" w:rsidP="0076025C">
      <w:pPr>
        <w:pStyle w:val="Heading4"/>
      </w:pPr>
      <w:r>
        <w:lastRenderedPageBreak/>
        <w:t>Resubmission pathways</w:t>
      </w:r>
    </w:p>
    <w:p w14:paraId="6ADEB5B0" w14:textId="57D667F0" w:rsidR="00B622E1" w:rsidRDefault="00B622E1" w:rsidP="00B622E1">
      <w:r>
        <w:t xml:space="preserve">Resubmission pathways for submissions not recommended by </w:t>
      </w:r>
      <w:r w:rsidDel="008E5F3C">
        <w:t xml:space="preserve">the </w:t>
      </w:r>
      <w:r>
        <w:t>PBAC were introduced in 2019. The purpose of these pathways</w:t>
      </w:r>
      <w:r w:rsidR="007E13B5">
        <w:t xml:space="preserve"> is</w:t>
      </w:r>
      <w:r>
        <w:t xml:space="preserve"> to:</w:t>
      </w:r>
    </w:p>
    <w:p w14:paraId="7BB58ED4" w14:textId="45739EA9" w:rsidR="007E13B5" w:rsidRDefault="00BF76FE" w:rsidP="00651D54">
      <w:pPr>
        <w:pStyle w:val="ListParagraph"/>
        <w:numPr>
          <w:ilvl w:val="0"/>
          <w:numId w:val="37"/>
        </w:numPr>
      </w:pPr>
      <w:r>
        <w:t>p</w:t>
      </w:r>
      <w:r w:rsidR="007E13B5">
        <w:t xml:space="preserve">rovide </w:t>
      </w:r>
      <w:r w:rsidR="007E13B5" w:rsidRPr="007E13B5">
        <w:t>clear and transparent resubmission processes for submissions that are not recommended by the PBAC</w:t>
      </w:r>
    </w:p>
    <w:p w14:paraId="3A21F686" w14:textId="413F9980" w:rsidR="007E13B5" w:rsidRDefault="00BF76FE" w:rsidP="00651D54">
      <w:pPr>
        <w:pStyle w:val="ListParagraph"/>
        <w:numPr>
          <w:ilvl w:val="0"/>
          <w:numId w:val="37"/>
        </w:numPr>
      </w:pPr>
      <w:r>
        <w:t>s</w:t>
      </w:r>
      <w:r w:rsidR="007E13B5">
        <w:t xml:space="preserve">upport </w:t>
      </w:r>
      <w:r w:rsidR="007E13B5" w:rsidRPr="007E13B5" w:rsidDel="00BF76FE">
        <w:t xml:space="preserve">the </w:t>
      </w:r>
      <w:r w:rsidR="007E13B5" w:rsidRPr="007E13B5">
        <w:t xml:space="preserve">PBAC’s decision-making process and provide a framework for the </w:t>
      </w:r>
      <w:r>
        <w:t xml:space="preserve">committee </w:t>
      </w:r>
      <w:r w:rsidR="007E13B5" w:rsidRPr="007E13B5">
        <w:t>to assist applicants in the development of their resubmission</w:t>
      </w:r>
    </w:p>
    <w:p w14:paraId="44DEFDD6" w14:textId="5220133C" w:rsidR="007E13B5" w:rsidRDefault="0078076D" w:rsidP="00651D54">
      <w:pPr>
        <w:pStyle w:val="ListParagraph"/>
        <w:numPr>
          <w:ilvl w:val="0"/>
          <w:numId w:val="37"/>
        </w:numPr>
      </w:pPr>
      <w:r>
        <w:t>s</w:t>
      </w:r>
      <w:r w:rsidR="007E13B5">
        <w:t xml:space="preserve">upport </w:t>
      </w:r>
      <w:r w:rsidR="007E13B5" w:rsidRPr="007E13B5">
        <w:t>access to medicines through solution-focused pathways where issues can be easily resolved</w:t>
      </w:r>
      <w:r w:rsidR="00610A74">
        <w:t>, and</w:t>
      </w:r>
    </w:p>
    <w:p w14:paraId="4CEEC1B7" w14:textId="59DAD1F1" w:rsidR="007E13B5" w:rsidRDefault="00610A74" w:rsidP="00651D54">
      <w:pPr>
        <w:pStyle w:val="ListParagraph"/>
        <w:numPr>
          <w:ilvl w:val="0"/>
          <w:numId w:val="37"/>
        </w:numPr>
      </w:pPr>
      <w:r>
        <w:t>e</w:t>
      </w:r>
      <w:r w:rsidR="007E13B5">
        <w:t xml:space="preserve">nable </w:t>
      </w:r>
      <w:r w:rsidR="007E13B5" w:rsidRPr="007E13B5">
        <w:t xml:space="preserve">efficient use of </w:t>
      </w:r>
      <w:r w:rsidR="00A519C4" w:rsidDel="00610A74">
        <w:t xml:space="preserve">the </w:t>
      </w:r>
      <w:r w:rsidR="007E13B5" w:rsidRPr="007E13B5">
        <w:t>PBAC</w:t>
      </w:r>
      <w:r w:rsidR="00A519C4">
        <w:t>’s</w:t>
      </w:r>
      <w:r w:rsidR="007E13B5" w:rsidRPr="007E13B5">
        <w:t xml:space="preserve"> time by focusing on more complex resubmissions.</w:t>
      </w:r>
    </w:p>
    <w:p w14:paraId="4CA3131C" w14:textId="65B1A16A" w:rsidR="00105CC6" w:rsidRDefault="00105CC6" w:rsidP="00105CC6">
      <w:r>
        <w:t xml:space="preserve">All applicants with a ‘not recommended’ PBAC outcome are able to lodge a resubmission via the Standard Re-entry Pathway. </w:t>
      </w:r>
    </w:p>
    <w:p w14:paraId="2720F2B7" w14:textId="526E1A5D" w:rsidR="00105CC6" w:rsidRDefault="00105CC6" w:rsidP="00105CC6">
      <w:r>
        <w:t xml:space="preserve">Based on </w:t>
      </w:r>
      <w:r w:rsidDel="00DF18C1">
        <w:t xml:space="preserve">the </w:t>
      </w:r>
      <w:r>
        <w:t>PBAC’s assessment of the level of additional information required</w:t>
      </w:r>
      <w:r w:rsidR="00526503">
        <w:t>,</w:t>
      </w:r>
      <w:r>
        <w:t xml:space="preserve"> issues to be addressed before further PBAC consideration,</w:t>
      </w:r>
      <w:r w:rsidR="00526503" w:rsidRPr="00526503">
        <w:t xml:space="preserve"> and whether a medicine or vaccine represents ‘High Added Therapeutic Value’ (HATV)</w:t>
      </w:r>
      <w:r w:rsidR="00526503">
        <w:t>,</w:t>
      </w:r>
      <w:r>
        <w:t xml:space="preserve"> </w:t>
      </w:r>
      <w:r w:rsidDel="003E288A">
        <w:t xml:space="preserve">the </w:t>
      </w:r>
      <w:r>
        <w:t>PBAC may nominate an Early Resolution, Early Re-entry or Facilitated Resolution Pathway. Should the applicant not accept the PBAC</w:t>
      </w:r>
      <w:r w:rsidR="00A16FA4">
        <w:t>-</w:t>
      </w:r>
      <w:r>
        <w:t>nominated resubmission pathway, but still wish for further PBAC consideration, the Standard Re-entry Pathway applies.</w:t>
      </w:r>
    </w:p>
    <w:p w14:paraId="360C0C48" w14:textId="36565DD4" w:rsidR="00105CC6" w:rsidRDefault="00105CC6" w:rsidP="00105CC6">
      <w:r w:rsidDel="000D16F4">
        <w:t xml:space="preserve">The </w:t>
      </w:r>
      <w:r>
        <w:t xml:space="preserve">PBAC will nominate a resubmission pathway based on </w:t>
      </w:r>
      <w:r w:rsidR="00EF3FD3">
        <w:t xml:space="preserve">its </w:t>
      </w:r>
      <w:r>
        <w:t>independent assessment of:</w:t>
      </w:r>
    </w:p>
    <w:p w14:paraId="073FE9AC" w14:textId="65191A68" w:rsidR="00105CC6" w:rsidRDefault="00105CC6" w:rsidP="00651D54">
      <w:pPr>
        <w:pStyle w:val="ListParagraph"/>
        <w:numPr>
          <w:ilvl w:val="0"/>
          <w:numId w:val="26"/>
        </w:numPr>
      </w:pPr>
      <w:r>
        <w:t>the issues for resolution</w:t>
      </w:r>
      <w:r w:rsidR="00E52751">
        <w:t>,</w:t>
      </w:r>
      <w:r>
        <w:t xml:space="preserve"> and</w:t>
      </w:r>
    </w:p>
    <w:p w14:paraId="39F411D9" w14:textId="4145CAAB" w:rsidR="00105CC6" w:rsidRDefault="00105CC6" w:rsidP="00651D54">
      <w:pPr>
        <w:pStyle w:val="ListParagraph"/>
        <w:numPr>
          <w:ilvl w:val="0"/>
          <w:numId w:val="26"/>
        </w:numPr>
      </w:pPr>
      <w:r>
        <w:t xml:space="preserve">whether the medicine or vaccine represented HATV for the proposed population: </w:t>
      </w:r>
    </w:p>
    <w:p w14:paraId="635D8BAB" w14:textId="155B5D35" w:rsidR="00105CC6" w:rsidRDefault="005D6C36" w:rsidP="00651D54">
      <w:pPr>
        <w:pStyle w:val="ListParagraph"/>
        <w:numPr>
          <w:ilvl w:val="1"/>
          <w:numId w:val="26"/>
        </w:numPr>
      </w:pPr>
      <w:r>
        <w:t>t</w:t>
      </w:r>
      <w:r w:rsidR="00105CC6">
        <w:t>he medicine or vaccine addresses a high and urgent unmet clinical need</w:t>
      </w:r>
      <w:r>
        <w:t>,</w:t>
      </w:r>
      <w:r w:rsidR="00105CC6">
        <w:t xml:space="preserve"> and</w:t>
      </w:r>
    </w:p>
    <w:p w14:paraId="5956D29A" w14:textId="30DC8147" w:rsidR="00105CC6" w:rsidRPr="00105CC6" w:rsidRDefault="005D6C36" w:rsidP="00651D54">
      <w:pPr>
        <w:pStyle w:val="ListParagraph"/>
        <w:numPr>
          <w:ilvl w:val="1"/>
          <w:numId w:val="26"/>
        </w:numPr>
      </w:pPr>
      <w:r>
        <w:t>t</w:t>
      </w:r>
      <w:r w:rsidR="00105CC6">
        <w:t>he medicine or vaccine is expected to provide a substantial and clinically relevant improvement in efficacy, or reduction of toxicity, over any alternative therapies.</w:t>
      </w:r>
    </w:p>
    <w:p w14:paraId="65302C90" w14:textId="430E68BA" w:rsidR="0076025C" w:rsidRDefault="00D42F42" w:rsidP="0076025C">
      <w:pPr>
        <w:pStyle w:val="Heading4"/>
      </w:pPr>
      <w:r>
        <w:t xml:space="preserve">Table </w:t>
      </w:r>
      <w:r w:rsidR="00B97D53">
        <w:t>7</w:t>
      </w:r>
      <w:r w:rsidR="0076025C">
        <w:t xml:space="preserve">. </w:t>
      </w:r>
      <w:r w:rsidR="00B97D53">
        <w:t xml:space="preserve">Resubmission pathways following </w:t>
      </w:r>
      <w:r w:rsidR="00A519C4">
        <w:t xml:space="preserve">the </w:t>
      </w:r>
      <w:r w:rsidR="00B97D53">
        <w:t>PBAC decision to not recommend listing</w:t>
      </w:r>
      <w:r w:rsidR="0076025C">
        <w:rPr>
          <w:rStyle w:val="FootnoteReference"/>
        </w:rPr>
        <w:footnoteReference w:id="34"/>
      </w:r>
    </w:p>
    <w:tbl>
      <w:tblPr>
        <w:tblStyle w:val="DepartmentofHealthtable"/>
        <w:tblW w:w="0" w:type="auto"/>
        <w:tblLook w:val="04A0" w:firstRow="1" w:lastRow="0" w:firstColumn="1" w:lastColumn="0" w:noHBand="0" w:noVBand="1"/>
      </w:tblPr>
      <w:tblGrid>
        <w:gridCol w:w="1560"/>
        <w:gridCol w:w="7456"/>
      </w:tblGrid>
      <w:tr w:rsidR="0076025C" w14:paraId="4BB4FAF0" w14:textId="77777777" w:rsidTr="00B017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42A7372" w14:textId="77777777" w:rsidR="0076025C" w:rsidRDefault="0076025C" w:rsidP="00B01750">
            <w:pPr>
              <w:spacing w:before="0"/>
              <w:rPr>
                <w:rFonts w:cstheme="minorHAnsi"/>
                <w:b/>
                <w:bCs/>
                <w:color w:val="222222"/>
                <w:szCs w:val="24"/>
              </w:rPr>
            </w:pPr>
            <w:r>
              <w:rPr>
                <w:rFonts w:ascii="Calibri" w:hAnsi="Calibri" w:cs="Calibri"/>
                <w:b/>
                <w:bCs/>
                <w:color w:val="FFFFFF"/>
              </w:rPr>
              <w:t>Category</w:t>
            </w:r>
          </w:p>
        </w:tc>
        <w:tc>
          <w:tcPr>
            <w:tcW w:w="7456" w:type="dxa"/>
            <w:vAlign w:val="center"/>
          </w:tcPr>
          <w:p w14:paraId="6B9B9BCD" w14:textId="77777777" w:rsidR="0076025C" w:rsidRDefault="0076025C" w:rsidP="00B01750">
            <w:pPr>
              <w:spacing w:before="0"/>
              <w:cnfStyle w:val="100000000000" w:firstRow="1" w:lastRow="0" w:firstColumn="0" w:lastColumn="0" w:oddVBand="0" w:evenVBand="0" w:oddHBand="0" w:evenHBand="0" w:firstRowFirstColumn="0" w:firstRowLastColumn="0" w:lastRowFirstColumn="0" w:lastRowLastColumn="0"/>
              <w:rPr>
                <w:rFonts w:cstheme="minorHAnsi"/>
                <w:b/>
                <w:bCs/>
                <w:color w:val="222222"/>
                <w:szCs w:val="24"/>
              </w:rPr>
            </w:pPr>
            <w:r>
              <w:rPr>
                <w:rFonts w:ascii="Calibri" w:hAnsi="Calibri" w:cs="Calibri"/>
                <w:b/>
                <w:bCs/>
                <w:color w:val="FFFFFF"/>
              </w:rPr>
              <w:t>Details</w:t>
            </w:r>
          </w:p>
        </w:tc>
      </w:tr>
      <w:tr w:rsidR="0076025C" w14:paraId="77E0F0C1" w14:textId="77777777" w:rsidTr="002C7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90B9F94" w14:textId="77777777" w:rsidR="0076025C" w:rsidRPr="001F4248" w:rsidRDefault="0076025C" w:rsidP="002C7227">
            <w:pPr>
              <w:rPr>
                <w:rFonts w:asciiTheme="minorHAnsi" w:hAnsiTheme="minorHAnsi" w:cstheme="minorHAnsi"/>
                <w:color w:val="222222"/>
                <w:sz w:val="22"/>
                <w:szCs w:val="22"/>
              </w:rPr>
            </w:pPr>
            <w:r w:rsidRPr="001F4248">
              <w:rPr>
                <w:rFonts w:asciiTheme="minorHAnsi" w:hAnsiTheme="minorHAnsi" w:cstheme="minorHAnsi"/>
                <w:color w:val="000000"/>
                <w:sz w:val="22"/>
                <w:szCs w:val="22"/>
              </w:rPr>
              <w:t>Standard re-entry pathway</w:t>
            </w:r>
          </w:p>
        </w:tc>
        <w:tc>
          <w:tcPr>
            <w:tcW w:w="7456" w:type="dxa"/>
          </w:tcPr>
          <w:p w14:paraId="4DF5DB2A" w14:textId="4D8CD677" w:rsidR="0076025C" w:rsidRPr="001F4248" w:rsidRDefault="0076025C" w:rsidP="002C72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2"/>
              </w:rPr>
            </w:pPr>
            <w:r w:rsidRPr="001F4248">
              <w:rPr>
                <w:rFonts w:asciiTheme="minorHAnsi" w:hAnsiTheme="minorHAnsi" w:cstheme="minorHAnsi"/>
                <w:color w:val="222222"/>
                <w:sz w:val="22"/>
                <w:szCs w:val="22"/>
              </w:rPr>
              <w:t xml:space="preserve">The Standard Re-entry Pathway is the default pathway for resubmissions, including where </w:t>
            </w:r>
            <w:r w:rsidRPr="001F4248" w:rsidDel="008E6B76">
              <w:rPr>
                <w:rFonts w:asciiTheme="minorHAnsi" w:hAnsiTheme="minorHAnsi" w:cstheme="minorHAnsi"/>
                <w:color w:val="222222"/>
                <w:sz w:val="22"/>
                <w:szCs w:val="22"/>
              </w:rPr>
              <w:t xml:space="preserve">the </w:t>
            </w:r>
            <w:r w:rsidRPr="001F4248">
              <w:rPr>
                <w:rFonts w:asciiTheme="minorHAnsi" w:hAnsiTheme="minorHAnsi" w:cstheme="minorHAnsi"/>
                <w:color w:val="222222"/>
                <w:sz w:val="22"/>
                <w:szCs w:val="22"/>
              </w:rPr>
              <w:t>PBAC did not nominate a resubmission pathway. The Standard Re-entry Pathway also applies where:</w:t>
            </w:r>
          </w:p>
          <w:p w14:paraId="6BE5B166" w14:textId="5EE66146" w:rsidR="0076025C" w:rsidRPr="001F4248" w:rsidRDefault="00802242" w:rsidP="00651D54">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2"/>
              </w:rPr>
            </w:pPr>
            <w:r>
              <w:rPr>
                <w:rFonts w:asciiTheme="minorHAnsi" w:hAnsiTheme="minorHAnsi" w:cstheme="minorHAnsi"/>
                <w:color w:val="222222"/>
                <w:sz w:val="22"/>
                <w:szCs w:val="22"/>
              </w:rPr>
              <w:t>a</w:t>
            </w:r>
            <w:r w:rsidR="0076025C" w:rsidRPr="001F4248">
              <w:rPr>
                <w:rFonts w:asciiTheme="minorHAnsi" w:hAnsiTheme="minorHAnsi" w:cstheme="minorHAnsi"/>
                <w:color w:val="222222"/>
                <w:sz w:val="22"/>
                <w:szCs w:val="22"/>
              </w:rPr>
              <w:t>n applicant chooses not to accept the PBAC</w:t>
            </w:r>
            <w:r w:rsidR="00EC3361">
              <w:rPr>
                <w:rFonts w:asciiTheme="minorHAnsi" w:hAnsiTheme="minorHAnsi" w:cstheme="minorHAnsi"/>
                <w:color w:val="222222"/>
                <w:sz w:val="22"/>
                <w:szCs w:val="22"/>
              </w:rPr>
              <w:t>-</w:t>
            </w:r>
            <w:r w:rsidR="0076025C" w:rsidRPr="001F4248">
              <w:rPr>
                <w:rFonts w:asciiTheme="minorHAnsi" w:hAnsiTheme="minorHAnsi" w:cstheme="minorHAnsi"/>
                <w:color w:val="222222"/>
                <w:sz w:val="22"/>
                <w:szCs w:val="22"/>
              </w:rPr>
              <w:t>nominated resubmission pathway</w:t>
            </w:r>
            <w:r w:rsidR="00A8688D">
              <w:rPr>
                <w:rFonts w:asciiTheme="minorHAnsi" w:hAnsiTheme="minorHAnsi" w:cstheme="minorHAnsi"/>
                <w:color w:val="222222"/>
                <w:sz w:val="22"/>
                <w:szCs w:val="22"/>
              </w:rPr>
              <w:t>,</w:t>
            </w:r>
            <w:r w:rsidR="0076025C" w:rsidRPr="001F4248">
              <w:rPr>
                <w:rFonts w:asciiTheme="minorHAnsi" w:hAnsiTheme="minorHAnsi" w:cstheme="minorHAnsi"/>
                <w:color w:val="222222"/>
                <w:sz w:val="22"/>
                <w:szCs w:val="22"/>
              </w:rPr>
              <w:t xml:space="preserve"> or</w:t>
            </w:r>
          </w:p>
          <w:p w14:paraId="65D37968" w14:textId="3A2E30FA" w:rsidR="0076025C" w:rsidRPr="001F4248" w:rsidRDefault="00A8688D" w:rsidP="00651D54">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2"/>
              </w:rPr>
            </w:pPr>
            <w:r>
              <w:rPr>
                <w:rFonts w:asciiTheme="minorHAnsi" w:hAnsiTheme="minorHAnsi" w:cstheme="minorHAnsi"/>
                <w:color w:val="222222"/>
                <w:sz w:val="22"/>
                <w:szCs w:val="22"/>
              </w:rPr>
              <w:t>a</w:t>
            </w:r>
            <w:r w:rsidR="0076025C" w:rsidRPr="001F4248">
              <w:rPr>
                <w:rFonts w:asciiTheme="minorHAnsi" w:hAnsiTheme="minorHAnsi" w:cstheme="minorHAnsi"/>
                <w:color w:val="222222"/>
                <w:sz w:val="22"/>
                <w:szCs w:val="22"/>
              </w:rPr>
              <w:t xml:space="preserve">n Early Re-entry or Early Resolution Pathway has been nominated by </w:t>
            </w:r>
            <w:r w:rsidR="0076025C" w:rsidRPr="001F4248" w:rsidDel="001A3087">
              <w:rPr>
                <w:rFonts w:asciiTheme="minorHAnsi" w:hAnsiTheme="minorHAnsi" w:cstheme="minorHAnsi"/>
                <w:color w:val="222222"/>
                <w:sz w:val="22"/>
                <w:szCs w:val="22"/>
              </w:rPr>
              <w:t xml:space="preserve">the </w:t>
            </w:r>
            <w:r w:rsidR="0076025C" w:rsidRPr="001F4248">
              <w:rPr>
                <w:rFonts w:asciiTheme="minorHAnsi" w:hAnsiTheme="minorHAnsi" w:cstheme="minorHAnsi"/>
                <w:color w:val="222222"/>
                <w:sz w:val="22"/>
                <w:szCs w:val="22"/>
              </w:rPr>
              <w:t xml:space="preserve">PBAC and an applicant decides to address issues other than those identified by </w:t>
            </w:r>
            <w:r w:rsidR="0076025C" w:rsidRPr="001F4248" w:rsidDel="00246A89">
              <w:rPr>
                <w:rFonts w:asciiTheme="minorHAnsi" w:hAnsiTheme="minorHAnsi" w:cstheme="minorHAnsi"/>
                <w:color w:val="222222"/>
                <w:sz w:val="22"/>
                <w:szCs w:val="22"/>
              </w:rPr>
              <w:t xml:space="preserve">the </w:t>
            </w:r>
            <w:r w:rsidR="0076025C" w:rsidRPr="001F4248">
              <w:rPr>
                <w:rFonts w:asciiTheme="minorHAnsi" w:hAnsiTheme="minorHAnsi" w:cstheme="minorHAnsi"/>
                <w:color w:val="222222"/>
                <w:sz w:val="22"/>
                <w:szCs w:val="22"/>
              </w:rPr>
              <w:t>PBAC (including a subset of issues)</w:t>
            </w:r>
            <w:r w:rsidR="00246A89">
              <w:rPr>
                <w:rFonts w:asciiTheme="minorHAnsi" w:hAnsiTheme="minorHAnsi" w:cstheme="minorHAnsi"/>
                <w:color w:val="222222"/>
                <w:sz w:val="22"/>
                <w:szCs w:val="22"/>
              </w:rPr>
              <w:t>,</w:t>
            </w:r>
            <w:r w:rsidR="0076025C" w:rsidRPr="001F4248">
              <w:rPr>
                <w:rFonts w:asciiTheme="minorHAnsi" w:hAnsiTheme="minorHAnsi" w:cstheme="minorHAnsi"/>
                <w:color w:val="222222"/>
                <w:sz w:val="22"/>
                <w:szCs w:val="22"/>
              </w:rPr>
              <w:t xml:space="preserve"> or</w:t>
            </w:r>
          </w:p>
          <w:p w14:paraId="7CE58596" w14:textId="42D9ACD8" w:rsidR="0076025C" w:rsidRPr="001F4248" w:rsidRDefault="00246A89" w:rsidP="00651D54">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2"/>
              </w:rPr>
            </w:pPr>
            <w:r>
              <w:rPr>
                <w:rFonts w:asciiTheme="minorHAnsi" w:hAnsiTheme="minorHAnsi" w:cstheme="minorHAnsi"/>
                <w:color w:val="222222"/>
                <w:sz w:val="22"/>
                <w:szCs w:val="22"/>
              </w:rPr>
              <w:t>a</w:t>
            </w:r>
            <w:r w:rsidR="0076025C" w:rsidRPr="001F4248">
              <w:rPr>
                <w:rFonts w:asciiTheme="minorHAnsi" w:hAnsiTheme="minorHAnsi" w:cstheme="minorHAnsi"/>
                <w:color w:val="222222"/>
                <w:sz w:val="22"/>
                <w:szCs w:val="22"/>
              </w:rPr>
              <w:t>n applicant decides to lodge their resubmission later than the allowable timelines for the other pathways</w:t>
            </w:r>
            <w:r w:rsidR="00BE0467">
              <w:rPr>
                <w:rFonts w:asciiTheme="minorHAnsi" w:hAnsiTheme="minorHAnsi" w:cstheme="minorHAnsi"/>
                <w:color w:val="222222"/>
                <w:sz w:val="22"/>
                <w:szCs w:val="22"/>
              </w:rPr>
              <w:t>,</w:t>
            </w:r>
            <w:r w:rsidR="0076025C" w:rsidRPr="001F4248">
              <w:rPr>
                <w:rFonts w:asciiTheme="minorHAnsi" w:hAnsiTheme="minorHAnsi" w:cstheme="minorHAnsi"/>
                <w:color w:val="222222"/>
                <w:sz w:val="22"/>
                <w:szCs w:val="22"/>
              </w:rPr>
              <w:t xml:space="preserve"> or</w:t>
            </w:r>
          </w:p>
          <w:p w14:paraId="0C42C089" w14:textId="43E138CC" w:rsidR="0076025C" w:rsidRPr="001F4248" w:rsidRDefault="00BE0467" w:rsidP="00651D54">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2"/>
              </w:rPr>
            </w:pPr>
            <w:r>
              <w:rPr>
                <w:rFonts w:asciiTheme="minorHAnsi" w:hAnsiTheme="minorHAnsi" w:cstheme="minorHAnsi"/>
                <w:color w:val="222222"/>
                <w:sz w:val="22"/>
                <w:szCs w:val="22"/>
              </w:rPr>
              <w:t>a</w:t>
            </w:r>
            <w:r w:rsidR="0076025C" w:rsidRPr="001F4248">
              <w:rPr>
                <w:rFonts w:asciiTheme="minorHAnsi" w:hAnsiTheme="minorHAnsi" w:cstheme="minorHAnsi"/>
                <w:color w:val="222222"/>
                <w:sz w:val="22"/>
                <w:szCs w:val="22"/>
              </w:rPr>
              <w:t>n Early Re-entry, Early Resolution or Facilitated Resolution Pathway resubmission receives a ‘not recommended’ outcome</w:t>
            </w:r>
            <w:r w:rsidR="00110550">
              <w:rPr>
                <w:rFonts w:asciiTheme="minorHAnsi" w:hAnsiTheme="minorHAnsi" w:cstheme="minorHAnsi"/>
                <w:color w:val="222222"/>
                <w:sz w:val="22"/>
                <w:szCs w:val="22"/>
              </w:rPr>
              <w:t>.</w:t>
            </w:r>
          </w:p>
        </w:tc>
      </w:tr>
      <w:tr w:rsidR="0076025C" w14:paraId="5E3FCF8E" w14:textId="77777777" w:rsidTr="002C7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B8103AB" w14:textId="77777777" w:rsidR="0076025C" w:rsidRPr="001F4248" w:rsidRDefault="0076025C" w:rsidP="002C7227">
            <w:pPr>
              <w:rPr>
                <w:rFonts w:asciiTheme="minorHAnsi" w:hAnsiTheme="minorHAnsi" w:cstheme="minorHAnsi"/>
                <w:color w:val="222222"/>
                <w:sz w:val="22"/>
                <w:szCs w:val="22"/>
              </w:rPr>
            </w:pPr>
            <w:r w:rsidRPr="001F4248">
              <w:rPr>
                <w:rFonts w:asciiTheme="minorHAnsi" w:hAnsiTheme="minorHAnsi" w:cstheme="minorHAnsi"/>
                <w:color w:val="222222"/>
                <w:sz w:val="22"/>
                <w:szCs w:val="22"/>
              </w:rPr>
              <w:t>Early re-entry pathway</w:t>
            </w:r>
          </w:p>
        </w:tc>
        <w:tc>
          <w:tcPr>
            <w:tcW w:w="7456" w:type="dxa"/>
          </w:tcPr>
          <w:p w14:paraId="6F766BCB" w14:textId="4EAED52E" w:rsidR="0076025C" w:rsidRPr="001F4248" w:rsidRDefault="0076025C" w:rsidP="002C72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22222"/>
                <w:sz w:val="22"/>
                <w:szCs w:val="22"/>
              </w:rPr>
            </w:pPr>
            <w:r w:rsidRPr="001F4248">
              <w:rPr>
                <w:rFonts w:asciiTheme="minorHAnsi" w:hAnsiTheme="minorHAnsi" w:cstheme="minorHAnsi"/>
                <w:color w:val="222222"/>
                <w:sz w:val="22"/>
                <w:szCs w:val="22"/>
              </w:rPr>
              <w:t xml:space="preserve">An Early Re-entry Pathway may be nominated by </w:t>
            </w:r>
            <w:r w:rsidRPr="001F4248" w:rsidDel="009827DE">
              <w:rPr>
                <w:rFonts w:asciiTheme="minorHAnsi" w:hAnsiTheme="minorHAnsi" w:cstheme="minorHAnsi"/>
                <w:color w:val="222222"/>
                <w:sz w:val="22"/>
                <w:szCs w:val="22"/>
              </w:rPr>
              <w:t xml:space="preserve">the </w:t>
            </w:r>
            <w:r w:rsidRPr="001F4248">
              <w:rPr>
                <w:rFonts w:asciiTheme="minorHAnsi" w:hAnsiTheme="minorHAnsi" w:cstheme="minorHAnsi"/>
                <w:color w:val="222222"/>
                <w:sz w:val="22"/>
                <w:szCs w:val="22"/>
              </w:rPr>
              <w:t xml:space="preserve">PBAC where the </w:t>
            </w:r>
            <w:r w:rsidR="009827DE">
              <w:rPr>
                <w:rFonts w:asciiTheme="minorHAnsi" w:hAnsiTheme="minorHAnsi" w:cstheme="minorHAnsi"/>
                <w:color w:val="222222"/>
                <w:sz w:val="22"/>
                <w:szCs w:val="22"/>
              </w:rPr>
              <w:t>committee</w:t>
            </w:r>
            <w:r w:rsidR="009827DE" w:rsidRPr="001F4248">
              <w:rPr>
                <w:rFonts w:asciiTheme="minorHAnsi" w:hAnsiTheme="minorHAnsi" w:cstheme="minorHAnsi"/>
                <w:color w:val="222222"/>
                <w:sz w:val="22"/>
                <w:szCs w:val="22"/>
              </w:rPr>
              <w:t xml:space="preserve"> </w:t>
            </w:r>
            <w:r w:rsidRPr="001F4248">
              <w:rPr>
                <w:rFonts w:asciiTheme="minorHAnsi" w:hAnsiTheme="minorHAnsi" w:cstheme="minorHAnsi"/>
                <w:color w:val="222222"/>
                <w:sz w:val="22"/>
                <w:szCs w:val="22"/>
              </w:rPr>
              <w:t>considers that the remaining issues could be easily resolved and the medicine does not represent High Added Therapeutic Value (HATV) for the proposed population. This would include circumstances where:</w:t>
            </w:r>
          </w:p>
          <w:p w14:paraId="2D123F30" w14:textId="73FEBB16" w:rsidR="0076025C" w:rsidRPr="001F4248" w:rsidRDefault="0070474A" w:rsidP="00651D54">
            <w:pPr>
              <w:pStyle w:val="ListParagraph"/>
              <w:numPr>
                <w:ilvl w:val="0"/>
                <w:numId w:val="25"/>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22222"/>
                <w:sz w:val="22"/>
                <w:szCs w:val="22"/>
              </w:rPr>
            </w:pPr>
            <w:r>
              <w:rPr>
                <w:rFonts w:asciiTheme="minorHAnsi" w:hAnsiTheme="minorHAnsi" w:cstheme="minorHAnsi"/>
                <w:color w:val="222222"/>
                <w:sz w:val="22"/>
                <w:szCs w:val="22"/>
              </w:rPr>
              <w:lastRenderedPageBreak/>
              <w:t>n</w:t>
            </w:r>
            <w:r w:rsidR="0076025C" w:rsidRPr="001F4248">
              <w:rPr>
                <w:rFonts w:asciiTheme="minorHAnsi" w:hAnsiTheme="minorHAnsi" w:cstheme="minorHAnsi"/>
                <w:color w:val="222222"/>
                <w:sz w:val="22"/>
                <w:szCs w:val="22"/>
              </w:rPr>
              <w:t xml:space="preserve">ew clinical study data requiring evaluation is not considered necessary by </w:t>
            </w:r>
            <w:r w:rsidR="0076025C" w:rsidRPr="001F4248" w:rsidDel="003B4F50">
              <w:rPr>
                <w:rFonts w:asciiTheme="minorHAnsi" w:hAnsiTheme="minorHAnsi" w:cstheme="minorHAnsi"/>
                <w:color w:val="222222"/>
                <w:sz w:val="22"/>
                <w:szCs w:val="22"/>
              </w:rPr>
              <w:t xml:space="preserve">the </w:t>
            </w:r>
            <w:r w:rsidR="0076025C" w:rsidRPr="001F4248">
              <w:rPr>
                <w:rFonts w:asciiTheme="minorHAnsi" w:hAnsiTheme="minorHAnsi" w:cstheme="minorHAnsi"/>
                <w:color w:val="222222"/>
                <w:sz w:val="22"/>
                <w:szCs w:val="22"/>
              </w:rPr>
              <w:t xml:space="preserve">PBAC to support </w:t>
            </w:r>
            <w:r w:rsidR="00BF3AE4">
              <w:rPr>
                <w:rFonts w:asciiTheme="minorHAnsi" w:hAnsiTheme="minorHAnsi" w:cstheme="minorHAnsi"/>
                <w:color w:val="222222"/>
                <w:sz w:val="22"/>
                <w:szCs w:val="22"/>
              </w:rPr>
              <w:t>the</w:t>
            </w:r>
            <w:r w:rsidR="00BF3AE4" w:rsidRPr="001F4248">
              <w:rPr>
                <w:rFonts w:asciiTheme="minorHAnsi" w:hAnsiTheme="minorHAnsi" w:cstheme="minorHAnsi"/>
                <w:color w:val="222222"/>
                <w:sz w:val="22"/>
                <w:szCs w:val="22"/>
              </w:rPr>
              <w:t xml:space="preserve"> </w:t>
            </w:r>
            <w:r w:rsidR="0076025C" w:rsidRPr="001F4248">
              <w:rPr>
                <w:rFonts w:asciiTheme="minorHAnsi" w:hAnsiTheme="minorHAnsi" w:cstheme="minorHAnsi"/>
                <w:color w:val="222222"/>
                <w:sz w:val="22"/>
                <w:szCs w:val="22"/>
              </w:rPr>
              <w:t>clinical claims to be made in the resubmission</w:t>
            </w:r>
            <w:r w:rsidR="004212B6">
              <w:rPr>
                <w:rFonts w:asciiTheme="minorHAnsi" w:hAnsiTheme="minorHAnsi" w:cstheme="minorHAnsi"/>
                <w:color w:val="222222"/>
                <w:sz w:val="22"/>
                <w:szCs w:val="22"/>
              </w:rPr>
              <w:t>,</w:t>
            </w:r>
            <w:r w:rsidR="0076025C" w:rsidRPr="001F4248">
              <w:rPr>
                <w:rFonts w:asciiTheme="minorHAnsi" w:hAnsiTheme="minorHAnsi" w:cstheme="minorHAnsi"/>
                <w:color w:val="222222"/>
                <w:sz w:val="22"/>
                <w:szCs w:val="22"/>
              </w:rPr>
              <w:t xml:space="preserve"> and </w:t>
            </w:r>
          </w:p>
          <w:p w14:paraId="300ED268" w14:textId="38824FFF" w:rsidR="0076025C" w:rsidRPr="001F4248" w:rsidRDefault="004212B6" w:rsidP="00651D54">
            <w:pPr>
              <w:pStyle w:val="ListParagraph"/>
              <w:numPr>
                <w:ilvl w:val="0"/>
                <w:numId w:val="25"/>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22222"/>
                <w:sz w:val="22"/>
                <w:szCs w:val="22"/>
              </w:rPr>
            </w:pPr>
            <w:r>
              <w:rPr>
                <w:rFonts w:asciiTheme="minorHAnsi" w:hAnsiTheme="minorHAnsi" w:cstheme="minorHAnsi"/>
                <w:color w:val="222222"/>
                <w:sz w:val="22"/>
                <w:szCs w:val="22"/>
              </w:rPr>
              <w:t>a</w:t>
            </w:r>
            <w:r w:rsidR="0076025C" w:rsidRPr="001F4248">
              <w:rPr>
                <w:rFonts w:asciiTheme="minorHAnsi" w:hAnsiTheme="minorHAnsi" w:cstheme="minorHAnsi"/>
                <w:color w:val="222222"/>
                <w:sz w:val="22"/>
                <w:szCs w:val="22"/>
              </w:rPr>
              <w:t xml:space="preserve"> revised model structure or input variable changes (beyond those specified by </w:t>
            </w:r>
            <w:r w:rsidR="0076025C" w:rsidRPr="001F4248" w:rsidDel="00252744">
              <w:rPr>
                <w:rFonts w:asciiTheme="minorHAnsi" w:hAnsiTheme="minorHAnsi" w:cstheme="minorHAnsi"/>
                <w:color w:val="222222"/>
                <w:sz w:val="22"/>
                <w:szCs w:val="22"/>
              </w:rPr>
              <w:t xml:space="preserve">the </w:t>
            </w:r>
            <w:r w:rsidR="0076025C" w:rsidRPr="001F4248">
              <w:rPr>
                <w:rFonts w:asciiTheme="minorHAnsi" w:hAnsiTheme="minorHAnsi" w:cstheme="minorHAnsi"/>
                <w:color w:val="222222"/>
                <w:sz w:val="22"/>
                <w:szCs w:val="22"/>
              </w:rPr>
              <w:t xml:space="preserve">PBAC) are not necessary to support </w:t>
            </w:r>
            <w:r w:rsidR="00BF3AE4">
              <w:rPr>
                <w:rFonts w:asciiTheme="minorHAnsi" w:hAnsiTheme="minorHAnsi" w:cstheme="minorHAnsi"/>
                <w:color w:val="222222"/>
                <w:sz w:val="22"/>
                <w:szCs w:val="22"/>
              </w:rPr>
              <w:t>the</w:t>
            </w:r>
            <w:r w:rsidR="0076025C" w:rsidRPr="001F4248">
              <w:rPr>
                <w:rFonts w:asciiTheme="minorHAnsi" w:hAnsiTheme="minorHAnsi" w:cstheme="minorHAnsi"/>
                <w:color w:val="222222"/>
                <w:sz w:val="22"/>
                <w:szCs w:val="22"/>
              </w:rPr>
              <w:t xml:space="preserve"> economic claims, or to estimate the utilisation and financial impacts to be made in the resubmission.</w:t>
            </w:r>
          </w:p>
          <w:p w14:paraId="43AA9B93" w14:textId="31BCC7BF" w:rsidR="0076025C" w:rsidRPr="001F4248" w:rsidRDefault="0076025C" w:rsidP="002C72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22222"/>
                <w:sz w:val="22"/>
                <w:szCs w:val="22"/>
              </w:rPr>
            </w:pPr>
            <w:r w:rsidRPr="001F4248">
              <w:rPr>
                <w:rFonts w:asciiTheme="minorHAnsi" w:hAnsiTheme="minorHAnsi" w:cstheme="minorHAnsi"/>
                <w:color w:val="222222"/>
                <w:sz w:val="22"/>
                <w:szCs w:val="22"/>
              </w:rPr>
              <w:t>Applicants who accept this pathway are eligible for PBAC consideration at the immediate next meeting</w:t>
            </w:r>
            <w:r w:rsidR="00BF3AE4">
              <w:rPr>
                <w:rFonts w:asciiTheme="minorHAnsi" w:hAnsiTheme="minorHAnsi" w:cstheme="minorHAnsi"/>
                <w:color w:val="222222"/>
                <w:sz w:val="22"/>
                <w:szCs w:val="22"/>
              </w:rPr>
              <w:t xml:space="preserve"> or the following meeting</w:t>
            </w:r>
            <w:r w:rsidRPr="001F4248">
              <w:rPr>
                <w:rFonts w:asciiTheme="minorHAnsi" w:hAnsiTheme="minorHAnsi" w:cstheme="minorHAnsi"/>
                <w:color w:val="222222"/>
                <w:sz w:val="22"/>
                <w:szCs w:val="22"/>
              </w:rPr>
              <w:t>.</w:t>
            </w:r>
          </w:p>
          <w:p w14:paraId="031F2E4C" w14:textId="63CC6D8A" w:rsidR="0076025C" w:rsidRPr="001F4248" w:rsidRDefault="0076025C" w:rsidP="002C72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22222"/>
                <w:sz w:val="22"/>
                <w:szCs w:val="22"/>
              </w:rPr>
            </w:pPr>
            <w:r w:rsidRPr="001F4248">
              <w:rPr>
                <w:rFonts w:asciiTheme="minorHAnsi" w:hAnsiTheme="minorHAnsi" w:cstheme="minorHAnsi"/>
                <w:color w:val="222222"/>
                <w:sz w:val="22"/>
                <w:szCs w:val="22"/>
              </w:rPr>
              <w:t>Where an applicant chooses not to accept the PBAC</w:t>
            </w:r>
            <w:r w:rsidR="00A03534">
              <w:rPr>
                <w:rFonts w:asciiTheme="minorHAnsi" w:hAnsiTheme="minorHAnsi" w:cstheme="minorHAnsi"/>
                <w:color w:val="222222"/>
                <w:sz w:val="22"/>
                <w:szCs w:val="22"/>
              </w:rPr>
              <w:t>-</w:t>
            </w:r>
            <w:r w:rsidRPr="001F4248">
              <w:rPr>
                <w:rFonts w:asciiTheme="minorHAnsi" w:hAnsiTheme="minorHAnsi" w:cstheme="minorHAnsi"/>
                <w:color w:val="222222"/>
                <w:sz w:val="22"/>
                <w:szCs w:val="22"/>
              </w:rPr>
              <w:t>nominated pathway</w:t>
            </w:r>
            <w:r w:rsidR="00161F37">
              <w:rPr>
                <w:rFonts w:asciiTheme="minorHAnsi" w:hAnsiTheme="minorHAnsi" w:cstheme="minorHAnsi"/>
                <w:color w:val="222222"/>
                <w:sz w:val="22"/>
                <w:szCs w:val="22"/>
              </w:rPr>
              <w:t>,</w:t>
            </w:r>
            <w:r w:rsidRPr="001F4248">
              <w:rPr>
                <w:rFonts w:asciiTheme="minorHAnsi" w:hAnsiTheme="minorHAnsi" w:cstheme="minorHAnsi"/>
                <w:color w:val="222222"/>
                <w:sz w:val="22"/>
                <w:szCs w:val="22"/>
              </w:rPr>
              <w:t xml:space="preserve"> addresses additional issues</w:t>
            </w:r>
            <w:r w:rsidR="00161F37">
              <w:rPr>
                <w:rFonts w:asciiTheme="minorHAnsi" w:hAnsiTheme="minorHAnsi" w:cstheme="minorHAnsi"/>
                <w:color w:val="222222"/>
                <w:sz w:val="22"/>
                <w:szCs w:val="22"/>
              </w:rPr>
              <w:t>,</w:t>
            </w:r>
            <w:r w:rsidRPr="001F4248">
              <w:rPr>
                <w:rFonts w:asciiTheme="minorHAnsi" w:hAnsiTheme="minorHAnsi" w:cstheme="minorHAnsi"/>
                <w:color w:val="222222"/>
                <w:sz w:val="22"/>
                <w:szCs w:val="22"/>
              </w:rPr>
              <w:t xml:space="preserve"> or is unable to meet the lodgement timeframes, the Standard Re-entry Pathway would apply</w:t>
            </w:r>
            <w:r w:rsidR="008360F1">
              <w:rPr>
                <w:rFonts w:asciiTheme="minorHAnsi" w:hAnsiTheme="minorHAnsi" w:cstheme="minorHAnsi"/>
                <w:color w:val="222222"/>
                <w:sz w:val="22"/>
                <w:szCs w:val="22"/>
              </w:rPr>
              <w:t>.</w:t>
            </w:r>
          </w:p>
        </w:tc>
      </w:tr>
      <w:tr w:rsidR="0076025C" w14:paraId="3DB75E02" w14:textId="77777777" w:rsidTr="002C7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10A7266" w14:textId="77777777" w:rsidR="0076025C" w:rsidRPr="001F4248" w:rsidRDefault="0076025C" w:rsidP="002C7227">
            <w:pPr>
              <w:rPr>
                <w:rFonts w:asciiTheme="minorHAnsi" w:hAnsiTheme="minorHAnsi" w:cstheme="minorHAnsi"/>
                <w:color w:val="222222"/>
                <w:sz w:val="22"/>
                <w:szCs w:val="22"/>
              </w:rPr>
            </w:pPr>
            <w:r w:rsidRPr="001F4248">
              <w:rPr>
                <w:rFonts w:asciiTheme="minorHAnsi" w:hAnsiTheme="minorHAnsi" w:cstheme="minorHAnsi"/>
                <w:color w:val="222222"/>
                <w:sz w:val="22"/>
                <w:szCs w:val="22"/>
              </w:rPr>
              <w:lastRenderedPageBreak/>
              <w:t>Early resolution pathway</w:t>
            </w:r>
          </w:p>
        </w:tc>
        <w:tc>
          <w:tcPr>
            <w:tcW w:w="7456" w:type="dxa"/>
          </w:tcPr>
          <w:p w14:paraId="2559CB4B" w14:textId="4B9802A9" w:rsidR="00371C99" w:rsidRPr="00371C99" w:rsidRDefault="00371C99" w:rsidP="00371C9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2"/>
              </w:rPr>
            </w:pPr>
            <w:r w:rsidRPr="00371C99" w:rsidDel="00B1196A">
              <w:rPr>
                <w:rFonts w:asciiTheme="minorHAnsi" w:hAnsiTheme="minorHAnsi" w:cstheme="minorHAnsi"/>
                <w:color w:val="222222"/>
                <w:sz w:val="22"/>
                <w:szCs w:val="22"/>
              </w:rPr>
              <w:t xml:space="preserve">The </w:t>
            </w:r>
            <w:r w:rsidRPr="00371C99">
              <w:rPr>
                <w:rFonts w:asciiTheme="minorHAnsi" w:hAnsiTheme="minorHAnsi" w:cstheme="minorHAnsi"/>
                <w:color w:val="222222"/>
                <w:sz w:val="22"/>
                <w:szCs w:val="22"/>
              </w:rPr>
              <w:t xml:space="preserve">PBAC may nominate an Early Resolution Pathway where </w:t>
            </w:r>
            <w:r w:rsidR="001A21F1">
              <w:rPr>
                <w:rFonts w:asciiTheme="minorHAnsi" w:hAnsiTheme="minorHAnsi" w:cstheme="minorHAnsi"/>
                <w:color w:val="222222"/>
                <w:sz w:val="22"/>
                <w:szCs w:val="22"/>
              </w:rPr>
              <w:t>it</w:t>
            </w:r>
            <w:r w:rsidRPr="00371C99">
              <w:rPr>
                <w:rFonts w:asciiTheme="minorHAnsi" w:hAnsiTheme="minorHAnsi" w:cstheme="minorHAnsi"/>
                <w:color w:val="222222"/>
                <w:sz w:val="22"/>
                <w:szCs w:val="22"/>
              </w:rPr>
              <w:t xml:space="preserve"> considers that the remaining issues could be easily resolved, including when:</w:t>
            </w:r>
          </w:p>
          <w:p w14:paraId="00D8BE1D" w14:textId="55E364F9" w:rsidR="00371C99" w:rsidRPr="006D5564" w:rsidRDefault="001C5888" w:rsidP="00651D54">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1"/>
              </w:rPr>
            </w:pPr>
            <w:r>
              <w:rPr>
                <w:rFonts w:asciiTheme="minorHAnsi" w:hAnsiTheme="minorHAnsi" w:cstheme="minorHAnsi"/>
                <w:color w:val="222222"/>
                <w:sz w:val="22"/>
                <w:szCs w:val="21"/>
              </w:rPr>
              <w:t>n</w:t>
            </w:r>
            <w:r w:rsidR="00371C99" w:rsidRPr="006D5564">
              <w:rPr>
                <w:rFonts w:asciiTheme="minorHAnsi" w:hAnsiTheme="minorHAnsi" w:cstheme="minorHAnsi"/>
                <w:color w:val="222222"/>
                <w:sz w:val="22"/>
                <w:szCs w:val="21"/>
              </w:rPr>
              <w:t xml:space="preserve">ew clinical study data requiring evaluation is not considered necessary by PBAC to support </w:t>
            </w:r>
            <w:r w:rsidR="00BF3AE4">
              <w:rPr>
                <w:rFonts w:asciiTheme="minorHAnsi" w:hAnsiTheme="minorHAnsi" w:cstheme="minorHAnsi"/>
                <w:color w:val="222222"/>
                <w:sz w:val="22"/>
                <w:szCs w:val="21"/>
              </w:rPr>
              <w:t>the</w:t>
            </w:r>
            <w:r w:rsidR="00BF3AE4" w:rsidRPr="006D5564">
              <w:rPr>
                <w:rFonts w:asciiTheme="minorHAnsi" w:hAnsiTheme="minorHAnsi" w:cstheme="minorHAnsi"/>
                <w:color w:val="222222"/>
                <w:sz w:val="22"/>
                <w:szCs w:val="21"/>
              </w:rPr>
              <w:t xml:space="preserve"> </w:t>
            </w:r>
            <w:r w:rsidR="00371C99" w:rsidRPr="006D5564">
              <w:rPr>
                <w:rFonts w:asciiTheme="minorHAnsi" w:hAnsiTheme="minorHAnsi" w:cstheme="minorHAnsi"/>
                <w:color w:val="222222"/>
                <w:sz w:val="22"/>
                <w:szCs w:val="21"/>
              </w:rPr>
              <w:t>clinical claims to be made in the resubmission</w:t>
            </w:r>
            <w:r w:rsidR="00686435">
              <w:rPr>
                <w:rFonts w:asciiTheme="minorHAnsi" w:hAnsiTheme="minorHAnsi" w:cstheme="minorHAnsi"/>
                <w:color w:val="222222"/>
                <w:sz w:val="22"/>
                <w:szCs w:val="21"/>
              </w:rPr>
              <w:t>,</w:t>
            </w:r>
            <w:r w:rsidR="00371C99" w:rsidRPr="006D5564">
              <w:rPr>
                <w:rFonts w:asciiTheme="minorHAnsi" w:hAnsiTheme="minorHAnsi" w:cstheme="minorHAnsi"/>
                <w:color w:val="222222"/>
                <w:sz w:val="22"/>
                <w:szCs w:val="21"/>
              </w:rPr>
              <w:t xml:space="preserve"> and </w:t>
            </w:r>
          </w:p>
          <w:p w14:paraId="1602050D" w14:textId="1EBFE34F" w:rsidR="00371C99" w:rsidRPr="006D5564" w:rsidRDefault="00686435" w:rsidP="00651D54">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1"/>
              </w:rPr>
            </w:pPr>
            <w:r>
              <w:rPr>
                <w:rFonts w:asciiTheme="minorHAnsi" w:hAnsiTheme="minorHAnsi" w:cstheme="minorHAnsi"/>
                <w:color w:val="222222"/>
                <w:sz w:val="22"/>
                <w:szCs w:val="21"/>
              </w:rPr>
              <w:t>a</w:t>
            </w:r>
            <w:r w:rsidR="00371C99" w:rsidRPr="006D5564">
              <w:rPr>
                <w:rFonts w:asciiTheme="minorHAnsi" w:hAnsiTheme="minorHAnsi" w:cstheme="minorHAnsi"/>
                <w:color w:val="222222"/>
                <w:sz w:val="22"/>
                <w:szCs w:val="21"/>
              </w:rPr>
              <w:t xml:space="preserve"> revised model structure or input variable changes (beyond those specified by </w:t>
            </w:r>
            <w:r w:rsidR="00371C99" w:rsidRPr="006D5564" w:rsidDel="0064262E">
              <w:rPr>
                <w:rFonts w:asciiTheme="minorHAnsi" w:hAnsiTheme="minorHAnsi" w:cstheme="minorHAnsi"/>
                <w:color w:val="222222"/>
                <w:sz w:val="22"/>
                <w:szCs w:val="21"/>
              </w:rPr>
              <w:t xml:space="preserve">the </w:t>
            </w:r>
            <w:r w:rsidR="00371C99" w:rsidRPr="006D5564">
              <w:rPr>
                <w:rFonts w:asciiTheme="minorHAnsi" w:hAnsiTheme="minorHAnsi" w:cstheme="minorHAnsi"/>
                <w:color w:val="222222"/>
                <w:sz w:val="22"/>
                <w:szCs w:val="21"/>
              </w:rPr>
              <w:t xml:space="preserve">PBAC) are not necessary to support </w:t>
            </w:r>
            <w:r w:rsidR="00BF3AE4">
              <w:rPr>
                <w:rFonts w:asciiTheme="minorHAnsi" w:hAnsiTheme="minorHAnsi" w:cstheme="minorHAnsi"/>
                <w:color w:val="222222"/>
                <w:sz w:val="22"/>
                <w:szCs w:val="21"/>
              </w:rPr>
              <w:t>the</w:t>
            </w:r>
            <w:r w:rsidR="00371C99" w:rsidRPr="006D5564">
              <w:rPr>
                <w:rFonts w:asciiTheme="minorHAnsi" w:hAnsiTheme="minorHAnsi" w:cstheme="minorHAnsi"/>
                <w:color w:val="222222"/>
                <w:sz w:val="22"/>
                <w:szCs w:val="21"/>
              </w:rPr>
              <w:t xml:space="preserve"> economic claims, or to estimate the utilisation and financial impacts to be made in the resubmission</w:t>
            </w:r>
            <w:r w:rsidR="00F12A56">
              <w:rPr>
                <w:rFonts w:asciiTheme="minorHAnsi" w:hAnsiTheme="minorHAnsi" w:cstheme="minorHAnsi"/>
                <w:color w:val="222222"/>
                <w:sz w:val="22"/>
                <w:szCs w:val="21"/>
              </w:rPr>
              <w:t>,</w:t>
            </w:r>
            <w:r w:rsidR="00D74250">
              <w:rPr>
                <w:rFonts w:asciiTheme="minorHAnsi" w:hAnsiTheme="minorHAnsi" w:cstheme="minorHAnsi"/>
                <w:color w:val="222222"/>
                <w:sz w:val="22"/>
                <w:szCs w:val="21"/>
              </w:rPr>
              <w:t xml:space="preserve"> and</w:t>
            </w:r>
          </w:p>
          <w:p w14:paraId="66888522" w14:textId="49525CD4" w:rsidR="00371C99" w:rsidRPr="006D5564" w:rsidRDefault="00F12A56" w:rsidP="00651D54">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1"/>
              </w:rPr>
            </w:pPr>
            <w:r>
              <w:rPr>
                <w:rFonts w:asciiTheme="minorHAnsi" w:hAnsiTheme="minorHAnsi" w:cstheme="minorHAnsi"/>
                <w:color w:val="222222"/>
                <w:sz w:val="22"/>
                <w:szCs w:val="21"/>
              </w:rPr>
              <w:t>w</w:t>
            </w:r>
            <w:r w:rsidR="00371C99" w:rsidRPr="006D5564">
              <w:rPr>
                <w:rFonts w:asciiTheme="minorHAnsi" w:hAnsiTheme="minorHAnsi" w:cstheme="minorHAnsi"/>
                <w:color w:val="222222"/>
                <w:sz w:val="22"/>
                <w:szCs w:val="21"/>
              </w:rPr>
              <w:t>here the medicine or vaccine meets the HATV criteria:</w:t>
            </w:r>
          </w:p>
          <w:p w14:paraId="1E6864A6" w14:textId="508A09BF" w:rsidR="00371C99" w:rsidRPr="006D5564" w:rsidRDefault="00371C99" w:rsidP="00651D54">
            <w:pPr>
              <w:pStyle w:val="ListParagraph"/>
              <w:numPr>
                <w:ilvl w:val="1"/>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1"/>
              </w:rPr>
            </w:pPr>
            <w:r w:rsidRPr="006D5564">
              <w:rPr>
                <w:rFonts w:asciiTheme="minorHAnsi" w:hAnsiTheme="minorHAnsi" w:cstheme="minorHAnsi"/>
                <w:color w:val="222222"/>
                <w:sz w:val="22"/>
                <w:szCs w:val="21"/>
              </w:rPr>
              <w:t>the medicine or vaccine addresses a high and urgent unmet clinical need</w:t>
            </w:r>
            <w:r w:rsidR="00BD2BFB">
              <w:rPr>
                <w:rFonts w:asciiTheme="minorHAnsi" w:hAnsiTheme="minorHAnsi" w:cstheme="minorHAnsi"/>
                <w:color w:val="222222"/>
                <w:sz w:val="22"/>
                <w:szCs w:val="21"/>
              </w:rPr>
              <w:t>,</w:t>
            </w:r>
            <w:r w:rsidRPr="006D5564">
              <w:rPr>
                <w:rFonts w:asciiTheme="minorHAnsi" w:hAnsiTheme="minorHAnsi" w:cstheme="minorHAnsi"/>
                <w:color w:val="222222"/>
                <w:sz w:val="22"/>
                <w:szCs w:val="21"/>
              </w:rPr>
              <w:t xml:space="preserve"> and</w:t>
            </w:r>
          </w:p>
          <w:p w14:paraId="25E9F6B1" w14:textId="77777777" w:rsidR="00371C99" w:rsidRPr="006D5564" w:rsidRDefault="00371C99" w:rsidP="00651D54">
            <w:pPr>
              <w:pStyle w:val="ListParagraph"/>
              <w:numPr>
                <w:ilvl w:val="1"/>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1"/>
              </w:rPr>
            </w:pPr>
            <w:r w:rsidRPr="006D5564">
              <w:rPr>
                <w:rFonts w:asciiTheme="minorHAnsi" w:hAnsiTheme="minorHAnsi" w:cstheme="minorHAnsi"/>
                <w:color w:val="222222"/>
                <w:sz w:val="22"/>
                <w:szCs w:val="21"/>
              </w:rPr>
              <w:t>the medicine or vaccine is expected to provide a substantial and clinically relevant improvement in efficacy, or reduction of toxicity, over any alternative therapies.</w:t>
            </w:r>
          </w:p>
          <w:p w14:paraId="1BA9BB98" w14:textId="0B0478AA" w:rsidR="00371C99" w:rsidRPr="00371C99" w:rsidRDefault="00371C99" w:rsidP="00371C9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2"/>
              </w:rPr>
            </w:pPr>
            <w:r w:rsidRPr="00371C99">
              <w:rPr>
                <w:rFonts w:asciiTheme="minorHAnsi" w:hAnsiTheme="minorHAnsi" w:cstheme="minorHAnsi"/>
                <w:color w:val="222222"/>
                <w:sz w:val="22"/>
                <w:szCs w:val="22"/>
              </w:rPr>
              <w:t xml:space="preserve">Applicants who accept this pathway are eligible </w:t>
            </w:r>
            <w:r w:rsidR="00AA33DA">
              <w:rPr>
                <w:rFonts w:asciiTheme="minorHAnsi" w:hAnsiTheme="minorHAnsi" w:cstheme="minorHAnsi"/>
                <w:color w:val="222222"/>
                <w:sz w:val="22"/>
                <w:szCs w:val="22"/>
              </w:rPr>
              <w:t>to have the</w:t>
            </w:r>
            <w:r w:rsidRPr="00371C99">
              <w:rPr>
                <w:rFonts w:asciiTheme="minorHAnsi" w:hAnsiTheme="minorHAnsi" w:cstheme="minorHAnsi"/>
                <w:color w:val="222222"/>
                <w:sz w:val="22"/>
                <w:szCs w:val="22"/>
              </w:rPr>
              <w:t xml:space="preserve"> PBAC consider</w:t>
            </w:r>
            <w:r w:rsidR="00AA33DA">
              <w:rPr>
                <w:rFonts w:asciiTheme="minorHAnsi" w:hAnsiTheme="minorHAnsi" w:cstheme="minorHAnsi"/>
                <w:color w:val="222222"/>
                <w:sz w:val="22"/>
                <w:szCs w:val="22"/>
              </w:rPr>
              <w:t xml:space="preserve"> their </w:t>
            </w:r>
            <w:r w:rsidR="00AF7EF8">
              <w:rPr>
                <w:rFonts w:asciiTheme="minorHAnsi" w:hAnsiTheme="minorHAnsi" w:cstheme="minorHAnsi"/>
                <w:color w:val="222222"/>
                <w:sz w:val="22"/>
                <w:szCs w:val="22"/>
              </w:rPr>
              <w:t>revisions</w:t>
            </w:r>
            <w:r w:rsidRPr="00371C99">
              <w:rPr>
                <w:rFonts w:asciiTheme="minorHAnsi" w:hAnsiTheme="minorHAnsi" w:cstheme="minorHAnsi"/>
                <w:color w:val="222222"/>
                <w:sz w:val="22"/>
                <w:szCs w:val="22"/>
              </w:rPr>
              <w:t xml:space="preserve"> out-of-session (before the main meeting), unless the </w:t>
            </w:r>
            <w:r w:rsidR="00AA1B04">
              <w:rPr>
                <w:rFonts w:asciiTheme="minorHAnsi" w:hAnsiTheme="minorHAnsi" w:cstheme="minorHAnsi"/>
                <w:color w:val="222222"/>
                <w:sz w:val="22"/>
                <w:szCs w:val="22"/>
              </w:rPr>
              <w:t>D</w:t>
            </w:r>
            <w:r w:rsidRPr="00371C99">
              <w:rPr>
                <w:rFonts w:asciiTheme="minorHAnsi" w:hAnsiTheme="minorHAnsi" w:cstheme="minorHAnsi"/>
                <w:color w:val="222222"/>
                <w:sz w:val="22"/>
                <w:szCs w:val="22"/>
              </w:rPr>
              <w:t>epartment</w:t>
            </w:r>
            <w:r w:rsidR="00E16EF2">
              <w:rPr>
                <w:rFonts w:asciiTheme="minorHAnsi" w:hAnsiTheme="minorHAnsi" w:cstheme="minorHAnsi"/>
                <w:color w:val="222222"/>
                <w:sz w:val="22"/>
                <w:szCs w:val="22"/>
              </w:rPr>
              <w:t xml:space="preserve"> of Health and Aged Care</w:t>
            </w:r>
            <w:r w:rsidRPr="00371C99">
              <w:rPr>
                <w:rFonts w:asciiTheme="minorHAnsi" w:hAnsiTheme="minorHAnsi" w:cstheme="minorHAnsi"/>
                <w:color w:val="222222"/>
                <w:sz w:val="22"/>
                <w:szCs w:val="22"/>
              </w:rPr>
              <w:t xml:space="preserve">, in consultation with the PBAC Chair, identifies an unexpected issue such that the resubmission needs consideration at the next main </w:t>
            </w:r>
            <w:r w:rsidR="006C4651">
              <w:rPr>
                <w:rFonts w:asciiTheme="minorHAnsi" w:hAnsiTheme="minorHAnsi" w:cstheme="minorHAnsi"/>
                <w:color w:val="222222"/>
                <w:sz w:val="22"/>
                <w:szCs w:val="22"/>
              </w:rPr>
              <w:t xml:space="preserve">committee </w:t>
            </w:r>
            <w:r w:rsidRPr="00371C99">
              <w:rPr>
                <w:rFonts w:asciiTheme="minorHAnsi" w:hAnsiTheme="minorHAnsi" w:cstheme="minorHAnsi"/>
                <w:color w:val="222222"/>
                <w:sz w:val="22"/>
                <w:szCs w:val="22"/>
              </w:rPr>
              <w:t>meeting.</w:t>
            </w:r>
          </w:p>
          <w:p w14:paraId="561D50F3" w14:textId="39013209" w:rsidR="0076025C" w:rsidRPr="001F4248" w:rsidRDefault="00371C99" w:rsidP="002C72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z w:val="22"/>
                <w:szCs w:val="22"/>
              </w:rPr>
            </w:pPr>
            <w:r w:rsidRPr="00371C99">
              <w:rPr>
                <w:rFonts w:asciiTheme="minorHAnsi" w:hAnsiTheme="minorHAnsi" w:cstheme="minorHAnsi"/>
                <w:color w:val="222222"/>
                <w:sz w:val="22"/>
                <w:szCs w:val="22"/>
              </w:rPr>
              <w:t>Where an applicant chooses not to accept the PBAC</w:t>
            </w:r>
            <w:r w:rsidR="006C4651">
              <w:rPr>
                <w:rFonts w:asciiTheme="minorHAnsi" w:hAnsiTheme="minorHAnsi" w:cstheme="minorHAnsi"/>
                <w:color w:val="222222"/>
                <w:sz w:val="22"/>
                <w:szCs w:val="22"/>
              </w:rPr>
              <w:t>-</w:t>
            </w:r>
            <w:r w:rsidRPr="00371C99">
              <w:rPr>
                <w:rFonts w:asciiTheme="minorHAnsi" w:hAnsiTheme="minorHAnsi" w:cstheme="minorHAnsi"/>
                <w:color w:val="222222"/>
                <w:sz w:val="22"/>
                <w:szCs w:val="22"/>
              </w:rPr>
              <w:t>nominated pathway</w:t>
            </w:r>
            <w:r w:rsidR="006C4651">
              <w:rPr>
                <w:rFonts w:asciiTheme="minorHAnsi" w:hAnsiTheme="minorHAnsi" w:cstheme="minorHAnsi"/>
                <w:color w:val="222222"/>
                <w:sz w:val="22"/>
                <w:szCs w:val="22"/>
              </w:rPr>
              <w:t>,</w:t>
            </w:r>
            <w:r w:rsidRPr="00371C99">
              <w:rPr>
                <w:rFonts w:asciiTheme="minorHAnsi" w:hAnsiTheme="minorHAnsi" w:cstheme="minorHAnsi"/>
                <w:color w:val="222222"/>
                <w:sz w:val="22"/>
                <w:szCs w:val="22"/>
              </w:rPr>
              <w:t xml:space="preserve"> or is unable to meet the lodgement timeframes, the Standard Re-entry Pathway would apply.</w:t>
            </w:r>
          </w:p>
        </w:tc>
      </w:tr>
      <w:tr w:rsidR="0076025C" w14:paraId="5DA4789A" w14:textId="77777777" w:rsidTr="002C7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E9E4380" w14:textId="77777777" w:rsidR="0076025C" w:rsidRPr="001F4248" w:rsidRDefault="0076025C" w:rsidP="002C7227">
            <w:pPr>
              <w:rPr>
                <w:rFonts w:asciiTheme="minorHAnsi" w:hAnsiTheme="minorHAnsi" w:cstheme="minorHAnsi"/>
                <w:color w:val="222222"/>
                <w:sz w:val="22"/>
                <w:szCs w:val="22"/>
              </w:rPr>
            </w:pPr>
            <w:r w:rsidRPr="001F4248">
              <w:rPr>
                <w:rFonts w:asciiTheme="minorHAnsi" w:hAnsiTheme="minorHAnsi" w:cstheme="minorHAnsi"/>
                <w:color w:val="222222"/>
                <w:sz w:val="22"/>
                <w:szCs w:val="22"/>
              </w:rPr>
              <w:t>Facilitated resolution pathway</w:t>
            </w:r>
          </w:p>
        </w:tc>
        <w:tc>
          <w:tcPr>
            <w:tcW w:w="7456" w:type="dxa"/>
          </w:tcPr>
          <w:p w14:paraId="12FE57B3" w14:textId="48D05741" w:rsidR="003051FE" w:rsidRPr="001F4248" w:rsidRDefault="0076025C" w:rsidP="003051FE">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22222"/>
                <w:sz w:val="22"/>
                <w:szCs w:val="22"/>
              </w:rPr>
            </w:pPr>
            <w:r w:rsidRPr="001F4248">
              <w:rPr>
                <w:rFonts w:asciiTheme="minorHAnsi" w:hAnsiTheme="minorHAnsi" w:cstheme="minorHAnsi"/>
                <w:color w:val="222222"/>
                <w:sz w:val="22"/>
                <w:szCs w:val="22"/>
              </w:rPr>
              <w:t xml:space="preserve">A Facilitated Resolution Pathway may be nominated by </w:t>
            </w:r>
            <w:r w:rsidRPr="001F4248" w:rsidDel="006C2D81">
              <w:rPr>
                <w:rFonts w:asciiTheme="minorHAnsi" w:hAnsiTheme="minorHAnsi" w:cstheme="minorHAnsi"/>
                <w:color w:val="222222"/>
                <w:sz w:val="22"/>
                <w:szCs w:val="22"/>
              </w:rPr>
              <w:t xml:space="preserve">the </w:t>
            </w:r>
            <w:r w:rsidRPr="001F4248">
              <w:rPr>
                <w:rFonts w:asciiTheme="minorHAnsi" w:hAnsiTheme="minorHAnsi" w:cstheme="minorHAnsi"/>
                <w:color w:val="222222"/>
                <w:sz w:val="22"/>
                <w:szCs w:val="22"/>
              </w:rPr>
              <w:t xml:space="preserve">PBAC where the </w:t>
            </w:r>
            <w:r w:rsidR="00741D13">
              <w:rPr>
                <w:rFonts w:asciiTheme="minorHAnsi" w:hAnsiTheme="minorHAnsi" w:cstheme="minorHAnsi"/>
                <w:color w:val="222222"/>
                <w:sz w:val="22"/>
                <w:szCs w:val="22"/>
              </w:rPr>
              <w:t>committee</w:t>
            </w:r>
            <w:r w:rsidR="00741D13" w:rsidRPr="001F4248">
              <w:rPr>
                <w:rFonts w:asciiTheme="minorHAnsi" w:hAnsiTheme="minorHAnsi" w:cstheme="minorHAnsi"/>
                <w:color w:val="222222"/>
                <w:sz w:val="22"/>
                <w:szCs w:val="22"/>
              </w:rPr>
              <w:t xml:space="preserve"> </w:t>
            </w:r>
            <w:r w:rsidRPr="001F4248">
              <w:rPr>
                <w:rFonts w:asciiTheme="minorHAnsi" w:hAnsiTheme="minorHAnsi" w:cstheme="minorHAnsi"/>
                <w:color w:val="222222"/>
                <w:sz w:val="22"/>
                <w:szCs w:val="22"/>
              </w:rPr>
              <w:t>considers the issues for resolution could be explored through a workshop and where the medicine meets the HATV criteria</w:t>
            </w:r>
            <w:r w:rsidR="003051FE">
              <w:rPr>
                <w:rFonts w:asciiTheme="minorHAnsi" w:hAnsiTheme="minorHAnsi" w:cstheme="minorHAnsi"/>
                <w:color w:val="222222"/>
                <w:sz w:val="22"/>
                <w:szCs w:val="22"/>
              </w:rPr>
              <w:t>.</w:t>
            </w:r>
          </w:p>
          <w:p w14:paraId="40F95C6E" w14:textId="314B7B9E" w:rsidR="0076025C" w:rsidRPr="003051FE" w:rsidRDefault="0076025C" w:rsidP="00A1718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22222"/>
                <w:sz w:val="22"/>
                <w:szCs w:val="22"/>
              </w:rPr>
            </w:pPr>
            <w:r w:rsidRPr="001F4248">
              <w:rPr>
                <w:rFonts w:asciiTheme="minorHAnsi" w:hAnsiTheme="minorHAnsi" w:cstheme="minorHAnsi"/>
                <w:color w:val="222222"/>
                <w:sz w:val="22"/>
                <w:szCs w:val="22"/>
              </w:rPr>
              <w:t xml:space="preserve">Applicants who accept this pathway are eligible for a solution-focused workshop with one or more </w:t>
            </w:r>
            <w:r w:rsidR="00FB403A">
              <w:rPr>
                <w:rFonts w:asciiTheme="minorHAnsi" w:hAnsiTheme="minorHAnsi" w:cstheme="minorHAnsi"/>
                <w:color w:val="222222"/>
                <w:sz w:val="22"/>
                <w:szCs w:val="22"/>
              </w:rPr>
              <w:t xml:space="preserve">PBAC </w:t>
            </w:r>
            <w:r w:rsidRPr="001F4248">
              <w:rPr>
                <w:rFonts w:asciiTheme="minorHAnsi" w:hAnsiTheme="minorHAnsi" w:cstheme="minorHAnsi"/>
                <w:color w:val="222222"/>
                <w:sz w:val="22"/>
                <w:szCs w:val="22"/>
              </w:rPr>
              <w:t>members. It is expected that Facilitated Resolution Pathway resubmissions will require evaluation of a new and/or updated model structure and/or input var</w:t>
            </w:r>
            <w:r w:rsidRPr="00E375DA">
              <w:rPr>
                <w:rFonts w:asciiTheme="minorHAnsi" w:hAnsiTheme="minorHAnsi" w:cstheme="minorHAnsi"/>
                <w:color w:val="222222"/>
                <w:sz w:val="22"/>
                <w:szCs w:val="22"/>
              </w:rPr>
              <w:t xml:space="preserve">iable changes to </w:t>
            </w:r>
            <w:r w:rsidRPr="001F4248">
              <w:rPr>
                <w:rFonts w:asciiTheme="minorHAnsi" w:hAnsiTheme="minorHAnsi" w:cstheme="minorHAnsi"/>
                <w:color w:val="222222"/>
                <w:sz w:val="22"/>
                <w:szCs w:val="22"/>
              </w:rPr>
              <w:t>support the economic claims or estimate the utilisation and financial impact in the resubmission. This may also include other substantial changes from the previous submission that require re-evaluation.</w:t>
            </w:r>
          </w:p>
          <w:p w14:paraId="0E047FB8" w14:textId="1BE03529" w:rsidR="0076025C" w:rsidRPr="001F4248" w:rsidRDefault="0076025C" w:rsidP="002C722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222222"/>
                <w:sz w:val="22"/>
                <w:szCs w:val="22"/>
              </w:rPr>
            </w:pPr>
            <w:r w:rsidRPr="001F4248">
              <w:rPr>
                <w:rFonts w:asciiTheme="minorHAnsi" w:hAnsiTheme="minorHAnsi" w:cstheme="minorHAnsi"/>
                <w:color w:val="222222"/>
                <w:sz w:val="22"/>
                <w:szCs w:val="22"/>
              </w:rPr>
              <w:lastRenderedPageBreak/>
              <w:t>Where an applicant chooses not to accept the PBAC</w:t>
            </w:r>
            <w:r w:rsidR="00463DA1">
              <w:rPr>
                <w:rFonts w:asciiTheme="minorHAnsi" w:hAnsiTheme="minorHAnsi" w:cstheme="minorHAnsi"/>
                <w:color w:val="222222"/>
                <w:sz w:val="22"/>
                <w:szCs w:val="22"/>
              </w:rPr>
              <w:t>-</w:t>
            </w:r>
            <w:r w:rsidRPr="001F4248">
              <w:rPr>
                <w:rFonts w:asciiTheme="minorHAnsi" w:hAnsiTheme="minorHAnsi" w:cstheme="minorHAnsi"/>
                <w:color w:val="222222"/>
                <w:sz w:val="22"/>
                <w:szCs w:val="22"/>
              </w:rPr>
              <w:t>nominated pathway</w:t>
            </w:r>
            <w:r w:rsidR="00463DA1">
              <w:rPr>
                <w:rFonts w:asciiTheme="minorHAnsi" w:hAnsiTheme="minorHAnsi" w:cstheme="minorHAnsi"/>
                <w:color w:val="222222"/>
                <w:sz w:val="22"/>
                <w:szCs w:val="22"/>
              </w:rPr>
              <w:t>,</w:t>
            </w:r>
            <w:r w:rsidRPr="001F4248">
              <w:rPr>
                <w:rFonts w:asciiTheme="minorHAnsi" w:hAnsiTheme="minorHAnsi" w:cstheme="minorHAnsi"/>
                <w:color w:val="222222"/>
                <w:sz w:val="22"/>
                <w:szCs w:val="22"/>
              </w:rPr>
              <w:t xml:space="preserve"> addresses additional issues</w:t>
            </w:r>
            <w:r w:rsidR="00463DA1">
              <w:rPr>
                <w:rFonts w:asciiTheme="minorHAnsi" w:hAnsiTheme="minorHAnsi" w:cstheme="minorHAnsi"/>
                <w:color w:val="222222"/>
                <w:sz w:val="22"/>
                <w:szCs w:val="22"/>
              </w:rPr>
              <w:t>,</w:t>
            </w:r>
            <w:r w:rsidRPr="001F4248">
              <w:rPr>
                <w:rFonts w:asciiTheme="minorHAnsi" w:hAnsiTheme="minorHAnsi" w:cstheme="minorHAnsi"/>
                <w:color w:val="222222"/>
                <w:sz w:val="22"/>
                <w:szCs w:val="22"/>
              </w:rPr>
              <w:t xml:space="preserve"> or is unable to meet the lodgement timeframes, the Standard Re-entry Pathway would apply.</w:t>
            </w:r>
          </w:p>
        </w:tc>
      </w:tr>
    </w:tbl>
    <w:p w14:paraId="747A5856" w14:textId="01B44B60" w:rsidR="00670EA4" w:rsidRDefault="00670EA4" w:rsidP="009C6FB1">
      <w:pPr>
        <w:pStyle w:val="Heading2"/>
      </w:pPr>
      <w:bookmarkStart w:id="18" w:name="_Toc156576953"/>
      <w:r>
        <w:lastRenderedPageBreak/>
        <w:t xml:space="preserve">Recent reforms </w:t>
      </w:r>
      <w:r w:rsidR="00216DF2">
        <w:t xml:space="preserve">– PBS </w:t>
      </w:r>
      <w:r w:rsidR="0027430F">
        <w:t>p</w:t>
      </w:r>
      <w:r w:rsidR="00216DF2">
        <w:t>rocess improvements</w:t>
      </w:r>
      <w:bookmarkEnd w:id="18"/>
    </w:p>
    <w:p w14:paraId="636C8652" w14:textId="3B3DB1B0" w:rsidR="00670EA4" w:rsidRPr="00670EA4" w:rsidRDefault="00670EA4" w:rsidP="00670EA4">
      <w:r w:rsidRPr="00670EA4">
        <w:t>Under the 2017</w:t>
      </w:r>
      <w:r w:rsidR="0027430F">
        <w:t>–</w:t>
      </w:r>
      <w:r w:rsidRPr="00670EA4">
        <w:t>22 Strategic Agreement with Medicines Australia, the Commonwealth committed to working with Medicines Australia on a number of objectives to improve the efficiency, transparency and timeliness of the PBS listing processes.</w:t>
      </w:r>
      <w:r w:rsidR="00552B76">
        <w:rPr>
          <w:rStyle w:val="FootnoteReference"/>
        </w:rPr>
        <w:footnoteReference w:id="35"/>
      </w:r>
      <w:r w:rsidRPr="00670EA4">
        <w:t xml:space="preserve"> Key process improvements implemented </w:t>
      </w:r>
      <w:r w:rsidR="00B23305">
        <w:t>under the 2017</w:t>
      </w:r>
      <w:r w:rsidR="00A04ABF">
        <w:t>–</w:t>
      </w:r>
      <w:r w:rsidR="00B23305">
        <w:t>22 Strategic Agreement include</w:t>
      </w:r>
      <w:r w:rsidR="00544F48">
        <w:t>d</w:t>
      </w:r>
      <w:r w:rsidRPr="00670EA4">
        <w:t>:</w:t>
      </w:r>
    </w:p>
    <w:p w14:paraId="1CCE7C19" w14:textId="77777777" w:rsidR="001436BB" w:rsidRDefault="00670EA4" w:rsidP="00651D54">
      <w:pPr>
        <w:pStyle w:val="ListParagraph"/>
        <w:numPr>
          <w:ilvl w:val="0"/>
          <w:numId w:val="36"/>
        </w:numPr>
      </w:pPr>
      <w:r w:rsidRPr="00670EA4">
        <w:t>development of the Health Products Portal, a digital channel</w:t>
      </w:r>
      <w:r w:rsidR="001436BB">
        <w:t>:</w:t>
      </w:r>
      <w:r w:rsidRPr="00670EA4">
        <w:t xml:space="preserve"> </w:t>
      </w:r>
    </w:p>
    <w:p w14:paraId="022A5273" w14:textId="77777777" w:rsidR="009B3FB9" w:rsidRDefault="00670EA4" w:rsidP="00651D54">
      <w:pPr>
        <w:pStyle w:val="ListParagraph"/>
        <w:numPr>
          <w:ilvl w:val="1"/>
          <w:numId w:val="36"/>
        </w:numPr>
      </w:pPr>
      <w:r w:rsidRPr="00670EA4">
        <w:t>for industry to interact with government about regulated and reimbursed health-related products and services, and </w:t>
      </w:r>
    </w:p>
    <w:p w14:paraId="5569D719" w14:textId="41A07647" w:rsidR="00670EA4" w:rsidRPr="00670EA4" w:rsidRDefault="009B3FB9" w:rsidP="00651D54">
      <w:pPr>
        <w:pStyle w:val="ListParagraph"/>
        <w:numPr>
          <w:ilvl w:val="1"/>
          <w:numId w:val="36"/>
        </w:numPr>
      </w:pPr>
      <w:r>
        <w:t xml:space="preserve">that </w:t>
      </w:r>
      <w:r w:rsidR="00670EA4" w:rsidRPr="00670EA4">
        <w:t>facilitates the online submission of applications for listing medicines on the PBS </w:t>
      </w:r>
    </w:p>
    <w:p w14:paraId="5F194048" w14:textId="766428A3" w:rsidR="00E375DA" w:rsidRPr="00E375DA" w:rsidRDefault="00CF4D02" w:rsidP="00651D54">
      <w:pPr>
        <w:pStyle w:val="ListParagraph"/>
        <w:numPr>
          <w:ilvl w:val="0"/>
          <w:numId w:val="27"/>
        </w:numPr>
      </w:pPr>
      <w:r>
        <w:t>introduction of the new submission categories (Table 3)</w:t>
      </w:r>
    </w:p>
    <w:p w14:paraId="6F8DA413" w14:textId="557848DF" w:rsidR="00670EA4" w:rsidRPr="00670EA4" w:rsidRDefault="00670EA4" w:rsidP="00651D54">
      <w:pPr>
        <w:pStyle w:val="ListParagraph"/>
        <w:numPr>
          <w:ilvl w:val="0"/>
          <w:numId w:val="27"/>
        </w:numPr>
      </w:pPr>
      <w:r w:rsidRPr="00670EA4">
        <w:t>introduction of</w:t>
      </w:r>
      <w:r w:rsidR="00A17189">
        <w:t xml:space="preserve"> pricing</w:t>
      </w:r>
      <w:r w:rsidRPr="00670EA4">
        <w:t xml:space="preserve"> </w:t>
      </w:r>
      <w:r w:rsidR="00E375DA">
        <w:t>pathways</w:t>
      </w:r>
      <w:r w:rsidR="00E375DA" w:rsidRPr="00E375DA">
        <w:rPr>
          <w:rFonts w:ascii="Times New Roman" w:hAnsi="Times New Roman" w:cs="Times New Roman"/>
          <w:sz w:val="24"/>
          <w:szCs w:val="24"/>
          <w:lang w:eastAsia="en-AU"/>
        </w:rPr>
        <w:t xml:space="preserve"> </w:t>
      </w:r>
      <w:r w:rsidRPr="00670EA4">
        <w:t>following positive PBAC recommendation</w:t>
      </w:r>
      <w:r w:rsidR="00CF4D02">
        <w:t xml:space="preserve"> (Table 6)</w:t>
      </w:r>
    </w:p>
    <w:p w14:paraId="27DC573A" w14:textId="2FB75A83" w:rsidR="00670EA4" w:rsidRPr="00670EA4" w:rsidRDefault="00670EA4" w:rsidP="00651D54">
      <w:pPr>
        <w:pStyle w:val="ListParagraph"/>
        <w:numPr>
          <w:ilvl w:val="0"/>
          <w:numId w:val="27"/>
        </w:numPr>
      </w:pPr>
      <w:r w:rsidRPr="00670EA4">
        <w:t>introduction of resubmission pathways for submissions not recommended</w:t>
      </w:r>
      <w:r w:rsidR="00CF4D02">
        <w:t xml:space="preserve"> by the PBAC</w:t>
      </w:r>
      <w:r w:rsidRPr="00670EA4">
        <w:t xml:space="preserve"> </w:t>
      </w:r>
      <w:r w:rsidR="00CF4D02">
        <w:t>(Table 7)</w:t>
      </w:r>
      <w:r w:rsidR="00F62874">
        <w:t>, and</w:t>
      </w:r>
    </w:p>
    <w:p w14:paraId="75CF9D8B" w14:textId="3E42E671" w:rsidR="00670EA4" w:rsidRDefault="00670EA4" w:rsidP="00651D54">
      <w:pPr>
        <w:pStyle w:val="ListParagraph"/>
        <w:numPr>
          <w:ilvl w:val="0"/>
          <w:numId w:val="27"/>
        </w:numPr>
      </w:pPr>
      <w:r w:rsidRPr="00670EA4">
        <w:t>revised cost</w:t>
      </w:r>
      <w:r w:rsidR="00861593">
        <w:t>-</w:t>
      </w:r>
      <w:r w:rsidRPr="00670EA4">
        <w:t>recovery arrangements to support process improvements.</w:t>
      </w:r>
    </w:p>
    <w:p w14:paraId="07DF9A38" w14:textId="40BF052E" w:rsidR="00FF6AD6" w:rsidRDefault="00FF6AD6" w:rsidP="009C6FB1">
      <w:pPr>
        <w:pStyle w:val="Heading2"/>
      </w:pPr>
      <w:bookmarkStart w:id="19" w:name="_Toc156576954"/>
      <w:r>
        <w:t>Issues raised through the House of Representatives Inquiry</w:t>
      </w:r>
      <w:bookmarkEnd w:id="19"/>
      <w:r>
        <w:t xml:space="preserve"> </w:t>
      </w:r>
    </w:p>
    <w:p w14:paraId="688B1086" w14:textId="032777A2" w:rsidR="006B2C45" w:rsidRDefault="004F3D99" w:rsidP="00FF6AD6">
      <w:r>
        <w:t xml:space="preserve">In its </w:t>
      </w:r>
      <w:r w:rsidR="007637A4">
        <w:t>i</w:t>
      </w:r>
      <w:r>
        <w:t xml:space="preserve">nquiry, the </w:t>
      </w:r>
      <w:r w:rsidR="00771B4F">
        <w:t xml:space="preserve">House of Representatives </w:t>
      </w:r>
      <w:r>
        <w:t>Standing Committee</w:t>
      </w:r>
      <w:r w:rsidR="001309C3" w:rsidRPr="001309C3">
        <w:t xml:space="preserve"> on Health, Aged Care and Sport </w:t>
      </w:r>
      <w:r>
        <w:t>heard broad views about the performance of</w:t>
      </w:r>
      <w:r w:rsidR="007C34E3">
        <w:t xml:space="preserve"> the current</w:t>
      </w:r>
      <w:r>
        <w:t xml:space="preserve"> HTA</w:t>
      </w:r>
      <w:r w:rsidR="007C34E3">
        <w:t xml:space="preserve"> system</w:t>
      </w:r>
      <w:r>
        <w:t xml:space="preserve"> </w:t>
      </w:r>
      <w:r w:rsidR="00BA0702">
        <w:t xml:space="preserve">in Australia </w:t>
      </w:r>
      <w:r>
        <w:t xml:space="preserve">for medicines ranging from claims that there was for the most part no problem with access to medicine to claims that Australia’s system was preventing medicines from being available. The Standing Committee noted that </w:t>
      </w:r>
      <w:r w:rsidR="00E950A5">
        <w:t>it was a widely held</w:t>
      </w:r>
      <w:r>
        <w:t xml:space="preserve"> view </w:t>
      </w:r>
      <w:r w:rsidR="00E950A5">
        <w:t xml:space="preserve">among </w:t>
      </w:r>
      <w:r>
        <w:t>submitters that</w:t>
      </w:r>
      <w:r w:rsidR="006B2C45">
        <w:t xml:space="preserve"> the</w:t>
      </w:r>
      <w:r>
        <w:t xml:space="preserve"> HTA </w:t>
      </w:r>
      <w:r w:rsidR="006B2C45">
        <w:t xml:space="preserve">process for medicines </w:t>
      </w:r>
      <w:r>
        <w:t xml:space="preserve">in Australia takes too long to provide access. </w:t>
      </w:r>
    </w:p>
    <w:p w14:paraId="2D417189" w14:textId="4A724A6B" w:rsidR="008209D5" w:rsidRDefault="006B2C45" w:rsidP="00FF6AD6">
      <w:r>
        <w:t>Several s</w:t>
      </w:r>
      <w:r w:rsidR="00CF4D02">
        <w:t>ubmitters</w:t>
      </w:r>
      <w:r>
        <w:t xml:space="preserve"> perceived that the main cause</w:t>
      </w:r>
      <w:r w:rsidR="004F3D99">
        <w:t xml:space="preserve"> </w:t>
      </w:r>
      <w:r>
        <w:t>of delay for many medicines was the</w:t>
      </w:r>
      <w:r w:rsidR="004F3D99">
        <w:t xml:space="preserve"> </w:t>
      </w:r>
      <w:r w:rsidR="00AF0313">
        <w:t xml:space="preserve">multiple submissions </w:t>
      </w:r>
      <w:r>
        <w:t>that were required before</w:t>
      </w:r>
      <w:r w:rsidR="00AF0313">
        <w:t xml:space="preserve"> a positive recommendation </w:t>
      </w:r>
      <w:r w:rsidR="0010798D">
        <w:t>could be made by</w:t>
      </w:r>
      <w:r w:rsidR="00AF0313">
        <w:t xml:space="preserve"> PBAC. </w:t>
      </w:r>
      <w:r w:rsidR="00BA0702">
        <w:t>Stakeholders</w:t>
      </w:r>
      <w:r w:rsidR="008C46C2">
        <w:t xml:space="preserve"> also</w:t>
      </w:r>
      <w:r w:rsidR="00BA0702">
        <w:t xml:space="preserve"> noted that</w:t>
      </w:r>
      <w:r w:rsidR="008C46C2">
        <w:t xml:space="preserve"> the submission and valuation</w:t>
      </w:r>
      <w:r w:rsidR="009976FD">
        <w:t xml:space="preserve"> process</w:t>
      </w:r>
      <w:r w:rsidR="008C46C2">
        <w:t xml:space="preserve"> </w:t>
      </w:r>
      <w:r w:rsidR="00BA0702">
        <w:t xml:space="preserve">was being used for pricing and commercial negotiation purposes with companies seeking higher prices in first submissions to </w:t>
      </w:r>
      <w:r w:rsidR="00A519C4" w:rsidDel="00FE0680">
        <w:t xml:space="preserve">the </w:t>
      </w:r>
      <w:r w:rsidR="00BA0702">
        <w:t xml:space="preserve">PBAC before seeking lower prices in subsequent submissions. </w:t>
      </w:r>
    </w:p>
    <w:p w14:paraId="348DF918" w14:textId="19B83388" w:rsidR="00CF1B8A" w:rsidRDefault="00CF1B8A" w:rsidP="00CF1B8A">
      <w:r>
        <w:t xml:space="preserve">Several submitters stated that there should be processes for earlier dialog for upcoming submissions, earlier negotiation of prices and greater encouragement of parallel submissions to the TGA and </w:t>
      </w:r>
      <w:r w:rsidR="00A519C4" w:rsidDel="00051ECB">
        <w:t xml:space="preserve">the </w:t>
      </w:r>
      <w:r>
        <w:t xml:space="preserve">PBAC. Several submitters held the view that there should be greater harmonisation of evidentiary requirements for regulatory and reimbursement submissions.  </w:t>
      </w:r>
    </w:p>
    <w:p w14:paraId="4B84FB7D" w14:textId="5622A044" w:rsidR="004F3D99" w:rsidRDefault="005A204A" w:rsidP="00FF6AD6">
      <w:r>
        <w:t xml:space="preserve">Several submitters expressed the view that the performance of </w:t>
      </w:r>
      <w:r w:rsidDel="005A3B39">
        <w:t xml:space="preserve">the </w:t>
      </w:r>
      <w:r>
        <w:t>PBAC should be measured and reported</w:t>
      </w:r>
      <w:r w:rsidR="004C1072">
        <w:t>, with p</w:t>
      </w:r>
      <w:r w:rsidR="008209D5">
        <w:t>harmaceutical companies</w:t>
      </w:r>
      <w:r w:rsidR="00FB4AEB">
        <w:t xml:space="preserve"> </w:t>
      </w:r>
      <w:r w:rsidR="004C1072">
        <w:t xml:space="preserve">saying it </w:t>
      </w:r>
      <w:r w:rsidR="00FB4AEB">
        <w:t xml:space="preserve">should be measured by the time it takes for a medicine to be listed on the PBS after registration on the Australian Register of Therapeutic Goods. </w:t>
      </w:r>
    </w:p>
    <w:p w14:paraId="7A0F6DBD" w14:textId="7004EC06" w:rsidR="00AF5143" w:rsidRDefault="009C6FB1" w:rsidP="00544F48">
      <w:pPr>
        <w:pStyle w:val="Heading2"/>
        <w:keepNext w:val="0"/>
        <w:keepLines w:val="0"/>
      </w:pPr>
      <w:bookmarkStart w:id="20" w:name="_Toc156576955"/>
      <w:r>
        <w:t>Timeframes to PBS Listing</w:t>
      </w:r>
      <w:bookmarkEnd w:id="20"/>
    </w:p>
    <w:p w14:paraId="4375333F" w14:textId="12310E5F" w:rsidR="00544F48" w:rsidRDefault="00544F48" w:rsidP="00544F48">
      <w:pPr>
        <w:pStyle w:val="Heading3"/>
        <w:keepNext w:val="0"/>
        <w:keepLines w:val="0"/>
      </w:pPr>
      <w:r>
        <w:t>Timeframes for PBS listing</w:t>
      </w:r>
    </w:p>
    <w:p w14:paraId="5D950DFE" w14:textId="1363EA60" w:rsidR="00544F48" w:rsidRDefault="00CF4D02" w:rsidP="00CF4D02">
      <w:r>
        <w:lastRenderedPageBreak/>
        <w:t>T</w:t>
      </w:r>
      <w:r w:rsidR="00544F48">
        <w:t>imeframes to PBS listing</w:t>
      </w:r>
      <w:r>
        <w:t xml:space="preserve"> in 2021 and 2022 </w:t>
      </w:r>
      <w:r w:rsidR="00F03B1B">
        <w:t xml:space="preserve">are </w:t>
      </w:r>
      <w:r>
        <w:t>set out in Table 8</w:t>
      </w:r>
      <w:r w:rsidR="00544F48">
        <w:t xml:space="preserve">. </w:t>
      </w:r>
      <w:r w:rsidR="0079335F">
        <w:t>L</w:t>
      </w:r>
      <w:r w:rsidR="00544F48">
        <w:t>isting timeframes for post</w:t>
      </w:r>
      <w:r w:rsidR="00124EEE">
        <w:t>-</w:t>
      </w:r>
      <w:r w:rsidR="00544F48">
        <w:t xml:space="preserve">PBAC processes reflect the arrangements that were implemented in 2021. The impact of the new resubmission pathways </w:t>
      </w:r>
      <w:r w:rsidR="00265FD2">
        <w:t xml:space="preserve">which started in 2021 </w:t>
      </w:r>
      <w:r w:rsidR="00544F48">
        <w:t xml:space="preserve">are reflected in these data where </w:t>
      </w:r>
      <w:r w:rsidR="00544F48" w:rsidDel="00D70CFF">
        <w:t xml:space="preserve">the </w:t>
      </w:r>
      <w:r w:rsidR="00544F48">
        <w:t>PBAC considered submissions in 2021 and 2022</w:t>
      </w:r>
      <w:r w:rsidR="00ED7578">
        <w:t xml:space="preserve"> and resubmission pathways were used</w:t>
      </w:r>
      <w:r w:rsidR="00C8543C">
        <w:t xml:space="preserve"> by applicants</w:t>
      </w:r>
      <w:r w:rsidR="00ED7578">
        <w:t>,</w:t>
      </w:r>
      <w:r w:rsidR="0079335F">
        <w:t xml:space="preserve"> but not</w:t>
      </w:r>
      <w:r w:rsidR="00265FD2">
        <w:t xml:space="preserve"> where </w:t>
      </w:r>
      <w:r w:rsidR="00265FD2" w:rsidDel="00BE4E28">
        <w:t xml:space="preserve">the </w:t>
      </w:r>
      <w:r w:rsidR="00265FD2">
        <w:t>PBAC considered submissions</w:t>
      </w:r>
      <w:r w:rsidR="0079335F">
        <w:t xml:space="preserve"> before 2021</w:t>
      </w:r>
      <w:r w:rsidR="00544F48">
        <w:t xml:space="preserve">. </w:t>
      </w:r>
    </w:p>
    <w:p w14:paraId="068FA8D9" w14:textId="363F2BD0" w:rsidR="00544F48" w:rsidRDefault="00544F48" w:rsidP="00544F48">
      <w:pPr>
        <w:pStyle w:val="Heading4"/>
      </w:pPr>
      <w:r>
        <w:t xml:space="preserve">Table </w:t>
      </w:r>
      <w:r w:rsidR="007330B2">
        <w:t>8</w:t>
      </w:r>
      <w:r>
        <w:t xml:space="preserve">. </w:t>
      </w:r>
      <w:r w:rsidR="00220038">
        <w:t>Time to PBS listing – 2021</w:t>
      </w:r>
      <w:r w:rsidR="006C7F3F">
        <w:t>–</w:t>
      </w:r>
      <w:r w:rsidR="00220038">
        <w:t>22 listings</w:t>
      </w:r>
      <w:r w:rsidR="00CC3D6C">
        <w:t xml:space="preserve"> – headline </w:t>
      </w:r>
      <w:r w:rsidR="00FA2EDA">
        <w:t>f</w:t>
      </w:r>
      <w:r w:rsidR="003022AC">
        <w:t>igure</w:t>
      </w:r>
      <w:r w:rsidR="00CC3D6C">
        <w:t>s</w:t>
      </w:r>
    </w:p>
    <w:tbl>
      <w:tblPr>
        <w:tblStyle w:val="DepartmentofHealthtable"/>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936"/>
        <w:gridCol w:w="1254"/>
        <w:gridCol w:w="1256"/>
        <w:gridCol w:w="1258"/>
        <w:gridCol w:w="1312"/>
      </w:tblGrid>
      <w:tr w:rsidR="009B18FB" w14:paraId="08368319" w14:textId="77777777" w:rsidTr="00220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FFFFFF" w:themeColor="background1"/>
              <w:bottom w:val="single" w:sz="4" w:space="0" w:color="FFFFFF" w:themeColor="background1"/>
            </w:tcBorders>
          </w:tcPr>
          <w:p w14:paraId="504D4D32" w14:textId="06D14D69" w:rsidR="00544F48" w:rsidRPr="003D4AD4" w:rsidRDefault="0019225F" w:rsidP="000812A7">
            <w:pPr>
              <w:spacing w:before="0"/>
              <w:rPr>
                <w:rFonts w:asciiTheme="minorHAnsi" w:hAnsiTheme="minorHAnsi" w:cstheme="minorHAnsi"/>
                <w:b/>
                <w:bCs/>
                <w:color w:val="FFFFFF" w:themeColor="background1"/>
                <w:szCs w:val="22"/>
              </w:rPr>
            </w:pPr>
            <w:r>
              <w:rPr>
                <w:rFonts w:asciiTheme="minorHAnsi" w:hAnsiTheme="minorHAnsi" w:cstheme="minorHAnsi"/>
                <w:b/>
                <w:bCs/>
                <w:color w:val="FFFFFF" w:themeColor="background1"/>
                <w:szCs w:val="22"/>
              </w:rPr>
              <w:t>Analysis characteristics</w:t>
            </w:r>
          </w:p>
        </w:tc>
        <w:tc>
          <w:tcPr>
            <w:tcW w:w="5165" w:type="dxa"/>
            <w:gridSpan w:val="4"/>
            <w:tcBorders>
              <w:top w:val="single" w:sz="4" w:space="0" w:color="FFFFFF" w:themeColor="background1"/>
              <w:bottom w:val="single" w:sz="4" w:space="0" w:color="FFFFFF" w:themeColor="background1"/>
            </w:tcBorders>
          </w:tcPr>
          <w:p w14:paraId="40975221" w14:textId="08E9F772" w:rsidR="00544F48" w:rsidRPr="003D4AD4" w:rsidRDefault="0019225F" w:rsidP="000812A7">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Pr>
                <w:rFonts w:asciiTheme="minorHAnsi" w:hAnsiTheme="minorHAnsi" w:cstheme="minorHAnsi"/>
                <w:b/>
                <w:bCs/>
                <w:szCs w:val="22"/>
              </w:rPr>
              <w:t>Details</w:t>
            </w:r>
          </w:p>
        </w:tc>
      </w:tr>
      <w:tr w:rsidR="0019225F" w14:paraId="5981760C" w14:textId="77777777" w:rsidTr="00220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FFFFFF" w:themeColor="background1"/>
            </w:tcBorders>
          </w:tcPr>
          <w:p w14:paraId="2E501805" w14:textId="02B7534D" w:rsidR="00544F48" w:rsidRPr="003D4AD4" w:rsidRDefault="00DF6307" w:rsidP="000812A7">
            <w:pPr>
              <w:spacing w:before="0"/>
              <w:rPr>
                <w:rFonts w:asciiTheme="minorHAnsi" w:hAnsiTheme="minorHAnsi" w:cstheme="minorHAnsi"/>
                <w:sz w:val="22"/>
                <w:szCs w:val="22"/>
              </w:rPr>
            </w:pPr>
            <w:r>
              <w:rPr>
                <w:rFonts w:asciiTheme="minorHAnsi" w:hAnsiTheme="minorHAnsi" w:cstheme="minorHAnsi"/>
                <w:sz w:val="22"/>
                <w:szCs w:val="22"/>
              </w:rPr>
              <w:t>Measures</w:t>
            </w:r>
          </w:p>
        </w:tc>
        <w:tc>
          <w:tcPr>
            <w:tcW w:w="5165" w:type="dxa"/>
            <w:gridSpan w:val="4"/>
            <w:tcBorders>
              <w:top w:val="single" w:sz="4" w:space="0" w:color="FFFFFF" w:themeColor="background1"/>
            </w:tcBorders>
          </w:tcPr>
          <w:p w14:paraId="51B64BA9" w14:textId="0991F6CF" w:rsidR="00544F48" w:rsidRPr="003D4AD4" w:rsidRDefault="00DF6307"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M</w:t>
            </w:r>
            <w:r w:rsidR="00544F48" w:rsidRPr="003854FE">
              <w:rPr>
                <w:rFonts w:asciiTheme="minorHAnsi" w:hAnsiTheme="minorHAnsi" w:cstheme="minorHAnsi"/>
                <w:sz w:val="22"/>
                <w:szCs w:val="22"/>
              </w:rPr>
              <w:t>inimum, median</w:t>
            </w:r>
            <w:r>
              <w:rPr>
                <w:rFonts w:asciiTheme="minorHAnsi" w:hAnsiTheme="minorHAnsi" w:cstheme="minorHAnsi"/>
                <w:sz w:val="22"/>
                <w:szCs w:val="22"/>
              </w:rPr>
              <w:t>, average</w:t>
            </w:r>
            <w:r w:rsidR="00544F48" w:rsidRPr="003854FE">
              <w:rPr>
                <w:rFonts w:asciiTheme="minorHAnsi" w:hAnsiTheme="minorHAnsi" w:cstheme="minorHAnsi"/>
                <w:sz w:val="22"/>
                <w:szCs w:val="22"/>
              </w:rPr>
              <w:t xml:space="preserve"> and maximum timeframes for</w:t>
            </w:r>
            <w:r>
              <w:rPr>
                <w:rFonts w:asciiTheme="minorHAnsi" w:hAnsiTheme="minorHAnsi" w:cstheme="minorHAnsi"/>
                <w:sz w:val="22"/>
                <w:szCs w:val="22"/>
              </w:rPr>
              <w:t xml:space="preserve"> subsidy of medicines through the PBS </w:t>
            </w:r>
            <w:r w:rsidR="00E8506E">
              <w:rPr>
                <w:rFonts w:asciiTheme="minorHAnsi" w:hAnsiTheme="minorHAnsi" w:cstheme="minorHAnsi"/>
                <w:sz w:val="22"/>
                <w:szCs w:val="22"/>
              </w:rPr>
              <w:t xml:space="preserve">from earliest application to EMA or FDA </w:t>
            </w:r>
            <w:r w:rsidR="00E8506E" w:rsidRPr="003854FE">
              <w:rPr>
                <w:rFonts w:asciiTheme="minorHAnsi" w:hAnsiTheme="minorHAnsi" w:cstheme="minorHAnsi"/>
                <w:sz w:val="22"/>
                <w:szCs w:val="22"/>
              </w:rPr>
              <w:t>to PBS listing</w:t>
            </w:r>
          </w:p>
        </w:tc>
      </w:tr>
      <w:tr w:rsidR="009B18FB" w14:paraId="67C44355" w14:textId="77777777" w:rsidTr="00E850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569A9A87" w14:textId="77777777" w:rsidR="00544F48" w:rsidRDefault="00544F48" w:rsidP="000812A7">
            <w:pPr>
              <w:spacing w:before="0"/>
              <w:rPr>
                <w:rFonts w:cstheme="minorHAnsi"/>
              </w:rPr>
            </w:pPr>
            <w:r>
              <w:rPr>
                <w:rFonts w:asciiTheme="minorHAnsi" w:hAnsiTheme="minorHAnsi" w:cstheme="minorHAnsi"/>
                <w:sz w:val="22"/>
                <w:szCs w:val="22"/>
              </w:rPr>
              <w:t>Listing type</w:t>
            </w:r>
          </w:p>
        </w:tc>
        <w:tc>
          <w:tcPr>
            <w:tcW w:w="5165" w:type="dxa"/>
            <w:gridSpan w:val="4"/>
          </w:tcPr>
          <w:p w14:paraId="76BCC6DA" w14:textId="671DFA3F" w:rsidR="00544F48" w:rsidRDefault="00544F48"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New </w:t>
            </w:r>
            <w:r w:rsidR="009B18FB">
              <w:rPr>
                <w:rFonts w:asciiTheme="minorHAnsi" w:hAnsiTheme="minorHAnsi" w:cstheme="minorHAnsi"/>
                <w:sz w:val="22"/>
                <w:szCs w:val="22"/>
              </w:rPr>
              <w:t>medicines</w:t>
            </w:r>
            <w:r>
              <w:rPr>
                <w:rFonts w:asciiTheme="minorHAnsi" w:hAnsiTheme="minorHAnsi" w:cstheme="minorHAnsi"/>
                <w:sz w:val="22"/>
                <w:szCs w:val="22"/>
              </w:rPr>
              <w:t xml:space="preserve"> and </w:t>
            </w:r>
            <w:r w:rsidR="009B18FB">
              <w:rPr>
                <w:rFonts w:asciiTheme="minorHAnsi" w:hAnsiTheme="minorHAnsi" w:cstheme="minorHAnsi"/>
                <w:sz w:val="22"/>
                <w:szCs w:val="22"/>
              </w:rPr>
              <w:t>extension of listing for existing PBS</w:t>
            </w:r>
            <w:r w:rsidR="000E4D61">
              <w:rPr>
                <w:rFonts w:asciiTheme="minorHAnsi" w:hAnsiTheme="minorHAnsi" w:cstheme="minorHAnsi"/>
                <w:sz w:val="22"/>
                <w:szCs w:val="22"/>
              </w:rPr>
              <w:t>-</w:t>
            </w:r>
            <w:r w:rsidR="009B18FB">
              <w:rPr>
                <w:rFonts w:asciiTheme="minorHAnsi" w:hAnsiTheme="minorHAnsi" w:cstheme="minorHAnsi"/>
                <w:sz w:val="22"/>
                <w:szCs w:val="22"/>
              </w:rPr>
              <w:t>listed medicine to a new population</w:t>
            </w:r>
          </w:p>
          <w:p w14:paraId="042703AA" w14:textId="50287231" w:rsidR="00CC3D6C" w:rsidRDefault="00CC3D6C" w:rsidP="00CC3D6C">
            <w:pPr>
              <w:spacing w:before="0"/>
              <w:cnfStyle w:val="000000010000" w:firstRow="0" w:lastRow="0" w:firstColumn="0" w:lastColumn="0" w:oddVBand="0" w:evenVBand="0" w:oddHBand="0" w:evenHBand="1" w:firstRowFirstColumn="0" w:firstRowLastColumn="0" w:lastRowFirstColumn="0" w:lastRowLastColumn="0"/>
              <w:rPr>
                <w:rFonts w:cstheme="minorHAnsi"/>
              </w:rPr>
            </w:pPr>
            <w:r>
              <w:rPr>
                <w:rFonts w:asciiTheme="minorHAnsi" w:hAnsiTheme="minorHAnsi" w:cstheme="minorHAnsi"/>
                <w:sz w:val="22"/>
                <w:szCs w:val="22"/>
              </w:rPr>
              <w:t xml:space="preserve">Breakdown for listings where </w:t>
            </w:r>
            <w:r w:rsidDel="00CC59BC">
              <w:rPr>
                <w:rFonts w:asciiTheme="minorHAnsi" w:hAnsiTheme="minorHAnsi" w:cstheme="minorHAnsi"/>
                <w:sz w:val="22"/>
                <w:szCs w:val="22"/>
              </w:rPr>
              <w:t xml:space="preserve">the </w:t>
            </w:r>
            <w:r>
              <w:rPr>
                <w:rFonts w:asciiTheme="minorHAnsi" w:hAnsiTheme="minorHAnsi" w:cstheme="minorHAnsi"/>
                <w:sz w:val="22"/>
                <w:szCs w:val="22"/>
              </w:rPr>
              <w:t xml:space="preserve">PBAC was satisfied </w:t>
            </w:r>
            <w:r w:rsidR="009B18FB">
              <w:rPr>
                <w:rFonts w:asciiTheme="minorHAnsi" w:hAnsiTheme="minorHAnsi" w:cstheme="minorHAnsi"/>
                <w:sz w:val="22"/>
                <w:szCs w:val="22"/>
              </w:rPr>
              <w:t xml:space="preserve">the medicine offered an improvement in efficacy or reduction in toxicity over alternative therapies. </w:t>
            </w:r>
          </w:p>
        </w:tc>
      </w:tr>
      <w:tr w:rsidR="009B18FB" w14:paraId="1831AE6B" w14:textId="77777777" w:rsidTr="00E850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77" w:type="dxa"/>
          </w:tcPr>
          <w:p w14:paraId="6F580505" w14:textId="77777777" w:rsidR="00544F48" w:rsidRPr="003D4AD4" w:rsidRDefault="00544F48" w:rsidP="000812A7">
            <w:pPr>
              <w:spacing w:before="0"/>
              <w:rPr>
                <w:rFonts w:asciiTheme="minorHAnsi" w:hAnsiTheme="minorHAnsi" w:cstheme="minorHAnsi"/>
                <w:sz w:val="22"/>
                <w:szCs w:val="22"/>
              </w:rPr>
            </w:pPr>
            <w:r>
              <w:rPr>
                <w:rFonts w:asciiTheme="minorHAnsi" w:hAnsiTheme="minorHAnsi" w:cstheme="minorHAnsi"/>
                <w:sz w:val="22"/>
                <w:szCs w:val="22"/>
              </w:rPr>
              <w:t>Time period</w:t>
            </w:r>
          </w:p>
        </w:tc>
        <w:tc>
          <w:tcPr>
            <w:tcW w:w="5165" w:type="dxa"/>
            <w:gridSpan w:val="4"/>
          </w:tcPr>
          <w:p w14:paraId="1EC5754C" w14:textId="3A4FA8C5" w:rsidR="00544F48" w:rsidRPr="003D4AD4" w:rsidRDefault="00544F48"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2021</w:t>
            </w:r>
            <w:r w:rsidR="006E3CE5">
              <w:rPr>
                <w:rFonts w:asciiTheme="minorHAnsi" w:hAnsiTheme="minorHAnsi" w:cstheme="minorHAnsi"/>
                <w:sz w:val="22"/>
                <w:szCs w:val="22"/>
              </w:rPr>
              <w:t>–</w:t>
            </w:r>
            <w:r>
              <w:rPr>
                <w:rFonts w:asciiTheme="minorHAnsi" w:hAnsiTheme="minorHAnsi" w:cstheme="minorHAnsi"/>
                <w:sz w:val="22"/>
                <w:szCs w:val="22"/>
              </w:rPr>
              <w:t>2022</w:t>
            </w:r>
          </w:p>
        </w:tc>
      </w:tr>
      <w:tr w:rsidR="00265FD2" w14:paraId="61A0BA3E" w14:textId="77777777" w:rsidTr="0022003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77" w:type="dxa"/>
            <w:tcBorders>
              <w:bottom w:val="single" w:sz="4" w:space="0" w:color="FFFFFF" w:themeColor="background1"/>
            </w:tcBorders>
          </w:tcPr>
          <w:p w14:paraId="056CA700" w14:textId="26C4C2C1" w:rsidR="00265FD2" w:rsidRPr="00265FD2" w:rsidRDefault="00265FD2" w:rsidP="000812A7">
            <w:pPr>
              <w:spacing w:before="0"/>
              <w:rPr>
                <w:rFonts w:asciiTheme="minorHAnsi" w:hAnsiTheme="minorHAnsi" w:cstheme="minorHAnsi"/>
                <w:sz w:val="22"/>
                <w:szCs w:val="22"/>
              </w:rPr>
            </w:pPr>
            <w:r w:rsidRPr="00265FD2">
              <w:rPr>
                <w:rFonts w:asciiTheme="minorHAnsi" w:hAnsiTheme="minorHAnsi" w:cstheme="minorHAnsi"/>
                <w:sz w:val="22"/>
                <w:szCs w:val="22"/>
              </w:rPr>
              <w:t>Data source</w:t>
            </w:r>
            <w:r>
              <w:rPr>
                <w:rFonts w:asciiTheme="minorHAnsi" w:hAnsiTheme="minorHAnsi" w:cstheme="minorHAnsi"/>
                <w:sz w:val="22"/>
                <w:szCs w:val="22"/>
              </w:rPr>
              <w:t>s</w:t>
            </w:r>
          </w:p>
        </w:tc>
        <w:tc>
          <w:tcPr>
            <w:tcW w:w="5165" w:type="dxa"/>
            <w:gridSpan w:val="4"/>
            <w:tcBorders>
              <w:bottom w:val="single" w:sz="4" w:space="0" w:color="FFFFFF" w:themeColor="background1"/>
            </w:tcBorders>
          </w:tcPr>
          <w:p w14:paraId="344F4F44" w14:textId="7B34309F" w:rsidR="00265FD2" w:rsidRPr="00265FD2" w:rsidRDefault="00265FD2"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65FD2">
              <w:rPr>
                <w:rFonts w:asciiTheme="minorHAnsi" w:hAnsiTheme="minorHAnsi" w:cstheme="minorHAnsi"/>
                <w:sz w:val="22"/>
                <w:szCs w:val="22"/>
              </w:rPr>
              <w:t xml:space="preserve">PBS </w:t>
            </w:r>
            <w:r>
              <w:rPr>
                <w:rFonts w:asciiTheme="minorHAnsi" w:hAnsiTheme="minorHAnsi" w:cstheme="minorHAnsi"/>
                <w:sz w:val="22"/>
                <w:szCs w:val="22"/>
              </w:rPr>
              <w:t>M</w:t>
            </w:r>
            <w:r w:rsidRPr="00265FD2">
              <w:rPr>
                <w:rFonts w:asciiTheme="minorHAnsi" w:hAnsiTheme="minorHAnsi" w:cstheme="minorHAnsi"/>
                <w:sz w:val="22"/>
                <w:szCs w:val="22"/>
              </w:rPr>
              <w:t xml:space="preserve">edicines </w:t>
            </w:r>
            <w:r>
              <w:rPr>
                <w:rFonts w:asciiTheme="minorHAnsi" w:hAnsiTheme="minorHAnsi" w:cstheme="minorHAnsi"/>
                <w:sz w:val="22"/>
                <w:szCs w:val="22"/>
              </w:rPr>
              <w:t>S</w:t>
            </w:r>
            <w:r w:rsidRPr="00265FD2">
              <w:rPr>
                <w:rFonts w:asciiTheme="minorHAnsi" w:hAnsiTheme="minorHAnsi" w:cstheme="minorHAnsi"/>
                <w:sz w:val="22"/>
                <w:szCs w:val="22"/>
              </w:rPr>
              <w:t>tatus, EMA, FDA,</w:t>
            </w:r>
            <w:r>
              <w:rPr>
                <w:rFonts w:asciiTheme="minorHAnsi" w:hAnsiTheme="minorHAnsi" w:cstheme="minorHAnsi"/>
                <w:sz w:val="22"/>
                <w:szCs w:val="22"/>
              </w:rPr>
              <w:t xml:space="preserve"> and</w:t>
            </w:r>
            <w:r w:rsidRPr="00265FD2">
              <w:rPr>
                <w:rFonts w:asciiTheme="minorHAnsi" w:hAnsiTheme="minorHAnsi" w:cstheme="minorHAnsi"/>
                <w:sz w:val="22"/>
                <w:szCs w:val="22"/>
              </w:rPr>
              <w:t xml:space="preserve"> TGA websites. </w:t>
            </w:r>
          </w:p>
        </w:tc>
      </w:tr>
      <w:tr w:rsidR="0019225F" w14:paraId="635A59E2" w14:textId="77777777" w:rsidTr="00220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FFFFFF" w:themeColor="background1"/>
              <w:bottom w:val="single" w:sz="4" w:space="0" w:color="FFFFFF" w:themeColor="background1"/>
            </w:tcBorders>
            <w:shd w:val="clear" w:color="auto" w:fill="3F4A75"/>
          </w:tcPr>
          <w:p w14:paraId="29FD069F" w14:textId="129C822F" w:rsidR="00CC3D6C" w:rsidRPr="00AB22F3" w:rsidRDefault="00CC3D6C" w:rsidP="000812A7">
            <w:pPr>
              <w:spacing w:before="0"/>
              <w:rPr>
                <w:rFonts w:asciiTheme="minorHAnsi" w:hAnsiTheme="minorHAnsi" w:cstheme="minorHAnsi"/>
                <w:b/>
                <w:bCs/>
                <w:color w:val="FFFFFF" w:themeColor="background1"/>
                <w:sz w:val="22"/>
                <w:szCs w:val="22"/>
              </w:rPr>
            </w:pPr>
            <w:r w:rsidRPr="00AB22F3">
              <w:rPr>
                <w:rFonts w:asciiTheme="minorHAnsi" w:hAnsiTheme="minorHAnsi" w:cstheme="minorHAnsi"/>
                <w:b/>
                <w:bCs/>
                <w:color w:val="FFFFFF" w:themeColor="background1"/>
                <w:sz w:val="22"/>
                <w:szCs w:val="22"/>
              </w:rPr>
              <w:t>New Drugs (all)</w:t>
            </w:r>
          </w:p>
        </w:tc>
        <w:tc>
          <w:tcPr>
            <w:tcW w:w="1276" w:type="dxa"/>
            <w:tcBorders>
              <w:top w:val="single" w:sz="4" w:space="0" w:color="FFFFFF" w:themeColor="background1"/>
              <w:bottom w:val="single" w:sz="4" w:space="0" w:color="FFFFFF" w:themeColor="background1"/>
            </w:tcBorders>
            <w:shd w:val="clear" w:color="auto" w:fill="3F4A75"/>
          </w:tcPr>
          <w:p w14:paraId="6AF3CB7D" w14:textId="77777777" w:rsidR="00CC3D6C" w:rsidRPr="00AB22F3" w:rsidRDefault="00CC3D6C" w:rsidP="000812A7">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AB22F3">
              <w:rPr>
                <w:rFonts w:asciiTheme="minorHAnsi" w:hAnsiTheme="minorHAnsi" w:cstheme="minorHAnsi"/>
                <w:b/>
                <w:bCs/>
                <w:color w:val="FFFFFF" w:themeColor="background1"/>
                <w:sz w:val="22"/>
                <w:szCs w:val="22"/>
              </w:rPr>
              <w:t>Min</w:t>
            </w:r>
          </w:p>
        </w:tc>
        <w:tc>
          <w:tcPr>
            <w:tcW w:w="1276" w:type="dxa"/>
            <w:tcBorders>
              <w:top w:val="single" w:sz="4" w:space="0" w:color="FFFFFF" w:themeColor="background1"/>
              <w:bottom w:val="single" w:sz="4" w:space="0" w:color="FFFFFF" w:themeColor="background1"/>
            </w:tcBorders>
            <w:shd w:val="clear" w:color="auto" w:fill="3F4A75"/>
          </w:tcPr>
          <w:p w14:paraId="52D11A18" w14:textId="77777777" w:rsidR="00CC3D6C" w:rsidRPr="00AB22F3" w:rsidRDefault="00CC3D6C" w:rsidP="000812A7">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AB22F3">
              <w:rPr>
                <w:rFonts w:asciiTheme="minorHAnsi" w:hAnsiTheme="minorHAnsi" w:cstheme="minorHAnsi"/>
                <w:b/>
                <w:bCs/>
                <w:color w:val="FFFFFF" w:themeColor="background1"/>
                <w:sz w:val="22"/>
                <w:szCs w:val="22"/>
              </w:rPr>
              <w:t>Median</w:t>
            </w:r>
          </w:p>
        </w:tc>
        <w:tc>
          <w:tcPr>
            <w:tcW w:w="1276" w:type="dxa"/>
            <w:tcBorders>
              <w:top w:val="single" w:sz="4" w:space="0" w:color="FFFFFF" w:themeColor="background1"/>
              <w:bottom w:val="single" w:sz="4" w:space="0" w:color="FFFFFF" w:themeColor="background1"/>
            </w:tcBorders>
            <w:shd w:val="clear" w:color="auto" w:fill="3F4A75"/>
          </w:tcPr>
          <w:p w14:paraId="25D2706D" w14:textId="699F3F09" w:rsidR="00CC3D6C" w:rsidRPr="00AB22F3" w:rsidRDefault="009B18FB" w:rsidP="000812A7">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AB22F3">
              <w:rPr>
                <w:rFonts w:asciiTheme="minorHAnsi" w:hAnsiTheme="minorHAnsi" w:cstheme="minorHAnsi"/>
                <w:b/>
                <w:bCs/>
                <w:color w:val="FFFFFF" w:themeColor="background1"/>
                <w:sz w:val="22"/>
                <w:szCs w:val="22"/>
              </w:rPr>
              <w:t>Average</w:t>
            </w:r>
          </w:p>
        </w:tc>
        <w:tc>
          <w:tcPr>
            <w:tcW w:w="1337" w:type="dxa"/>
            <w:tcBorders>
              <w:top w:val="single" w:sz="4" w:space="0" w:color="FFFFFF" w:themeColor="background1"/>
              <w:bottom w:val="single" w:sz="4" w:space="0" w:color="FFFFFF" w:themeColor="background1"/>
            </w:tcBorders>
            <w:shd w:val="clear" w:color="auto" w:fill="3F4A75"/>
          </w:tcPr>
          <w:p w14:paraId="152FBC60" w14:textId="77777777" w:rsidR="00CC3D6C" w:rsidRPr="00AB22F3" w:rsidRDefault="00CC3D6C" w:rsidP="000812A7">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AB22F3">
              <w:rPr>
                <w:rFonts w:asciiTheme="minorHAnsi" w:hAnsiTheme="minorHAnsi" w:cstheme="minorHAnsi"/>
                <w:b/>
                <w:bCs/>
                <w:color w:val="FFFFFF" w:themeColor="background1"/>
                <w:sz w:val="22"/>
                <w:szCs w:val="22"/>
              </w:rPr>
              <w:t>Max</w:t>
            </w:r>
          </w:p>
        </w:tc>
      </w:tr>
      <w:tr w:rsidR="0019225F" w14:paraId="764B91E5" w14:textId="77777777" w:rsidTr="00220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FFFFFF" w:themeColor="background1"/>
            </w:tcBorders>
          </w:tcPr>
          <w:p w14:paraId="1C3716FC" w14:textId="063E8DF2" w:rsidR="00CC3D6C" w:rsidRPr="00AB22F3" w:rsidRDefault="00E8506E" w:rsidP="000812A7">
            <w:pPr>
              <w:spacing w:before="0"/>
              <w:rPr>
                <w:rFonts w:asciiTheme="minorHAnsi" w:hAnsiTheme="minorHAnsi" w:cstheme="minorHAnsi"/>
                <w:sz w:val="22"/>
                <w:szCs w:val="22"/>
              </w:rPr>
            </w:pPr>
            <w:r>
              <w:rPr>
                <w:rFonts w:asciiTheme="minorHAnsi" w:hAnsiTheme="minorHAnsi" w:cstheme="minorHAnsi"/>
                <w:sz w:val="22"/>
                <w:szCs w:val="22"/>
              </w:rPr>
              <w:t xml:space="preserve">First </w:t>
            </w:r>
            <w:r w:rsidR="00CC3D6C" w:rsidRPr="00AB22F3">
              <w:rPr>
                <w:rFonts w:asciiTheme="minorHAnsi" w:hAnsiTheme="minorHAnsi" w:cstheme="minorHAnsi"/>
                <w:sz w:val="22"/>
                <w:szCs w:val="22"/>
              </w:rPr>
              <w:t xml:space="preserve">EMA or FDA approval to PBS </w:t>
            </w:r>
            <w:r w:rsidR="0019225F" w:rsidRPr="00AB22F3">
              <w:rPr>
                <w:rFonts w:asciiTheme="minorHAnsi" w:hAnsiTheme="minorHAnsi" w:cstheme="minorHAnsi"/>
                <w:sz w:val="22"/>
                <w:szCs w:val="22"/>
              </w:rPr>
              <w:t>list</w:t>
            </w:r>
            <w:r>
              <w:rPr>
                <w:rFonts w:asciiTheme="minorHAnsi" w:hAnsiTheme="minorHAnsi" w:cstheme="minorHAnsi"/>
                <w:sz w:val="22"/>
                <w:szCs w:val="22"/>
              </w:rPr>
              <w:t>ing</w:t>
            </w:r>
          </w:p>
        </w:tc>
        <w:tc>
          <w:tcPr>
            <w:tcW w:w="1276" w:type="dxa"/>
            <w:tcBorders>
              <w:top w:val="single" w:sz="4" w:space="0" w:color="FFFFFF" w:themeColor="background1"/>
            </w:tcBorders>
          </w:tcPr>
          <w:p w14:paraId="087979E6" w14:textId="76C2734B" w:rsidR="00CC3D6C" w:rsidRPr="00AB22F3" w:rsidRDefault="00CC3D6C" w:rsidP="000812A7">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B22F3">
              <w:rPr>
                <w:rFonts w:asciiTheme="minorHAnsi" w:hAnsiTheme="minorHAnsi" w:cstheme="minorHAnsi"/>
                <w:sz w:val="22"/>
                <w:szCs w:val="22"/>
              </w:rPr>
              <w:t xml:space="preserve">11 </w:t>
            </w:r>
            <w:r w:rsidR="0019225F" w:rsidRPr="00AB22F3">
              <w:rPr>
                <w:rFonts w:asciiTheme="minorHAnsi" w:hAnsiTheme="minorHAnsi" w:cstheme="minorHAnsi"/>
                <w:sz w:val="22"/>
                <w:szCs w:val="22"/>
              </w:rPr>
              <w:t>months</w:t>
            </w:r>
          </w:p>
        </w:tc>
        <w:tc>
          <w:tcPr>
            <w:tcW w:w="1276" w:type="dxa"/>
            <w:tcBorders>
              <w:top w:val="single" w:sz="4" w:space="0" w:color="FFFFFF" w:themeColor="background1"/>
            </w:tcBorders>
          </w:tcPr>
          <w:p w14:paraId="5905FCDF" w14:textId="432673CF" w:rsidR="00CC3D6C" w:rsidRPr="00AB22F3" w:rsidRDefault="00CC3D6C" w:rsidP="000812A7">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B22F3">
              <w:rPr>
                <w:rFonts w:asciiTheme="minorHAnsi" w:hAnsiTheme="minorHAnsi" w:cstheme="minorHAnsi"/>
                <w:sz w:val="22"/>
                <w:szCs w:val="22"/>
              </w:rPr>
              <w:t xml:space="preserve">37 </w:t>
            </w:r>
            <w:r w:rsidR="0019225F" w:rsidRPr="00AB22F3">
              <w:rPr>
                <w:rFonts w:asciiTheme="minorHAnsi" w:hAnsiTheme="minorHAnsi" w:cstheme="minorHAnsi"/>
                <w:sz w:val="22"/>
                <w:szCs w:val="22"/>
              </w:rPr>
              <w:t>months</w:t>
            </w:r>
          </w:p>
        </w:tc>
        <w:tc>
          <w:tcPr>
            <w:tcW w:w="1276" w:type="dxa"/>
            <w:tcBorders>
              <w:top w:val="single" w:sz="4" w:space="0" w:color="FFFFFF" w:themeColor="background1"/>
            </w:tcBorders>
          </w:tcPr>
          <w:p w14:paraId="37461072" w14:textId="4A3785C5" w:rsidR="00CC3D6C" w:rsidRPr="00AB22F3" w:rsidRDefault="0019225F" w:rsidP="000812A7">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B22F3">
              <w:rPr>
                <w:rFonts w:asciiTheme="minorHAnsi" w:hAnsiTheme="minorHAnsi" w:cstheme="minorHAnsi"/>
                <w:sz w:val="22"/>
                <w:szCs w:val="22"/>
              </w:rPr>
              <w:t>47 months</w:t>
            </w:r>
          </w:p>
        </w:tc>
        <w:tc>
          <w:tcPr>
            <w:tcW w:w="1337" w:type="dxa"/>
            <w:tcBorders>
              <w:top w:val="single" w:sz="4" w:space="0" w:color="FFFFFF" w:themeColor="background1"/>
            </w:tcBorders>
          </w:tcPr>
          <w:p w14:paraId="15F1BF7B" w14:textId="3FB9EA98" w:rsidR="00CC3D6C" w:rsidRPr="00AB22F3" w:rsidRDefault="00CC3D6C" w:rsidP="000812A7">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B22F3">
              <w:rPr>
                <w:rFonts w:asciiTheme="minorHAnsi" w:hAnsiTheme="minorHAnsi" w:cstheme="minorHAnsi"/>
                <w:sz w:val="22"/>
                <w:szCs w:val="22"/>
              </w:rPr>
              <w:t xml:space="preserve">205 </w:t>
            </w:r>
            <w:r w:rsidR="0019225F" w:rsidRPr="00AB22F3">
              <w:rPr>
                <w:rFonts w:asciiTheme="minorHAnsi" w:hAnsiTheme="minorHAnsi" w:cstheme="minorHAnsi"/>
                <w:sz w:val="22"/>
                <w:szCs w:val="22"/>
              </w:rPr>
              <w:t>months</w:t>
            </w:r>
          </w:p>
        </w:tc>
      </w:tr>
      <w:tr w:rsidR="00AB22F3" w14:paraId="4E8F2D80" w14:textId="77777777" w:rsidTr="00E850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27CDE0A3" w14:textId="6629566F" w:rsidR="00AB22F3" w:rsidRPr="00AB22F3" w:rsidRDefault="00AB22F3" w:rsidP="000812A7">
            <w:pPr>
              <w:spacing w:before="0"/>
              <w:rPr>
                <w:rFonts w:asciiTheme="minorHAnsi" w:hAnsiTheme="minorHAnsi" w:cstheme="minorHAnsi"/>
                <w:sz w:val="22"/>
                <w:szCs w:val="22"/>
              </w:rPr>
            </w:pPr>
            <w:r w:rsidRPr="00AB22F3">
              <w:rPr>
                <w:rFonts w:asciiTheme="minorHAnsi" w:hAnsiTheme="minorHAnsi" w:cstheme="minorHAnsi"/>
                <w:sz w:val="22"/>
                <w:szCs w:val="22"/>
              </w:rPr>
              <w:t xml:space="preserve">PBAC submission to PBS </w:t>
            </w:r>
            <w:r w:rsidR="00E8506E" w:rsidRPr="00AB22F3">
              <w:rPr>
                <w:rFonts w:asciiTheme="minorHAnsi" w:hAnsiTheme="minorHAnsi" w:cstheme="minorHAnsi"/>
                <w:sz w:val="22"/>
                <w:szCs w:val="22"/>
              </w:rPr>
              <w:t>list</w:t>
            </w:r>
            <w:r w:rsidR="00E8506E">
              <w:rPr>
                <w:rFonts w:asciiTheme="minorHAnsi" w:hAnsiTheme="minorHAnsi" w:cstheme="minorHAnsi"/>
                <w:sz w:val="22"/>
                <w:szCs w:val="22"/>
              </w:rPr>
              <w:t>ing</w:t>
            </w:r>
          </w:p>
        </w:tc>
        <w:tc>
          <w:tcPr>
            <w:tcW w:w="1276" w:type="dxa"/>
          </w:tcPr>
          <w:p w14:paraId="202F92D3" w14:textId="08C905F9" w:rsidR="00AB22F3" w:rsidRPr="00AB22F3" w:rsidRDefault="00EA2A2A" w:rsidP="000812A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 months</w:t>
            </w:r>
          </w:p>
        </w:tc>
        <w:tc>
          <w:tcPr>
            <w:tcW w:w="1276" w:type="dxa"/>
          </w:tcPr>
          <w:p w14:paraId="5C2078AD" w14:textId="5A842958" w:rsidR="00AB22F3" w:rsidRPr="00AB22F3" w:rsidRDefault="00EA2A2A" w:rsidP="000812A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17 months</w:t>
            </w:r>
          </w:p>
        </w:tc>
        <w:tc>
          <w:tcPr>
            <w:tcW w:w="1276" w:type="dxa"/>
          </w:tcPr>
          <w:p w14:paraId="64C25E63" w14:textId="7B026709" w:rsidR="00AB22F3" w:rsidRPr="00AB22F3" w:rsidRDefault="00EA2A2A" w:rsidP="000812A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22 months</w:t>
            </w:r>
          </w:p>
        </w:tc>
        <w:tc>
          <w:tcPr>
            <w:tcW w:w="1337" w:type="dxa"/>
          </w:tcPr>
          <w:p w14:paraId="0FABD821" w14:textId="2ADA4FC7" w:rsidR="00EA2A2A" w:rsidRPr="00AB22F3" w:rsidRDefault="00EA2A2A" w:rsidP="00EA2A2A">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75 months</w:t>
            </w:r>
          </w:p>
        </w:tc>
      </w:tr>
      <w:tr w:rsidR="0019225F" w14:paraId="55D6C60F" w14:textId="77777777" w:rsidTr="00220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bottom w:val="single" w:sz="4" w:space="0" w:color="FFFFFF" w:themeColor="background1"/>
            </w:tcBorders>
          </w:tcPr>
          <w:p w14:paraId="4C28F195" w14:textId="32C399AB" w:rsidR="00904232" w:rsidRPr="00AB22F3" w:rsidRDefault="00FF1574" w:rsidP="000812A7">
            <w:pPr>
              <w:spacing w:before="0"/>
              <w:rPr>
                <w:rFonts w:asciiTheme="minorHAnsi" w:hAnsiTheme="minorHAnsi" w:cstheme="minorHAnsi"/>
                <w:sz w:val="22"/>
                <w:szCs w:val="22"/>
              </w:rPr>
            </w:pPr>
            <w:r>
              <w:rPr>
                <w:rFonts w:asciiTheme="minorHAnsi" w:hAnsiTheme="minorHAnsi" w:cstheme="minorHAnsi"/>
                <w:sz w:val="22"/>
                <w:szCs w:val="22"/>
              </w:rPr>
              <w:t>ARTG</w:t>
            </w:r>
            <w:r w:rsidR="00CC3D6C" w:rsidRPr="00AB22F3">
              <w:rPr>
                <w:rFonts w:asciiTheme="minorHAnsi" w:hAnsiTheme="minorHAnsi" w:cstheme="minorHAnsi"/>
                <w:sz w:val="22"/>
                <w:szCs w:val="22"/>
              </w:rPr>
              <w:t xml:space="preserve"> registration to PBS </w:t>
            </w:r>
            <w:r w:rsidR="00E8506E" w:rsidRPr="00AB22F3">
              <w:rPr>
                <w:rFonts w:asciiTheme="minorHAnsi" w:hAnsiTheme="minorHAnsi" w:cstheme="minorHAnsi"/>
                <w:sz w:val="22"/>
                <w:szCs w:val="22"/>
              </w:rPr>
              <w:t>list</w:t>
            </w:r>
            <w:r w:rsidR="00E8506E">
              <w:rPr>
                <w:rFonts w:asciiTheme="minorHAnsi" w:hAnsiTheme="minorHAnsi" w:cstheme="minorHAnsi"/>
                <w:sz w:val="22"/>
                <w:szCs w:val="22"/>
              </w:rPr>
              <w:t>ing</w:t>
            </w:r>
          </w:p>
        </w:tc>
        <w:tc>
          <w:tcPr>
            <w:tcW w:w="1276" w:type="dxa"/>
            <w:tcBorders>
              <w:bottom w:val="single" w:sz="4" w:space="0" w:color="FFFFFF" w:themeColor="background1"/>
            </w:tcBorders>
          </w:tcPr>
          <w:p w14:paraId="59C8B07A" w14:textId="20FA8FA0" w:rsidR="00CC3D6C" w:rsidRPr="00AB22F3" w:rsidRDefault="00CC3D6C" w:rsidP="000812A7">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B22F3">
              <w:rPr>
                <w:rFonts w:asciiTheme="minorHAnsi" w:hAnsiTheme="minorHAnsi" w:cstheme="minorHAnsi"/>
                <w:sz w:val="22"/>
                <w:szCs w:val="22"/>
              </w:rPr>
              <w:t xml:space="preserve">2 </w:t>
            </w:r>
            <w:r w:rsidR="0019225F" w:rsidRPr="00AB22F3">
              <w:rPr>
                <w:rFonts w:asciiTheme="minorHAnsi" w:hAnsiTheme="minorHAnsi" w:cstheme="minorHAnsi"/>
                <w:sz w:val="22"/>
                <w:szCs w:val="22"/>
              </w:rPr>
              <w:t>months</w:t>
            </w:r>
          </w:p>
        </w:tc>
        <w:tc>
          <w:tcPr>
            <w:tcW w:w="1276" w:type="dxa"/>
            <w:tcBorders>
              <w:bottom w:val="single" w:sz="4" w:space="0" w:color="FFFFFF" w:themeColor="background1"/>
            </w:tcBorders>
          </w:tcPr>
          <w:p w14:paraId="777206BC" w14:textId="7BB3F721" w:rsidR="00CC3D6C" w:rsidRPr="00AB22F3" w:rsidRDefault="00CC3D6C" w:rsidP="000812A7">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B22F3">
              <w:rPr>
                <w:rFonts w:asciiTheme="minorHAnsi" w:hAnsiTheme="minorHAnsi" w:cstheme="minorHAnsi"/>
                <w:sz w:val="22"/>
                <w:szCs w:val="22"/>
              </w:rPr>
              <w:t xml:space="preserve">21 </w:t>
            </w:r>
            <w:r w:rsidR="0019225F" w:rsidRPr="00AB22F3">
              <w:rPr>
                <w:rFonts w:asciiTheme="minorHAnsi" w:hAnsiTheme="minorHAnsi" w:cstheme="minorHAnsi"/>
                <w:sz w:val="22"/>
                <w:szCs w:val="22"/>
              </w:rPr>
              <w:t>months</w:t>
            </w:r>
          </w:p>
        </w:tc>
        <w:tc>
          <w:tcPr>
            <w:tcW w:w="1276" w:type="dxa"/>
            <w:tcBorders>
              <w:bottom w:val="single" w:sz="4" w:space="0" w:color="FFFFFF" w:themeColor="background1"/>
            </w:tcBorders>
          </w:tcPr>
          <w:p w14:paraId="03271FE0" w14:textId="60EDC564" w:rsidR="00CC3D6C" w:rsidRPr="00AB22F3" w:rsidRDefault="0019225F" w:rsidP="000812A7">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B22F3">
              <w:rPr>
                <w:rFonts w:asciiTheme="minorHAnsi" w:hAnsiTheme="minorHAnsi" w:cstheme="minorHAnsi"/>
                <w:sz w:val="22"/>
                <w:szCs w:val="22"/>
              </w:rPr>
              <w:t>25 months</w:t>
            </w:r>
          </w:p>
        </w:tc>
        <w:tc>
          <w:tcPr>
            <w:tcW w:w="1337" w:type="dxa"/>
            <w:tcBorders>
              <w:bottom w:val="single" w:sz="4" w:space="0" w:color="FFFFFF" w:themeColor="background1"/>
            </w:tcBorders>
          </w:tcPr>
          <w:p w14:paraId="0EFE88E7" w14:textId="39256AFD" w:rsidR="00CC3D6C" w:rsidRPr="00AB22F3" w:rsidRDefault="00CC3D6C" w:rsidP="000812A7">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AB22F3">
              <w:rPr>
                <w:rFonts w:asciiTheme="minorHAnsi" w:hAnsiTheme="minorHAnsi" w:cstheme="minorHAnsi"/>
                <w:sz w:val="22"/>
                <w:szCs w:val="22"/>
              </w:rPr>
              <w:t xml:space="preserve">84 </w:t>
            </w:r>
            <w:r w:rsidR="0019225F" w:rsidRPr="00AB22F3">
              <w:rPr>
                <w:rFonts w:asciiTheme="minorHAnsi" w:hAnsiTheme="minorHAnsi" w:cstheme="minorHAnsi"/>
                <w:sz w:val="22"/>
                <w:szCs w:val="22"/>
              </w:rPr>
              <w:t>months</w:t>
            </w:r>
          </w:p>
        </w:tc>
      </w:tr>
      <w:tr w:rsidR="00904232" w14:paraId="295E3D34" w14:textId="77777777" w:rsidTr="00220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FFFFFF" w:themeColor="background1"/>
              <w:bottom w:val="single" w:sz="4" w:space="0" w:color="FFFFFF" w:themeColor="background1"/>
            </w:tcBorders>
            <w:shd w:val="clear" w:color="auto" w:fill="3F4A75"/>
          </w:tcPr>
          <w:p w14:paraId="17ABCB34" w14:textId="1EFE0EE0" w:rsidR="00CC3D6C" w:rsidRPr="00AB22F3" w:rsidRDefault="00CC3D6C" w:rsidP="00CC3D6C">
            <w:pPr>
              <w:spacing w:before="0"/>
              <w:rPr>
                <w:rFonts w:asciiTheme="minorHAnsi" w:hAnsiTheme="minorHAnsi" w:cstheme="minorHAnsi"/>
                <w:b/>
                <w:bCs/>
                <w:color w:val="FFFFFF" w:themeColor="background1"/>
                <w:sz w:val="22"/>
                <w:szCs w:val="22"/>
              </w:rPr>
            </w:pPr>
            <w:r w:rsidRPr="00AB22F3">
              <w:rPr>
                <w:rFonts w:asciiTheme="minorHAnsi" w:hAnsiTheme="minorHAnsi" w:cstheme="minorHAnsi"/>
                <w:b/>
                <w:bCs/>
                <w:color w:val="FFFFFF" w:themeColor="background1"/>
                <w:sz w:val="22"/>
                <w:szCs w:val="22"/>
              </w:rPr>
              <w:t xml:space="preserve">Extension </w:t>
            </w:r>
            <w:r w:rsidR="009B18FB" w:rsidRPr="00AB22F3">
              <w:rPr>
                <w:rFonts w:asciiTheme="minorHAnsi" w:hAnsiTheme="minorHAnsi" w:cstheme="minorHAnsi"/>
                <w:b/>
                <w:bCs/>
                <w:color w:val="FFFFFF" w:themeColor="background1"/>
                <w:sz w:val="22"/>
                <w:szCs w:val="22"/>
              </w:rPr>
              <w:t>(all</w:t>
            </w:r>
            <w:r w:rsidR="0019225F" w:rsidRPr="00AB22F3">
              <w:rPr>
                <w:rFonts w:asciiTheme="minorHAnsi" w:hAnsiTheme="minorHAnsi" w:cstheme="minorHAnsi"/>
                <w:b/>
                <w:bCs/>
                <w:color w:val="FFFFFF" w:themeColor="background1"/>
                <w:sz w:val="22"/>
                <w:szCs w:val="22"/>
              </w:rPr>
              <w:t>)</w:t>
            </w:r>
          </w:p>
        </w:tc>
        <w:tc>
          <w:tcPr>
            <w:tcW w:w="1276" w:type="dxa"/>
            <w:tcBorders>
              <w:top w:val="single" w:sz="4" w:space="0" w:color="FFFFFF" w:themeColor="background1"/>
              <w:bottom w:val="single" w:sz="4" w:space="0" w:color="FFFFFF" w:themeColor="background1"/>
            </w:tcBorders>
            <w:shd w:val="clear" w:color="auto" w:fill="3F4A75"/>
          </w:tcPr>
          <w:p w14:paraId="349F3700" w14:textId="738F7274" w:rsidR="00CC3D6C" w:rsidRPr="00AB22F3" w:rsidRDefault="00CC3D6C" w:rsidP="00CC3D6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AB22F3">
              <w:rPr>
                <w:rFonts w:asciiTheme="minorHAnsi" w:hAnsiTheme="minorHAnsi" w:cstheme="minorHAnsi"/>
                <w:b/>
                <w:bCs/>
                <w:color w:val="FFFFFF" w:themeColor="background1"/>
                <w:sz w:val="22"/>
                <w:szCs w:val="22"/>
              </w:rPr>
              <w:t>Min</w:t>
            </w:r>
          </w:p>
        </w:tc>
        <w:tc>
          <w:tcPr>
            <w:tcW w:w="1276" w:type="dxa"/>
            <w:tcBorders>
              <w:top w:val="single" w:sz="4" w:space="0" w:color="FFFFFF" w:themeColor="background1"/>
              <w:bottom w:val="single" w:sz="4" w:space="0" w:color="FFFFFF" w:themeColor="background1"/>
            </w:tcBorders>
            <w:shd w:val="clear" w:color="auto" w:fill="3F4A75"/>
          </w:tcPr>
          <w:p w14:paraId="26436E23" w14:textId="77777777" w:rsidR="00CC3D6C" w:rsidRPr="00AB22F3" w:rsidRDefault="00CC3D6C" w:rsidP="00CC3D6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AB22F3">
              <w:rPr>
                <w:rFonts w:asciiTheme="minorHAnsi" w:hAnsiTheme="minorHAnsi" w:cstheme="minorHAnsi"/>
                <w:b/>
                <w:bCs/>
                <w:color w:val="FFFFFF" w:themeColor="background1"/>
                <w:sz w:val="22"/>
                <w:szCs w:val="22"/>
              </w:rPr>
              <w:t>Median</w:t>
            </w:r>
          </w:p>
        </w:tc>
        <w:tc>
          <w:tcPr>
            <w:tcW w:w="1276" w:type="dxa"/>
            <w:tcBorders>
              <w:top w:val="single" w:sz="4" w:space="0" w:color="FFFFFF" w:themeColor="background1"/>
              <w:bottom w:val="single" w:sz="4" w:space="0" w:color="FFFFFF" w:themeColor="background1"/>
            </w:tcBorders>
            <w:shd w:val="clear" w:color="auto" w:fill="3F4A75"/>
          </w:tcPr>
          <w:p w14:paraId="5B0DBBD0" w14:textId="34CD6973" w:rsidR="00CC3D6C" w:rsidRPr="00AB22F3" w:rsidRDefault="009B18FB" w:rsidP="00CC3D6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AB22F3">
              <w:rPr>
                <w:rFonts w:asciiTheme="minorHAnsi" w:hAnsiTheme="minorHAnsi" w:cstheme="minorHAnsi"/>
                <w:b/>
                <w:bCs/>
                <w:color w:val="FFFFFF" w:themeColor="background1"/>
                <w:sz w:val="22"/>
                <w:szCs w:val="22"/>
              </w:rPr>
              <w:t>Average</w:t>
            </w:r>
          </w:p>
        </w:tc>
        <w:tc>
          <w:tcPr>
            <w:tcW w:w="1337" w:type="dxa"/>
            <w:tcBorders>
              <w:top w:val="single" w:sz="4" w:space="0" w:color="FFFFFF" w:themeColor="background1"/>
              <w:bottom w:val="single" w:sz="4" w:space="0" w:color="FFFFFF" w:themeColor="background1"/>
            </w:tcBorders>
            <w:shd w:val="clear" w:color="auto" w:fill="3F4A75"/>
          </w:tcPr>
          <w:p w14:paraId="38EAF8F9" w14:textId="0FFD39D4" w:rsidR="00CC3D6C" w:rsidRPr="00AB22F3" w:rsidRDefault="00CC3D6C" w:rsidP="00CC3D6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AB22F3">
              <w:rPr>
                <w:rFonts w:asciiTheme="minorHAnsi" w:hAnsiTheme="minorHAnsi" w:cstheme="minorHAnsi"/>
                <w:b/>
                <w:bCs/>
                <w:color w:val="FFFFFF" w:themeColor="background1"/>
                <w:sz w:val="22"/>
                <w:szCs w:val="22"/>
              </w:rPr>
              <w:t>Max</w:t>
            </w:r>
          </w:p>
        </w:tc>
      </w:tr>
      <w:tr w:rsidR="00AB22F3" w14:paraId="55F70C89" w14:textId="77777777" w:rsidTr="00220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FFFFFF" w:themeColor="background1"/>
            </w:tcBorders>
          </w:tcPr>
          <w:p w14:paraId="28AF110D" w14:textId="4FDBD50E" w:rsidR="00AB22F3" w:rsidRPr="00AB22F3" w:rsidRDefault="00AB22F3" w:rsidP="00CC3D6C">
            <w:pPr>
              <w:spacing w:before="0"/>
              <w:rPr>
                <w:rFonts w:asciiTheme="minorHAnsi" w:hAnsiTheme="minorHAnsi" w:cstheme="minorHAnsi"/>
                <w:sz w:val="22"/>
                <w:szCs w:val="22"/>
              </w:rPr>
            </w:pPr>
            <w:r w:rsidRPr="00AB22F3">
              <w:rPr>
                <w:rFonts w:asciiTheme="minorHAnsi" w:hAnsiTheme="minorHAnsi" w:cstheme="minorHAnsi"/>
                <w:sz w:val="22"/>
                <w:szCs w:val="22"/>
              </w:rPr>
              <w:t xml:space="preserve">PBAC submission to PBS </w:t>
            </w:r>
            <w:r w:rsidR="00E8506E" w:rsidRPr="00AB22F3">
              <w:rPr>
                <w:rFonts w:asciiTheme="minorHAnsi" w:hAnsiTheme="minorHAnsi" w:cstheme="minorHAnsi"/>
                <w:sz w:val="22"/>
                <w:szCs w:val="22"/>
              </w:rPr>
              <w:t>list</w:t>
            </w:r>
            <w:r w:rsidR="00E8506E">
              <w:rPr>
                <w:rFonts w:asciiTheme="minorHAnsi" w:hAnsiTheme="minorHAnsi" w:cstheme="minorHAnsi"/>
                <w:sz w:val="22"/>
                <w:szCs w:val="22"/>
              </w:rPr>
              <w:t>ing</w:t>
            </w:r>
          </w:p>
        </w:tc>
        <w:tc>
          <w:tcPr>
            <w:tcW w:w="1276" w:type="dxa"/>
            <w:tcBorders>
              <w:top w:val="single" w:sz="4" w:space="0" w:color="FFFFFF" w:themeColor="background1"/>
            </w:tcBorders>
          </w:tcPr>
          <w:p w14:paraId="5F2DD85E" w14:textId="589E9EAB" w:rsidR="00AB22F3" w:rsidRPr="00AB22F3" w:rsidRDefault="00EA2A2A" w:rsidP="00CC3D6C">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 months</w:t>
            </w:r>
          </w:p>
        </w:tc>
        <w:tc>
          <w:tcPr>
            <w:tcW w:w="1276" w:type="dxa"/>
            <w:tcBorders>
              <w:top w:val="single" w:sz="4" w:space="0" w:color="FFFFFF" w:themeColor="background1"/>
            </w:tcBorders>
          </w:tcPr>
          <w:p w14:paraId="7CD27446" w14:textId="0B7C9490" w:rsidR="00AB22F3" w:rsidRPr="00AB22F3" w:rsidRDefault="00EA2A2A" w:rsidP="00CC3D6C">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12 months</w:t>
            </w:r>
          </w:p>
        </w:tc>
        <w:tc>
          <w:tcPr>
            <w:tcW w:w="1276" w:type="dxa"/>
            <w:tcBorders>
              <w:top w:val="single" w:sz="4" w:space="0" w:color="FFFFFF" w:themeColor="background1"/>
            </w:tcBorders>
          </w:tcPr>
          <w:p w14:paraId="30C39160" w14:textId="6E0BD7B7" w:rsidR="00AB22F3" w:rsidRPr="00AB22F3" w:rsidRDefault="00EA2A2A" w:rsidP="00CC3D6C">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15 months</w:t>
            </w:r>
          </w:p>
        </w:tc>
        <w:tc>
          <w:tcPr>
            <w:tcW w:w="1337" w:type="dxa"/>
            <w:tcBorders>
              <w:top w:val="single" w:sz="4" w:space="0" w:color="FFFFFF" w:themeColor="background1"/>
            </w:tcBorders>
          </w:tcPr>
          <w:p w14:paraId="59ACD1BC" w14:textId="087A5C06" w:rsidR="00AB22F3" w:rsidRPr="00AB22F3" w:rsidRDefault="00EA2A2A" w:rsidP="00CC3D6C">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45 months</w:t>
            </w:r>
          </w:p>
        </w:tc>
      </w:tr>
      <w:tr w:rsidR="00904232" w14:paraId="53D5FBC1" w14:textId="77777777" w:rsidTr="00220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bottom w:val="single" w:sz="4" w:space="0" w:color="FFFFFF" w:themeColor="background1"/>
            </w:tcBorders>
          </w:tcPr>
          <w:p w14:paraId="02CD5FBB" w14:textId="3B1F4452" w:rsidR="00CC3D6C" w:rsidRPr="00AB22F3" w:rsidRDefault="00FF1574" w:rsidP="00CC3D6C">
            <w:pPr>
              <w:spacing w:before="0"/>
              <w:rPr>
                <w:rFonts w:asciiTheme="minorHAnsi" w:hAnsiTheme="minorHAnsi" w:cstheme="minorHAnsi"/>
                <w:b/>
                <w:bCs/>
                <w:color w:val="FFFFFF" w:themeColor="background1"/>
                <w:sz w:val="22"/>
                <w:szCs w:val="22"/>
              </w:rPr>
            </w:pPr>
            <w:r>
              <w:rPr>
                <w:rFonts w:asciiTheme="minorHAnsi" w:hAnsiTheme="minorHAnsi" w:cstheme="minorHAnsi"/>
                <w:sz w:val="22"/>
                <w:szCs w:val="22"/>
              </w:rPr>
              <w:t>ARTG</w:t>
            </w:r>
            <w:r w:rsidR="009B18FB" w:rsidRPr="00AB22F3">
              <w:rPr>
                <w:rFonts w:asciiTheme="minorHAnsi" w:hAnsiTheme="minorHAnsi" w:cstheme="minorHAnsi"/>
                <w:sz w:val="22"/>
                <w:szCs w:val="22"/>
              </w:rPr>
              <w:t xml:space="preserve"> registration to PBS </w:t>
            </w:r>
            <w:r w:rsidR="00E8506E" w:rsidRPr="00AB22F3">
              <w:rPr>
                <w:rFonts w:asciiTheme="minorHAnsi" w:hAnsiTheme="minorHAnsi" w:cstheme="minorHAnsi"/>
                <w:sz w:val="22"/>
                <w:szCs w:val="22"/>
              </w:rPr>
              <w:t>list</w:t>
            </w:r>
            <w:r w:rsidR="00E8506E">
              <w:rPr>
                <w:rFonts w:asciiTheme="minorHAnsi" w:hAnsiTheme="minorHAnsi" w:cstheme="minorHAnsi"/>
                <w:sz w:val="22"/>
                <w:szCs w:val="22"/>
              </w:rPr>
              <w:t>ing</w:t>
            </w:r>
          </w:p>
        </w:tc>
        <w:tc>
          <w:tcPr>
            <w:tcW w:w="1276" w:type="dxa"/>
            <w:tcBorders>
              <w:bottom w:val="single" w:sz="4" w:space="0" w:color="FFFFFF" w:themeColor="background1"/>
            </w:tcBorders>
          </w:tcPr>
          <w:p w14:paraId="1BDE372B" w14:textId="2104BD4F" w:rsidR="00CC3D6C" w:rsidRPr="00AB22F3" w:rsidRDefault="0019225F" w:rsidP="00CC3D6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B22F3">
              <w:rPr>
                <w:rFonts w:asciiTheme="minorHAnsi" w:hAnsiTheme="minorHAnsi" w:cstheme="minorHAnsi"/>
                <w:color w:val="auto"/>
                <w:sz w:val="22"/>
                <w:szCs w:val="22"/>
              </w:rPr>
              <w:t>2 months</w:t>
            </w:r>
          </w:p>
        </w:tc>
        <w:tc>
          <w:tcPr>
            <w:tcW w:w="1276" w:type="dxa"/>
            <w:tcBorders>
              <w:bottom w:val="single" w:sz="4" w:space="0" w:color="FFFFFF" w:themeColor="background1"/>
            </w:tcBorders>
          </w:tcPr>
          <w:p w14:paraId="6084E296" w14:textId="1618F47F" w:rsidR="00CC3D6C" w:rsidRPr="00AB22F3" w:rsidRDefault="0019225F" w:rsidP="00CC3D6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szCs w:val="22"/>
              </w:rPr>
            </w:pPr>
            <w:r w:rsidRPr="00AB22F3">
              <w:rPr>
                <w:rFonts w:asciiTheme="minorHAnsi" w:hAnsiTheme="minorHAnsi" w:cstheme="minorHAnsi"/>
                <w:bCs/>
                <w:color w:val="auto"/>
                <w:sz w:val="22"/>
                <w:szCs w:val="22"/>
              </w:rPr>
              <w:t xml:space="preserve">15 </w:t>
            </w:r>
            <w:r w:rsidRPr="00AB22F3">
              <w:rPr>
                <w:rFonts w:asciiTheme="minorHAnsi" w:hAnsiTheme="minorHAnsi" w:cstheme="minorHAnsi"/>
                <w:color w:val="auto"/>
                <w:sz w:val="22"/>
                <w:szCs w:val="22"/>
              </w:rPr>
              <w:t>months</w:t>
            </w:r>
          </w:p>
        </w:tc>
        <w:tc>
          <w:tcPr>
            <w:tcW w:w="1276" w:type="dxa"/>
            <w:tcBorders>
              <w:bottom w:val="single" w:sz="4" w:space="0" w:color="FFFFFF" w:themeColor="background1"/>
            </w:tcBorders>
          </w:tcPr>
          <w:p w14:paraId="36F722DF" w14:textId="7E2B9010" w:rsidR="00CC3D6C" w:rsidRPr="00AB22F3" w:rsidRDefault="0019225F" w:rsidP="00CC3D6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szCs w:val="22"/>
              </w:rPr>
            </w:pPr>
            <w:r w:rsidRPr="00AB22F3">
              <w:rPr>
                <w:rFonts w:asciiTheme="minorHAnsi" w:hAnsiTheme="minorHAnsi" w:cstheme="minorHAnsi"/>
                <w:bCs/>
                <w:color w:val="auto"/>
                <w:sz w:val="22"/>
                <w:szCs w:val="22"/>
              </w:rPr>
              <w:t xml:space="preserve">23 </w:t>
            </w:r>
            <w:r w:rsidRPr="00AB22F3">
              <w:rPr>
                <w:rFonts w:asciiTheme="minorHAnsi" w:hAnsiTheme="minorHAnsi" w:cstheme="minorHAnsi"/>
                <w:color w:val="auto"/>
                <w:sz w:val="22"/>
                <w:szCs w:val="22"/>
              </w:rPr>
              <w:t>months</w:t>
            </w:r>
          </w:p>
        </w:tc>
        <w:tc>
          <w:tcPr>
            <w:tcW w:w="1337" w:type="dxa"/>
            <w:tcBorders>
              <w:bottom w:val="single" w:sz="4" w:space="0" w:color="FFFFFF" w:themeColor="background1"/>
            </w:tcBorders>
          </w:tcPr>
          <w:p w14:paraId="4201A2F9" w14:textId="6424F3FD" w:rsidR="00CC3D6C" w:rsidRPr="00AB22F3" w:rsidRDefault="0019225F" w:rsidP="00CC3D6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B22F3">
              <w:rPr>
                <w:rFonts w:asciiTheme="minorHAnsi" w:hAnsiTheme="minorHAnsi" w:cstheme="minorHAnsi"/>
                <w:color w:val="auto"/>
                <w:sz w:val="22"/>
                <w:szCs w:val="22"/>
              </w:rPr>
              <w:t>152 months</w:t>
            </w:r>
          </w:p>
        </w:tc>
      </w:tr>
      <w:tr w:rsidR="00E8506E" w14:paraId="261074AD" w14:textId="77777777" w:rsidTr="00220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FFFFFF" w:themeColor="background1"/>
              <w:bottom w:val="single" w:sz="4" w:space="0" w:color="FFFFFF" w:themeColor="background1"/>
            </w:tcBorders>
            <w:shd w:val="clear" w:color="auto" w:fill="3F4A75"/>
          </w:tcPr>
          <w:p w14:paraId="450524C5" w14:textId="491C37F5" w:rsidR="00E8506E" w:rsidRPr="00AB22F3" w:rsidRDefault="00E8506E" w:rsidP="00E8506E">
            <w:pPr>
              <w:spacing w:before="0"/>
              <w:rPr>
                <w:rFonts w:asciiTheme="minorHAnsi" w:hAnsiTheme="minorHAnsi" w:cstheme="minorHAnsi"/>
                <w:sz w:val="22"/>
                <w:szCs w:val="22"/>
              </w:rPr>
            </w:pPr>
            <w:r w:rsidRPr="00AB22F3">
              <w:rPr>
                <w:rFonts w:asciiTheme="minorHAnsi" w:hAnsiTheme="minorHAnsi" w:cstheme="minorHAnsi"/>
                <w:b/>
                <w:bCs/>
                <w:color w:val="FFFFFF" w:themeColor="background1"/>
                <w:sz w:val="22"/>
                <w:szCs w:val="22"/>
              </w:rPr>
              <w:t>New Drugs (improvement)</w:t>
            </w:r>
          </w:p>
        </w:tc>
        <w:tc>
          <w:tcPr>
            <w:tcW w:w="1276" w:type="dxa"/>
            <w:tcBorders>
              <w:top w:val="single" w:sz="4" w:space="0" w:color="FFFFFF" w:themeColor="background1"/>
              <w:bottom w:val="single" w:sz="4" w:space="0" w:color="FFFFFF" w:themeColor="background1"/>
            </w:tcBorders>
            <w:shd w:val="clear" w:color="auto" w:fill="3F4A75"/>
          </w:tcPr>
          <w:p w14:paraId="7160773A" w14:textId="1F222EAF" w:rsidR="00E8506E" w:rsidRPr="00AB22F3" w:rsidRDefault="00E8506E" w:rsidP="00E8506E">
            <w:pPr>
              <w:spacing w:befor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AB22F3">
              <w:rPr>
                <w:rFonts w:asciiTheme="minorHAnsi" w:hAnsiTheme="minorHAnsi" w:cstheme="minorHAnsi"/>
                <w:b/>
                <w:bCs/>
                <w:color w:val="FFFFFF" w:themeColor="background1"/>
                <w:sz w:val="22"/>
                <w:szCs w:val="22"/>
              </w:rPr>
              <w:t>Min</w:t>
            </w:r>
          </w:p>
        </w:tc>
        <w:tc>
          <w:tcPr>
            <w:tcW w:w="1276" w:type="dxa"/>
            <w:tcBorders>
              <w:top w:val="single" w:sz="4" w:space="0" w:color="FFFFFF" w:themeColor="background1"/>
              <w:bottom w:val="single" w:sz="4" w:space="0" w:color="FFFFFF" w:themeColor="background1"/>
            </w:tcBorders>
            <w:shd w:val="clear" w:color="auto" w:fill="3F4A75"/>
          </w:tcPr>
          <w:p w14:paraId="1CCADEDD" w14:textId="3F5259B7" w:rsidR="00E8506E" w:rsidRPr="00AB22F3" w:rsidRDefault="00E8506E" w:rsidP="00E8506E">
            <w:pPr>
              <w:spacing w:befor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AB22F3">
              <w:rPr>
                <w:rFonts w:asciiTheme="minorHAnsi" w:hAnsiTheme="minorHAnsi" w:cstheme="minorHAnsi"/>
                <w:b/>
                <w:bCs/>
                <w:color w:val="FFFFFF" w:themeColor="background1"/>
                <w:sz w:val="22"/>
                <w:szCs w:val="22"/>
              </w:rPr>
              <w:t>Median</w:t>
            </w:r>
          </w:p>
        </w:tc>
        <w:tc>
          <w:tcPr>
            <w:tcW w:w="1276" w:type="dxa"/>
            <w:tcBorders>
              <w:top w:val="single" w:sz="4" w:space="0" w:color="FFFFFF" w:themeColor="background1"/>
              <w:bottom w:val="single" w:sz="4" w:space="0" w:color="FFFFFF" w:themeColor="background1"/>
            </w:tcBorders>
            <w:shd w:val="clear" w:color="auto" w:fill="3F4A75"/>
          </w:tcPr>
          <w:p w14:paraId="2DD48241" w14:textId="5B25855C" w:rsidR="00E8506E" w:rsidRPr="00AB22F3" w:rsidRDefault="00E8506E" w:rsidP="00E8506E">
            <w:pPr>
              <w:spacing w:befor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AB22F3">
              <w:rPr>
                <w:rFonts w:asciiTheme="minorHAnsi" w:hAnsiTheme="minorHAnsi" w:cstheme="minorHAnsi"/>
                <w:b/>
                <w:bCs/>
                <w:color w:val="FFFFFF" w:themeColor="background1"/>
                <w:sz w:val="22"/>
                <w:szCs w:val="22"/>
              </w:rPr>
              <w:t>Average</w:t>
            </w:r>
          </w:p>
        </w:tc>
        <w:tc>
          <w:tcPr>
            <w:tcW w:w="1337" w:type="dxa"/>
            <w:tcBorders>
              <w:top w:val="single" w:sz="4" w:space="0" w:color="FFFFFF" w:themeColor="background1"/>
              <w:bottom w:val="single" w:sz="4" w:space="0" w:color="FFFFFF" w:themeColor="background1"/>
            </w:tcBorders>
            <w:shd w:val="clear" w:color="auto" w:fill="3F4A75"/>
          </w:tcPr>
          <w:p w14:paraId="4C95B368" w14:textId="68852A06" w:rsidR="00E8506E" w:rsidRPr="00AB22F3" w:rsidRDefault="00E8506E" w:rsidP="00E8506E">
            <w:pPr>
              <w:spacing w:before="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AB22F3">
              <w:rPr>
                <w:rFonts w:asciiTheme="minorHAnsi" w:hAnsiTheme="minorHAnsi" w:cstheme="minorHAnsi"/>
                <w:b/>
                <w:bCs/>
                <w:color w:val="FFFFFF" w:themeColor="background1"/>
                <w:sz w:val="22"/>
                <w:szCs w:val="22"/>
              </w:rPr>
              <w:t>Max</w:t>
            </w:r>
          </w:p>
        </w:tc>
      </w:tr>
      <w:tr w:rsidR="00E8506E" w14:paraId="60A85FB1" w14:textId="77777777" w:rsidTr="00220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FFFFFF" w:themeColor="background1"/>
            </w:tcBorders>
          </w:tcPr>
          <w:p w14:paraId="0C1E99E5" w14:textId="57AA1DE4" w:rsidR="00E8506E" w:rsidRPr="00AB22F3" w:rsidRDefault="00E8506E" w:rsidP="00E8506E">
            <w:pPr>
              <w:spacing w:before="0"/>
              <w:rPr>
                <w:rFonts w:cstheme="minorHAnsi"/>
              </w:rPr>
            </w:pPr>
            <w:r>
              <w:rPr>
                <w:rFonts w:asciiTheme="minorHAnsi" w:hAnsiTheme="minorHAnsi" w:cstheme="minorHAnsi"/>
                <w:sz w:val="22"/>
                <w:szCs w:val="22"/>
              </w:rPr>
              <w:t>First</w:t>
            </w:r>
            <w:r w:rsidRPr="00AB22F3">
              <w:rPr>
                <w:rFonts w:asciiTheme="minorHAnsi" w:hAnsiTheme="minorHAnsi" w:cstheme="minorHAnsi"/>
                <w:sz w:val="22"/>
                <w:szCs w:val="22"/>
              </w:rPr>
              <w:t xml:space="preserve"> EMA or FDA approval to PBS list</w:t>
            </w:r>
            <w:r>
              <w:rPr>
                <w:rFonts w:asciiTheme="minorHAnsi" w:hAnsiTheme="minorHAnsi" w:cstheme="minorHAnsi"/>
                <w:sz w:val="22"/>
                <w:szCs w:val="22"/>
              </w:rPr>
              <w:t>ed</w:t>
            </w:r>
            <w:r w:rsidRPr="00AB22F3">
              <w:rPr>
                <w:rFonts w:asciiTheme="minorHAnsi" w:hAnsiTheme="minorHAnsi" w:cstheme="minorHAnsi"/>
                <w:sz w:val="22"/>
                <w:szCs w:val="22"/>
              </w:rPr>
              <w:t xml:space="preserve"> </w:t>
            </w:r>
          </w:p>
        </w:tc>
        <w:tc>
          <w:tcPr>
            <w:tcW w:w="1276" w:type="dxa"/>
            <w:tcBorders>
              <w:top w:val="single" w:sz="4" w:space="0" w:color="FFFFFF" w:themeColor="background1"/>
            </w:tcBorders>
          </w:tcPr>
          <w:p w14:paraId="0D029C98" w14:textId="34499B61" w:rsidR="00E8506E" w:rsidRDefault="00E8506E" w:rsidP="00E8506E">
            <w:pPr>
              <w:spacing w:before="0"/>
              <w:jc w:val="right"/>
              <w:cnfStyle w:val="000000100000" w:firstRow="0" w:lastRow="0" w:firstColumn="0" w:lastColumn="0" w:oddVBand="0" w:evenVBand="0" w:oddHBand="1" w:evenHBand="0" w:firstRowFirstColumn="0" w:firstRowLastColumn="0" w:lastRowFirstColumn="0" w:lastRowLastColumn="0"/>
              <w:rPr>
                <w:rFonts w:cstheme="minorHAnsi"/>
              </w:rPr>
            </w:pPr>
            <w:r w:rsidRPr="00AB22F3">
              <w:rPr>
                <w:rFonts w:asciiTheme="minorHAnsi" w:hAnsiTheme="minorHAnsi" w:cstheme="minorHAnsi"/>
                <w:color w:val="auto"/>
                <w:sz w:val="22"/>
                <w:szCs w:val="22"/>
              </w:rPr>
              <w:t xml:space="preserve">19 </w:t>
            </w:r>
            <w:r w:rsidRPr="00AB22F3">
              <w:rPr>
                <w:rFonts w:asciiTheme="minorHAnsi" w:hAnsiTheme="minorHAnsi" w:cstheme="minorHAnsi"/>
                <w:sz w:val="22"/>
                <w:szCs w:val="22"/>
              </w:rPr>
              <w:t>months</w:t>
            </w:r>
          </w:p>
        </w:tc>
        <w:tc>
          <w:tcPr>
            <w:tcW w:w="1276" w:type="dxa"/>
            <w:tcBorders>
              <w:top w:val="single" w:sz="4" w:space="0" w:color="FFFFFF" w:themeColor="background1"/>
            </w:tcBorders>
          </w:tcPr>
          <w:p w14:paraId="383E21C0" w14:textId="06DAB321" w:rsidR="00E8506E" w:rsidRDefault="00E8506E" w:rsidP="00E8506E">
            <w:pPr>
              <w:spacing w:before="0"/>
              <w:jc w:val="right"/>
              <w:cnfStyle w:val="000000100000" w:firstRow="0" w:lastRow="0" w:firstColumn="0" w:lastColumn="0" w:oddVBand="0" w:evenVBand="0" w:oddHBand="1" w:evenHBand="0" w:firstRowFirstColumn="0" w:firstRowLastColumn="0" w:lastRowFirstColumn="0" w:lastRowLastColumn="0"/>
              <w:rPr>
                <w:rFonts w:cstheme="minorHAnsi"/>
              </w:rPr>
            </w:pPr>
            <w:r w:rsidRPr="00AB22F3">
              <w:rPr>
                <w:rFonts w:asciiTheme="minorHAnsi" w:hAnsiTheme="minorHAnsi" w:cstheme="minorHAnsi"/>
                <w:color w:val="auto"/>
                <w:sz w:val="22"/>
                <w:szCs w:val="22"/>
              </w:rPr>
              <w:t xml:space="preserve">47 </w:t>
            </w:r>
            <w:r w:rsidRPr="00AB22F3">
              <w:rPr>
                <w:rFonts w:asciiTheme="minorHAnsi" w:hAnsiTheme="minorHAnsi" w:cstheme="minorHAnsi"/>
                <w:sz w:val="22"/>
                <w:szCs w:val="22"/>
              </w:rPr>
              <w:t>months</w:t>
            </w:r>
          </w:p>
        </w:tc>
        <w:tc>
          <w:tcPr>
            <w:tcW w:w="1276" w:type="dxa"/>
            <w:tcBorders>
              <w:top w:val="single" w:sz="4" w:space="0" w:color="FFFFFF" w:themeColor="background1"/>
            </w:tcBorders>
          </w:tcPr>
          <w:p w14:paraId="42A194DF" w14:textId="0F16B921" w:rsidR="00E8506E" w:rsidRDefault="00E8506E" w:rsidP="00E8506E">
            <w:pPr>
              <w:spacing w:before="0"/>
              <w:jc w:val="right"/>
              <w:cnfStyle w:val="000000100000" w:firstRow="0" w:lastRow="0" w:firstColumn="0" w:lastColumn="0" w:oddVBand="0" w:evenVBand="0" w:oddHBand="1" w:evenHBand="0" w:firstRowFirstColumn="0" w:firstRowLastColumn="0" w:lastRowFirstColumn="0" w:lastRowLastColumn="0"/>
              <w:rPr>
                <w:rFonts w:cstheme="minorHAnsi"/>
              </w:rPr>
            </w:pPr>
            <w:r w:rsidRPr="00AB22F3">
              <w:rPr>
                <w:rFonts w:asciiTheme="minorHAnsi" w:hAnsiTheme="minorHAnsi" w:cstheme="minorHAnsi"/>
                <w:color w:val="auto"/>
                <w:sz w:val="22"/>
                <w:szCs w:val="22"/>
              </w:rPr>
              <w:t xml:space="preserve">58 </w:t>
            </w:r>
            <w:r w:rsidRPr="00AB22F3">
              <w:rPr>
                <w:rFonts w:asciiTheme="minorHAnsi" w:hAnsiTheme="minorHAnsi" w:cstheme="minorHAnsi"/>
                <w:sz w:val="22"/>
                <w:szCs w:val="22"/>
              </w:rPr>
              <w:t>months</w:t>
            </w:r>
          </w:p>
        </w:tc>
        <w:tc>
          <w:tcPr>
            <w:tcW w:w="1337" w:type="dxa"/>
            <w:tcBorders>
              <w:top w:val="single" w:sz="4" w:space="0" w:color="FFFFFF" w:themeColor="background1"/>
            </w:tcBorders>
          </w:tcPr>
          <w:p w14:paraId="4BD90BD9" w14:textId="75C8ED0B" w:rsidR="00E8506E" w:rsidRDefault="00E8506E" w:rsidP="00E8506E">
            <w:pPr>
              <w:spacing w:before="0"/>
              <w:jc w:val="right"/>
              <w:cnfStyle w:val="000000100000" w:firstRow="0" w:lastRow="0" w:firstColumn="0" w:lastColumn="0" w:oddVBand="0" w:evenVBand="0" w:oddHBand="1" w:evenHBand="0" w:firstRowFirstColumn="0" w:firstRowLastColumn="0" w:lastRowFirstColumn="0" w:lastRowLastColumn="0"/>
              <w:rPr>
                <w:rFonts w:cstheme="minorHAnsi"/>
              </w:rPr>
            </w:pPr>
            <w:r w:rsidRPr="00AB22F3">
              <w:rPr>
                <w:rFonts w:asciiTheme="minorHAnsi" w:hAnsiTheme="minorHAnsi" w:cstheme="minorHAnsi"/>
                <w:color w:val="auto"/>
                <w:sz w:val="22"/>
                <w:szCs w:val="22"/>
              </w:rPr>
              <w:t xml:space="preserve">205 </w:t>
            </w:r>
            <w:r w:rsidRPr="00AB22F3">
              <w:rPr>
                <w:rFonts w:asciiTheme="minorHAnsi" w:hAnsiTheme="minorHAnsi" w:cstheme="minorHAnsi"/>
                <w:sz w:val="22"/>
                <w:szCs w:val="22"/>
              </w:rPr>
              <w:t>months</w:t>
            </w:r>
          </w:p>
        </w:tc>
      </w:tr>
      <w:tr w:rsidR="00E8506E" w14:paraId="27212833" w14:textId="77777777" w:rsidTr="00E850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503BF44C" w14:textId="3FD18458" w:rsidR="00E8506E" w:rsidRPr="00AB22F3" w:rsidRDefault="00E8506E" w:rsidP="00E8506E">
            <w:pPr>
              <w:spacing w:before="0"/>
              <w:rPr>
                <w:rFonts w:asciiTheme="minorHAnsi" w:hAnsiTheme="minorHAnsi" w:cstheme="minorHAnsi"/>
                <w:sz w:val="22"/>
                <w:szCs w:val="22"/>
              </w:rPr>
            </w:pPr>
            <w:r w:rsidRPr="00AB22F3">
              <w:rPr>
                <w:rFonts w:asciiTheme="minorHAnsi" w:hAnsiTheme="minorHAnsi" w:cstheme="minorHAnsi"/>
                <w:sz w:val="22"/>
                <w:szCs w:val="22"/>
              </w:rPr>
              <w:t>PBAC submission to PBS list</w:t>
            </w:r>
            <w:r>
              <w:rPr>
                <w:rFonts w:asciiTheme="minorHAnsi" w:hAnsiTheme="minorHAnsi" w:cstheme="minorHAnsi"/>
                <w:sz w:val="22"/>
                <w:szCs w:val="22"/>
              </w:rPr>
              <w:t>ing</w:t>
            </w:r>
          </w:p>
        </w:tc>
        <w:tc>
          <w:tcPr>
            <w:tcW w:w="1276" w:type="dxa"/>
          </w:tcPr>
          <w:p w14:paraId="2717D83C" w14:textId="13F20225" w:rsidR="00E8506E" w:rsidRPr="00AB22F3" w:rsidRDefault="00E8506E" w:rsidP="00E8506E">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11 months</w:t>
            </w:r>
          </w:p>
        </w:tc>
        <w:tc>
          <w:tcPr>
            <w:tcW w:w="1276" w:type="dxa"/>
          </w:tcPr>
          <w:p w14:paraId="58CF3A5B" w14:textId="7B1FE2E8" w:rsidR="00E8506E" w:rsidRPr="00AB22F3" w:rsidRDefault="00E8506E" w:rsidP="00E8506E">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17 months</w:t>
            </w:r>
          </w:p>
        </w:tc>
        <w:tc>
          <w:tcPr>
            <w:tcW w:w="1276" w:type="dxa"/>
          </w:tcPr>
          <w:p w14:paraId="20FE969E" w14:textId="6637AF95" w:rsidR="00E8506E" w:rsidRPr="00AB22F3" w:rsidRDefault="00E8506E" w:rsidP="00E8506E">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24 months</w:t>
            </w:r>
          </w:p>
        </w:tc>
        <w:tc>
          <w:tcPr>
            <w:tcW w:w="1337" w:type="dxa"/>
          </w:tcPr>
          <w:p w14:paraId="61E4F1E7" w14:textId="2210B38C" w:rsidR="00E8506E" w:rsidRPr="00AB22F3" w:rsidRDefault="00E8506E" w:rsidP="00E8506E">
            <w:pPr>
              <w:spacing w:befor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64 months</w:t>
            </w:r>
          </w:p>
        </w:tc>
      </w:tr>
      <w:tr w:rsidR="00E8506E" w14:paraId="4900055C" w14:textId="77777777" w:rsidTr="00220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bottom w:val="single" w:sz="4" w:space="0" w:color="FFFFFF" w:themeColor="background1"/>
            </w:tcBorders>
          </w:tcPr>
          <w:p w14:paraId="049B751E" w14:textId="657CA1A7" w:rsidR="00E8506E" w:rsidRPr="00AB22F3" w:rsidRDefault="00FF1574" w:rsidP="00E8506E">
            <w:pPr>
              <w:spacing w:before="0"/>
              <w:rPr>
                <w:rFonts w:asciiTheme="minorHAnsi" w:hAnsiTheme="minorHAnsi" w:cstheme="minorHAnsi"/>
                <w:b/>
                <w:bCs/>
                <w:color w:val="auto"/>
                <w:sz w:val="22"/>
                <w:szCs w:val="22"/>
              </w:rPr>
            </w:pPr>
            <w:r>
              <w:rPr>
                <w:rFonts w:asciiTheme="minorHAnsi" w:hAnsiTheme="minorHAnsi" w:cstheme="minorHAnsi"/>
                <w:sz w:val="22"/>
                <w:szCs w:val="22"/>
              </w:rPr>
              <w:t>ARTG</w:t>
            </w:r>
            <w:r w:rsidR="00E8506E" w:rsidRPr="00AB22F3">
              <w:rPr>
                <w:rFonts w:asciiTheme="minorHAnsi" w:hAnsiTheme="minorHAnsi" w:cstheme="minorHAnsi"/>
                <w:sz w:val="22"/>
                <w:szCs w:val="22"/>
              </w:rPr>
              <w:t xml:space="preserve"> registration to PBS list</w:t>
            </w:r>
            <w:r w:rsidR="00E8506E">
              <w:rPr>
                <w:rFonts w:asciiTheme="minorHAnsi" w:hAnsiTheme="minorHAnsi" w:cstheme="minorHAnsi"/>
                <w:sz w:val="22"/>
                <w:szCs w:val="22"/>
              </w:rPr>
              <w:t>ing</w:t>
            </w:r>
          </w:p>
        </w:tc>
        <w:tc>
          <w:tcPr>
            <w:tcW w:w="1276" w:type="dxa"/>
            <w:tcBorders>
              <w:bottom w:val="single" w:sz="4" w:space="0" w:color="FFFFFF" w:themeColor="background1"/>
            </w:tcBorders>
          </w:tcPr>
          <w:p w14:paraId="5AE8AAD5" w14:textId="4157D086" w:rsidR="00E8506E" w:rsidRPr="00AB22F3" w:rsidRDefault="00E8506E" w:rsidP="00E8506E">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B22F3">
              <w:rPr>
                <w:rFonts w:asciiTheme="minorHAnsi" w:hAnsiTheme="minorHAnsi" w:cstheme="minorHAnsi"/>
                <w:color w:val="auto"/>
                <w:sz w:val="22"/>
                <w:szCs w:val="22"/>
              </w:rPr>
              <w:t xml:space="preserve">6 </w:t>
            </w:r>
            <w:r w:rsidRPr="00AB22F3">
              <w:rPr>
                <w:rFonts w:asciiTheme="minorHAnsi" w:hAnsiTheme="minorHAnsi" w:cstheme="minorHAnsi"/>
                <w:sz w:val="22"/>
                <w:szCs w:val="22"/>
              </w:rPr>
              <w:t>months</w:t>
            </w:r>
          </w:p>
        </w:tc>
        <w:tc>
          <w:tcPr>
            <w:tcW w:w="1276" w:type="dxa"/>
            <w:tcBorders>
              <w:bottom w:val="single" w:sz="4" w:space="0" w:color="FFFFFF" w:themeColor="background1"/>
            </w:tcBorders>
          </w:tcPr>
          <w:p w14:paraId="0F1D96B0" w14:textId="2D23F806" w:rsidR="00E8506E" w:rsidRPr="00AB22F3" w:rsidRDefault="00E8506E" w:rsidP="00E8506E">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B22F3">
              <w:rPr>
                <w:rFonts w:asciiTheme="minorHAnsi" w:hAnsiTheme="minorHAnsi" w:cstheme="minorHAnsi"/>
                <w:color w:val="auto"/>
                <w:sz w:val="22"/>
                <w:szCs w:val="22"/>
              </w:rPr>
              <w:t xml:space="preserve">22 </w:t>
            </w:r>
            <w:r w:rsidRPr="00AB22F3">
              <w:rPr>
                <w:rFonts w:asciiTheme="minorHAnsi" w:hAnsiTheme="minorHAnsi" w:cstheme="minorHAnsi"/>
                <w:sz w:val="22"/>
                <w:szCs w:val="22"/>
              </w:rPr>
              <w:t>months</w:t>
            </w:r>
          </w:p>
        </w:tc>
        <w:tc>
          <w:tcPr>
            <w:tcW w:w="1276" w:type="dxa"/>
            <w:tcBorders>
              <w:bottom w:val="single" w:sz="4" w:space="0" w:color="FFFFFF" w:themeColor="background1"/>
            </w:tcBorders>
          </w:tcPr>
          <w:p w14:paraId="2AEE8A4B" w14:textId="7D5B7218" w:rsidR="00E8506E" w:rsidRPr="00AB22F3" w:rsidRDefault="00E8506E" w:rsidP="00E8506E">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B22F3">
              <w:rPr>
                <w:rFonts w:asciiTheme="minorHAnsi" w:hAnsiTheme="minorHAnsi" w:cstheme="minorHAnsi"/>
                <w:color w:val="auto"/>
                <w:sz w:val="22"/>
                <w:szCs w:val="22"/>
              </w:rPr>
              <w:t xml:space="preserve">26 </w:t>
            </w:r>
            <w:r w:rsidRPr="00AB22F3">
              <w:rPr>
                <w:rFonts w:asciiTheme="minorHAnsi" w:hAnsiTheme="minorHAnsi" w:cstheme="minorHAnsi"/>
                <w:sz w:val="22"/>
                <w:szCs w:val="22"/>
              </w:rPr>
              <w:t>months</w:t>
            </w:r>
          </w:p>
        </w:tc>
        <w:tc>
          <w:tcPr>
            <w:tcW w:w="1337" w:type="dxa"/>
            <w:tcBorders>
              <w:bottom w:val="single" w:sz="4" w:space="0" w:color="FFFFFF" w:themeColor="background1"/>
            </w:tcBorders>
          </w:tcPr>
          <w:p w14:paraId="1C3C1BB7" w14:textId="631FFC1A" w:rsidR="00E8506E" w:rsidRPr="00AB22F3" w:rsidRDefault="00E8506E" w:rsidP="00E8506E">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B22F3">
              <w:rPr>
                <w:rFonts w:asciiTheme="minorHAnsi" w:hAnsiTheme="minorHAnsi" w:cstheme="minorHAnsi"/>
                <w:color w:val="auto"/>
                <w:sz w:val="22"/>
                <w:szCs w:val="22"/>
              </w:rPr>
              <w:t xml:space="preserve">79 </w:t>
            </w:r>
            <w:r w:rsidRPr="00AB22F3">
              <w:rPr>
                <w:rFonts w:asciiTheme="minorHAnsi" w:hAnsiTheme="minorHAnsi" w:cstheme="minorHAnsi"/>
                <w:sz w:val="22"/>
                <w:szCs w:val="22"/>
              </w:rPr>
              <w:t>months</w:t>
            </w:r>
          </w:p>
        </w:tc>
      </w:tr>
      <w:tr w:rsidR="00E8506E" w14:paraId="4F4231BD" w14:textId="77777777" w:rsidTr="00220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FFFFFF" w:themeColor="background1"/>
              <w:bottom w:val="single" w:sz="4" w:space="0" w:color="FFFFFF" w:themeColor="background1"/>
            </w:tcBorders>
            <w:shd w:val="clear" w:color="auto" w:fill="3F4A75"/>
          </w:tcPr>
          <w:p w14:paraId="4F953FC8" w14:textId="59084F57" w:rsidR="00E8506E" w:rsidRPr="00AB22F3" w:rsidRDefault="00E8506E" w:rsidP="00E8506E">
            <w:pPr>
              <w:spacing w:before="0"/>
              <w:rPr>
                <w:rFonts w:cstheme="minorHAnsi"/>
              </w:rPr>
            </w:pPr>
            <w:r w:rsidRPr="00AB22F3">
              <w:rPr>
                <w:rFonts w:asciiTheme="minorHAnsi" w:hAnsiTheme="minorHAnsi" w:cstheme="minorHAnsi"/>
                <w:b/>
                <w:bCs/>
                <w:color w:val="FFFFFF" w:themeColor="background1"/>
                <w:sz w:val="22"/>
                <w:szCs w:val="22"/>
              </w:rPr>
              <w:t>Extension (improvement)</w:t>
            </w:r>
          </w:p>
        </w:tc>
        <w:tc>
          <w:tcPr>
            <w:tcW w:w="1276" w:type="dxa"/>
            <w:tcBorders>
              <w:top w:val="single" w:sz="4" w:space="0" w:color="FFFFFF" w:themeColor="background1"/>
              <w:bottom w:val="single" w:sz="4" w:space="0" w:color="FFFFFF" w:themeColor="background1"/>
            </w:tcBorders>
            <w:shd w:val="clear" w:color="auto" w:fill="3F4A75"/>
          </w:tcPr>
          <w:p w14:paraId="2BBCBA71" w14:textId="2ED8AAC0" w:rsidR="00E8506E" w:rsidRPr="00AB22F3" w:rsidRDefault="00E8506E" w:rsidP="00E8506E">
            <w:pPr>
              <w:spacing w:before="0"/>
              <w:jc w:val="center"/>
              <w:cnfStyle w:val="000000010000" w:firstRow="0" w:lastRow="0" w:firstColumn="0" w:lastColumn="0" w:oddVBand="0" w:evenVBand="0" w:oddHBand="0" w:evenHBand="1" w:firstRowFirstColumn="0" w:firstRowLastColumn="0" w:lastRowFirstColumn="0" w:lastRowLastColumn="0"/>
              <w:rPr>
                <w:rFonts w:cstheme="minorHAnsi"/>
              </w:rPr>
            </w:pPr>
            <w:r w:rsidRPr="00AB22F3">
              <w:rPr>
                <w:rFonts w:asciiTheme="minorHAnsi" w:hAnsiTheme="minorHAnsi" w:cstheme="minorHAnsi"/>
                <w:b/>
                <w:bCs/>
                <w:color w:val="FFFFFF" w:themeColor="background1"/>
                <w:sz w:val="22"/>
                <w:szCs w:val="22"/>
              </w:rPr>
              <w:t>Min</w:t>
            </w:r>
          </w:p>
        </w:tc>
        <w:tc>
          <w:tcPr>
            <w:tcW w:w="1276" w:type="dxa"/>
            <w:tcBorders>
              <w:top w:val="single" w:sz="4" w:space="0" w:color="FFFFFF" w:themeColor="background1"/>
              <w:bottom w:val="single" w:sz="4" w:space="0" w:color="FFFFFF" w:themeColor="background1"/>
            </w:tcBorders>
            <w:shd w:val="clear" w:color="auto" w:fill="3F4A75"/>
          </w:tcPr>
          <w:p w14:paraId="02495247" w14:textId="491B620A" w:rsidR="00E8506E" w:rsidRPr="00AB22F3" w:rsidRDefault="00E8506E" w:rsidP="00E8506E">
            <w:pPr>
              <w:spacing w:before="0"/>
              <w:jc w:val="center"/>
              <w:cnfStyle w:val="000000010000" w:firstRow="0" w:lastRow="0" w:firstColumn="0" w:lastColumn="0" w:oddVBand="0" w:evenVBand="0" w:oddHBand="0" w:evenHBand="1" w:firstRowFirstColumn="0" w:firstRowLastColumn="0" w:lastRowFirstColumn="0" w:lastRowLastColumn="0"/>
              <w:rPr>
                <w:rFonts w:cstheme="minorHAnsi"/>
              </w:rPr>
            </w:pPr>
            <w:r w:rsidRPr="00AB22F3">
              <w:rPr>
                <w:rFonts w:asciiTheme="minorHAnsi" w:hAnsiTheme="minorHAnsi" w:cstheme="minorHAnsi"/>
                <w:b/>
                <w:bCs/>
                <w:color w:val="FFFFFF" w:themeColor="background1"/>
                <w:sz w:val="22"/>
                <w:szCs w:val="22"/>
              </w:rPr>
              <w:t>Median</w:t>
            </w:r>
          </w:p>
        </w:tc>
        <w:tc>
          <w:tcPr>
            <w:tcW w:w="1276" w:type="dxa"/>
            <w:tcBorders>
              <w:top w:val="single" w:sz="4" w:space="0" w:color="FFFFFF" w:themeColor="background1"/>
              <w:bottom w:val="single" w:sz="4" w:space="0" w:color="FFFFFF" w:themeColor="background1"/>
            </w:tcBorders>
            <w:shd w:val="clear" w:color="auto" w:fill="3F4A75"/>
          </w:tcPr>
          <w:p w14:paraId="51E61D5F" w14:textId="3A8CEEC1" w:rsidR="00E8506E" w:rsidRPr="00AB22F3" w:rsidRDefault="00E8506E" w:rsidP="00E8506E">
            <w:pPr>
              <w:spacing w:before="0"/>
              <w:jc w:val="center"/>
              <w:cnfStyle w:val="000000010000" w:firstRow="0" w:lastRow="0" w:firstColumn="0" w:lastColumn="0" w:oddVBand="0" w:evenVBand="0" w:oddHBand="0" w:evenHBand="1" w:firstRowFirstColumn="0" w:firstRowLastColumn="0" w:lastRowFirstColumn="0" w:lastRowLastColumn="0"/>
              <w:rPr>
                <w:rFonts w:cstheme="minorHAnsi"/>
              </w:rPr>
            </w:pPr>
            <w:r w:rsidRPr="00AB22F3">
              <w:rPr>
                <w:rFonts w:asciiTheme="minorHAnsi" w:hAnsiTheme="minorHAnsi" w:cstheme="minorHAnsi"/>
                <w:b/>
                <w:bCs/>
                <w:color w:val="FFFFFF" w:themeColor="background1"/>
                <w:sz w:val="22"/>
                <w:szCs w:val="22"/>
              </w:rPr>
              <w:t>Average</w:t>
            </w:r>
          </w:p>
        </w:tc>
        <w:tc>
          <w:tcPr>
            <w:tcW w:w="1337" w:type="dxa"/>
            <w:tcBorders>
              <w:top w:val="single" w:sz="4" w:space="0" w:color="FFFFFF" w:themeColor="background1"/>
              <w:bottom w:val="single" w:sz="4" w:space="0" w:color="FFFFFF" w:themeColor="background1"/>
            </w:tcBorders>
            <w:shd w:val="clear" w:color="auto" w:fill="3F4A75"/>
          </w:tcPr>
          <w:p w14:paraId="0401AC78" w14:textId="4BB022C7" w:rsidR="00E8506E" w:rsidRPr="00AB22F3" w:rsidRDefault="00E8506E" w:rsidP="00E8506E">
            <w:pPr>
              <w:spacing w:before="0"/>
              <w:jc w:val="center"/>
              <w:cnfStyle w:val="000000010000" w:firstRow="0" w:lastRow="0" w:firstColumn="0" w:lastColumn="0" w:oddVBand="0" w:evenVBand="0" w:oddHBand="0" w:evenHBand="1" w:firstRowFirstColumn="0" w:firstRowLastColumn="0" w:lastRowFirstColumn="0" w:lastRowLastColumn="0"/>
              <w:rPr>
                <w:rFonts w:cstheme="minorHAnsi"/>
              </w:rPr>
            </w:pPr>
            <w:r w:rsidRPr="00AB22F3">
              <w:rPr>
                <w:rFonts w:asciiTheme="minorHAnsi" w:hAnsiTheme="minorHAnsi" w:cstheme="minorHAnsi"/>
                <w:b/>
                <w:bCs/>
                <w:color w:val="FFFFFF" w:themeColor="background1"/>
                <w:sz w:val="22"/>
                <w:szCs w:val="22"/>
              </w:rPr>
              <w:t>Max</w:t>
            </w:r>
          </w:p>
        </w:tc>
      </w:tr>
      <w:tr w:rsidR="00E8506E" w14:paraId="04939A39" w14:textId="77777777" w:rsidTr="00220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FFFFFF" w:themeColor="background1"/>
            </w:tcBorders>
          </w:tcPr>
          <w:p w14:paraId="4B46EF53" w14:textId="2D90344E" w:rsidR="00E8506E" w:rsidRPr="00AB22F3" w:rsidRDefault="00E8506E" w:rsidP="00E8506E">
            <w:pPr>
              <w:spacing w:before="0"/>
              <w:rPr>
                <w:rFonts w:cstheme="minorHAnsi"/>
                <w:b/>
                <w:bCs/>
                <w:color w:val="FFFFFF" w:themeColor="background1"/>
              </w:rPr>
            </w:pPr>
            <w:r w:rsidRPr="00AB22F3">
              <w:rPr>
                <w:rFonts w:asciiTheme="minorHAnsi" w:hAnsiTheme="minorHAnsi" w:cstheme="minorHAnsi"/>
                <w:sz w:val="22"/>
                <w:szCs w:val="22"/>
              </w:rPr>
              <w:t>PBAC submission to PBS list</w:t>
            </w:r>
            <w:r>
              <w:rPr>
                <w:rFonts w:asciiTheme="minorHAnsi" w:hAnsiTheme="minorHAnsi" w:cstheme="minorHAnsi"/>
                <w:sz w:val="22"/>
                <w:szCs w:val="22"/>
              </w:rPr>
              <w:t>ing</w:t>
            </w:r>
          </w:p>
        </w:tc>
        <w:tc>
          <w:tcPr>
            <w:tcW w:w="1276" w:type="dxa"/>
            <w:tcBorders>
              <w:top w:val="single" w:sz="4" w:space="0" w:color="FFFFFF" w:themeColor="background1"/>
            </w:tcBorders>
          </w:tcPr>
          <w:p w14:paraId="7B582DFF" w14:textId="103365A3" w:rsidR="00E8506E" w:rsidRPr="00AB22F3" w:rsidRDefault="00E8506E" w:rsidP="00E8506E">
            <w:pPr>
              <w:spacing w:before="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asciiTheme="minorHAnsi" w:hAnsiTheme="minorHAnsi" w:cstheme="minorHAnsi"/>
                <w:sz w:val="22"/>
                <w:szCs w:val="22"/>
              </w:rPr>
              <w:t>9 months</w:t>
            </w:r>
          </w:p>
        </w:tc>
        <w:tc>
          <w:tcPr>
            <w:tcW w:w="1276" w:type="dxa"/>
            <w:tcBorders>
              <w:top w:val="single" w:sz="4" w:space="0" w:color="FFFFFF" w:themeColor="background1"/>
            </w:tcBorders>
          </w:tcPr>
          <w:p w14:paraId="00E99098" w14:textId="1ECED4C4" w:rsidR="00E8506E" w:rsidRPr="00AB22F3" w:rsidRDefault="00E8506E" w:rsidP="00E8506E">
            <w:pPr>
              <w:spacing w:before="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asciiTheme="minorHAnsi" w:hAnsiTheme="minorHAnsi" w:cstheme="minorHAnsi"/>
                <w:sz w:val="22"/>
                <w:szCs w:val="22"/>
              </w:rPr>
              <w:t>14 months</w:t>
            </w:r>
          </w:p>
        </w:tc>
        <w:tc>
          <w:tcPr>
            <w:tcW w:w="1276" w:type="dxa"/>
            <w:tcBorders>
              <w:top w:val="single" w:sz="4" w:space="0" w:color="FFFFFF" w:themeColor="background1"/>
            </w:tcBorders>
          </w:tcPr>
          <w:p w14:paraId="1B5CBB90" w14:textId="7FC51FAB" w:rsidR="00E8506E" w:rsidRPr="00AB22F3" w:rsidRDefault="00E8506E" w:rsidP="00E8506E">
            <w:pPr>
              <w:spacing w:before="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asciiTheme="minorHAnsi" w:hAnsiTheme="minorHAnsi" w:cstheme="minorHAnsi"/>
                <w:sz w:val="22"/>
                <w:szCs w:val="22"/>
              </w:rPr>
              <w:t>17 months</w:t>
            </w:r>
          </w:p>
        </w:tc>
        <w:tc>
          <w:tcPr>
            <w:tcW w:w="1337" w:type="dxa"/>
            <w:tcBorders>
              <w:top w:val="single" w:sz="4" w:space="0" w:color="FFFFFF" w:themeColor="background1"/>
            </w:tcBorders>
          </w:tcPr>
          <w:p w14:paraId="4F943A76" w14:textId="485CD35D" w:rsidR="00E8506E" w:rsidRPr="00AB22F3" w:rsidRDefault="00E8506E" w:rsidP="00E8506E">
            <w:pPr>
              <w:spacing w:before="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Pr>
                <w:rFonts w:asciiTheme="minorHAnsi" w:hAnsiTheme="minorHAnsi" w:cstheme="minorHAnsi"/>
                <w:sz w:val="22"/>
                <w:szCs w:val="22"/>
              </w:rPr>
              <w:t>45 months</w:t>
            </w:r>
          </w:p>
        </w:tc>
      </w:tr>
      <w:tr w:rsidR="00E8506E" w14:paraId="065B8B0F" w14:textId="77777777" w:rsidTr="00E850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1C405058" w14:textId="42E6F874" w:rsidR="00E8506E" w:rsidRPr="00AB22F3" w:rsidRDefault="00FF1574" w:rsidP="00E8506E">
            <w:pPr>
              <w:spacing w:before="0"/>
              <w:rPr>
                <w:rFonts w:cstheme="minorHAnsi"/>
              </w:rPr>
            </w:pPr>
            <w:r>
              <w:rPr>
                <w:rFonts w:asciiTheme="minorHAnsi" w:hAnsiTheme="minorHAnsi" w:cstheme="minorHAnsi"/>
                <w:sz w:val="22"/>
                <w:szCs w:val="22"/>
              </w:rPr>
              <w:t>ARTG</w:t>
            </w:r>
            <w:r w:rsidR="00E8506E" w:rsidRPr="00AB22F3">
              <w:rPr>
                <w:rFonts w:asciiTheme="minorHAnsi" w:hAnsiTheme="minorHAnsi" w:cstheme="minorHAnsi"/>
                <w:sz w:val="22"/>
                <w:szCs w:val="22"/>
              </w:rPr>
              <w:t xml:space="preserve"> registration to PBS list</w:t>
            </w:r>
            <w:r w:rsidR="00E8506E">
              <w:rPr>
                <w:rFonts w:asciiTheme="minorHAnsi" w:hAnsiTheme="minorHAnsi" w:cstheme="minorHAnsi"/>
                <w:sz w:val="22"/>
                <w:szCs w:val="22"/>
              </w:rPr>
              <w:t>ing</w:t>
            </w:r>
          </w:p>
        </w:tc>
        <w:tc>
          <w:tcPr>
            <w:tcW w:w="1276" w:type="dxa"/>
          </w:tcPr>
          <w:p w14:paraId="6A56EFD8" w14:textId="727366F6" w:rsidR="00E8506E" w:rsidRDefault="00E8506E" w:rsidP="00E8506E">
            <w:pPr>
              <w:spacing w:before="0"/>
              <w:jc w:val="right"/>
              <w:cnfStyle w:val="000000010000" w:firstRow="0" w:lastRow="0" w:firstColumn="0" w:lastColumn="0" w:oddVBand="0" w:evenVBand="0" w:oddHBand="0" w:evenHBand="1" w:firstRowFirstColumn="0" w:firstRowLastColumn="0" w:lastRowFirstColumn="0" w:lastRowLastColumn="0"/>
              <w:rPr>
                <w:rFonts w:cstheme="minorHAnsi"/>
              </w:rPr>
            </w:pPr>
            <w:r w:rsidRPr="00AB22F3">
              <w:rPr>
                <w:rFonts w:asciiTheme="minorHAnsi" w:hAnsiTheme="minorHAnsi" w:cstheme="minorHAnsi"/>
                <w:color w:val="auto"/>
                <w:sz w:val="22"/>
                <w:szCs w:val="22"/>
              </w:rPr>
              <w:t>2 months</w:t>
            </w:r>
          </w:p>
        </w:tc>
        <w:tc>
          <w:tcPr>
            <w:tcW w:w="1276" w:type="dxa"/>
          </w:tcPr>
          <w:p w14:paraId="243C344C" w14:textId="5041E773" w:rsidR="00E8506E" w:rsidRDefault="00E8506E" w:rsidP="00E8506E">
            <w:pPr>
              <w:spacing w:before="0"/>
              <w:jc w:val="right"/>
              <w:cnfStyle w:val="000000010000" w:firstRow="0" w:lastRow="0" w:firstColumn="0" w:lastColumn="0" w:oddVBand="0" w:evenVBand="0" w:oddHBand="0" w:evenHBand="1" w:firstRowFirstColumn="0" w:firstRowLastColumn="0" w:lastRowFirstColumn="0" w:lastRowLastColumn="0"/>
              <w:rPr>
                <w:rFonts w:cstheme="minorHAnsi"/>
              </w:rPr>
            </w:pPr>
            <w:r w:rsidRPr="00AB22F3">
              <w:rPr>
                <w:rFonts w:asciiTheme="minorHAnsi" w:hAnsiTheme="minorHAnsi" w:cstheme="minorHAnsi"/>
                <w:color w:val="auto"/>
                <w:sz w:val="22"/>
                <w:szCs w:val="22"/>
              </w:rPr>
              <w:t>16 months</w:t>
            </w:r>
          </w:p>
        </w:tc>
        <w:tc>
          <w:tcPr>
            <w:tcW w:w="1276" w:type="dxa"/>
          </w:tcPr>
          <w:p w14:paraId="34AF00A1" w14:textId="0B59045E" w:rsidR="00E8506E" w:rsidRDefault="00E8506E" w:rsidP="00E8506E">
            <w:pPr>
              <w:spacing w:before="0"/>
              <w:jc w:val="right"/>
              <w:cnfStyle w:val="000000010000" w:firstRow="0" w:lastRow="0" w:firstColumn="0" w:lastColumn="0" w:oddVBand="0" w:evenVBand="0" w:oddHBand="0" w:evenHBand="1" w:firstRowFirstColumn="0" w:firstRowLastColumn="0" w:lastRowFirstColumn="0" w:lastRowLastColumn="0"/>
              <w:rPr>
                <w:rFonts w:cstheme="minorHAnsi"/>
              </w:rPr>
            </w:pPr>
            <w:r w:rsidRPr="00AB22F3">
              <w:rPr>
                <w:rFonts w:asciiTheme="minorHAnsi" w:hAnsiTheme="minorHAnsi" w:cstheme="minorHAnsi"/>
                <w:color w:val="auto"/>
                <w:sz w:val="22"/>
                <w:szCs w:val="22"/>
              </w:rPr>
              <w:t>24 months</w:t>
            </w:r>
          </w:p>
        </w:tc>
        <w:tc>
          <w:tcPr>
            <w:tcW w:w="1337" w:type="dxa"/>
          </w:tcPr>
          <w:p w14:paraId="38B80318" w14:textId="7109389A" w:rsidR="00E8506E" w:rsidRDefault="00E8506E" w:rsidP="00E8506E">
            <w:pPr>
              <w:spacing w:before="0"/>
              <w:jc w:val="right"/>
              <w:cnfStyle w:val="000000010000" w:firstRow="0" w:lastRow="0" w:firstColumn="0" w:lastColumn="0" w:oddVBand="0" w:evenVBand="0" w:oddHBand="0" w:evenHBand="1" w:firstRowFirstColumn="0" w:firstRowLastColumn="0" w:lastRowFirstColumn="0" w:lastRowLastColumn="0"/>
              <w:rPr>
                <w:rFonts w:cstheme="minorHAnsi"/>
              </w:rPr>
            </w:pPr>
            <w:r w:rsidRPr="00AB22F3">
              <w:rPr>
                <w:rFonts w:asciiTheme="minorHAnsi" w:hAnsiTheme="minorHAnsi" w:cstheme="minorHAnsi"/>
                <w:color w:val="auto"/>
                <w:sz w:val="22"/>
                <w:szCs w:val="22"/>
              </w:rPr>
              <w:t>128 months</w:t>
            </w:r>
          </w:p>
        </w:tc>
      </w:tr>
    </w:tbl>
    <w:p w14:paraId="2DBF4434" w14:textId="6D8AE0E6" w:rsidR="00E108C0" w:rsidRDefault="00AB22F3" w:rsidP="00E108C0">
      <w:pPr>
        <w:pStyle w:val="Heading3"/>
      </w:pPr>
      <w:r>
        <w:t>Breakdown of timing of different steps in the PBS listing process</w:t>
      </w:r>
    </w:p>
    <w:p w14:paraId="4C139AB9" w14:textId="1C3A3787" w:rsidR="00000A87" w:rsidRDefault="00224ECC" w:rsidP="00000A87">
      <w:r>
        <w:t xml:space="preserve">There are a number of decisions and steps that need to be undertaken by different entities </w:t>
      </w:r>
      <w:r w:rsidR="009B18FB">
        <w:t>between first submission for regulatory approval globally and PBS listing</w:t>
      </w:r>
      <w:r>
        <w:t xml:space="preserve"> that determine how </w:t>
      </w:r>
      <w:r w:rsidR="009B18FB">
        <w:t xml:space="preserve">long it takes for a medicine to be listed on the PBS. </w:t>
      </w:r>
      <w:r w:rsidR="00000A87">
        <w:t>The timeframe</w:t>
      </w:r>
      <w:r w:rsidR="00663B1C">
        <w:t xml:space="preserve"> to PBS listing</w:t>
      </w:r>
      <w:r w:rsidR="00000A87">
        <w:t xml:space="preserve"> from the </w:t>
      </w:r>
      <w:r w:rsidR="001853B7">
        <w:t>launch</w:t>
      </w:r>
      <w:r w:rsidR="00000A87">
        <w:t xml:space="preserve"> of a new medicine can be broken down into </w:t>
      </w:r>
      <w:r>
        <w:t>the following broad stages:</w:t>
      </w:r>
    </w:p>
    <w:p w14:paraId="069F9BEC" w14:textId="55E06B78" w:rsidR="00E375DA" w:rsidRDefault="00D74250" w:rsidP="00651D54">
      <w:pPr>
        <w:pStyle w:val="ListParagraph"/>
        <w:numPr>
          <w:ilvl w:val="0"/>
          <w:numId w:val="28"/>
        </w:numPr>
        <w:spacing w:line="256" w:lineRule="auto"/>
      </w:pPr>
      <w:r>
        <w:t>T</w:t>
      </w:r>
      <w:r w:rsidR="00E375DA">
        <w:t>he time it takes a company to apply for TGA registration after first applying for market authorisation internationally</w:t>
      </w:r>
    </w:p>
    <w:p w14:paraId="342D4FCD" w14:textId="63B62F81" w:rsidR="00E375DA" w:rsidRDefault="00D74250" w:rsidP="00651D54">
      <w:pPr>
        <w:pStyle w:val="ListParagraph"/>
        <w:numPr>
          <w:ilvl w:val="0"/>
          <w:numId w:val="28"/>
        </w:numPr>
        <w:spacing w:line="256" w:lineRule="auto"/>
      </w:pPr>
      <w:r>
        <w:t>T</w:t>
      </w:r>
      <w:r w:rsidR="00E375DA">
        <w:t xml:space="preserve">he time it takes a company </w:t>
      </w:r>
      <w:r w:rsidR="00BD7F76">
        <w:t xml:space="preserve">to </w:t>
      </w:r>
      <w:r w:rsidR="00A17189">
        <w:t>make a PBAC submission</w:t>
      </w:r>
      <w:r w:rsidR="00E375DA">
        <w:t xml:space="preserve"> after it has applied for TGA registration</w:t>
      </w:r>
    </w:p>
    <w:p w14:paraId="495B459C" w14:textId="5EDA6F30" w:rsidR="00E375DA" w:rsidRDefault="00D74250" w:rsidP="00651D54">
      <w:pPr>
        <w:pStyle w:val="ListParagraph"/>
        <w:numPr>
          <w:ilvl w:val="0"/>
          <w:numId w:val="28"/>
        </w:numPr>
        <w:spacing w:line="256" w:lineRule="auto"/>
      </w:pPr>
      <w:r>
        <w:t>T</w:t>
      </w:r>
      <w:r w:rsidR="00E375DA">
        <w:t>he time between PBAC submission and the earliest date a pricing offer (PO) can be made (including resubmissions) after a positive recommendation</w:t>
      </w:r>
    </w:p>
    <w:p w14:paraId="4D8A5F37" w14:textId="3B30852A" w:rsidR="00E375DA" w:rsidRDefault="00D74250" w:rsidP="00651D54">
      <w:pPr>
        <w:pStyle w:val="ListParagraph"/>
        <w:numPr>
          <w:ilvl w:val="0"/>
          <w:numId w:val="28"/>
        </w:numPr>
        <w:spacing w:line="256" w:lineRule="auto"/>
      </w:pPr>
      <w:r>
        <w:t>T</w:t>
      </w:r>
      <w:r w:rsidR="00E375DA">
        <w:t xml:space="preserve">he time it takes a company to make a PO after </w:t>
      </w:r>
      <w:r w:rsidR="00400457">
        <w:t>the earliest date a PO can be made</w:t>
      </w:r>
    </w:p>
    <w:p w14:paraId="326E424F" w14:textId="5212494A" w:rsidR="00663B1C" w:rsidRDefault="00D74250" w:rsidP="00651D54">
      <w:pPr>
        <w:pStyle w:val="ListParagraph"/>
        <w:numPr>
          <w:ilvl w:val="0"/>
          <w:numId w:val="28"/>
        </w:numPr>
      </w:pPr>
      <w:r>
        <w:t>T</w:t>
      </w:r>
      <w:r w:rsidR="00663B1C">
        <w:t>he time it takes</w:t>
      </w:r>
      <w:r w:rsidR="006D5564">
        <w:t xml:space="preserve"> for the </w:t>
      </w:r>
      <w:r w:rsidR="00BD2AE3">
        <w:t xml:space="preserve">Australian </w:t>
      </w:r>
      <w:r w:rsidR="006D5564">
        <w:t>Government and the company to</w:t>
      </w:r>
      <w:r w:rsidR="00663B1C">
        <w:t xml:space="preserve"> agree the </w:t>
      </w:r>
      <w:r w:rsidR="006D5564">
        <w:t>price</w:t>
      </w:r>
      <w:r w:rsidR="00663B1C">
        <w:t xml:space="preserve"> and </w:t>
      </w:r>
      <w:r w:rsidR="00A82D57">
        <w:t xml:space="preserve">other terms of </w:t>
      </w:r>
      <w:r w:rsidR="00663B1C">
        <w:t>implementation</w:t>
      </w:r>
      <w:r w:rsidR="006D5564">
        <w:t xml:space="preserve"> such as special pricing arrangements, access criteria and sharing of risk</w:t>
      </w:r>
    </w:p>
    <w:p w14:paraId="13FE7A34" w14:textId="1395FADC" w:rsidR="00663B1C" w:rsidRDefault="00D74250" w:rsidP="00651D54">
      <w:pPr>
        <w:pStyle w:val="ListParagraph"/>
        <w:numPr>
          <w:ilvl w:val="0"/>
          <w:numId w:val="28"/>
        </w:numPr>
      </w:pPr>
      <w:r>
        <w:t>T</w:t>
      </w:r>
      <w:r w:rsidR="00663B1C">
        <w:t>he time it takes for the Government to implement the PBS listing after</w:t>
      </w:r>
      <w:r w:rsidR="00A82D57">
        <w:t xml:space="preserve"> terms of</w:t>
      </w:r>
      <w:r w:rsidR="00663B1C">
        <w:t xml:space="preserve"> implementation have been agreed. </w:t>
      </w:r>
    </w:p>
    <w:p w14:paraId="30B00756" w14:textId="10FEEE46" w:rsidR="00020A34" w:rsidRPr="00020A34" w:rsidRDefault="00A82D57" w:rsidP="00CF4D02">
      <w:pPr>
        <w:sectPr w:rsidR="00020A34" w:rsidRPr="00020A34" w:rsidSect="00812781">
          <w:pgSz w:w="11906" w:h="16838"/>
          <w:pgMar w:top="1440" w:right="1440" w:bottom="1276" w:left="1440" w:header="708" w:footer="530" w:gutter="0"/>
          <w:cols w:space="708"/>
          <w:docGrid w:linePitch="360"/>
        </w:sectPr>
      </w:pPr>
      <w:r>
        <w:lastRenderedPageBreak/>
        <w:t xml:space="preserve">Progression </w:t>
      </w:r>
      <w:r w:rsidR="00FF1574">
        <w:t>between stages</w:t>
      </w:r>
      <w:r w:rsidR="00735ACE">
        <w:t xml:space="preserve"> requires either a decision from a company, </w:t>
      </w:r>
      <w:r w:rsidR="00735ACE" w:rsidDel="0032577B">
        <w:t xml:space="preserve">the </w:t>
      </w:r>
      <w:r w:rsidR="00735ACE">
        <w:t>PBAC or Government, or for different entities in the listing process to come to agreement about aspects of the listing.</w:t>
      </w:r>
      <w:r w:rsidR="00E375DA">
        <w:t xml:space="preserve"> </w:t>
      </w:r>
      <w:r w:rsidR="00CF1B8A">
        <w:t xml:space="preserve">The time taken for new medicines (new molecular entities) and new indications for existing medicines </w:t>
      </w:r>
      <w:r w:rsidR="000A5271">
        <w:t xml:space="preserve">that </w:t>
      </w:r>
      <w:r w:rsidR="00CF1B8A">
        <w:t>listed on the PBS in 2021 and 2022 to progress through each stage vari</w:t>
      </w:r>
      <w:r w:rsidR="000A5271">
        <w:t xml:space="preserve">es </w:t>
      </w:r>
      <w:r w:rsidR="00CF1B8A">
        <w:t>significantly</w:t>
      </w:r>
      <w:r w:rsidR="000A5271">
        <w:t xml:space="preserve"> (see </w:t>
      </w:r>
      <w:r w:rsidR="003022AC">
        <w:t>Figure</w:t>
      </w:r>
      <w:r w:rsidR="000A5271">
        <w:t xml:space="preserve">s </w:t>
      </w:r>
      <w:r w:rsidR="00D10BA7">
        <w:t>8 and 9 below</w:t>
      </w:r>
      <w:r w:rsidR="000A5271">
        <w:t xml:space="preserve">). </w:t>
      </w:r>
      <w:r w:rsidR="00220038">
        <w:t>Furt</w:t>
      </w:r>
      <w:r w:rsidR="007E0E2E">
        <w:t>h</w:t>
      </w:r>
      <w:r w:rsidR="00220038">
        <w:t>er e</w:t>
      </w:r>
      <w:r w:rsidR="00D10BA7">
        <w:t>xample timelines</w:t>
      </w:r>
      <w:r w:rsidR="007E0E2E">
        <w:t>,</w:t>
      </w:r>
      <w:r w:rsidR="00FF1574">
        <w:t xml:space="preserve"> including</w:t>
      </w:r>
      <w:r w:rsidR="002C6536">
        <w:t xml:space="preserve"> </w:t>
      </w:r>
      <w:r w:rsidR="00152D1D">
        <w:t xml:space="preserve">an </w:t>
      </w:r>
      <w:r w:rsidR="002C6536">
        <w:t>overview of</w:t>
      </w:r>
      <w:r w:rsidR="00FF1574">
        <w:t xml:space="preserve"> reasons why </w:t>
      </w:r>
      <w:r w:rsidR="00FF1574" w:rsidDel="00152D1D">
        <w:t xml:space="preserve">the </w:t>
      </w:r>
      <w:r w:rsidR="00FF1574">
        <w:t>PBAC did not recommend listing</w:t>
      </w:r>
      <w:r w:rsidR="002C6536">
        <w:t xml:space="preserve"> at particular meetings</w:t>
      </w:r>
      <w:r w:rsidR="009C0048">
        <w:t>,</w:t>
      </w:r>
      <w:r w:rsidR="00D10BA7">
        <w:t xml:space="preserve"> </w:t>
      </w:r>
      <w:r w:rsidR="00220038">
        <w:t xml:space="preserve">are </w:t>
      </w:r>
      <w:r w:rsidR="00D10BA7">
        <w:t xml:space="preserve">set out </w:t>
      </w:r>
      <w:r w:rsidR="00220038">
        <w:t xml:space="preserve">at </w:t>
      </w:r>
      <w:r w:rsidR="00354222">
        <w:t>A</w:t>
      </w:r>
      <w:r w:rsidR="00220038">
        <w:t>ppendix 12.</w:t>
      </w:r>
    </w:p>
    <w:p w14:paraId="3AA0D6FD" w14:textId="14EE9938" w:rsidR="000B4872" w:rsidRDefault="003022AC" w:rsidP="000B4872">
      <w:pPr>
        <w:pStyle w:val="Heading4"/>
      </w:pPr>
      <w:r>
        <w:lastRenderedPageBreak/>
        <w:t>Figure</w:t>
      </w:r>
      <w:r w:rsidR="000B4872">
        <w:t xml:space="preserve"> 8. Median and example timeframes for new drug listings on the PBS in 2021 and 2022</w:t>
      </w:r>
    </w:p>
    <w:p w14:paraId="7BEC7E54" w14:textId="424C0982" w:rsidR="006A39B9" w:rsidRDefault="00993522" w:rsidP="000B3883">
      <w:r w:rsidRPr="00993522">
        <w:rPr>
          <w:noProof/>
        </w:rPr>
        <w:drawing>
          <wp:inline distT="0" distB="0" distL="0" distR="0" wp14:anchorId="6D10B943" wp14:editId="2955E622">
            <wp:extent cx="9076189" cy="5915025"/>
            <wp:effectExtent l="0" t="0" r="0" b="0"/>
            <wp:docPr id="15" name="Picture 15" descr="Figure 7 – Pathway to PBS lis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7 – Pathway to PBS listing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76189" cy="5915025"/>
                    </a:xfrm>
                    <a:prstGeom prst="rect">
                      <a:avLst/>
                    </a:prstGeom>
                    <a:solidFill>
                      <a:schemeClr val="bg1"/>
                    </a:solidFill>
                    <a:ln>
                      <a:noFill/>
                    </a:ln>
                  </pic:spPr>
                </pic:pic>
              </a:graphicData>
            </a:graphic>
          </wp:inline>
        </w:drawing>
      </w:r>
    </w:p>
    <w:p w14:paraId="047CEC1D" w14:textId="5390032C" w:rsidR="00203F95" w:rsidRDefault="003022AC" w:rsidP="00203F95">
      <w:pPr>
        <w:pStyle w:val="Heading4"/>
      </w:pPr>
      <w:r>
        <w:lastRenderedPageBreak/>
        <w:t>Figure</w:t>
      </w:r>
      <w:r w:rsidR="00203F95">
        <w:t xml:space="preserve"> </w:t>
      </w:r>
      <w:r w:rsidR="00D10BA7">
        <w:t>9</w:t>
      </w:r>
      <w:r w:rsidR="00203F95">
        <w:t>. Minimum, median and maximum timeframes for new drug and indication listings on the PBS - 2021 and 2022</w:t>
      </w:r>
    </w:p>
    <w:p w14:paraId="6D795B40" w14:textId="2A78DF56" w:rsidR="004A782E" w:rsidRDefault="009E5A50" w:rsidP="000B3883">
      <w:pPr>
        <w:rPr>
          <w:sz w:val="20"/>
          <w:szCs w:val="20"/>
        </w:rPr>
      </w:pPr>
      <w:r w:rsidRPr="009E5A50">
        <w:rPr>
          <w:noProof/>
        </w:rPr>
        <w:drawing>
          <wp:inline distT="0" distB="0" distL="0" distR="0" wp14:anchorId="368DE982" wp14:editId="06AB4A45">
            <wp:extent cx="9144000" cy="5175789"/>
            <wp:effectExtent l="0" t="0" r="0" b="0"/>
            <wp:docPr id="5" name="Picture 5" descr="Figure 9. Minimum, median and maximum timeframes for new drug and indication listings on the PBS - 2021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9. Minimum, median and maximum timeframes for new drug and indication listings on the PBS - 2021 and 20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59139" cy="5184358"/>
                    </a:xfrm>
                    <a:prstGeom prst="rect">
                      <a:avLst/>
                    </a:prstGeom>
                    <a:solidFill>
                      <a:schemeClr val="bg1"/>
                    </a:solidFill>
                    <a:ln>
                      <a:noFill/>
                    </a:ln>
                  </pic:spPr>
                </pic:pic>
              </a:graphicData>
            </a:graphic>
          </wp:inline>
        </w:drawing>
      </w:r>
    </w:p>
    <w:p w14:paraId="20C0F830" w14:textId="17E752A9" w:rsidR="00203F95" w:rsidRDefault="00980B59" w:rsidP="00EA3768">
      <w:pPr>
        <w:spacing w:before="0"/>
      </w:pPr>
      <w:r>
        <w:rPr>
          <w:sz w:val="20"/>
          <w:szCs w:val="20"/>
        </w:rPr>
        <w:t xml:space="preserve">Example drugs that had timeframes close to the min, median and max timeframes are included for listings where the PBAC was satisfied </w:t>
      </w:r>
      <w:r w:rsidR="009E5A50">
        <w:rPr>
          <w:sz w:val="20"/>
          <w:szCs w:val="20"/>
        </w:rPr>
        <w:t>they represented</w:t>
      </w:r>
      <w:r>
        <w:rPr>
          <w:sz w:val="20"/>
          <w:szCs w:val="20"/>
        </w:rPr>
        <w:t xml:space="preserve"> an improvement over alternative therapies. </w:t>
      </w:r>
      <w:r w:rsidR="00E00174" w:rsidRPr="00E00174">
        <w:rPr>
          <w:sz w:val="20"/>
          <w:szCs w:val="20"/>
        </w:rPr>
        <w:t>PO = pricing offer; &lt;= = less than or equal to</w:t>
      </w:r>
      <w:r>
        <w:rPr>
          <w:sz w:val="20"/>
          <w:szCs w:val="20"/>
        </w:rPr>
        <w:t>;</w:t>
      </w:r>
      <w:r w:rsidR="00E00174" w:rsidRPr="00E00174">
        <w:rPr>
          <w:sz w:val="20"/>
          <w:szCs w:val="20"/>
        </w:rPr>
        <w:t xml:space="preserve"> GIST = gastrointestinal stromal tumour; NC = </w:t>
      </w:r>
      <w:r w:rsidR="00E00174">
        <w:rPr>
          <w:sz w:val="20"/>
          <w:szCs w:val="20"/>
        </w:rPr>
        <w:t>s</w:t>
      </w:r>
      <w:r w:rsidR="00E00174" w:rsidRPr="00E00174">
        <w:rPr>
          <w:sz w:val="20"/>
          <w:szCs w:val="20"/>
        </w:rPr>
        <w:t xml:space="preserve">olid tumours harbouring neurotrophic receptor tyrosine kinase (NTRK) gene fusions; IGF = insulin-like growth factor 1; Dravet = Dravet syndrome; </w:t>
      </w:r>
      <w:r w:rsidR="00E00174">
        <w:rPr>
          <w:sz w:val="20"/>
          <w:szCs w:val="20"/>
        </w:rPr>
        <w:t>IMCD</w:t>
      </w:r>
      <w:r w:rsidR="00E00174" w:rsidRPr="00E00174">
        <w:rPr>
          <w:sz w:val="20"/>
          <w:szCs w:val="20"/>
        </w:rPr>
        <w:t xml:space="preserve"> = </w:t>
      </w:r>
      <w:r w:rsidR="00E00174">
        <w:rPr>
          <w:sz w:val="20"/>
          <w:szCs w:val="20"/>
        </w:rPr>
        <w:t>i</w:t>
      </w:r>
      <w:r w:rsidR="00E00174" w:rsidRPr="00E00174">
        <w:rPr>
          <w:sz w:val="20"/>
          <w:szCs w:val="20"/>
        </w:rPr>
        <w:t xml:space="preserve">diopathic multicentric Castleman’s disease; PAH = pulmonary </w:t>
      </w:r>
      <w:r w:rsidR="00E00174">
        <w:rPr>
          <w:sz w:val="20"/>
          <w:szCs w:val="20"/>
        </w:rPr>
        <w:t>arterial hypertension; MM = multiple myeloma; SCC = squamous cell carcinoma; PC = prostate cancer; CF = cystic fibrosis</w:t>
      </w:r>
      <w:r w:rsidR="00EA3768">
        <w:rPr>
          <w:sz w:val="20"/>
          <w:szCs w:val="20"/>
        </w:rPr>
        <w:t xml:space="preserve">; CC = colorectal cancer; SMA </w:t>
      </w:r>
      <w:proofErr w:type="spellStart"/>
      <w:r w:rsidR="00EA3768">
        <w:rPr>
          <w:sz w:val="20"/>
          <w:szCs w:val="20"/>
        </w:rPr>
        <w:t>ext</w:t>
      </w:r>
      <w:proofErr w:type="spellEnd"/>
      <w:r w:rsidR="00EA3768">
        <w:rPr>
          <w:sz w:val="20"/>
          <w:szCs w:val="20"/>
        </w:rPr>
        <w:t xml:space="preserve"> = extension to spinal muscular atrophy listing; PPB = prevention of preterm birth; </w:t>
      </w:r>
      <w:proofErr w:type="spellStart"/>
      <w:r w:rsidR="00EA3768">
        <w:rPr>
          <w:sz w:val="20"/>
          <w:szCs w:val="20"/>
        </w:rPr>
        <w:t>cGVHD</w:t>
      </w:r>
      <w:proofErr w:type="spellEnd"/>
      <w:r w:rsidR="00EA3768">
        <w:rPr>
          <w:sz w:val="20"/>
          <w:szCs w:val="20"/>
        </w:rPr>
        <w:t xml:space="preserve"> = chronic graft versus host disease; MPKU = maternal phenylketonuria; HF = heart failure; NSCLC = non-small cell lung cancer; GI = gastrointestinal. </w:t>
      </w:r>
    </w:p>
    <w:p w14:paraId="12D1C39A" w14:textId="4724BB29" w:rsidR="007A11CC" w:rsidRDefault="007A11CC" w:rsidP="007A11CC">
      <w:pPr>
        <w:sectPr w:rsidR="007A11CC" w:rsidSect="0066085A">
          <w:pgSz w:w="16838" w:h="11906" w:orient="landscape"/>
          <w:pgMar w:top="720" w:right="720" w:bottom="720" w:left="720" w:header="708" w:footer="530" w:gutter="0"/>
          <w:cols w:space="708"/>
          <w:docGrid w:linePitch="360"/>
        </w:sectPr>
      </w:pPr>
    </w:p>
    <w:p w14:paraId="691954C2" w14:textId="77777777" w:rsidR="00220038" w:rsidRDefault="00220038" w:rsidP="00220038">
      <w:pPr>
        <w:pStyle w:val="Heading4"/>
      </w:pPr>
      <w:r>
        <w:lastRenderedPageBreak/>
        <w:t>Minimum timeframes</w:t>
      </w:r>
    </w:p>
    <w:p w14:paraId="40727CEC" w14:textId="77777777" w:rsidR="00AF0DD4" w:rsidRDefault="00220038" w:rsidP="00220038">
      <w:r>
        <w:t xml:space="preserve">The minimum timeframe from PBAC submission to the earliest date for a pricing offer was 5 months, while the minimum timeframe for all other stages was one month or less. There were: </w:t>
      </w:r>
    </w:p>
    <w:p w14:paraId="5ACE8AD9" w14:textId="134D1279" w:rsidR="00AF0DD4" w:rsidRDefault="00220038" w:rsidP="00651D54">
      <w:pPr>
        <w:pStyle w:val="ListParagraph"/>
        <w:numPr>
          <w:ilvl w:val="0"/>
          <w:numId w:val="46"/>
        </w:numPr>
      </w:pPr>
      <w:r>
        <w:t>examples of companies submitting to the TGA before or in the same month they submit</w:t>
      </w:r>
      <w:r w:rsidR="00B922D9">
        <w:t>ted</w:t>
      </w:r>
      <w:r>
        <w:t xml:space="preserve"> to the FDA or EMA</w:t>
      </w:r>
    </w:p>
    <w:p w14:paraId="308AAB6F" w14:textId="4400C33E" w:rsidR="006749EB" w:rsidRDefault="00220038" w:rsidP="00651D54">
      <w:pPr>
        <w:pStyle w:val="ListParagraph"/>
        <w:numPr>
          <w:ilvl w:val="0"/>
          <w:numId w:val="46"/>
        </w:numPr>
      </w:pPr>
      <w:r>
        <w:t xml:space="preserve">examples of companies submitting to </w:t>
      </w:r>
      <w:r w:rsidDel="00AF0DD4">
        <w:t xml:space="preserve">the </w:t>
      </w:r>
      <w:r>
        <w:t>PBAC in the same month as they submit to the TGA</w:t>
      </w:r>
      <w:r w:rsidR="00AF0DD4">
        <w:t>, and</w:t>
      </w:r>
      <w:r>
        <w:t xml:space="preserve"> </w:t>
      </w:r>
    </w:p>
    <w:p w14:paraId="0BD5884C" w14:textId="1791CC63" w:rsidR="00220038" w:rsidRDefault="00220038" w:rsidP="00651D54">
      <w:pPr>
        <w:pStyle w:val="ListParagraph"/>
        <w:numPr>
          <w:ilvl w:val="0"/>
          <w:numId w:val="46"/>
        </w:numPr>
      </w:pPr>
      <w:r>
        <w:t xml:space="preserve">and examples of new medicines being recommended the first time they </w:t>
      </w:r>
      <w:r w:rsidR="00DF4E1A">
        <w:t>we</w:t>
      </w:r>
      <w:r>
        <w:t xml:space="preserve">re considered by </w:t>
      </w:r>
      <w:r w:rsidDel="00DF4E1A">
        <w:t xml:space="preserve">the </w:t>
      </w:r>
      <w:r>
        <w:t xml:space="preserve">PBAC. </w:t>
      </w:r>
    </w:p>
    <w:p w14:paraId="19DA7BB7" w14:textId="118A38CF" w:rsidR="00220038" w:rsidRDefault="00220038" w:rsidP="00220038">
      <w:r>
        <w:t xml:space="preserve">There were no examples of medicines being recommended first time where </w:t>
      </w:r>
      <w:r w:rsidDel="00094079">
        <w:t xml:space="preserve">the </w:t>
      </w:r>
      <w:r>
        <w:t>PBAC ultimately accepted they provide</w:t>
      </w:r>
      <w:r w:rsidR="00450509">
        <w:t>d</w:t>
      </w:r>
      <w:r>
        <w:t xml:space="preserve"> an improvement in efficacy or reduction in toxicity over alternatives (</w:t>
      </w:r>
      <w:r w:rsidR="003022AC">
        <w:t>Figure</w:t>
      </w:r>
      <w:r>
        <w:t xml:space="preserve">s </w:t>
      </w:r>
      <w:r w:rsidR="004D0726">
        <w:t>8 and 9</w:t>
      </w:r>
      <w:r>
        <w:t xml:space="preserve">). For these medicines, a resubmission or subsequent consideration by </w:t>
      </w:r>
      <w:r w:rsidDel="00A74C05">
        <w:t xml:space="preserve">the </w:t>
      </w:r>
      <w:r>
        <w:t xml:space="preserve">PBAC was always required.    </w:t>
      </w:r>
    </w:p>
    <w:p w14:paraId="6DC8E67B" w14:textId="77777777" w:rsidR="00220038" w:rsidRDefault="00220038" w:rsidP="00220038">
      <w:pPr>
        <w:pStyle w:val="Heading4"/>
      </w:pPr>
      <w:r>
        <w:t>Median timeframes</w:t>
      </w:r>
    </w:p>
    <w:p w14:paraId="4F3EF611" w14:textId="0C700800" w:rsidR="00220038" w:rsidRDefault="00220038" w:rsidP="00220038">
      <w:r>
        <w:t>In the majority of circumstances, medicines took longer than the minimum possible timeframe to progress through each stage. However</w:t>
      </w:r>
      <w:r w:rsidR="00023BC6">
        <w:t>,</w:t>
      </w:r>
      <w:r>
        <w:t xml:space="preserve"> some stages are significantly more variable than others. The stages up to the earliest possible date to make a pricing offer are highly variable, while the stages after the earliest date a pricing offer are les</w:t>
      </w:r>
      <w:r w:rsidR="00604073">
        <w:t>s</w:t>
      </w:r>
      <w:r>
        <w:t xml:space="preserve"> variable and range from </w:t>
      </w:r>
      <w:r w:rsidR="00604073">
        <w:t xml:space="preserve">one </w:t>
      </w:r>
      <w:r>
        <w:t>to 4 months in the majority of circumstances (</w:t>
      </w:r>
      <w:r w:rsidR="003022AC">
        <w:t>Figure</w:t>
      </w:r>
      <w:r>
        <w:t xml:space="preserve">s </w:t>
      </w:r>
      <w:r w:rsidR="008534E1">
        <w:t>8</w:t>
      </w:r>
      <w:r>
        <w:t xml:space="preserve"> </w:t>
      </w:r>
      <w:r w:rsidR="008534E1">
        <w:t>and</w:t>
      </w:r>
      <w:r>
        <w:t xml:space="preserve"> </w:t>
      </w:r>
      <w:r w:rsidR="008534E1">
        <w:t>9</w:t>
      </w:r>
      <w:r>
        <w:t>).</w:t>
      </w:r>
    </w:p>
    <w:p w14:paraId="3D72CDE8" w14:textId="77777777" w:rsidR="00220038" w:rsidRDefault="00220038" w:rsidP="00220038">
      <w:pPr>
        <w:pStyle w:val="Heading4"/>
      </w:pPr>
      <w:r>
        <w:t>Maximum timeframes</w:t>
      </w:r>
    </w:p>
    <w:p w14:paraId="63A5A941" w14:textId="473EB1EC" w:rsidR="00265FD2" w:rsidRDefault="00220038" w:rsidP="00220038">
      <w:r>
        <w:t xml:space="preserve">For each timeframe, there were examples of medicines taking several years to move through stages prior to the earliest date a pricing offer </w:t>
      </w:r>
      <w:r w:rsidR="00C93564">
        <w:t xml:space="preserve">could </w:t>
      </w:r>
      <w:r>
        <w:t>be made. After this stage, outliers took several months to move through particular stages.</w:t>
      </w:r>
    </w:p>
    <w:p w14:paraId="2AA4E429" w14:textId="09AD97CF" w:rsidR="0066085A" w:rsidRDefault="00E108C0" w:rsidP="00E108C0">
      <w:pPr>
        <w:pStyle w:val="Heading3"/>
      </w:pPr>
      <w:r>
        <w:t>Other reporting on PBS medicine listing</w:t>
      </w:r>
      <w:r w:rsidR="00AF3C8B">
        <w:t xml:space="preserve"> timeframes</w:t>
      </w:r>
    </w:p>
    <w:p w14:paraId="0B05539D" w14:textId="5741EF99" w:rsidR="00E108C0" w:rsidRDefault="00E108C0" w:rsidP="00E108C0">
      <w:bookmarkStart w:id="21" w:name="_Hlk138833940"/>
      <w:r>
        <w:t>Different entities report on timeframes to listing of a medicine on the PBS</w:t>
      </w:r>
      <w:r w:rsidR="007F3584">
        <w:t xml:space="preserve"> as set out in tabl</w:t>
      </w:r>
      <w:r w:rsidR="00ED7578">
        <w:t>es 9 to 12</w:t>
      </w:r>
      <w:r>
        <w:t xml:space="preserve">. These include: </w:t>
      </w:r>
    </w:p>
    <w:p w14:paraId="1AEC462D" w14:textId="6A5F8CDB" w:rsidR="00E108C0" w:rsidRDefault="00391C3F" w:rsidP="00651D54">
      <w:pPr>
        <w:pStyle w:val="ListParagraph"/>
        <w:numPr>
          <w:ilvl w:val="0"/>
          <w:numId w:val="27"/>
        </w:numPr>
      </w:pPr>
      <w:r>
        <w:t>t</w:t>
      </w:r>
      <w:r w:rsidR="00E108C0">
        <w:t xml:space="preserve">he </w:t>
      </w:r>
      <w:r w:rsidR="003854FE">
        <w:t>C</w:t>
      </w:r>
      <w:r w:rsidR="00E108C0">
        <w:t xml:space="preserve">entre for </w:t>
      </w:r>
      <w:r w:rsidR="003854FE">
        <w:t>I</w:t>
      </w:r>
      <w:r w:rsidR="00E108C0">
        <w:t xml:space="preserve">nnovation and </w:t>
      </w:r>
      <w:r w:rsidR="003854FE">
        <w:t>R</w:t>
      </w:r>
      <w:r w:rsidR="00E108C0">
        <w:t xml:space="preserve">egulatory </w:t>
      </w:r>
      <w:r w:rsidR="003854FE">
        <w:t>S</w:t>
      </w:r>
      <w:r w:rsidR="00E108C0">
        <w:t>cience</w:t>
      </w:r>
      <w:r w:rsidR="00AF3C8B">
        <w:t xml:space="preserve"> (CIRS)</w:t>
      </w:r>
      <w:r w:rsidR="00E108C0">
        <w:t xml:space="preserve"> – HTA dock</w:t>
      </w:r>
      <w:r w:rsidR="007F3584">
        <w:rPr>
          <w:rStyle w:val="FootnoteReference"/>
        </w:rPr>
        <w:footnoteReference w:id="36"/>
      </w:r>
    </w:p>
    <w:p w14:paraId="503B3363" w14:textId="5683A99A" w:rsidR="00E108C0" w:rsidRDefault="00E108C0" w:rsidP="00651D54">
      <w:pPr>
        <w:pStyle w:val="ListParagraph"/>
        <w:numPr>
          <w:ilvl w:val="0"/>
          <w:numId w:val="27"/>
        </w:numPr>
      </w:pPr>
      <w:r>
        <w:t xml:space="preserve">Medicines Australia – </w:t>
      </w:r>
      <w:r w:rsidR="00C14EBC">
        <w:t>M</w:t>
      </w:r>
      <w:r>
        <w:t xml:space="preserve">edicines </w:t>
      </w:r>
      <w:r w:rsidR="00C14EBC">
        <w:t>M</w:t>
      </w:r>
      <w:r>
        <w:t>atter report</w:t>
      </w:r>
      <w:r w:rsidR="007F3584">
        <w:rPr>
          <w:rStyle w:val="FootnoteReference"/>
        </w:rPr>
        <w:footnoteReference w:id="37"/>
      </w:r>
    </w:p>
    <w:p w14:paraId="2C2AFC28" w14:textId="1A5E6A68" w:rsidR="00DF6307" w:rsidRDefault="00354222" w:rsidP="00651D54">
      <w:pPr>
        <w:pStyle w:val="ListParagraph"/>
        <w:numPr>
          <w:ilvl w:val="0"/>
          <w:numId w:val="27"/>
        </w:numPr>
      </w:pPr>
      <w:r>
        <w:t>Pharmaceutical Research and Manufacturers of America (</w:t>
      </w:r>
      <w:r w:rsidR="00DF6307">
        <w:t>PhRMA</w:t>
      </w:r>
      <w:r>
        <w:t>)</w:t>
      </w:r>
      <w:r w:rsidR="00DF6307">
        <w:t xml:space="preserve"> Global Access to New Medicines Report</w:t>
      </w:r>
      <w:r w:rsidR="00DF6307">
        <w:rPr>
          <w:rStyle w:val="FootnoteReference"/>
        </w:rPr>
        <w:footnoteReference w:id="38"/>
      </w:r>
    </w:p>
    <w:p w14:paraId="1B56C296" w14:textId="7B224165" w:rsidR="00E108C0" w:rsidRDefault="00E108C0" w:rsidP="00651D54">
      <w:pPr>
        <w:pStyle w:val="ListParagraph"/>
        <w:numPr>
          <w:ilvl w:val="0"/>
          <w:numId w:val="27"/>
        </w:numPr>
      </w:pPr>
      <w:r>
        <w:t>Metrics for PBS process improvements</w:t>
      </w:r>
      <w:r w:rsidR="007F3584">
        <w:t>.</w:t>
      </w:r>
      <w:r w:rsidR="007F3584">
        <w:rPr>
          <w:rStyle w:val="FootnoteReference"/>
        </w:rPr>
        <w:footnoteReference w:id="39"/>
      </w:r>
    </w:p>
    <w:p w14:paraId="52A3CE24" w14:textId="6A6539C8" w:rsidR="00852BDB" w:rsidRDefault="00D10BA7" w:rsidP="00AF3C8B">
      <w:r>
        <w:t>T</w:t>
      </w:r>
      <w:r w:rsidR="00AF3C8B">
        <w:t>he CIRS HTA Dock</w:t>
      </w:r>
      <w:r>
        <w:t>,</w:t>
      </w:r>
      <w:r w:rsidR="00AF3C8B">
        <w:t xml:space="preserve"> </w:t>
      </w:r>
      <w:r w:rsidR="000262E2">
        <w:t xml:space="preserve">Medicines Australia </w:t>
      </w:r>
      <w:r w:rsidR="00AF3C8B">
        <w:t>Medicines Matter</w:t>
      </w:r>
      <w:r>
        <w:t xml:space="preserve">, </w:t>
      </w:r>
      <w:r w:rsidR="00F31DBF">
        <w:t xml:space="preserve">and </w:t>
      </w:r>
      <w:r>
        <w:t xml:space="preserve">PhRMA Global Access to </w:t>
      </w:r>
      <w:r w:rsidR="00F31DBF">
        <w:t xml:space="preserve">New </w:t>
      </w:r>
      <w:r>
        <w:t>Medicines</w:t>
      </w:r>
      <w:r w:rsidR="00AF3C8B">
        <w:t xml:space="preserve"> reports compare timeframes</w:t>
      </w:r>
      <w:r>
        <w:t xml:space="preserve"> for subsidy through the</w:t>
      </w:r>
      <w:r w:rsidR="00AF3C8B">
        <w:t xml:space="preserve"> PBS with </w:t>
      </w:r>
      <w:r w:rsidR="00AF0200">
        <w:t>other jurisdictions internationally. The timeframes as</w:t>
      </w:r>
      <w:r w:rsidR="00AF0200" w:rsidDel="007E2FFA">
        <w:t xml:space="preserve"> </w:t>
      </w:r>
      <w:r w:rsidR="00AF0200">
        <w:t>reported in these publications are set out below.</w:t>
      </w:r>
      <w:r w:rsidR="00852BDB">
        <w:t xml:space="preserve"> </w:t>
      </w:r>
    </w:p>
    <w:p w14:paraId="32DFEAAF" w14:textId="3324DE4A" w:rsidR="000B3883" w:rsidRDefault="00852BDB" w:rsidP="00354222">
      <w:pPr>
        <w:rPr>
          <w:rFonts w:eastAsiaTheme="majorEastAsia" w:cstheme="majorBidi"/>
          <w:iCs/>
          <w:color w:val="1F3864" w:themeColor="accent1" w:themeShade="80"/>
        </w:rPr>
      </w:pPr>
      <w:r>
        <w:lastRenderedPageBreak/>
        <w:t xml:space="preserve">Different publications use years, months or days to report on timeframes. All timeframes have been converted to months rounded to the nearest month. </w:t>
      </w:r>
      <w:r w:rsidR="000B3883">
        <w:br w:type="page"/>
      </w:r>
    </w:p>
    <w:p w14:paraId="23C2CD40" w14:textId="057D4C2C" w:rsidR="00930EE0" w:rsidRDefault="00930EE0" w:rsidP="007A0020">
      <w:pPr>
        <w:pStyle w:val="Heading4"/>
      </w:pPr>
      <w:r>
        <w:lastRenderedPageBreak/>
        <w:t xml:space="preserve">Table 9. </w:t>
      </w:r>
      <w:r w:rsidR="000B3883">
        <w:t>CIRS – HTA dock</w:t>
      </w:r>
    </w:p>
    <w:tbl>
      <w:tblPr>
        <w:tblStyle w:val="DepartmentofHealthtable"/>
        <w:tblW w:w="0" w:type="auto"/>
        <w:tblLook w:val="04A0" w:firstRow="1" w:lastRow="0" w:firstColumn="1" w:lastColumn="0" w:noHBand="0" w:noVBand="1"/>
      </w:tblPr>
      <w:tblGrid>
        <w:gridCol w:w="2488"/>
        <w:gridCol w:w="2543"/>
        <w:gridCol w:w="1987"/>
        <w:gridCol w:w="1998"/>
      </w:tblGrid>
      <w:tr w:rsidR="00930EE0" w:rsidRPr="003D4AD4" w14:paraId="49C9046C" w14:textId="77777777" w:rsidTr="000B3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tcPr>
          <w:p w14:paraId="20402A13" w14:textId="77777777" w:rsidR="00930EE0" w:rsidRPr="003D4AD4" w:rsidRDefault="00930EE0" w:rsidP="000812A7">
            <w:pPr>
              <w:spacing w:before="0"/>
              <w:rPr>
                <w:rFonts w:asciiTheme="minorHAnsi" w:hAnsiTheme="minorHAnsi" w:cstheme="minorHAnsi"/>
                <w:b/>
                <w:bCs/>
                <w:color w:val="FFFFFF" w:themeColor="background1"/>
                <w:szCs w:val="22"/>
              </w:rPr>
            </w:pPr>
            <w:r w:rsidRPr="003D4AD4">
              <w:rPr>
                <w:rFonts w:asciiTheme="minorHAnsi" w:hAnsiTheme="minorHAnsi" w:cstheme="minorHAnsi"/>
                <w:b/>
                <w:bCs/>
                <w:color w:val="FFFFFF" w:themeColor="background1"/>
                <w:szCs w:val="22"/>
              </w:rPr>
              <w:t>Study details</w:t>
            </w:r>
          </w:p>
        </w:tc>
        <w:tc>
          <w:tcPr>
            <w:tcW w:w="6662" w:type="dxa"/>
            <w:gridSpan w:val="3"/>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tcPr>
          <w:p w14:paraId="589AE827" w14:textId="77777777" w:rsidR="00930EE0" w:rsidRPr="003D4AD4" w:rsidRDefault="00930EE0" w:rsidP="000812A7">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Pr>
                <w:rFonts w:asciiTheme="minorHAnsi" w:hAnsiTheme="minorHAnsi" w:cstheme="minorHAnsi"/>
                <w:b/>
                <w:bCs/>
                <w:szCs w:val="22"/>
              </w:rPr>
              <w:t>Parameters</w:t>
            </w:r>
          </w:p>
        </w:tc>
      </w:tr>
      <w:tr w:rsidR="00930EE0" w:rsidRPr="003D4AD4" w14:paraId="3C8139D3" w14:textId="77777777" w:rsidTr="000B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3FBB7E6C" w14:textId="77777777" w:rsidR="00930EE0" w:rsidRPr="003D4AD4" w:rsidRDefault="00930EE0" w:rsidP="000812A7">
            <w:pPr>
              <w:spacing w:before="0"/>
              <w:rPr>
                <w:rFonts w:asciiTheme="minorHAnsi" w:hAnsiTheme="minorHAnsi" w:cstheme="minorHAnsi"/>
                <w:sz w:val="22"/>
                <w:szCs w:val="22"/>
              </w:rPr>
            </w:pPr>
            <w:r>
              <w:rPr>
                <w:rFonts w:asciiTheme="minorHAnsi" w:hAnsiTheme="minorHAnsi" w:cstheme="minorHAnsi"/>
                <w:sz w:val="22"/>
                <w:szCs w:val="22"/>
              </w:rPr>
              <w:t>Objective</w:t>
            </w:r>
          </w:p>
        </w:tc>
        <w:tc>
          <w:tcPr>
            <w:tcW w:w="6662" w:type="dxa"/>
            <w:gridSpan w:val="3"/>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16EDD140" w14:textId="4B27BA57" w:rsidR="00930EE0" w:rsidRPr="003D4AD4" w:rsidRDefault="00930EE0"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854FE">
              <w:rPr>
                <w:rFonts w:asciiTheme="minorHAnsi" w:hAnsiTheme="minorHAnsi" w:cstheme="minorHAnsi"/>
                <w:sz w:val="22"/>
                <w:szCs w:val="22"/>
              </w:rPr>
              <w:t>To determine regulatory and reimbursement timeframes in different countries and their determinants.</w:t>
            </w:r>
          </w:p>
        </w:tc>
      </w:tr>
      <w:tr w:rsidR="00930EE0" w14:paraId="7AE367E8" w14:textId="77777777" w:rsidTr="000B3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494289F" w14:textId="03D49397" w:rsidR="00930EE0" w:rsidRDefault="0006084C" w:rsidP="000812A7">
            <w:pPr>
              <w:spacing w:before="0"/>
              <w:rPr>
                <w:rFonts w:cstheme="minorHAnsi"/>
              </w:rPr>
            </w:pPr>
            <w:r>
              <w:rPr>
                <w:rFonts w:asciiTheme="minorHAnsi" w:hAnsiTheme="minorHAnsi" w:cstheme="minorHAnsi"/>
                <w:sz w:val="22"/>
                <w:szCs w:val="22"/>
              </w:rPr>
              <w:t>Listing type</w:t>
            </w:r>
          </w:p>
        </w:tc>
        <w:tc>
          <w:tcPr>
            <w:tcW w:w="6662" w:type="dxa"/>
            <w:gridSpan w:val="3"/>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2E734DB" w14:textId="323652F0" w:rsidR="00930EE0" w:rsidRDefault="00930EE0" w:rsidP="000812A7">
            <w:pPr>
              <w:spacing w:before="0"/>
              <w:cnfStyle w:val="000000010000" w:firstRow="0" w:lastRow="0" w:firstColumn="0" w:lastColumn="0" w:oddVBand="0" w:evenVBand="0" w:oddHBand="0" w:evenHBand="1" w:firstRowFirstColumn="0" w:firstRowLastColumn="0" w:lastRowFirstColumn="0" w:lastRowLastColumn="0"/>
              <w:rPr>
                <w:rFonts w:cstheme="minorHAnsi"/>
              </w:rPr>
            </w:pPr>
            <w:r>
              <w:rPr>
                <w:rFonts w:asciiTheme="minorHAnsi" w:hAnsiTheme="minorHAnsi" w:cstheme="minorHAnsi"/>
                <w:sz w:val="22"/>
                <w:szCs w:val="22"/>
              </w:rPr>
              <w:t>New active substances</w:t>
            </w:r>
            <w:r w:rsidR="00B07F51">
              <w:rPr>
                <w:rFonts w:asciiTheme="minorHAnsi" w:hAnsiTheme="minorHAnsi" w:cstheme="minorHAnsi"/>
                <w:sz w:val="22"/>
                <w:szCs w:val="22"/>
              </w:rPr>
              <w:t xml:space="preserve"> </w:t>
            </w:r>
            <w:r w:rsidR="006B3284">
              <w:rPr>
                <w:rFonts w:asciiTheme="minorHAnsi" w:hAnsiTheme="minorHAnsi" w:cstheme="minorHAnsi"/>
                <w:sz w:val="22"/>
                <w:szCs w:val="22"/>
              </w:rPr>
              <w:t>launched in relevant jurisdictions</w:t>
            </w:r>
          </w:p>
        </w:tc>
      </w:tr>
      <w:tr w:rsidR="00930EE0" w:rsidRPr="003D4AD4" w14:paraId="37121609" w14:textId="77777777" w:rsidTr="000B38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11631E3" w14:textId="77777777" w:rsidR="00930EE0" w:rsidRPr="003D4AD4" w:rsidRDefault="00930EE0" w:rsidP="000812A7">
            <w:pPr>
              <w:spacing w:before="0"/>
              <w:rPr>
                <w:rFonts w:asciiTheme="minorHAnsi" w:hAnsiTheme="minorHAnsi" w:cstheme="minorHAnsi"/>
                <w:sz w:val="22"/>
                <w:szCs w:val="22"/>
              </w:rPr>
            </w:pPr>
            <w:r>
              <w:rPr>
                <w:rFonts w:asciiTheme="minorHAnsi" w:hAnsiTheme="minorHAnsi" w:cstheme="minorHAnsi"/>
                <w:sz w:val="22"/>
                <w:szCs w:val="22"/>
              </w:rPr>
              <w:t>Time period</w:t>
            </w:r>
          </w:p>
        </w:tc>
        <w:tc>
          <w:tcPr>
            <w:tcW w:w="6662" w:type="dxa"/>
            <w:gridSpan w:val="3"/>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B848C95" w14:textId="2D2F9CCC" w:rsidR="00930EE0" w:rsidRPr="003D4AD4" w:rsidRDefault="00893CE3"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2018</w:t>
            </w:r>
            <w:r w:rsidR="00904842">
              <w:rPr>
                <w:rFonts w:asciiTheme="minorHAnsi" w:hAnsiTheme="minorHAnsi" w:cstheme="minorHAnsi"/>
                <w:sz w:val="22"/>
                <w:szCs w:val="22"/>
              </w:rPr>
              <w:t>–</w:t>
            </w:r>
            <w:r>
              <w:rPr>
                <w:rFonts w:asciiTheme="minorHAnsi" w:hAnsiTheme="minorHAnsi" w:cstheme="minorHAnsi"/>
                <w:sz w:val="22"/>
                <w:szCs w:val="22"/>
              </w:rPr>
              <w:t>2022</w:t>
            </w:r>
          </w:p>
        </w:tc>
      </w:tr>
      <w:tr w:rsidR="00930EE0" w:rsidRPr="0089668F" w14:paraId="53CCE75C" w14:textId="77777777" w:rsidTr="000B3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D0CECE" w:themeColor="background2" w:themeShade="E6"/>
              <w:left w:val="single" w:sz="4" w:space="0" w:color="D0CECE" w:themeColor="background2" w:themeShade="E6"/>
              <w:bottom w:val="single" w:sz="4" w:space="0" w:color="FFFFFF" w:themeColor="background1"/>
              <w:right w:val="single" w:sz="4" w:space="0" w:color="D0CECE" w:themeColor="background2" w:themeShade="E6"/>
            </w:tcBorders>
          </w:tcPr>
          <w:p w14:paraId="4BE41768" w14:textId="77777777" w:rsidR="00930EE0" w:rsidRPr="0089668F" w:rsidRDefault="00930EE0" w:rsidP="000812A7">
            <w:pPr>
              <w:spacing w:before="0"/>
              <w:rPr>
                <w:rFonts w:asciiTheme="minorHAnsi" w:hAnsiTheme="minorHAnsi" w:cstheme="minorHAnsi"/>
                <w:sz w:val="22"/>
                <w:szCs w:val="22"/>
              </w:rPr>
            </w:pPr>
            <w:r w:rsidRPr="0089668F">
              <w:rPr>
                <w:rFonts w:asciiTheme="minorHAnsi" w:hAnsiTheme="minorHAnsi" w:cstheme="minorHAnsi"/>
                <w:sz w:val="22"/>
                <w:szCs w:val="22"/>
              </w:rPr>
              <w:t>Comparison countries</w:t>
            </w:r>
          </w:p>
        </w:tc>
        <w:tc>
          <w:tcPr>
            <w:tcW w:w="6662" w:type="dxa"/>
            <w:gridSpan w:val="3"/>
            <w:tcBorders>
              <w:top w:val="single" w:sz="4" w:space="0" w:color="D0CECE" w:themeColor="background2" w:themeShade="E6"/>
              <w:left w:val="single" w:sz="4" w:space="0" w:color="D0CECE" w:themeColor="background2" w:themeShade="E6"/>
              <w:bottom w:val="single" w:sz="4" w:space="0" w:color="FFFFFF" w:themeColor="background1"/>
              <w:right w:val="single" w:sz="4" w:space="0" w:color="D0CECE" w:themeColor="background2" w:themeShade="E6"/>
            </w:tcBorders>
          </w:tcPr>
          <w:p w14:paraId="0862DD35" w14:textId="0D37A09D" w:rsidR="00930EE0" w:rsidRPr="0089668F" w:rsidRDefault="006F49CD"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9 </w:t>
            </w:r>
            <w:r w:rsidR="007E281B">
              <w:rPr>
                <w:rFonts w:asciiTheme="minorHAnsi" w:hAnsiTheme="minorHAnsi" w:cstheme="minorHAnsi"/>
                <w:sz w:val="22"/>
                <w:szCs w:val="22"/>
              </w:rPr>
              <w:t xml:space="preserve">countries: </w:t>
            </w:r>
            <w:r w:rsidR="00930EE0">
              <w:rPr>
                <w:rFonts w:asciiTheme="minorHAnsi" w:hAnsiTheme="minorHAnsi" w:cstheme="minorHAnsi"/>
                <w:sz w:val="22"/>
                <w:szCs w:val="22"/>
              </w:rPr>
              <w:t>Australia, Canada, England, France,</w:t>
            </w:r>
            <w:r w:rsidR="00255D1D">
              <w:rPr>
                <w:rFonts w:asciiTheme="minorHAnsi" w:hAnsiTheme="minorHAnsi" w:cstheme="minorHAnsi"/>
                <w:sz w:val="22"/>
                <w:szCs w:val="22"/>
              </w:rPr>
              <w:t xml:space="preserve"> </w:t>
            </w:r>
            <w:r w:rsidR="00930EE0">
              <w:rPr>
                <w:rFonts w:asciiTheme="minorHAnsi" w:hAnsiTheme="minorHAnsi" w:cstheme="minorHAnsi"/>
                <w:sz w:val="22"/>
                <w:szCs w:val="22"/>
              </w:rPr>
              <w:t xml:space="preserve">Germany Poland, </w:t>
            </w:r>
            <w:r>
              <w:rPr>
                <w:rFonts w:asciiTheme="minorHAnsi" w:hAnsiTheme="minorHAnsi" w:cstheme="minorHAnsi"/>
                <w:sz w:val="22"/>
                <w:szCs w:val="22"/>
              </w:rPr>
              <w:t xml:space="preserve">Netherlands, </w:t>
            </w:r>
            <w:r w:rsidR="00930EE0">
              <w:rPr>
                <w:rFonts w:asciiTheme="minorHAnsi" w:hAnsiTheme="minorHAnsi" w:cstheme="minorHAnsi"/>
                <w:sz w:val="22"/>
                <w:szCs w:val="22"/>
              </w:rPr>
              <w:t>Scotland, Sweden</w:t>
            </w:r>
          </w:p>
        </w:tc>
      </w:tr>
      <w:tr w:rsidR="00930EE0" w:rsidRPr="0089668F" w14:paraId="76CF2813" w14:textId="77777777" w:rsidTr="000B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tcPr>
          <w:p w14:paraId="76D49B98" w14:textId="77777777" w:rsidR="00930EE0" w:rsidRPr="0089668F" w:rsidRDefault="00930EE0" w:rsidP="000812A7">
            <w:pPr>
              <w:spacing w:before="0"/>
              <w:rPr>
                <w:rFonts w:asciiTheme="minorHAnsi" w:hAnsiTheme="minorHAnsi" w:cstheme="minorHAnsi"/>
                <w:b/>
                <w:bCs/>
                <w:color w:val="FFFFFF" w:themeColor="background1"/>
                <w:sz w:val="22"/>
                <w:szCs w:val="22"/>
              </w:rPr>
            </w:pPr>
            <w:r w:rsidRPr="0089668F">
              <w:rPr>
                <w:rFonts w:asciiTheme="minorHAnsi" w:hAnsiTheme="minorHAnsi" w:cstheme="minorHAnsi"/>
                <w:b/>
                <w:bCs/>
                <w:color w:val="FFFFFF" w:themeColor="background1"/>
                <w:sz w:val="22"/>
                <w:szCs w:val="22"/>
              </w:rPr>
              <w:t>Measure</w:t>
            </w:r>
          </w:p>
        </w:tc>
        <w:tc>
          <w:tcPr>
            <w:tcW w:w="2595"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tcPr>
          <w:p w14:paraId="55621AFE" w14:textId="77777777" w:rsidR="00930EE0" w:rsidRPr="0089668F" w:rsidRDefault="00930EE0"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89668F">
              <w:rPr>
                <w:rFonts w:asciiTheme="minorHAnsi" w:hAnsiTheme="minorHAnsi" w:cstheme="minorHAnsi"/>
                <w:b/>
                <w:bCs/>
                <w:color w:val="FFFFFF" w:themeColor="background1"/>
                <w:sz w:val="22"/>
                <w:szCs w:val="22"/>
              </w:rPr>
              <w:t>Country</w:t>
            </w:r>
          </w:p>
        </w:tc>
        <w:tc>
          <w:tcPr>
            <w:tcW w:w="2033"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tcPr>
          <w:p w14:paraId="2FB25705" w14:textId="77777777" w:rsidR="00930EE0" w:rsidRPr="0089668F" w:rsidRDefault="00930EE0"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89668F">
              <w:rPr>
                <w:rFonts w:asciiTheme="minorHAnsi" w:hAnsiTheme="minorHAnsi" w:cstheme="minorHAnsi"/>
                <w:b/>
                <w:bCs/>
                <w:color w:val="FFFFFF" w:themeColor="background1"/>
                <w:sz w:val="22"/>
                <w:szCs w:val="22"/>
              </w:rPr>
              <w:t>Result</w:t>
            </w:r>
          </w:p>
        </w:tc>
        <w:tc>
          <w:tcPr>
            <w:tcW w:w="2034"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tcPr>
          <w:p w14:paraId="67C11F00" w14:textId="3B761408" w:rsidR="00930EE0" w:rsidRPr="0089668F" w:rsidRDefault="00930EE0"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89668F">
              <w:rPr>
                <w:rFonts w:asciiTheme="minorHAnsi" w:hAnsiTheme="minorHAnsi" w:cstheme="minorHAnsi"/>
                <w:b/>
                <w:bCs/>
                <w:color w:val="FFFFFF" w:themeColor="background1"/>
                <w:sz w:val="22"/>
                <w:szCs w:val="22"/>
              </w:rPr>
              <w:t>Rank</w:t>
            </w:r>
            <w:r w:rsidR="007E281B">
              <w:rPr>
                <w:rFonts w:asciiTheme="minorHAnsi" w:hAnsiTheme="minorHAnsi" w:cstheme="minorHAnsi"/>
                <w:b/>
                <w:bCs/>
                <w:color w:val="FFFFFF" w:themeColor="background1"/>
                <w:sz w:val="22"/>
                <w:szCs w:val="22"/>
              </w:rPr>
              <w:t xml:space="preserve"> (</w:t>
            </w:r>
            <w:r w:rsidR="00383037">
              <w:rPr>
                <w:rFonts w:asciiTheme="minorHAnsi" w:hAnsiTheme="minorHAnsi" w:cstheme="minorHAnsi"/>
                <w:b/>
                <w:bCs/>
                <w:color w:val="FFFFFF" w:themeColor="background1"/>
                <w:sz w:val="22"/>
                <w:szCs w:val="22"/>
              </w:rPr>
              <w:t>9</w:t>
            </w:r>
            <w:r w:rsidR="007E281B">
              <w:rPr>
                <w:rFonts w:asciiTheme="minorHAnsi" w:hAnsiTheme="minorHAnsi" w:cstheme="minorHAnsi"/>
                <w:b/>
                <w:bCs/>
                <w:color w:val="FFFFFF" w:themeColor="background1"/>
                <w:sz w:val="22"/>
                <w:szCs w:val="22"/>
              </w:rPr>
              <w:t xml:space="preserve"> countries)</w:t>
            </w:r>
          </w:p>
        </w:tc>
      </w:tr>
      <w:tr w:rsidR="007E281B" w:rsidRPr="003D4AD4" w14:paraId="19C151F7" w14:textId="77777777" w:rsidTr="000B3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04416262" w14:textId="493E4EC2" w:rsidR="007E281B" w:rsidRPr="003D4AD4" w:rsidRDefault="007E281B" w:rsidP="007E281B">
            <w:pPr>
              <w:spacing w:before="0"/>
              <w:rPr>
                <w:rFonts w:asciiTheme="minorHAnsi" w:hAnsiTheme="minorHAnsi" w:cstheme="minorHAnsi"/>
                <w:sz w:val="22"/>
                <w:szCs w:val="22"/>
              </w:rPr>
            </w:pPr>
            <w:r>
              <w:rPr>
                <w:rFonts w:asciiTheme="minorHAnsi" w:hAnsiTheme="minorHAnsi" w:cstheme="minorHAnsi"/>
                <w:sz w:val="22"/>
                <w:szCs w:val="22"/>
              </w:rPr>
              <w:t xml:space="preserve">Median regulatory approval to HTA recommendation </w:t>
            </w:r>
            <w:r w:rsidR="00FA71A0">
              <w:rPr>
                <w:rFonts w:asciiTheme="minorHAnsi" w:hAnsiTheme="minorHAnsi" w:cstheme="minorHAnsi"/>
                <w:sz w:val="22"/>
                <w:szCs w:val="22"/>
              </w:rPr>
              <w:t>2022</w:t>
            </w:r>
            <w:r w:rsidR="00FA71A0" w:rsidRPr="003D4AD4">
              <w:rPr>
                <w:rFonts w:asciiTheme="minorHAnsi" w:hAnsiTheme="minorHAnsi" w:cstheme="minorHAnsi"/>
                <w:sz w:val="22"/>
                <w:szCs w:val="22"/>
              </w:rPr>
              <w:t xml:space="preserve"> </w:t>
            </w:r>
            <w:r>
              <w:rPr>
                <w:rFonts w:asciiTheme="minorHAnsi" w:hAnsiTheme="minorHAnsi" w:cstheme="minorHAnsi"/>
                <w:sz w:val="22"/>
                <w:szCs w:val="22"/>
              </w:rPr>
              <w:t>(where recommended 1</w:t>
            </w:r>
            <w:r w:rsidRPr="00930EE0">
              <w:rPr>
                <w:rFonts w:asciiTheme="minorHAnsi" w:hAnsiTheme="minorHAnsi" w:cstheme="minorHAnsi"/>
                <w:sz w:val="22"/>
                <w:szCs w:val="22"/>
                <w:vertAlign w:val="superscript"/>
              </w:rPr>
              <w:t>st</w:t>
            </w:r>
            <w:r>
              <w:rPr>
                <w:rFonts w:asciiTheme="minorHAnsi" w:hAnsiTheme="minorHAnsi" w:cstheme="minorHAnsi"/>
                <w:sz w:val="22"/>
                <w:szCs w:val="22"/>
              </w:rPr>
              <w:t xml:space="preserve"> time)</w:t>
            </w:r>
          </w:p>
        </w:tc>
        <w:tc>
          <w:tcPr>
            <w:tcW w:w="2595"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11542D69" w14:textId="77777777" w:rsidR="007E281B" w:rsidRPr="0089668F" w:rsidRDefault="007E281B"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9668F">
              <w:rPr>
                <w:rFonts w:asciiTheme="minorHAnsi" w:hAnsiTheme="minorHAnsi" w:cstheme="minorHAnsi"/>
                <w:sz w:val="22"/>
                <w:szCs w:val="22"/>
              </w:rPr>
              <w:t xml:space="preserve">Australia </w:t>
            </w:r>
          </w:p>
          <w:p w14:paraId="655ED8F4" w14:textId="77777777" w:rsidR="007E281B" w:rsidRPr="00B43C6D" w:rsidRDefault="007E281B"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Canada</w:t>
            </w:r>
          </w:p>
          <w:p w14:paraId="6D5AC35B" w14:textId="4E057923" w:rsidR="007E281B" w:rsidRDefault="007E281B"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England</w:t>
            </w:r>
          </w:p>
          <w:p w14:paraId="02B5F13F" w14:textId="4D73C509" w:rsidR="007E281B" w:rsidRPr="0089668F" w:rsidRDefault="007E281B"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France</w:t>
            </w:r>
          </w:p>
          <w:p w14:paraId="12CEE94E" w14:textId="77777777" w:rsidR="007E281B" w:rsidRDefault="007E281B"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43C6D">
              <w:rPr>
                <w:rFonts w:asciiTheme="minorHAnsi" w:hAnsiTheme="minorHAnsi" w:cstheme="minorHAnsi"/>
                <w:sz w:val="22"/>
                <w:szCs w:val="22"/>
              </w:rPr>
              <w:t>Germany</w:t>
            </w:r>
          </w:p>
          <w:p w14:paraId="4FB747C4" w14:textId="77777777" w:rsidR="005C781B" w:rsidRDefault="001A55E0"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Netherlands</w:t>
            </w:r>
          </w:p>
          <w:p w14:paraId="2BAA81CF" w14:textId="77777777" w:rsidR="00383037" w:rsidRDefault="00383037"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Poland</w:t>
            </w:r>
          </w:p>
          <w:p w14:paraId="56F4F5B4" w14:textId="77777777" w:rsidR="00383037" w:rsidRDefault="00383037"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Scotland</w:t>
            </w:r>
          </w:p>
          <w:p w14:paraId="58833682" w14:textId="0AC060E5" w:rsidR="00383037" w:rsidRPr="007E281B" w:rsidRDefault="00383037"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Sweden</w:t>
            </w:r>
          </w:p>
        </w:tc>
        <w:tc>
          <w:tcPr>
            <w:tcW w:w="2033"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486FE495" w14:textId="007BD262" w:rsidR="007E281B" w:rsidRDefault="0066580D"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3 </w:t>
            </w:r>
            <w:r w:rsidR="00B07F51">
              <w:rPr>
                <w:rFonts w:asciiTheme="minorHAnsi" w:hAnsiTheme="minorHAnsi" w:cstheme="minorHAnsi"/>
                <w:sz w:val="22"/>
                <w:szCs w:val="22"/>
              </w:rPr>
              <w:t>months</w:t>
            </w:r>
          </w:p>
          <w:p w14:paraId="119F830B" w14:textId="2755B775" w:rsidR="007E281B" w:rsidRDefault="00AF1863"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8 </w:t>
            </w:r>
            <w:r w:rsidR="0069539A">
              <w:rPr>
                <w:rFonts w:asciiTheme="minorHAnsi" w:hAnsiTheme="minorHAnsi" w:cstheme="minorHAnsi"/>
                <w:sz w:val="22"/>
                <w:szCs w:val="22"/>
              </w:rPr>
              <w:t>months</w:t>
            </w:r>
          </w:p>
          <w:p w14:paraId="3441CE1F" w14:textId="1E6BBC01" w:rsidR="007E281B" w:rsidRDefault="00473876"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11 </w:t>
            </w:r>
            <w:r w:rsidR="0069539A">
              <w:rPr>
                <w:rFonts w:asciiTheme="minorHAnsi" w:hAnsiTheme="minorHAnsi" w:cstheme="minorHAnsi"/>
                <w:sz w:val="22"/>
                <w:szCs w:val="22"/>
              </w:rPr>
              <w:t>months</w:t>
            </w:r>
          </w:p>
          <w:p w14:paraId="6AABA0B5" w14:textId="3E8A4D36" w:rsidR="007E281B" w:rsidRDefault="0069539A"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 months</w:t>
            </w:r>
          </w:p>
          <w:p w14:paraId="59872D37" w14:textId="26182431" w:rsidR="007E281B" w:rsidRDefault="00A8779C"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6 </w:t>
            </w:r>
            <w:r w:rsidR="0069539A">
              <w:rPr>
                <w:rFonts w:asciiTheme="minorHAnsi" w:hAnsiTheme="minorHAnsi" w:cstheme="minorHAnsi"/>
                <w:sz w:val="22"/>
                <w:szCs w:val="22"/>
              </w:rPr>
              <w:t>months</w:t>
            </w:r>
          </w:p>
          <w:p w14:paraId="68489EC6" w14:textId="77777777" w:rsidR="00DB693D" w:rsidRDefault="00DB693D"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12 months</w:t>
            </w:r>
          </w:p>
          <w:p w14:paraId="7E1C09BC" w14:textId="77777777" w:rsidR="00DB693D" w:rsidRDefault="00664B70"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16 months</w:t>
            </w:r>
          </w:p>
          <w:p w14:paraId="294ED324" w14:textId="77777777" w:rsidR="00664B70" w:rsidRDefault="00664B70"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9 months </w:t>
            </w:r>
          </w:p>
          <w:p w14:paraId="36C9D4C0" w14:textId="0C315236" w:rsidR="00664B70" w:rsidRPr="0089668F" w:rsidRDefault="00A7151A"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10 months </w:t>
            </w:r>
          </w:p>
        </w:tc>
        <w:tc>
          <w:tcPr>
            <w:tcW w:w="2034"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77F399D8" w14:textId="5DCDFCBB" w:rsidR="007E281B" w:rsidRDefault="007E281B"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w:t>
            </w:r>
            <w:r w:rsidRPr="00D475FB">
              <w:rPr>
                <w:rFonts w:asciiTheme="minorHAnsi" w:hAnsiTheme="minorHAnsi" w:cstheme="minorHAnsi"/>
                <w:sz w:val="22"/>
                <w:szCs w:val="22"/>
                <w:vertAlign w:val="superscript"/>
              </w:rPr>
              <w:t>st</w:t>
            </w:r>
            <w:r>
              <w:rPr>
                <w:rFonts w:asciiTheme="minorHAnsi" w:hAnsiTheme="minorHAnsi" w:cstheme="minorHAnsi"/>
                <w:sz w:val="22"/>
                <w:szCs w:val="22"/>
              </w:rPr>
              <w:t xml:space="preserve"> </w:t>
            </w:r>
          </w:p>
          <w:p w14:paraId="5761FA57" w14:textId="6DDC0C56" w:rsidR="007E281B" w:rsidRDefault="00AE24DA"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w:t>
            </w:r>
            <w:r w:rsidRPr="00AE24DA">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557175DC" w14:textId="4BE24E54" w:rsidR="007E281B" w:rsidRDefault="007E281B"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w:t>
            </w:r>
            <w:r w:rsidRPr="007E281B">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6C15172D" w14:textId="6040EB5C" w:rsidR="007E281B" w:rsidRDefault="007E281B"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w:t>
            </w:r>
            <w:r w:rsidRPr="007E281B">
              <w:rPr>
                <w:rFonts w:asciiTheme="minorHAnsi" w:hAnsiTheme="minorHAnsi" w:cstheme="minorHAnsi"/>
                <w:sz w:val="22"/>
                <w:szCs w:val="22"/>
                <w:vertAlign w:val="superscript"/>
              </w:rPr>
              <w:t>rd</w:t>
            </w:r>
            <w:r>
              <w:rPr>
                <w:rFonts w:asciiTheme="minorHAnsi" w:hAnsiTheme="minorHAnsi" w:cstheme="minorHAnsi"/>
                <w:sz w:val="22"/>
                <w:szCs w:val="22"/>
              </w:rPr>
              <w:t xml:space="preserve"> </w:t>
            </w:r>
          </w:p>
          <w:p w14:paraId="690E87AC" w14:textId="77777777" w:rsidR="008A1BD1" w:rsidRDefault="007E281B"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vertAlign w:val="superscript"/>
              </w:rPr>
            </w:pPr>
            <w:r>
              <w:rPr>
                <w:rFonts w:asciiTheme="minorHAnsi" w:hAnsiTheme="minorHAnsi" w:cstheme="minorHAnsi"/>
                <w:sz w:val="22"/>
                <w:szCs w:val="22"/>
              </w:rPr>
              <w:t>2</w:t>
            </w:r>
            <w:r w:rsidRPr="007E281B">
              <w:rPr>
                <w:rFonts w:asciiTheme="minorHAnsi" w:hAnsiTheme="minorHAnsi" w:cstheme="minorHAnsi"/>
                <w:sz w:val="22"/>
                <w:szCs w:val="22"/>
                <w:vertAlign w:val="superscript"/>
              </w:rPr>
              <w:t>nd</w:t>
            </w:r>
          </w:p>
          <w:p w14:paraId="26E3CB22" w14:textId="71384859" w:rsidR="008A1BD1" w:rsidRPr="008A1BD1" w:rsidRDefault="008A1BD1"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8</w:t>
            </w:r>
            <w:r w:rsidRPr="008A1BD1">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0BCC8332" w14:textId="2A971035" w:rsidR="008A1BD1" w:rsidRPr="008A1BD1" w:rsidRDefault="008A1BD1"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w:t>
            </w:r>
            <w:r w:rsidRPr="008A1BD1">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4F3FFA99" w14:textId="77777777" w:rsidR="007E281B" w:rsidRDefault="008A1BD1"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w:t>
            </w:r>
            <w:r w:rsidRPr="008A1BD1">
              <w:rPr>
                <w:rFonts w:asciiTheme="minorHAnsi" w:hAnsiTheme="minorHAnsi" w:cstheme="minorHAnsi"/>
                <w:sz w:val="22"/>
                <w:szCs w:val="22"/>
                <w:vertAlign w:val="superscript"/>
              </w:rPr>
              <w:t>th</w:t>
            </w:r>
            <w:r>
              <w:rPr>
                <w:rFonts w:asciiTheme="minorHAnsi" w:hAnsiTheme="minorHAnsi" w:cstheme="minorHAnsi"/>
                <w:sz w:val="22"/>
                <w:szCs w:val="22"/>
              </w:rPr>
              <w:t xml:space="preserve"> </w:t>
            </w:r>
            <w:r w:rsidR="007E281B">
              <w:rPr>
                <w:rFonts w:asciiTheme="minorHAnsi" w:hAnsiTheme="minorHAnsi" w:cstheme="minorHAnsi"/>
                <w:sz w:val="22"/>
                <w:szCs w:val="22"/>
              </w:rPr>
              <w:t xml:space="preserve"> </w:t>
            </w:r>
          </w:p>
          <w:p w14:paraId="1DC14002" w14:textId="32D96B6D" w:rsidR="008A1BD1" w:rsidRPr="003D4AD4" w:rsidRDefault="008A1BD1"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w:t>
            </w:r>
            <w:r w:rsidRPr="008A1BD1">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tc>
      </w:tr>
      <w:tr w:rsidR="00930EE0" w:rsidRPr="00B43C6D" w14:paraId="368C3684" w14:textId="77777777" w:rsidTr="000B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28721DEA" w14:textId="44518055" w:rsidR="00930EE0" w:rsidRPr="003D4AD4" w:rsidRDefault="007E281B" w:rsidP="000812A7">
            <w:pPr>
              <w:spacing w:before="0"/>
              <w:rPr>
                <w:rFonts w:asciiTheme="minorHAnsi" w:hAnsiTheme="minorHAnsi" w:cstheme="minorHAnsi"/>
                <w:sz w:val="22"/>
                <w:szCs w:val="22"/>
              </w:rPr>
            </w:pPr>
            <w:r>
              <w:rPr>
                <w:rFonts w:asciiTheme="minorHAnsi" w:hAnsiTheme="minorHAnsi" w:cstheme="minorHAnsi"/>
                <w:sz w:val="22"/>
                <w:szCs w:val="22"/>
              </w:rPr>
              <w:t xml:space="preserve">Median regulatory submission to HTA recommendation </w:t>
            </w:r>
            <w:r w:rsidR="000D3DEA">
              <w:rPr>
                <w:rFonts w:asciiTheme="minorHAnsi" w:hAnsiTheme="minorHAnsi" w:cstheme="minorHAnsi"/>
                <w:sz w:val="22"/>
                <w:szCs w:val="22"/>
              </w:rPr>
              <w:t xml:space="preserve">2022 </w:t>
            </w:r>
            <w:r>
              <w:rPr>
                <w:rFonts w:asciiTheme="minorHAnsi" w:hAnsiTheme="minorHAnsi" w:cstheme="minorHAnsi"/>
                <w:sz w:val="22"/>
                <w:szCs w:val="22"/>
              </w:rPr>
              <w:t>(where recommended 1</w:t>
            </w:r>
            <w:r w:rsidRPr="007E281B">
              <w:rPr>
                <w:rFonts w:asciiTheme="minorHAnsi" w:hAnsiTheme="minorHAnsi" w:cstheme="minorHAnsi"/>
                <w:sz w:val="22"/>
                <w:szCs w:val="22"/>
                <w:vertAlign w:val="superscript"/>
              </w:rPr>
              <w:t>st</w:t>
            </w:r>
            <w:r>
              <w:rPr>
                <w:rFonts w:asciiTheme="minorHAnsi" w:hAnsiTheme="minorHAnsi" w:cstheme="minorHAnsi"/>
                <w:sz w:val="22"/>
                <w:szCs w:val="22"/>
              </w:rPr>
              <w:t xml:space="preserve"> time)</w:t>
            </w:r>
          </w:p>
        </w:tc>
        <w:tc>
          <w:tcPr>
            <w:tcW w:w="2595"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339C337F" w14:textId="77777777" w:rsidR="007E281B" w:rsidRPr="0089668F" w:rsidRDefault="007E281B" w:rsidP="007E281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9668F">
              <w:rPr>
                <w:rFonts w:asciiTheme="minorHAnsi" w:hAnsiTheme="minorHAnsi" w:cstheme="minorHAnsi"/>
                <w:sz w:val="22"/>
                <w:szCs w:val="22"/>
              </w:rPr>
              <w:t xml:space="preserve">Australia </w:t>
            </w:r>
          </w:p>
          <w:p w14:paraId="0A70612D" w14:textId="77777777" w:rsidR="007E281B" w:rsidRPr="00B43C6D" w:rsidRDefault="007E281B" w:rsidP="007E281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Canada</w:t>
            </w:r>
          </w:p>
          <w:p w14:paraId="144CC1F8" w14:textId="77777777" w:rsidR="007E281B" w:rsidRDefault="007E281B" w:rsidP="007E281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England</w:t>
            </w:r>
          </w:p>
          <w:p w14:paraId="5FBA1548" w14:textId="77777777" w:rsidR="007E281B" w:rsidRPr="0089668F" w:rsidRDefault="007E281B" w:rsidP="007E281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France</w:t>
            </w:r>
          </w:p>
          <w:p w14:paraId="5E6176E5" w14:textId="77777777" w:rsidR="00930EE0" w:rsidRDefault="007E281B" w:rsidP="007E281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43C6D">
              <w:rPr>
                <w:rFonts w:asciiTheme="minorHAnsi" w:hAnsiTheme="minorHAnsi" w:cstheme="minorHAnsi"/>
                <w:sz w:val="22"/>
                <w:szCs w:val="22"/>
              </w:rPr>
              <w:t>Germany</w:t>
            </w:r>
          </w:p>
          <w:p w14:paraId="3D77E53C" w14:textId="77777777" w:rsidR="0000762D" w:rsidRDefault="0000762D" w:rsidP="007E281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Netherlands </w:t>
            </w:r>
          </w:p>
          <w:p w14:paraId="298C3D2C" w14:textId="77777777" w:rsidR="0000762D" w:rsidRDefault="0000762D" w:rsidP="007E281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Poland </w:t>
            </w:r>
          </w:p>
          <w:p w14:paraId="129F8014" w14:textId="77777777" w:rsidR="0000762D" w:rsidRDefault="0000762D" w:rsidP="007E281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Scotland </w:t>
            </w:r>
          </w:p>
          <w:p w14:paraId="051D949A" w14:textId="00972820" w:rsidR="0000762D" w:rsidRPr="00B43C6D" w:rsidRDefault="0000762D" w:rsidP="007E281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Sweden</w:t>
            </w:r>
          </w:p>
        </w:tc>
        <w:tc>
          <w:tcPr>
            <w:tcW w:w="2033"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4DC8942E" w14:textId="14B73872" w:rsidR="00930EE0" w:rsidRDefault="0069539A"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w:t>
            </w:r>
            <w:r w:rsidR="007E60E6">
              <w:rPr>
                <w:rFonts w:asciiTheme="minorHAnsi" w:hAnsiTheme="minorHAnsi" w:cstheme="minorHAnsi"/>
                <w:sz w:val="22"/>
                <w:szCs w:val="22"/>
              </w:rPr>
              <w:t>5</w:t>
            </w:r>
            <w:r>
              <w:rPr>
                <w:rFonts w:asciiTheme="minorHAnsi" w:hAnsiTheme="minorHAnsi" w:cstheme="minorHAnsi"/>
                <w:sz w:val="22"/>
                <w:szCs w:val="22"/>
              </w:rPr>
              <w:t xml:space="preserve"> months</w:t>
            </w:r>
          </w:p>
          <w:p w14:paraId="51A653EA" w14:textId="57975853" w:rsidR="007E281B" w:rsidRDefault="0069539A"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19 months</w:t>
            </w:r>
          </w:p>
          <w:p w14:paraId="718AA673" w14:textId="53FD362B" w:rsidR="007E281B" w:rsidRDefault="00EA74FB"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26 </w:t>
            </w:r>
            <w:r w:rsidR="0069539A">
              <w:rPr>
                <w:rFonts w:asciiTheme="minorHAnsi" w:hAnsiTheme="minorHAnsi" w:cstheme="minorHAnsi"/>
                <w:sz w:val="22"/>
                <w:szCs w:val="22"/>
              </w:rPr>
              <w:t>months</w:t>
            </w:r>
          </w:p>
          <w:p w14:paraId="43D11646" w14:textId="13451184" w:rsidR="007E281B" w:rsidRDefault="002A3043"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w:t>
            </w:r>
            <w:r w:rsidR="0069539A">
              <w:rPr>
                <w:rFonts w:asciiTheme="minorHAnsi" w:hAnsiTheme="minorHAnsi" w:cstheme="minorHAnsi"/>
                <w:sz w:val="22"/>
                <w:szCs w:val="22"/>
              </w:rPr>
              <w:t xml:space="preserve"> months</w:t>
            </w:r>
          </w:p>
          <w:p w14:paraId="336A1B3B" w14:textId="5BBDAA60" w:rsidR="007E281B" w:rsidRDefault="00EB25B9"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20 </w:t>
            </w:r>
            <w:r w:rsidR="0069539A">
              <w:rPr>
                <w:rFonts w:asciiTheme="minorHAnsi" w:hAnsiTheme="minorHAnsi" w:cstheme="minorHAnsi"/>
                <w:sz w:val="22"/>
                <w:szCs w:val="22"/>
              </w:rPr>
              <w:t>months</w:t>
            </w:r>
          </w:p>
          <w:p w14:paraId="420F67E8" w14:textId="77777777" w:rsidR="002D5B6F" w:rsidRDefault="002D5B6F"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25 months</w:t>
            </w:r>
          </w:p>
          <w:p w14:paraId="7ADD29CC" w14:textId="77777777" w:rsidR="002D5B6F" w:rsidRDefault="005A1618"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30 months </w:t>
            </w:r>
          </w:p>
          <w:p w14:paraId="55ABF700" w14:textId="77777777" w:rsidR="00FD4D15" w:rsidRDefault="00FD4D15"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24 months </w:t>
            </w:r>
          </w:p>
          <w:p w14:paraId="7ABD1277" w14:textId="6FC1A34B" w:rsidR="00FD4D15" w:rsidRPr="00B43C6D" w:rsidRDefault="00F95C8B"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24 months </w:t>
            </w:r>
          </w:p>
        </w:tc>
        <w:tc>
          <w:tcPr>
            <w:tcW w:w="20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27A547E" w14:textId="4DDFCD64" w:rsidR="00930EE0" w:rsidRDefault="007E281B"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w:t>
            </w:r>
            <w:r w:rsidRPr="007E281B">
              <w:rPr>
                <w:rFonts w:asciiTheme="minorHAnsi" w:hAnsiTheme="minorHAnsi" w:cstheme="minorHAnsi"/>
                <w:sz w:val="22"/>
                <w:szCs w:val="22"/>
                <w:vertAlign w:val="superscript"/>
              </w:rPr>
              <w:t>st</w:t>
            </w:r>
            <w:r>
              <w:rPr>
                <w:rFonts w:asciiTheme="minorHAnsi" w:hAnsiTheme="minorHAnsi" w:cstheme="minorHAnsi"/>
                <w:sz w:val="22"/>
                <w:szCs w:val="22"/>
              </w:rPr>
              <w:t xml:space="preserve"> </w:t>
            </w:r>
          </w:p>
          <w:p w14:paraId="6A0849F3" w14:textId="52EB7437" w:rsidR="00930EE0" w:rsidRDefault="007E281B"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w:t>
            </w:r>
            <w:r w:rsidRPr="007E281B">
              <w:rPr>
                <w:rFonts w:asciiTheme="minorHAnsi" w:hAnsiTheme="minorHAnsi" w:cstheme="minorHAnsi"/>
                <w:sz w:val="22"/>
                <w:szCs w:val="22"/>
                <w:vertAlign w:val="superscript"/>
              </w:rPr>
              <w:t>nd</w:t>
            </w:r>
            <w:r>
              <w:rPr>
                <w:rFonts w:asciiTheme="minorHAnsi" w:hAnsiTheme="minorHAnsi" w:cstheme="minorHAnsi"/>
                <w:sz w:val="22"/>
                <w:szCs w:val="22"/>
              </w:rPr>
              <w:t xml:space="preserve"> </w:t>
            </w:r>
          </w:p>
          <w:p w14:paraId="5B09E9DC" w14:textId="7445B07B" w:rsidR="00930EE0" w:rsidRDefault="00636BD5"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8</w:t>
            </w:r>
            <w:r w:rsidR="007E281B" w:rsidRPr="007E281B">
              <w:rPr>
                <w:rFonts w:asciiTheme="minorHAnsi" w:hAnsiTheme="minorHAnsi" w:cstheme="minorHAnsi"/>
                <w:sz w:val="22"/>
                <w:szCs w:val="22"/>
                <w:vertAlign w:val="superscript"/>
              </w:rPr>
              <w:t>th</w:t>
            </w:r>
            <w:r w:rsidR="007E281B">
              <w:rPr>
                <w:rFonts w:asciiTheme="minorHAnsi" w:hAnsiTheme="minorHAnsi" w:cstheme="minorHAnsi"/>
                <w:sz w:val="22"/>
                <w:szCs w:val="22"/>
              </w:rPr>
              <w:t xml:space="preserve"> </w:t>
            </w:r>
          </w:p>
          <w:p w14:paraId="265D7D0F" w14:textId="68263D98" w:rsidR="00930EE0" w:rsidRDefault="00B047BB"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w:t>
            </w:r>
            <w:r w:rsidRPr="00B047BB">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5B50FE9A" w14:textId="77777777" w:rsidR="001E3A27" w:rsidRDefault="00B047BB"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w:t>
            </w:r>
            <w:r w:rsidRPr="00B047BB">
              <w:rPr>
                <w:rFonts w:asciiTheme="minorHAnsi" w:hAnsiTheme="minorHAnsi" w:cstheme="minorHAnsi"/>
                <w:sz w:val="22"/>
                <w:szCs w:val="22"/>
                <w:vertAlign w:val="superscript"/>
              </w:rPr>
              <w:t>rd</w:t>
            </w:r>
            <w:r>
              <w:rPr>
                <w:rFonts w:asciiTheme="minorHAnsi" w:hAnsiTheme="minorHAnsi" w:cstheme="minorHAnsi"/>
                <w:sz w:val="22"/>
                <w:szCs w:val="22"/>
              </w:rPr>
              <w:t xml:space="preserve"> </w:t>
            </w:r>
          </w:p>
          <w:p w14:paraId="011C3E6A" w14:textId="5E358E6E" w:rsidR="001E3A27" w:rsidRDefault="00636BD5"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w:t>
            </w:r>
            <w:r w:rsidRPr="00AA51B3">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2CD719C2" w14:textId="547C15C0" w:rsidR="00AA51B3" w:rsidRDefault="00AA51B3"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w:t>
            </w:r>
            <w:r w:rsidRPr="00AA51B3">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5213067F" w14:textId="77777777" w:rsidR="00636BD5" w:rsidRDefault="00636BD5"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w:t>
            </w:r>
            <w:r w:rsidRPr="0021547D">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0F7C81CC" w14:textId="340A3DA5" w:rsidR="00930EE0" w:rsidRPr="00B43C6D" w:rsidRDefault="00636BD5"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w:t>
            </w:r>
            <w:r w:rsidRPr="0021547D">
              <w:rPr>
                <w:rFonts w:asciiTheme="minorHAnsi" w:hAnsiTheme="minorHAnsi" w:cstheme="minorHAnsi"/>
                <w:sz w:val="22"/>
                <w:szCs w:val="22"/>
                <w:vertAlign w:val="superscript"/>
              </w:rPr>
              <w:t>th</w:t>
            </w:r>
            <w:r>
              <w:rPr>
                <w:rFonts w:asciiTheme="minorHAnsi" w:hAnsiTheme="minorHAnsi" w:cstheme="minorHAnsi"/>
                <w:sz w:val="22"/>
                <w:szCs w:val="22"/>
              </w:rPr>
              <w:t xml:space="preserve"> </w:t>
            </w:r>
            <w:r w:rsidR="00930EE0">
              <w:rPr>
                <w:rFonts w:asciiTheme="minorHAnsi" w:hAnsiTheme="minorHAnsi" w:cstheme="minorHAnsi"/>
                <w:sz w:val="22"/>
                <w:szCs w:val="22"/>
              </w:rPr>
              <w:t xml:space="preserve"> </w:t>
            </w:r>
          </w:p>
        </w:tc>
      </w:tr>
      <w:tr w:rsidR="00CE1478" w:rsidRPr="00B43C6D" w14:paraId="0EE8A82D" w14:textId="77777777" w:rsidTr="00372734">
        <w:trPr>
          <w:cnfStyle w:val="000000010000" w:firstRow="0" w:lastRow="0" w:firstColumn="0" w:lastColumn="0" w:oddVBand="0" w:evenVBand="0" w:oddHBand="0" w:evenHBand="1" w:firstRowFirstColumn="0" w:firstRowLastColumn="0" w:lastRowFirstColumn="0" w:lastRowLastColumn="0"/>
          <w:trHeight w:val="2405"/>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3C1443C4" w14:textId="780A9297" w:rsidR="00CE1478" w:rsidRPr="003D4AD4" w:rsidRDefault="00CE1478" w:rsidP="000812A7">
            <w:pPr>
              <w:spacing w:before="0"/>
              <w:rPr>
                <w:rFonts w:asciiTheme="minorHAnsi" w:hAnsiTheme="minorHAnsi" w:cstheme="minorHAnsi"/>
                <w:sz w:val="22"/>
                <w:szCs w:val="22"/>
              </w:rPr>
            </w:pPr>
            <w:r w:rsidRPr="003D4AD4">
              <w:rPr>
                <w:rFonts w:asciiTheme="minorHAnsi" w:hAnsiTheme="minorHAnsi" w:cstheme="minorHAnsi"/>
                <w:sz w:val="22"/>
                <w:szCs w:val="22"/>
              </w:rPr>
              <w:t xml:space="preserve">Proportion </w:t>
            </w:r>
            <w:r>
              <w:rPr>
                <w:rFonts w:asciiTheme="minorHAnsi" w:hAnsiTheme="minorHAnsi" w:cstheme="minorHAnsi"/>
                <w:sz w:val="22"/>
                <w:szCs w:val="22"/>
              </w:rPr>
              <w:t>new active substances recommended at the first submission</w:t>
            </w:r>
            <w:r w:rsidRPr="003D4AD4">
              <w:rPr>
                <w:rFonts w:asciiTheme="minorHAnsi" w:hAnsiTheme="minorHAnsi" w:cstheme="minorHAnsi"/>
                <w:sz w:val="22"/>
                <w:szCs w:val="22"/>
              </w:rPr>
              <w:t xml:space="preserve"> </w:t>
            </w:r>
            <w:r w:rsidR="00B144DB">
              <w:rPr>
                <w:rFonts w:asciiTheme="minorHAnsi" w:hAnsiTheme="minorHAnsi" w:cstheme="minorHAnsi"/>
                <w:sz w:val="22"/>
                <w:szCs w:val="22"/>
              </w:rPr>
              <w:t>in 202</w:t>
            </w:r>
            <w:r w:rsidR="00E035B3">
              <w:rPr>
                <w:rFonts w:asciiTheme="minorHAnsi" w:hAnsiTheme="minorHAnsi" w:cstheme="minorHAnsi"/>
                <w:sz w:val="22"/>
                <w:szCs w:val="22"/>
              </w:rPr>
              <w:t>2</w:t>
            </w:r>
          </w:p>
        </w:tc>
        <w:tc>
          <w:tcPr>
            <w:tcW w:w="2595"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2AD48991" w14:textId="77777777" w:rsidR="00CE1478" w:rsidRPr="0089668F" w:rsidRDefault="00CE1478"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9668F">
              <w:rPr>
                <w:rFonts w:asciiTheme="minorHAnsi" w:hAnsiTheme="minorHAnsi" w:cstheme="minorHAnsi"/>
                <w:sz w:val="22"/>
                <w:szCs w:val="22"/>
              </w:rPr>
              <w:t xml:space="preserve">Australia </w:t>
            </w:r>
          </w:p>
          <w:p w14:paraId="36AE50AD" w14:textId="77777777" w:rsidR="00CE1478" w:rsidRPr="00B43C6D" w:rsidRDefault="00CE1478"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Canada</w:t>
            </w:r>
          </w:p>
          <w:p w14:paraId="5859C963" w14:textId="77777777" w:rsidR="00CE1478" w:rsidRDefault="00CE1478"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England</w:t>
            </w:r>
          </w:p>
          <w:p w14:paraId="078FB688" w14:textId="77777777" w:rsidR="00CE1478" w:rsidRPr="0089668F" w:rsidRDefault="00CE1478"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France</w:t>
            </w:r>
          </w:p>
          <w:p w14:paraId="187221C5" w14:textId="77777777" w:rsidR="00CE1478" w:rsidRDefault="00CE1478"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43C6D">
              <w:rPr>
                <w:rFonts w:asciiTheme="minorHAnsi" w:hAnsiTheme="minorHAnsi" w:cstheme="minorHAnsi"/>
                <w:sz w:val="22"/>
                <w:szCs w:val="22"/>
              </w:rPr>
              <w:t xml:space="preserve">Germany </w:t>
            </w:r>
          </w:p>
          <w:p w14:paraId="7398715E" w14:textId="77777777" w:rsidR="00C074D6" w:rsidRDefault="00C074D6"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Netherlands</w:t>
            </w:r>
          </w:p>
          <w:p w14:paraId="6E2E03A3" w14:textId="77777777" w:rsidR="00C074D6" w:rsidRDefault="00C074D6"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Poland</w:t>
            </w:r>
          </w:p>
          <w:p w14:paraId="0D7A63F1" w14:textId="77777777" w:rsidR="00C074D6" w:rsidRDefault="00C074D6"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Scotland</w:t>
            </w:r>
          </w:p>
          <w:p w14:paraId="67FD9BA9" w14:textId="5C0D592A" w:rsidR="004407B1" w:rsidRPr="00B43C6D" w:rsidRDefault="00C074D6" w:rsidP="007E281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Sweden </w:t>
            </w:r>
          </w:p>
        </w:tc>
        <w:tc>
          <w:tcPr>
            <w:tcW w:w="2033"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46AB9E47" w14:textId="7C1C3722" w:rsidR="00CE1478" w:rsidRPr="00372734" w:rsidRDefault="00CE1478"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2734">
              <w:rPr>
                <w:rFonts w:asciiTheme="minorHAnsi" w:hAnsiTheme="minorHAnsi" w:cstheme="minorHAnsi"/>
                <w:sz w:val="22"/>
                <w:szCs w:val="22"/>
              </w:rPr>
              <w:t>2</w:t>
            </w:r>
            <w:r w:rsidR="00C074D6" w:rsidRPr="00372734">
              <w:rPr>
                <w:rFonts w:asciiTheme="minorHAnsi" w:hAnsiTheme="minorHAnsi" w:cstheme="minorHAnsi"/>
                <w:sz w:val="22"/>
                <w:szCs w:val="22"/>
              </w:rPr>
              <w:t>9</w:t>
            </w:r>
            <w:r w:rsidRPr="00372734">
              <w:rPr>
                <w:rFonts w:asciiTheme="minorHAnsi" w:hAnsiTheme="minorHAnsi" w:cstheme="minorHAnsi"/>
                <w:sz w:val="22"/>
                <w:szCs w:val="22"/>
              </w:rPr>
              <w:t>%</w:t>
            </w:r>
          </w:p>
          <w:p w14:paraId="6F25295E" w14:textId="617C1E0B" w:rsidR="00CE1478" w:rsidRPr="00372734" w:rsidRDefault="00FE7E07"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2734">
              <w:rPr>
                <w:rFonts w:asciiTheme="minorHAnsi" w:hAnsiTheme="minorHAnsi" w:cstheme="minorHAnsi"/>
                <w:sz w:val="22"/>
                <w:szCs w:val="22"/>
              </w:rPr>
              <w:t>71</w:t>
            </w:r>
            <w:r w:rsidR="00CE1478" w:rsidRPr="00372734">
              <w:rPr>
                <w:rFonts w:asciiTheme="minorHAnsi" w:hAnsiTheme="minorHAnsi" w:cstheme="minorHAnsi"/>
                <w:sz w:val="22"/>
                <w:szCs w:val="22"/>
              </w:rPr>
              <w:t xml:space="preserve">% </w:t>
            </w:r>
          </w:p>
          <w:p w14:paraId="2153A6C7" w14:textId="71996E39" w:rsidR="00CE1478" w:rsidRPr="00372734" w:rsidRDefault="0037170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2734">
              <w:rPr>
                <w:rFonts w:asciiTheme="minorHAnsi" w:hAnsiTheme="minorHAnsi" w:cstheme="minorHAnsi"/>
                <w:sz w:val="22"/>
                <w:szCs w:val="22"/>
              </w:rPr>
              <w:t>93</w:t>
            </w:r>
            <w:r w:rsidR="00CE1478" w:rsidRPr="00372734">
              <w:rPr>
                <w:rFonts w:asciiTheme="minorHAnsi" w:hAnsiTheme="minorHAnsi" w:cstheme="minorHAnsi"/>
                <w:sz w:val="22"/>
                <w:szCs w:val="22"/>
              </w:rPr>
              <w:t xml:space="preserve">% </w:t>
            </w:r>
          </w:p>
          <w:p w14:paraId="2131D62B" w14:textId="262685EE" w:rsidR="00CE1478" w:rsidRPr="00372734" w:rsidRDefault="008716E7" w:rsidP="00CE1478">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2734">
              <w:rPr>
                <w:rFonts w:asciiTheme="minorHAnsi" w:hAnsiTheme="minorHAnsi" w:cstheme="minorHAnsi"/>
                <w:sz w:val="22"/>
                <w:szCs w:val="22"/>
              </w:rPr>
              <w:t>93</w:t>
            </w:r>
            <w:r w:rsidR="00CE1478" w:rsidRPr="00372734">
              <w:rPr>
                <w:rFonts w:asciiTheme="minorHAnsi" w:hAnsiTheme="minorHAnsi" w:cstheme="minorHAnsi"/>
                <w:sz w:val="22"/>
                <w:szCs w:val="22"/>
              </w:rPr>
              <w:t xml:space="preserve">% </w:t>
            </w:r>
          </w:p>
          <w:p w14:paraId="602FDBFF" w14:textId="2EECD3CE" w:rsidR="00CE1478" w:rsidRPr="00372734" w:rsidRDefault="00783722" w:rsidP="00CE1478">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2734">
              <w:rPr>
                <w:rFonts w:asciiTheme="minorHAnsi" w:hAnsiTheme="minorHAnsi" w:cstheme="minorHAnsi"/>
                <w:sz w:val="22"/>
                <w:szCs w:val="22"/>
              </w:rPr>
              <w:t>62</w:t>
            </w:r>
            <w:r w:rsidR="00CE1478" w:rsidRPr="00372734">
              <w:rPr>
                <w:rFonts w:asciiTheme="minorHAnsi" w:hAnsiTheme="minorHAnsi" w:cstheme="minorHAnsi"/>
                <w:sz w:val="22"/>
                <w:szCs w:val="22"/>
              </w:rPr>
              <w:t>%</w:t>
            </w:r>
          </w:p>
          <w:p w14:paraId="215B506F" w14:textId="77777777" w:rsidR="00783722" w:rsidRPr="00372734" w:rsidRDefault="00783722" w:rsidP="00CE1478">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2734">
              <w:rPr>
                <w:rFonts w:asciiTheme="minorHAnsi" w:hAnsiTheme="minorHAnsi" w:cstheme="minorHAnsi"/>
                <w:sz w:val="22"/>
                <w:szCs w:val="22"/>
              </w:rPr>
              <w:t>74%</w:t>
            </w:r>
          </w:p>
          <w:p w14:paraId="23402926" w14:textId="77777777" w:rsidR="00783722" w:rsidRPr="00372734" w:rsidRDefault="000472DB" w:rsidP="00CE1478">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2734">
              <w:rPr>
                <w:rFonts w:asciiTheme="minorHAnsi" w:hAnsiTheme="minorHAnsi" w:cstheme="minorHAnsi"/>
                <w:sz w:val="22"/>
                <w:szCs w:val="22"/>
              </w:rPr>
              <w:t>28%</w:t>
            </w:r>
          </w:p>
          <w:p w14:paraId="748A5C5D" w14:textId="77777777" w:rsidR="00FD0F50" w:rsidRPr="00372734" w:rsidRDefault="00FD0F50" w:rsidP="00CE1478">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72734">
              <w:rPr>
                <w:rFonts w:asciiTheme="minorHAnsi" w:hAnsiTheme="minorHAnsi" w:cstheme="minorHAnsi"/>
                <w:sz w:val="22"/>
                <w:szCs w:val="22"/>
              </w:rPr>
              <w:t>83%</w:t>
            </w:r>
          </w:p>
          <w:p w14:paraId="22F6B76E" w14:textId="1013DB7C" w:rsidR="00FD0F50" w:rsidRDefault="00FD0F50" w:rsidP="00CE1478">
            <w:pPr>
              <w:spacing w:before="0"/>
              <w:cnfStyle w:val="000000010000" w:firstRow="0" w:lastRow="0" w:firstColumn="0" w:lastColumn="0" w:oddVBand="0" w:evenVBand="0" w:oddHBand="0" w:evenHBand="1" w:firstRowFirstColumn="0" w:firstRowLastColumn="0" w:lastRowFirstColumn="0" w:lastRowLastColumn="0"/>
              <w:rPr>
                <w:rFonts w:cstheme="minorHAnsi"/>
              </w:rPr>
            </w:pPr>
            <w:r w:rsidRPr="00372734">
              <w:rPr>
                <w:rFonts w:asciiTheme="minorHAnsi" w:hAnsiTheme="minorHAnsi" w:cstheme="minorHAnsi"/>
                <w:sz w:val="22"/>
                <w:szCs w:val="22"/>
              </w:rPr>
              <w:t>82%</w:t>
            </w:r>
          </w:p>
        </w:tc>
        <w:tc>
          <w:tcPr>
            <w:tcW w:w="20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2792EA2" w14:textId="1F3122A3" w:rsidR="00CE1478" w:rsidRDefault="00D64977"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8</w:t>
            </w:r>
            <w:r w:rsidRPr="00D64977">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27494AE8" w14:textId="7858A763" w:rsidR="00FD0F50" w:rsidRDefault="00715982"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w:t>
            </w:r>
            <w:r w:rsidR="00FD7929" w:rsidRPr="004407B1">
              <w:rPr>
                <w:rFonts w:asciiTheme="minorHAnsi" w:hAnsiTheme="minorHAnsi" w:cstheme="minorHAnsi"/>
                <w:sz w:val="22"/>
                <w:szCs w:val="22"/>
                <w:vertAlign w:val="superscript"/>
              </w:rPr>
              <w:t>th</w:t>
            </w:r>
            <w:r w:rsidR="00FD7929">
              <w:rPr>
                <w:rFonts w:asciiTheme="minorHAnsi" w:hAnsiTheme="minorHAnsi" w:cstheme="minorHAnsi"/>
                <w:sz w:val="22"/>
                <w:szCs w:val="22"/>
              </w:rPr>
              <w:t xml:space="preserve"> </w:t>
            </w:r>
          </w:p>
          <w:p w14:paraId="5FBB41E9" w14:textId="2905A302" w:rsidR="00FD0F50" w:rsidRDefault="00147A17"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w:t>
            </w:r>
            <w:r w:rsidRPr="004407B1">
              <w:rPr>
                <w:rFonts w:asciiTheme="minorHAnsi" w:hAnsiTheme="minorHAnsi" w:cstheme="minorHAnsi"/>
                <w:sz w:val="22"/>
                <w:szCs w:val="22"/>
                <w:vertAlign w:val="superscript"/>
              </w:rPr>
              <w:t>nd</w:t>
            </w:r>
            <w:r>
              <w:rPr>
                <w:rFonts w:asciiTheme="minorHAnsi" w:hAnsiTheme="minorHAnsi" w:cstheme="minorHAnsi"/>
                <w:sz w:val="22"/>
                <w:szCs w:val="22"/>
              </w:rPr>
              <w:t xml:space="preserve"> </w:t>
            </w:r>
          </w:p>
          <w:p w14:paraId="3A3B96EF" w14:textId="77777777" w:rsidR="00FD0F50" w:rsidRDefault="00DC311B"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w:t>
            </w:r>
            <w:r w:rsidRPr="00DC311B">
              <w:rPr>
                <w:rFonts w:asciiTheme="minorHAnsi" w:hAnsiTheme="minorHAnsi" w:cstheme="minorHAnsi"/>
                <w:sz w:val="22"/>
                <w:szCs w:val="22"/>
                <w:vertAlign w:val="superscript"/>
              </w:rPr>
              <w:t>st</w:t>
            </w:r>
            <w:r>
              <w:rPr>
                <w:rFonts w:asciiTheme="minorHAnsi" w:hAnsiTheme="minorHAnsi" w:cstheme="minorHAnsi"/>
                <w:sz w:val="22"/>
                <w:szCs w:val="22"/>
              </w:rPr>
              <w:t xml:space="preserve"> </w:t>
            </w:r>
          </w:p>
          <w:p w14:paraId="4366D3B1" w14:textId="15C08CFA" w:rsidR="002E1041" w:rsidRDefault="00CC7B0F"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w:t>
            </w:r>
            <w:r w:rsidR="00F17967" w:rsidRPr="004407B1">
              <w:rPr>
                <w:rFonts w:asciiTheme="minorHAnsi" w:hAnsiTheme="minorHAnsi" w:cstheme="minorHAnsi"/>
                <w:sz w:val="22"/>
                <w:szCs w:val="22"/>
                <w:vertAlign w:val="superscript"/>
              </w:rPr>
              <w:t>th</w:t>
            </w:r>
            <w:r w:rsidR="00F17967">
              <w:rPr>
                <w:rFonts w:asciiTheme="minorHAnsi" w:hAnsiTheme="minorHAnsi" w:cstheme="minorHAnsi"/>
                <w:sz w:val="22"/>
                <w:szCs w:val="22"/>
              </w:rPr>
              <w:t xml:space="preserve"> </w:t>
            </w:r>
          </w:p>
          <w:p w14:paraId="7C7AAEA1" w14:textId="0B507EC0" w:rsidR="002E1041" w:rsidRDefault="00C052C5"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w:t>
            </w:r>
            <w:r w:rsidR="00FD7929" w:rsidRPr="004407B1">
              <w:rPr>
                <w:rFonts w:asciiTheme="minorHAnsi" w:hAnsiTheme="minorHAnsi" w:cstheme="minorHAnsi"/>
                <w:sz w:val="22"/>
                <w:szCs w:val="22"/>
                <w:vertAlign w:val="superscript"/>
              </w:rPr>
              <w:t>th</w:t>
            </w:r>
            <w:r w:rsidR="00FD7929">
              <w:rPr>
                <w:rFonts w:asciiTheme="minorHAnsi" w:hAnsiTheme="minorHAnsi" w:cstheme="minorHAnsi"/>
                <w:sz w:val="22"/>
                <w:szCs w:val="22"/>
              </w:rPr>
              <w:t xml:space="preserve"> </w:t>
            </w:r>
          </w:p>
          <w:p w14:paraId="05BFA9AD" w14:textId="11AD0BB6" w:rsidR="00261F63" w:rsidRDefault="00261F63"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w:t>
            </w:r>
            <w:r w:rsidRPr="00287499">
              <w:rPr>
                <w:rFonts w:asciiTheme="minorHAnsi" w:hAnsiTheme="minorHAnsi" w:cstheme="minorHAnsi"/>
                <w:sz w:val="22"/>
                <w:szCs w:val="22"/>
                <w:vertAlign w:val="superscript"/>
              </w:rPr>
              <w:t>th</w:t>
            </w:r>
          </w:p>
          <w:p w14:paraId="0ECA73D4" w14:textId="68F8C3EC" w:rsidR="00261F63" w:rsidRDefault="00BB040D"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w:t>
            </w:r>
            <w:r w:rsidRPr="004407B1">
              <w:rPr>
                <w:rFonts w:asciiTheme="minorHAnsi" w:hAnsiTheme="minorHAnsi" w:cstheme="minorHAnsi"/>
                <w:sz w:val="22"/>
                <w:szCs w:val="22"/>
                <w:vertAlign w:val="superscript"/>
              </w:rPr>
              <w:t>rd</w:t>
            </w:r>
            <w:r>
              <w:rPr>
                <w:rFonts w:asciiTheme="minorHAnsi" w:hAnsiTheme="minorHAnsi" w:cstheme="minorHAnsi"/>
                <w:sz w:val="22"/>
                <w:szCs w:val="22"/>
              </w:rPr>
              <w:t xml:space="preserve"> </w:t>
            </w:r>
          </w:p>
          <w:p w14:paraId="7D71B98F" w14:textId="185B9A0A" w:rsidR="00D605E8" w:rsidRPr="00B43C6D" w:rsidRDefault="00BB040D"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w:t>
            </w:r>
            <w:r w:rsidRPr="004407B1">
              <w:rPr>
                <w:rFonts w:asciiTheme="minorHAnsi" w:hAnsiTheme="minorHAnsi" w:cstheme="minorHAnsi"/>
                <w:sz w:val="22"/>
                <w:szCs w:val="22"/>
                <w:vertAlign w:val="superscript"/>
              </w:rPr>
              <w:t>th</w:t>
            </w:r>
            <w:r>
              <w:rPr>
                <w:rFonts w:asciiTheme="minorHAnsi" w:hAnsiTheme="minorHAnsi" w:cstheme="minorHAnsi"/>
                <w:sz w:val="22"/>
                <w:szCs w:val="22"/>
              </w:rPr>
              <w:t xml:space="preserve"> </w:t>
            </w:r>
            <w:r w:rsidR="00287499">
              <w:rPr>
                <w:rFonts w:asciiTheme="minorHAnsi" w:hAnsiTheme="minorHAnsi" w:cstheme="minorHAnsi"/>
                <w:sz w:val="22"/>
                <w:szCs w:val="22"/>
              </w:rPr>
              <w:t xml:space="preserve"> </w:t>
            </w:r>
          </w:p>
        </w:tc>
      </w:tr>
    </w:tbl>
    <w:p w14:paraId="665234C9" w14:textId="454F2C29" w:rsidR="007A0020" w:rsidRDefault="007A0020" w:rsidP="007A0020">
      <w:pPr>
        <w:pStyle w:val="Heading4"/>
      </w:pPr>
      <w:r>
        <w:t xml:space="preserve">Table </w:t>
      </w:r>
      <w:r w:rsidR="0006084C">
        <w:t>10</w:t>
      </w:r>
      <w:r>
        <w:t xml:space="preserve">. Medicines Australia - </w:t>
      </w:r>
      <w:r w:rsidR="000B3883">
        <w:t>M</w:t>
      </w:r>
      <w:r>
        <w:t xml:space="preserve">edicines </w:t>
      </w:r>
      <w:r w:rsidR="000B3883">
        <w:t>M</w:t>
      </w:r>
      <w:r>
        <w:t xml:space="preserve">atter </w:t>
      </w:r>
      <w:r w:rsidR="000B3883">
        <w:t>report</w:t>
      </w:r>
    </w:p>
    <w:tbl>
      <w:tblPr>
        <w:tblStyle w:val="DepartmentofHealthtable"/>
        <w:tblW w:w="0" w:type="auto"/>
        <w:tblLook w:val="04A0" w:firstRow="1" w:lastRow="0" w:firstColumn="1" w:lastColumn="0" w:noHBand="0" w:noVBand="1"/>
      </w:tblPr>
      <w:tblGrid>
        <w:gridCol w:w="2485"/>
        <w:gridCol w:w="2538"/>
        <w:gridCol w:w="1996"/>
        <w:gridCol w:w="1997"/>
      </w:tblGrid>
      <w:tr w:rsidR="007A0020" w14:paraId="0D83A6DA" w14:textId="77777777" w:rsidTr="000B3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tcPr>
          <w:p w14:paraId="5B60FC90" w14:textId="60C7093B" w:rsidR="007A0020" w:rsidRPr="003D4AD4" w:rsidRDefault="003D4AD4" w:rsidP="007A0020">
            <w:pPr>
              <w:spacing w:before="0"/>
              <w:rPr>
                <w:rFonts w:asciiTheme="minorHAnsi" w:hAnsiTheme="minorHAnsi" w:cstheme="minorHAnsi"/>
                <w:b/>
                <w:bCs/>
                <w:color w:val="FFFFFF" w:themeColor="background1"/>
                <w:szCs w:val="22"/>
              </w:rPr>
            </w:pPr>
            <w:r w:rsidRPr="003D4AD4">
              <w:rPr>
                <w:rFonts w:asciiTheme="minorHAnsi" w:hAnsiTheme="minorHAnsi" w:cstheme="minorHAnsi"/>
                <w:b/>
                <w:bCs/>
                <w:color w:val="FFFFFF" w:themeColor="background1"/>
                <w:szCs w:val="22"/>
              </w:rPr>
              <w:t>Study details</w:t>
            </w:r>
          </w:p>
        </w:tc>
        <w:tc>
          <w:tcPr>
            <w:tcW w:w="6662" w:type="dxa"/>
            <w:gridSpan w:val="3"/>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tcPr>
          <w:p w14:paraId="32C608FD" w14:textId="129A83CB" w:rsidR="007A0020" w:rsidRPr="003D4AD4" w:rsidRDefault="0089668F" w:rsidP="007A0020">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Pr>
                <w:rFonts w:asciiTheme="minorHAnsi" w:hAnsiTheme="minorHAnsi" w:cstheme="minorHAnsi"/>
                <w:b/>
                <w:bCs/>
                <w:szCs w:val="22"/>
              </w:rPr>
              <w:t>Parameters</w:t>
            </w:r>
          </w:p>
        </w:tc>
      </w:tr>
      <w:tr w:rsidR="003D4AD4" w14:paraId="74034871" w14:textId="77777777" w:rsidTr="000B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2262DF4E" w14:textId="30B761A4" w:rsidR="003D4AD4" w:rsidRPr="003D4AD4" w:rsidRDefault="003D4AD4" w:rsidP="007A0020">
            <w:pPr>
              <w:spacing w:before="0"/>
              <w:rPr>
                <w:rFonts w:asciiTheme="minorHAnsi" w:hAnsiTheme="minorHAnsi" w:cstheme="minorHAnsi"/>
                <w:sz w:val="22"/>
                <w:szCs w:val="22"/>
              </w:rPr>
            </w:pPr>
            <w:r>
              <w:rPr>
                <w:rFonts w:asciiTheme="minorHAnsi" w:hAnsiTheme="minorHAnsi" w:cstheme="minorHAnsi"/>
                <w:sz w:val="22"/>
                <w:szCs w:val="22"/>
              </w:rPr>
              <w:t>Objective</w:t>
            </w:r>
          </w:p>
        </w:tc>
        <w:tc>
          <w:tcPr>
            <w:tcW w:w="6662" w:type="dxa"/>
            <w:gridSpan w:val="3"/>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461D7AF8" w14:textId="0B7EDD7C" w:rsidR="003D4AD4" w:rsidRPr="003D4AD4" w:rsidRDefault="003D4AD4" w:rsidP="007A0020">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854FE">
              <w:rPr>
                <w:rFonts w:asciiTheme="minorHAnsi" w:hAnsiTheme="minorHAnsi" w:cstheme="minorHAnsi"/>
                <w:sz w:val="22"/>
                <w:szCs w:val="22"/>
              </w:rPr>
              <w:t>To compare timelines for medicine registration and reimbursement in different healthcare systems with Australia</w:t>
            </w:r>
          </w:p>
        </w:tc>
      </w:tr>
      <w:tr w:rsidR="003D4AD4" w14:paraId="77CB84E9" w14:textId="77777777" w:rsidTr="000B3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35F74120" w14:textId="3200D8BD" w:rsidR="003D4AD4" w:rsidRDefault="003D4AD4" w:rsidP="003D4AD4">
            <w:pPr>
              <w:spacing w:before="0"/>
              <w:rPr>
                <w:rFonts w:cstheme="minorHAnsi"/>
              </w:rPr>
            </w:pPr>
            <w:r>
              <w:rPr>
                <w:rFonts w:asciiTheme="minorHAnsi" w:hAnsiTheme="minorHAnsi" w:cstheme="minorHAnsi"/>
                <w:sz w:val="22"/>
                <w:szCs w:val="22"/>
              </w:rPr>
              <w:t>PBS listing type</w:t>
            </w:r>
          </w:p>
        </w:tc>
        <w:tc>
          <w:tcPr>
            <w:tcW w:w="6662" w:type="dxa"/>
            <w:gridSpan w:val="3"/>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98A4024" w14:textId="4D5DC1BC" w:rsidR="003D4AD4" w:rsidRDefault="003D4AD4" w:rsidP="003D4AD4">
            <w:pPr>
              <w:spacing w:before="0"/>
              <w:cnfStyle w:val="000000010000" w:firstRow="0" w:lastRow="0" w:firstColumn="0" w:lastColumn="0" w:oddVBand="0" w:evenVBand="0" w:oddHBand="0" w:evenHBand="1" w:firstRowFirstColumn="0" w:firstRowLastColumn="0" w:lastRowFirstColumn="0" w:lastRowLastColumn="0"/>
              <w:rPr>
                <w:rFonts w:cstheme="minorHAnsi"/>
              </w:rPr>
            </w:pPr>
            <w:r>
              <w:rPr>
                <w:rFonts w:asciiTheme="minorHAnsi" w:hAnsiTheme="minorHAnsi" w:cstheme="minorHAnsi"/>
                <w:sz w:val="22"/>
                <w:szCs w:val="22"/>
              </w:rPr>
              <w:t>New molecular entities</w:t>
            </w:r>
            <w:r w:rsidR="006B3284">
              <w:rPr>
                <w:rFonts w:asciiTheme="minorHAnsi" w:hAnsiTheme="minorHAnsi" w:cstheme="minorHAnsi"/>
                <w:sz w:val="22"/>
                <w:szCs w:val="22"/>
              </w:rPr>
              <w:t xml:space="preserve"> launched globally</w:t>
            </w:r>
            <w:r>
              <w:rPr>
                <w:rFonts w:asciiTheme="minorHAnsi" w:hAnsiTheme="minorHAnsi" w:cstheme="minorHAnsi"/>
                <w:sz w:val="22"/>
                <w:szCs w:val="22"/>
              </w:rPr>
              <w:t xml:space="preserve"> (</w:t>
            </w:r>
            <w:r w:rsidR="00B43C6D">
              <w:rPr>
                <w:rFonts w:asciiTheme="minorHAnsi" w:hAnsiTheme="minorHAnsi" w:cstheme="minorHAnsi"/>
                <w:sz w:val="22"/>
                <w:szCs w:val="22"/>
              </w:rPr>
              <w:t>NME</w:t>
            </w:r>
            <w:r>
              <w:rPr>
                <w:rFonts w:asciiTheme="minorHAnsi" w:hAnsiTheme="minorHAnsi" w:cstheme="minorHAnsi"/>
                <w:sz w:val="22"/>
                <w:szCs w:val="22"/>
              </w:rPr>
              <w:t>)</w:t>
            </w:r>
            <w:r w:rsidR="00B07F51">
              <w:rPr>
                <w:rFonts w:asciiTheme="minorHAnsi" w:hAnsiTheme="minorHAnsi" w:cstheme="minorHAnsi"/>
                <w:sz w:val="22"/>
                <w:szCs w:val="22"/>
              </w:rPr>
              <w:t xml:space="preserve"> (263 l</w:t>
            </w:r>
            <w:r w:rsidR="000B3883">
              <w:rPr>
                <w:rFonts w:asciiTheme="minorHAnsi" w:hAnsiTheme="minorHAnsi" w:cstheme="minorHAnsi"/>
                <w:sz w:val="22"/>
                <w:szCs w:val="22"/>
              </w:rPr>
              <w:t>aunched</w:t>
            </w:r>
            <w:r w:rsidR="00B07F51">
              <w:rPr>
                <w:rFonts w:asciiTheme="minorHAnsi" w:hAnsiTheme="minorHAnsi" w:cstheme="minorHAnsi"/>
                <w:sz w:val="22"/>
                <w:szCs w:val="22"/>
              </w:rPr>
              <w:t>)</w:t>
            </w:r>
          </w:p>
        </w:tc>
      </w:tr>
      <w:tr w:rsidR="003D4AD4" w14:paraId="702F14A3" w14:textId="77777777" w:rsidTr="000B38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CDFBA9C" w14:textId="368C7802" w:rsidR="003D4AD4" w:rsidRPr="003D4AD4" w:rsidRDefault="003D4AD4" w:rsidP="003D4AD4">
            <w:pPr>
              <w:spacing w:before="0"/>
              <w:rPr>
                <w:rFonts w:asciiTheme="minorHAnsi" w:hAnsiTheme="minorHAnsi" w:cstheme="minorHAnsi"/>
                <w:sz w:val="22"/>
                <w:szCs w:val="22"/>
              </w:rPr>
            </w:pPr>
            <w:r>
              <w:rPr>
                <w:rFonts w:asciiTheme="minorHAnsi" w:hAnsiTheme="minorHAnsi" w:cstheme="minorHAnsi"/>
                <w:sz w:val="22"/>
                <w:szCs w:val="22"/>
              </w:rPr>
              <w:t>Time period</w:t>
            </w:r>
          </w:p>
        </w:tc>
        <w:tc>
          <w:tcPr>
            <w:tcW w:w="6662" w:type="dxa"/>
            <w:gridSpan w:val="3"/>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E069B48" w14:textId="22099BA9" w:rsidR="003D4AD4" w:rsidRPr="003D4AD4" w:rsidRDefault="003D4AD4"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2016</w:t>
            </w:r>
            <w:r w:rsidR="00BD5201">
              <w:rPr>
                <w:rFonts w:asciiTheme="minorHAnsi" w:hAnsiTheme="minorHAnsi" w:cstheme="minorHAnsi"/>
                <w:sz w:val="22"/>
                <w:szCs w:val="22"/>
              </w:rPr>
              <w:t>–</w:t>
            </w:r>
            <w:r>
              <w:rPr>
                <w:rFonts w:asciiTheme="minorHAnsi" w:hAnsiTheme="minorHAnsi" w:cstheme="minorHAnsi"/>
                <w:sz w:val="22"/>
                <w:szCs w:val="22"/>
              </w:rPr>
              <w:t>2021</w:t>
            </w:r>
          </w:p>
        </w:tc>
      </w:tr>
      <w:tr w:rsidR="0089668F" w14:paraId="2E0BC7E8" w14:textId="77777777" w:rsidTr="000B3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D0CECE" w:themeColor="background2" w:themeShade="E6"/>
              <w:left w:val="single" w:sz="4" w:space="0" w:color="D0CECE" w:themeColor="background2" w:themeShade="E6"/>
              <w:bottom w:val="single" w:sz="4" w:space="0" w:color="FFFFFF" w:themeColor="background1"/>
              <w:right w:val="single" w:sz="4" w:space="0" w:color="D0CECE" w:themeColor="background2" w:themeShade="E6"/>
            </w:tcBorders>
          </w:tcPr>
          <w:p w14:paraId="4D72A4CA" w14:textId="01CD9223" w:rsidR="0089668F" w:rsidRPr="0089668F" w:rsidRDefault="0089668F" w:rsidP="003D4AD4">
            <w:pPr>
              <w:spacing w:before="0"/>
              <w:rPr>
                <w:rFonts w:asciiTheme="minorHAnsi" w:hAnsiTheme="minorHAnsi" w:cstheme="minorHAnsi"/>
                <w:sz w:val="22"/>
                <w:szCs w:val="22"/>
              </w:rPr>
            </w:pPr>
            <w:r w:rsidRPr="0089668F">
              <w:rPr>
                <w:rFonts w:asciiTheme="minorHAnsi" w:hAnsiTheme="minorHAnsi" w:cstheme="minorHAnsi"/>
                <w:sz w:val="22"/>
                <w:szCs w:val="22"/>
              </w:rPr>
              <w:t>Comparison countries</w:t>
            </w:r>
          </w:p>
        </w:tc>
        <w:tc>
          <w:tcPr>
            <w:tcW w:w="6662" w:type="dxa"/>
            <w:gridSpan w:val="3"/>
            <w:tcBorders>
              <w:top w:val="single" w:sz="4" w:space="0" w:color="D0CECE" w:themeColor="background2" w:themeShade="E6"/>
              <w:left w:val="single" w:sz="4" w:space="0" w:color="D0CECE" w:themeColor="background2" w:themeShade="E6"/>
              <w:bottom w:val="single" w:sz="4" w:space="0" w:color="FFFFFF" w:themeColor="background1"/>
              <w:right w:val="single" w:sz="4" w:space="0" w:color="D0CECE" w:themeColor="background2" w:themeShade="E6"/>
            </w:tcBorders>
          </w:tcPr>
          <w:p w14:paraId="4228B099" w14:textId="6C86CB0C" w:rsidR="0089668F" w:rsidRPr="0089668F" w:rsidRDefault="0089668F"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9668F">
              <w:rPr>
                <w:rFonts w:asciiTheme="minorHAnsi" w:hAnsiTheme="minorHAnsi" w:cstheme="minorHAnsi"/>
                <w:sz w:val="22"/>
                <w:szCs w:val="22"/>
              </w:rPr>
              <w:t>20 OECD countries</w:t>
            </w:r>
            <w:r w:rsidR="00B43C6D">
              <w:rPr>
                <w:rFonts w:asciiTheme="minorHAnsi" w:hAnsiTheme="minorHAnsi" w:cstheme="minorHAnsi"/>
                <w:sz w:val="22"/>
                <w:szCs w:val="22"/>
              </w:rPr>
              <w:t xml:space="preserve"> (OECD-20)</w:t>
            </w:r>
          </w:p>
        </w:tc>
      </w:tr>
      <w:tr w:rsidR="0089668F" w14:paraId="6E6E07D4" w14:textId="77777777" w:rsidTr="000B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tcPr>
          <w:p w14:paraId="4C29FE65" w14:textId="2D02A2A4" w:rsidR="0089668F" w:rsidRPr="0089668F" w:rsidRDefault="0089668F" w:rsidP="003D4AD4">
            <w:pPr>
              <w:spacing w:before="0"/>
              <w:rPr>
                <w:rFonts w:asciiTheme="minorHAnsi" w:hAnsiTheme="minorHAnsi" w:cstheme="minorHAnsi"/>
                <w:b/>
                <w:bCs/>
                <w:color w:val="FFFFFF" w:themeColor="background1"/>
                <w:sz w:val="22"/>
                <w:szCs w:val="22"/>
              </w:rPr>
            </w:pPr>
            <w:r w:rsidRPr="0089668F">
              <w:rPr>
                <w:rFonts w:asciiTheme="minorHAnsi" w:hAnsiTheme="minorHAnsi" w:cstheme="minorHAnsi"/>
                <w:b/>
                <w:bCs/>
                <w:color w:val="FFFFFF" w:themeColor="background1"/>
                <w:sz w:val="22"/>
                <w:szCs w:val="22"/>
              </w:rPr>
              <w:t>Measure</w:t>
            </w:r>
          </w:p>
        </w:tc>
        <w:tc>
          <w:tcPr>
            <w:tcW w:w="2595"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tcPr>
          <w:p w14:paraId="4F47F8FA" w14:textId="78F59FA7" w:rsidR="0089668F" w:rsidRPr="0089668F" w:rsidRDefault="0089668F"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89668F">
              <w:rPr>
                <w:rFonts w:asciiTheme="minorHAnsi" w:hAnsiTheme="minorHAnsi" w:cstheme="minorHAnsi"/>
                <w:b/>
                <w:bCs/>
                <w:color w:val="FFFFFF" w:themeColor="background1"/>
                <w:sz w:val="22"/>
                <w:szCs w:val="22"/>
              </w:rPr>
              <w:t>Country</w:t>
            </w:r>
          </w:p>
        </w:tc>
        <w:tc>
          <w:tcPr>
            <w:tcW w:w="2033"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tcPr>
          <w:p w14:paraId="17276A89" w14:textId="3122AC49" w:rsidR="0089668F" w:rsidRPr="0089668F" w:rsidRDefault="0089668F"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89668F">
              <w:rPr>
                <w:rFonts w:asciiTheme="minorHAnsi" w:hAnsiTheme="minorHAnsi" w:cstheme="minorHAnsi"/>
                <w:b/>
                <w:bCs/>
                <w:color w:val="FFFFFF" w:themeColor="background1"/>
                <w:sz w:val="22"/>
                <w:szCs w:val="22"/>
              </w:rPr>
              <w:t>Result</w:t>
            </w:r>
          </w:p>
        </w:tc>
        <w:tc>
          <w:tcPr>
            <w:tcW w:w="2034"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tcPr>
          <w:p w14:paraId="0211581D" w14:textId="426DF1F3" w:rsidR="0089668F" w:rsidRPr="0089668F" w:rsidRDefault="0089668F"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89668F">
              <w:rPr>
                <w:rFonts w:asciiTheme="minorHAnsi" w:hAnsiTheme="minorHAnsi" w:cstheme="minorHAnsi"/>
                <w:b/>
                <w:bCs/>
                <w:color w:val="FFFFFF" w:themeColor="background1"/>
                <w:sz w:val="22"/>
                <w:szCs w:val="22"/>
              </w:rPr>
              <w:t>Rank</w:t>
            </w:r>
            <w:r w:rsidR="007E281B">
              <w:rPr>
                <w:rFonts w:asciiTheme="minorHAnsi" w:hAnsiTheme="minorHAnsi" w:cstheme="minorHAnsi"/>
                <w:b/>
                <w:bCs/>
                <w:color w:val="FFFFFF" w:themeColor="background1"/>
                <w:sz w:val="22"/>
                <w:szCs w:val="22"/>
              </w:rPr>
              <w:t xml:space="preserve"> (OECD-20)</w:t>
            </w:r>
          </w:p>
        </w:tc>
      </w:tr>
      <w:tr w:rsidR="0089668F" w14:paraId="6DB19C96" w14:textId="77777777" w:rsidTr="000B3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6BBAFC82" w14:textId="21A6280D" w:rsidR="0089668F" w:rsidRPr="003D4AD4" w:rsidRDefault="0089668F" w:rsidP="003D4AD4">
            <w:pPr>
              <w:spacing w:before="0"/>
              <w:rPr>
                <w:rFonts w:asciiTheme="minorHAnsi" w:hAnsiTheme="minorHAnsi" w:cstheme="minorHAnsi"/>
                <w:sz w:val="22"/>
                <w:szCs w:val="22"/>
              </w:rPr>
            </w:pPr>
            <w:r w:rsidRPr="003D4AD4">
              <w:rPr>
                <w:rFonts w:asciiTheme="minorHAnsi" w:hAnsiTheme="minorHAnsi" w:cstheme="minorHAnsi"/>
                <w:sz w:val="22"/>
                <w:szCs w:val="22"/>
              </w:rPr>
              <w:t xml:space="preserve">Average time from registration to reimbursement </w:t>
            </w:r>
          </w:p>
        </w:tc>
        <w:tc>
          <w:tcPr>
            <w:tcW w:w="2595"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7AF91C14" w14:textId="0CE013D0" w:rsidR="0089668F" w:rsidRPr="0089668F" w:rsidRDefault="0089668F"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9668F">
              <w:rPr>
                <w:rFonts w:asciiTheme="minorHAnsi" w:hAnsiTheme="minorHAnsi" w:cstheme="minorHAnsi"/>
                <w:sz w:val="22"/>
                <w:szCs w:val="22"/>
              </w:rPr>
              <w:t xml:space="preserve">Australia </w:t>
            </w:r>
          </w:p>
          <w:p w14:paraId="4E716E5F" w14:textId="77777777" w:rsidR="00D475FB" w:rsidRPr="00B43C6D" w:rsidRDefault="00D475FB" w:rsidP="00D475F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Canada</w:t>
            </w:r>
          </w:p>
          <w:p w14:paraId="1DA3E451" w14:textId="242649AC" w:rsidR="0089668F" w:rsidRPr="0089668F" w:rsidRDefault="0089668F"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France</w:t>
            </w:r>
          </w:p>
          <w:p w14:paraId="1F540E3C" w14:textId="7EA5446A" w:rsidR="0089668F" w:rsidRPr="00B43C6D" w:rsidRDefault="00B43C6D"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43C6D">
              <w:rPr>
                <w:rFonts w:asciiTheme="minorHAnsi" w:hAnsiTheme="minorHAnsi" w:cstheme="minorHAnsi"/>
                <w:sz w:val="22"/>
                <w:szCs w:val="22"/>
              </w:rPr>
              <w:t>Germany</w:t>
            </w:r>
          </w:p>
          <w:p w14:paraId="05B9F6AD" w14:textId="65B0CB68" w:rsidR="00B43C6D" w:rsidRPr="00B43C6D" w:rsidRDefault="008A41DC"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UK</w:t>
            </w:r>
          </w:p>
          <w:p w14:paraId="7147493F" w14:textId="39C421D8" w:rsidR="0089668F" w:rsidRPr="000B3883" w:rsidRDefault="0089668F" w:rsidP="003D4AD4">
            <w:pPr>
              <w:spacing w:before="0"/>
              <w:cnfStyle w:val="000000010000" w:firstRow="0" w:lastRow="0" w:firstColumn="0" w:lastColumn="0" w:oddVBand="0" w:evenVBand="0" w:oddHBand="0" w:evenHBand="1" w:firstRowFirstColumn="0" w:firstRowLastColumn="0" w:lastRowFirstColumn="0" w:lastRowLastColumn="0"/>
              <w:rPr>
                <w:rFonts w:cstheme="minorHAnsi"/>
                <w:b/>
                <w:bCs/>
              </w:rPr>
            </w:pPr>
            <w:r w:rsidRPr="000B3883">
              <w:rPr>
                <w:rFonts w:asciiTheme="minorHAnsi" w:hAnsiTheme="minorHAnsi" w:cstheme="minorHAnsi"/>
                <w:b/>
                <w:bCs/>
                <w:sz w:val="22"/>
                <w:szCs w:val="22"/>
              </w:rPr>
              <w:t>OECD</w:t>
            </w:r>
            <w:r w:rsidR="00B43C6D" w:rsidRPr="000B3883">
              <w:rPr>
                <w:rFonts w:asciiTheme="minorHAnsi" w:hAnsiTheme="minorHAnsi" w:cstheme="minorHAnsi"/>
                <w:b/>
                <w:bCs/>
                <w:sz w:val="22"/>
                <w:szCs w:val="22"/>
              </w:rPr>
              <w:t xml:space="preserve">-20 </w:t>
            </w:r>
            <w:r w:rsidR="00D475FB" w:rsidRPr="000B3883">
              <w:rPr>
                <w:rFonts w:asciiTheme="minorHAnsi" w:hAnsiTheme="minorHAnsi" w:cstheme="minorHAnsi"/>
                <w:b/>
                <w:bCs/>
                <w:sz w:val="22"/>
                <w:szCs w:val="22"/>
              </w:rPr>
              <w:t>a</w:t>
            </w:r>
            <w:r w:rsidR="00B43C6D" w:rsidRPr="000B3883">
              <w:rPr>
                <w:rFonts w:asciiTheme="minorHAnsi" w:hAnsiTheme="minorHAnsi" w:cstheme="minorHAnsi"/>
                <w:b/>
                <w:bCs/>
                <w:sz w:val="22"/>
                <w:szCs w:val="22"/>
              </w:rPr>
              <w:t>verage</w:t>
            </w:r>
          </w:p>
        </w:tc>
        <w:tc>
          <w:tcPr>
            <w:tcW w:w="2033"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165A9602" w14:textId="3D6AFFD9" w:rsidR="0089668F" w:rsidRDefault="0069539A"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 months</w:t>
            </w:r>
          </w:p>
          <w:p w14:paraId="3F891BFA" w14:textId="77777777" w:rsidR="00D475FB" w:rsidRDefault="00D475FB" w:rsidP="00D475F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Not reported</w:t>
            </w:r>
          </w:p>
          <w:p w14:paraId="6E33E9C2" w14:textId="24AF2F1C" w:rsidR="0089668F" w:rsidRDefault="0069539A"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8 months</w:t>
            </w:r>
          </w:p>
          <w:p w14:paraId="1DAB6A11" w14:textId="57F8246D" w:rsidR="00B43C6D" w:rsidRDefault="0069539A"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 months</w:t>
            </w:r>
          </w:p>
          <w:p w14:paraId="03DE6631" w14:textId="19D154A8" w:rsidR="00B43C6D" w:rsidRDefault="0069539A"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 months</w:t>
            </w:r>
          </w:p>
          <w:p w14:paraId="2479256C" w14:textId="018D4DE9" w:rsidR="00B43C6D" w:rsidRPr="000B3883" w:rsidRDefault="0069539A"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0B3883">
              <w:rPr>
                <w:rFonts w:asciiTheme="minorHAnsi" w:hAnsiTheme="minorHAnsi" w:cstheme="minorHAnsi"/>
                <w:b/>
                <w:bCs/>
                <w:sz w:val="22"/>
                <w:szCs w:val="22"/>
              </w:rPr>
              <w:t>13 months</w:t>
            </w:r>
          </w:p>
        </w:tc>
        <w:tc>
          <w:tcPr>
            <w:tcW w:w="2034"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12599868" w14:textId="0191A5BC" w:rsidR="0089668F" w:rsidRDefault="0089668F"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11</w:t>
            </w:r>
            <w:r w:rsidRPr="0089668F">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7AC30244" w14:textId="263AE91C" w:rsidR="00D475FB" w:rsidRDefault="00D475FB"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Not reported</w:t>
            </w:r>
          </w:p>
          <w:p w14:paraId="77713F39" w14:textId="39D6A69F" w:rsidR="0089668F" w:rsidRDefault="00B43C6D"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w:t>
            </w:r>
            <w:r w:rsidRPr="00B43C6D">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673ECFAC" w14:textId="77777777" w:rsidR="00B43C6D" w:rsidRDefault="00B43C6D"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w:t>
            </w:r>
            <w:r w:rsidRPr="00B43C6D">
              <w:rPr>
                <w:rFonts w:asciiTheme="minorHAnsi" w:hAnsiTheme="minorHAnsi" w:cstheme="minorHAnsi"/>
                <w:sz w:val="22"/>
                <w:szCs w:val="22"/>
                <w:vertAlign w:val="superscript"/>
              </w:rPr>
              <w:t>nd</w:t>
            </w:r>
            <w:r>
              <w:rPr>
                <w:rFonts w:asciiTheme="minorHAnsi" w:hAnsiTheme="minorHAnsi" w:cstheme="minorHAnsi"/>
                <w:sz w:val="22"/>
                <w:szCs w:val="22"/>
              </w:rPr>
              <w:t xml:space="preserve"> </w:t>
            </w:r>
          </w:p>
          <w:p w14:paraId="2AFBD517" w14:textId="77777777" w:rsidR="00B43C6D" w:rsidRDefault="00B43C6D"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w:t>
            </w:r>
            <w:r w:rsidRPr="00B43C6D">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7F76052D" w14:textId="3321FC3E" w:rsidR="00B43C6D" w:rsidRPr="003D4AD4" w:rsidRDefault="00B43C6D"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B43C6D" w14:paraId="4B1622EE" w14:textId="77777777" w:rsidTr="000B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9379CD0" w14:textId="0BF3C3AB" w:rsidR="00B43C6D" w:rsidRPr="003D4AD4" w:rsidRDefault="00B43C6D" w:rsidP="003D4AD4">
            <w:pPr>
              <w:spacing w:before="0"/>
              <w:rPr>
                <w:rFonts w:asciiTheme="minorHAnsi" w:hAnsiTheme="minorHAnsi" w:cstheme="minorHAnsi"/>
                <w:sz w:val="22"/>
                <w:szCs w:val="22"/>
              </w:rPr>
            </w:pPr>
            <w:r w:rsidRPr="003D4AD4">
              <w:rPr>
                <w:rFonts w:asciiTheme="minorHAnsi" w:hAnsiTheme="minorHAnsi" w:cstheme="minorHAnsi"/>
                <w:sz w:val="22"/>
                <w:szCs w:val="22"/>
              </w:rPr>
              <w:lastRenderedPageBreak/>
              <w:t xml:space="preserve">Number of new molecular entities reimbursed </w:t>
            </w:r>
          </w:p>
        </w:tc>
        <w:tc>
          <w:tcPr>
            <w:tcW w:w="2595"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196F29BE" w14:textId="77777777" w:rsidR="00B43C6D" w:rsidRDefault="00B43C6D"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Australia</w:t>
            </w:r>
          </w:p>
          <w:p w14:paraId="55245F66" w14:textId="77777777" w:rsidR="00D475FB" w:rsidRDefault="00D475FB" w:rsidP="00D475F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Canada</w:t>
            </w:r>
          </w:p>
          <w:p w14:paraId="6CD11B0F" w14:textId="392FF728" w:rsidR="00B43C6D" w:rsidRDefault="00B43C6D"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France</w:t>
            </w:r>
          </w:p>
          <w:p w14:paraId="3D59C2A8" w14:textId="77777777" w:rsidR="00B43C6D" w:rsidRDefault="00B43C6D"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Germany</w:t>
            </w:r>
          </w:p>
          <w:p w14:paraId="5A3CAFEC" w14:textId="367536DA" w:rsidR="00B43C6D" w:rsidRDefault="008A41DC"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UK</w:t>
            </w:r>
          </w:p>
          <w:p w14:paraId="746FE469" w14:textId="74949779" w:rsidR="00B43C6D" w:rsidRPr="000B3883" w:rsidRDefault="00B43C6D"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0B3883">
              <w:rPr>
                <w:rFonts w:asciiTheme="minorHAnsi" w:hAnsiTheme="minorHAnsi" w:cstheme="minorHAnsi"/>
                <w:b/>
                <w:bCs/>
                <w:sz w:val="22"/>
                <w:szCs w:val="22"/>
              </w:rPr>
              <w:t xml:space="preserve">OECD-20 </w:t>
            </w:r>
            <w:r w:rsidR="00D475FB" w:rsidRPr="000B3883">
              <w:rPr>
                <w:rFonts w:asciiTheme="minorHAnsi" w:hAnsiTheme="minorHAnsi" w:cstheme="minorHAnsi"/>
                <w:b/>
                <w:bCs/>
                <w:sz w:val="22"/>
                <w:szCs w:val="22"/>
              </w:rPr>
              <w:t>a</w:t>
            </w:r>
            <w:r w:rsidRPr="000B3883">
              <w:rPr>
                <w:rFonts w:asciiTheme="minorHAnsi" w:hAnsiTheme="minorHAnsi" w:cstheme="minorHAnsi"/>
                <w:b/>
                <w:bCs/>
                <w:sz w:val="22"/>
                <w:szCs w:val="22"/>
              </w:rPr>
              <w:t>verage</w:t>
            </w:r>
          </w:p>
        </w:tc>
        <w:tc>
          <w:tcPr>
            <w:tcW w:w="2033"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5EC289DA" w14:textId="77777777" w:rsidR="00B43C6D" w:rsidRDefault="00B43C6D"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74 NMEs</w:t>
            </w:r>
          </w:p>
          <w:p w14:paraId="597E206D" w14:textId="77777777" w:rsidR="00D475FB" w:rsidRDefault="00D475FB" w:rsidP="00D475F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71 NMEs</w:t>
            </w:r>
          </w:p>
          <w:p w14:paraId="0FEEC3D1" w14:textId="165343F7" w:rsidR="00B43C6D" w:rsidRDefault="00B43C6D"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119 NMEs</w:t>
            </w:r>
          </w:p>
          <w:p w14:paraId="41686D88" w14:textId="77777777" w:rsidR="00B43C6D" w:rsidRDefault="00B43C6D"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165 NMEs</w:t>
            </w:r>
          </w:p>
          <w:p w14:paraId="18C98275" w14:textId="77777777" w:rsidR="00071662" w:rsidRDefault="00071662"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151 NMEs</w:t>
            </w:r>
          </w:p>
          <w:p w14:paraId="039A9393" w14:textId="68B1E880" w:rsidR="00071662" w:rsidRPr="000B3883" w:rsidRDefault="00071662"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0B3883">
              <w:rPr>
                <w:rFonts w:asciiTheme="minorHAnsi" w:hAnsiTheme="minorHAnsi" w:cstheme="minorHAnsi"/>
                <w:b/>
                <w:bCs/>
                <w:sz w:val="22"/>
                <w:szCs w:val="22"/>
              </w:rPr>
              <w:t>123.6 NMEs</w:t>
            </w:r>
          </w:p>
        </w:tc>
        <w:tc>
          <w:tcPr>
            <w:tcW w:w="20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179F363" w14:textId="77777777" w:rsidR="00B43C6D" w:rsidRDefault="00B43C6D"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16</w:t>
            </w:r>
            <w:r w:rsidRPr="00B43C6D">
              <w:rPr>
                <w:rFonts w:asciiTheme="minorHAnsi" w:hAnsiTheme="minorHAnsi" w:cstheme="minorHAnsi"/>
                <w:sz w:val="22"/>
                <w:szCs w:val="22"/>
                <w:vertAlign w:val="superscript"/>
              </w:rPr>
              <w:t>th</w:t>
            </w:r>
          </w:p>
          <w:p w14:paraId="4459DF7F" w14:textId="77777777" w:rsidR="00D475FB" w:rsidRPr="00071662" w:rsidRDefault="00D475FB" w:rsidP="00D475F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17</w:t>
            </w:r>
            <w:r w:rsidRPr="00071662">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5ABD68CA" w14:textId="0C9ABEE1" w:rsidR="00B43C6D" w:rsidRDefault="00B43C6D"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w:t>
            </w:r>
            <w:r w:rsidRPr="00B43C6D">
              <w:rPr>
                <w:rFonts w:asciiTheme="minorHAnsi" w:hAnsiTheme="minorHAnsi" w:cstheme="minorHAnsi"/>
                <w:sz w:val="22"/>
                <w:szCs w:val="22"/>
                <w:vertAlign w:val="superscript"/>
              </w:rPr>
              <w:t>th</w:t>
            </w:r>
          </w:p>
          <w:p w14:paraId="748D7AE2" w14:textId="77777777" w:rsidR="00B43C6D" w:rsidRDefault="00071662"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w:t>
            </w:r>
            <w:r w:rsidRPr="00071662">
              <w:rPr>
                <w:rFonts w:asciiTheme="minorHAnsi" w:hAnsiTheme="minorHAnsi" w:cstheme="minorHAnsi"/>
                <w:sz w:val="22"/>
                <w:szCs w:val="22"/>
                <w:vertAlign w:val="superscript"/>
              </w:rPr>
              <w:t>st</w:t>
            </w:r>
            <w:r>
              <w:rPr>
                <w:rFonts w:asciiTheme="minorHAnsi" w:hAnsiTheme="minorHAnsi" w:cstheme="minorHAnsi"/>
                <w:sz w:val="22"/>
                <w:szCs w:val="22"/>
              </w:rPr>
              <w:t xml:space="preserve"> </w:t>
            </w:r>
          </w:p>
          <w:p w14:paraId="0C4BE89E" w14:textId="27AEA93D" w:rsidR="00071662" w:rsidRDefault="00071662" w:rsidP="003D4AD4">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w:t>
            </w:r>
            <w:r w:rsidRPr="00071662">
              <w:rPr>
                <w:rFonts w:asciiTheme="minorHAnsi" w:hAnsiTheme="minorHAnsi" w:cstheme="minorHAnsi"/>
                <w:sz w:val="22"/>
                <w:szCs w:val="22"/>
                <w:vertAlign w:val="superscript"/>
              </w:rPr>
              <w:t>rd</w:t>
            </w:r>
          </w:p>
          <w:p w14:paraId="4587AB1C" w14:textId="13C30BB4" w:rsidR="00071662" w:rsidRPr="00B43C6D" w:rsidRDefault="00071662" w:rsidP="00D475FB">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B43C6D" w14:paraId="7A004799" w14:textId="77777777" w:rsidTr="000B3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2B46D995" w14:textId="7E5B45A6" w:rsidR="00B43C6D" w:rsidRPr="003D4AD4" w:rsidRDefault="00B43C6D" w:rsidP="003D4AD4">
            <w:pPr>
              <w:spacing w:before="0"/>
              <w:rPr>
                <w:rFonts w:asciiTheme="minorHAnsi" w:hAnsiTheme="minorHAnsi" w:cstheme="minorHAnsi"/>
                <w:sz w:val="22"/>
                <w:szCs w:val="22"/>
              </w:rPr>
            </w:pPr>
            <w:r w:rsidRPr="003D4AD4">
              <w:rPr>
                <w:rFonts w:asciiTheme="minorHAnsi" w:hAnsiTheme="minorHAnsi" w:cstheme="minorHAnsi"/>
                <w:sz w:val="22"/>
                <w:szCs w:val="22"/>
              </w:rPr>
              <w:t xml:space="preserve">Proportion of registered new molecular entities reimbursed </w:t>
            </w:r>
          </w:p>
        </w:tc>
        <w:tc>
          <w:tcPr>
            <w:tcW w:w="2595"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1D95AFEE" w14:textId="77777777" w:rsidR="00071662" w:rsidRDefault="00071662" w:rsidP="00071662">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Australia</w:t>
            </w:r>
          </w:p>
          <w:p w14:paraId="672668FB" w14:textId="77777777" w:rsidR="00D475FB" w:rsidRDefault="00D475FB" w:rsidP="00D475F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Canada</w:t>
            </w:r>
          </w:p>
          <w:p w14:paraId="128AF908" w14:textId="46DFF276" w:rsidR="00071662" w:rsidRDefault="00071662" w:rsidP="00071662">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France</w:t>
            </w:r>
          </w:p>
          <w:p w14:paraId="78806AE4" w14:textId="77777777" w:rsidR="00071662" w:rsidRDefault="00071662" w:rsidP="00071662">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Germany</w:t>
            </w:r>
          </w:p>
          <w:p w14:paraId="71919580" w14:textId="666613D0" w:rsidR="00071662" w:rsidRDefault="008A41DC" w:rsidP="00071662">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UK</w:t>
            </w:r>
          </w:p>
          <w:p w14:paraId="42B93D77" w14:textId="79E45C04" w:rsidR="00B43C6D" w:rsidRPr="000B3883" w:rsidRDefault="00071662" w:rsidP="00071662">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0B3883">
              <w:rPr>
                <w:rFonts w:asciiTheme="minorHAnsi" w:hAnsiTheme="minorHAnsi" w:cstheme="minorHAnsi"/>
                <w:b/>
                <w:bCs/>
                <w:sz w:val="22"/>
                <w:szCs w:val="22"/>
              </w:rPr>
              <w:t xml:space="preserve">OECD-20 </w:t>
            </w:r>
            <w:r w:rsidR="00D475FB" w:rsidRPr="000B3883">
              <w:rPr>
                <w:rFonts w:asciiTheme="minorHAnsi" w:hAnsiTheme="minorHAnsi" w:cstheme="minorHAnsi"/>
                <w:b/>
                <w:bCs/>
                <w:sz w:val="22"/>
                <w:szCs w:val="22"/>
              </w:rPr>
              <w:t>a</w:t>
            </w:r>
            <w:r w:rsidRPr="000B3883">
              <w:rPr>
                <w:rFonts w:asciiTheme="minorHAnsi" w:hAnsiTheme="minorHAnsi" w:cstheme="minorHAnsi"/>
                <w:b/>
                <w:bCs/>
                <w:sz w:val="22"/>
                <w:szCs w:val="22"/>
              </w:rPr>
              <w:t>verage</w:t>
            </w:r>
          </w:p>
        </w:tc>
        <w:tc>
          <w:tcPr>
            <w:tcW w:w="2033"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0214714B" w14:textId="77777777" w:rsidR="00B43C6D" w:rsidRDefault="00071662"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45%</w:t>
            </w:r>
          </w:p>
          <w:p w14:paraId="0FFCB213" w14:textId="77777777" w:rsidR="00D475FB" w:rsidRDefault="00D475FB" w:rsidP="00D475F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33%</w:t>
            </w:r>
          </w:p>
          <w:p w14:paraId="0995A685" w14:textId="6A9D939B" w:rsidR="00071662" w:rsidRDefault="00071662"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58%</w:t>
            </w:r>
          </w:p>
          <w:p w14:paraId="05E92DEA" w14:textId="77777777" w:rsidR="00071662" w:rsidRDefault="00071662"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80%</w:t>
            </w:r>
          </w:p>
          <w:p w14:paraId="08D6E87E" w14:textId="77777777" w:rsidR="00071662" w:rsidRDefault="00071662"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76%</w:t>
            </w:r>
          </w:p>
          <w:p w14:paraId="5777E794" w14:textId="6D5D1668" w:rsidR="00071662" w:rsidRPr="000B3883" w:rsidRDefault="00071662"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0B3883">
              <w:rPr>
                <w:rFonts w:asciiTheme="minorHAnsi" w:hAnsiTheme="minorHAnsi" w:cstheme="minorHAnsi"/>
                <w:b/>
                <w:bCs/>
                <w:sz w:val="22"/>
                <w:szCs w:val="22"/>
              </w:rPr>
              <w:t>55.4%</w:t>
            </w:r>
          </w:p>
        </w:tc>
        <w:tc>
          <w:tcPr>
            <w:tcW w:w="20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9C7BB2B" w14:textId="145249EF" w:rsidR="00B43C6D" w:rsidRDefault="00071662"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vertAlign w:val="superscript"/>
              </w:rPr>
            </w:pPr>
            <w:r>
              <w:rPr>
                <w:rFonts w:asciiTheme="minorHAnsi" w:hAnsiTheme="minorHAnsi" w:cstheme="minorHAnsi"/>
                <w:sz w:val="22"/>
                <w:szCs w:val="22"/>
              </w:rPr>
              <w:t>13</w:t>
            </w:r>
            <w:r w:rsidRPr="00071662">
              <w:rPr>
                <w:rFonts w:asciiTheme="minorHAnsi" w:hAnsiTheme="minorHAnsi" w:cstheme="minorHAnsi"/>
                <w:sz w:val="22"/>
                <w:szCs w:val="22"/>
                <w:vertAlign w:val="superscript"/>
              </w:rPr>
              <w:t>th</w:t>
            </w:r>
          </w:p>
          <w:p w14:paraId="7B29C654" w14:textId="77777777" w:rsidR="00D475FB" w:rsidRDefault="00D475FB" w:rsidP="00D475F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18</w:t>
            </w:r>
            <w:r w:rsidRPr="00071662">
              <w:rPr>
                <w:rFonts w:asciiTheme="minorHAnsi" w:hAnsiTheme="minorHAnsi" w:cstheme="minorHAnsi"/>
                <w:sz w:val="22"/>
                <w:szCs w:val="22"/>
                <w:vertAlign w:val="superscript"/>
              </w:rPr>
              <w:t>th</w:t>
            </w:r>
          </w:p>
          <w:p w14:paraId="33EB0D6C" w14:textId="2C2F5852" w:rsidR="00071662" w:rsidRDefault="00071662"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vertAlign w:val="superscript"/>
              </w:rPr>
            </w:pPr>
            <w:r>
              <w:rPr>
                <w:rFonts w:asciiTheme="minorHAnsi" w:hAnsiTheme="minorHAnsi" w:cstheme="minorHAnsi"/>
                <w:sz w:val="22"/>
                <w:szCs w:val="22"/>
              </w:rPr>
              <w:t>6</w:t>
            </w:r>
            <w:r w:rsidRPr="00071662">
              <w:rPr>
                <w:rFonts w:asciiTheme="minorHAnsi" w:hAnsiTheme="minorHAnsi" w:cstheme="minorHAnsi"/>
                <w:sz w:val="22"/>
                <w:szCs w:val="22"/>
                <w:vertAlign w:val="superscript"/>
              </w:rPr>
              <w:t>th</w:t>
            </w:r>
          </w:p>
          <w:p w14:paraId="483B1EE4" w14:textId="04058B7D" w:rsidR="00071662" w:rsidRDefault="00071662"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vertAlign w:val="superscript"/>
              </w:rPr>
            </w:pPr>
            <w:r>
              <w:rPr>
                <w:rFonts w:asciiTheme="minorHAnsi" w:hAnsiTheme="minorHAnsi" w:cstheme="minorHAnsi"/>
                <w:sz w:val="22"/>
                <w:szCs w:val="22"/>
              </w:rPr>
              <w:t>2</w:t>
            </w:r>
            <w:r w:rsidRPr="00071662">
              <w:rPr>
                <w:rFonts w:asciiTheme="minorHAnsi" w:hAnsiTheme="minorHAnsi" w:cstheme="minorHAnsi"/>
                <w:sz w:val="22"/>
                <w:szCs w:val="22"/>
                <w:vertAlign w:val="superscript"/>
              </w:rPr>
              <w:t>nd</w:t>
            </w:r>
          </w:p>
          <w:p w14:paraId="32D66C81" w14:textId="47C0DE03" w:rsidR="00071662" w:rsidRDefault="00071662" w:rsidP="003D4AD4">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w:t>
            </w:r>
            <w:r w:rsidRPr="00071662">
              <w:rPr>
                <w:rFonts w:asciiTheme="minorHAnsi" w:hAnsiTheme="minorHAnsi" w:cstheme="minorHAnsi"/>
                <w:sz w:val="22"/>
                <w:szCs w:val="22"/>
                <w:vertAlign w:val="superscript"/>
              </w:rPr>
              <w:t>rd</w:t>
            </w:r>
          </w:p>
          <w:p w14:paraId="5815F541" w14:textId="1FAF0E63" w:rsidR="00071662" w:rsidRPr="00B43C6D" w:rsidRDefault="00071662" w:rsidP="00D475FB">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bl>
    <w:p w14:paraId="34283AEF" w14:textId="7703DD79" w:rsidR="0006084C" w:rsidRDefault="0006084C" w:rsidP="0006084C">
      <w:pPr>
        <w:pStyle w:val="Heading4"/>
      </w:pPr>
      <w:r>
        <w:t>Table 11. PhRMA</w:t>
      </w:r>
      <w:r w:rsidR="000B3883">
        <w:t xml:space="preserve"> -</w:t>
      </w:r>
      <w:r>
        <w:t xml:space="preserve"> Global Access to New Medicines Report 2023</w:t>
      </w:r>
    </w:p>
    <w:tbl>
      <w:tblPr>
        <w:tblStyle w:val="DepartmentofHealthtable"/>
        <w:tblW w:w="0" w:type="auto"/>
        <w:tblLook w:val="04A0" w:firstRow="1" w:lastRow="0" w:firstColumn="1" w:lastColumn="0" w:noHBand="0" w:noVBand="1"/>
      </w:tblPr>
      <w:tblGrid>
        <w:gridCol w:w="2350"/>
        <w:gridCol w:w="2680"/>
        <w:gridCol w:w="1996"/>
        <w:gridCol w:w="1990"/>
      </w:tblGrid>
      <w:tr w:rsidR="0006084C" w14:paraId="19FD0305" w14:textId="77777777" w:rsidTr="000B3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tcPr>
          <w:p w14:paraId="0669AE81" w14:textId="77777777" w:rsidR="0006084C" w:rsidRPr="003D4AD4" w:rsidRDefault="0006084C" w:rsidP="000812A7">
            <w:pPr>
              <w:spacing w:before="0"/>
              <w:rPr>
                <w:rFonts w:asciiTheme="minorHAnsi" w:hAnsiTheme="minorHAnsi" w:cstheme="minorHAnsi"/>
                <w:b/>
                <w:bCs/>
                <w:color w:val="FFFFFF" w:themeColor="background1"/>
                <w:szCs w:val="22"/>
              </w:rPr>
            </w:pPr>
            <w:r w:rsidRPr="003D4AD4">
              <w:rPr>
                <w:rFonts w:asciiTheme="minorHAnsi" w:hAnsiTheme="minorHAnsi" w:cstheme="minorHAnsi"/>
                <w:b/>
                <w:bCs/>
                <w:color w:val="FFFFFF" w:themeColor="background1"/>
                <w:szCs w:val="22"/>
              </w:rPr>
              <w:t>Study details</w:t>
            </w:r>
          </w:p>
        </w:tc>
        <w:tc>
          <w:tcPr>
            <w:tcW w:w="6804" w:type="dxa"/>
            <w:gridSpan w:val="3"/>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tcPr>
          <w:p w14:paraId="1F584FE0" w14:textId="77777777" w:rsidR="0006084C" w:rsidRPr="003D4AD4" w:rsidRDefault="0006084C" w:rsidP="000812A7">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Pr>
                <w:rFonts w:asciiTheme="minorHAnsi" w:hAnsiTheme="minorHAnsi" w:cstheme="minorHAnsi"/>
                <w:b/>
                <w:bCs/>
                <w:szCs w:val="22"/>
              </w:rPr>
              <w:t>Parameters</w:t>
            </w:r>
          </w:p>
        </w:tc>
      </w:tr>
      <w:tr w:rsidR="0006084C" w14:paraId="65D91111" w14:textId="77777777" w:rsidTr="000B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1A69849A" w14:textId="77777777" w:rsidR="0006084C" w:rsidRPr="003D4AD4" w:rsidRDefault="0006084C" w:rsidP="000812A7">
            <w:pPr>
              <w:spacing w:before="0"/>
              <w:rPr>
                <w:rFonts w:asciiTheme="minorHAnsi" w:hAnsiTheme="minorHAnsi" w:cstheme="minorHAnsi"/>
                <w:sz w:val="22"/>
                <w:szCs w:val="22"/>
              </w:rPr>
            </w:pPr>
            <w:r>
              <w:rPr>
                <w:rFonts w:asciiTheme="minorHAnsi" w:hAnsiTheme="minorHAnsi" w:cstheme="minorHAnsi"/>
                <w:sz w:val="22"/>
                <w:szCs w:val="22"/>
              </w:rPr>
              <w:t>Objective</w:t>
            </w:r>
          </w:p>
        </w:tc>
        <w:tc>
          <w:tcPr>
            <w:tcW w:w="6804" w:type="dxa"/>
            <w:gridSpan w:val="3"/>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5D10BABF" w14:textId="0CF076CF" w:rsidR="0006084C" w:rsidRPr="003D4AD4" w:rsidRDefault="0006084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854FE">
              <w:rPr>
                <w:rFonts w:asciiTheme="minorHAnsi" w:hAnsiTheme="minorHAnsi" w:cstheme="minorHAnsi"/>
                <w:sz w:val="22"/>
                <w:szCs w:val="22"/>
              </w:rPr>
              <w:t xml:space="preserve">To compare timelines for medicine </w:t>
            </w:r>
            <w:r>
              <w:rPr>
                <w:rFonts w:asciiTheme="minorHAnsi" w:hAnsiTheme="minorHAnsi" w:cstheme="minorHAnsi"/>
                <w:sz w:val="22"/>
                <w:szCs w:val="22"/>
              </w:rPr>
              <w:t>launch</w:t>
            </w:r>
            <w:r w:rsidRPr="003854FE">
              <w:rPr>
                <w:rFonts w:asciiTheme="minorHAnsi" w:hAnsiTheme="minorHAnsi" w:cstheme="minorHAnsi"/>
                <w:sz w:val="22"/>
                <w:szCs w:val="22"/>
              </w:rPr>
              <w:t xml:space="preserve"> and reimbursement </w:t>
            </w:r>
            <w:r>
              <w:rPr>
                <w:rFonts w:asciiTheme="minorHAnsi" w:hAnsiTheme="minorHAnsi" w:cstheme="minorHAnsi"/>
                <w:sz w:val="22"/>
                <w:szCs w:val="22"/>
              </w:rPr>
              <w:t>globally</w:t>
            </w:r>
          </w:p>
        </w:tc>
      </w:tr>
      <w:tr w:rsidR="0006084C" w14:paraId="5E3E338C" w14:textId="77777777" w:rsidTr="000B3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370B7A7" w14:textId="34BD74F0" w:rsidR="0006084C" w:rsidRDefault="0006084C" w:rsidP="000812A7">
            <w:pPr>
              <w:spacing w:before="0"/>
              <w:rPr>
                <w:rFonts w:cstheme="minorHAnsi"/>
              </w:rPr>
            </w:pPr>
            <w:r>
              <w:rPr>
                <w:rFonts w:asciiTheme="minorHAnsi" w:hAnsiTheme="minorHAnsi" w:cstheme="minorHAnsi"/>
                <w:sz w:val="22"/>
                <w:szCs w:val="22"/>
              </w:rPr>
              <w:t>Listing type</w:t>
            </w:r>
          </w:p>
        </w:tc>
        <w:tc>
          <w:tcPr>
            <w:tcW w:w="6804" w:type="dxa"/>
            <w:gridSpan w:val="3"/>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264272E3" w14:textId="0082D102" w:rsidR="0006084C"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cstheme="minorHAnsi"/>
              </w:rPr>
            </w:pPr>
            <w:r>
              <w:rPr>
                <w:rFonts w:asciiTheme="minorHAnsi" w:hAnsiTheme="minorHAnsi" w:cstheme="minorHAnsi"/>
                <w:sz w:val="22"/>
                <w:szCs w:val="22"/>
              </w:rPr>
              <w:t>New active substances</w:t>
            </w:r>
            <w:r w:rsidR="00B07F51">
              <w:rPr>
                <w:rFonts w:asciiTheme="minorHAnsi" w:hAnsiTheme="minorHAnsi" w:cstheme="minorHAnsi"/>
                <w:sz w:val="22"/>
                <w:szCs w:val="22"/>
              </w:rPr>
              <w:t xml:space="preserve"> (460)</w:t>
            </w:r>
            <w:r w:rsidR="006B3284">
              <w:rPr>
                <w:rFonts w:asciiTheme="minorHAnsi" w:hAnsiTheme="minorHAnsi" w:cstheme="minorHAnsi"/>
                <w:sz w:val="22"/>
                <w:szCs w:val="22"/>
              </w:rPr>
              <w:t xml:space="preserve"> launched globally</w:t>
            </w:r>
          </w:p>
        </w:tc>
      </w:tr>
      <w:tr w:rsidR="0006084C" w14:paraId="0498CCF6" w14:textId="77777777" w:rsidTr="000B38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34C6DD6" w14:textId="77777777" w:rsidR="0006084C" w:rsidRPr="003D4AD4" w:rsidRDefault="0006084C" w:rsidP="000812A7">
            <w:pPr>
              <w:spacing w:before="0"/>
              <w:rPr>
                <w:rFonts w:asciiTheme="minorHAnsi" w:hAnsiTheme="minorHAnsi" w:cstheme="minorHAnsi"/>
                <w:sz w:val="22"/>
                <w:szCs w:val="22"/>
              </w:rPr>
            </w:pPr>
            <w:r>
              <w:rPr>
                <w:rFonts w:asciiTheme="minorHAnsi" w:hAnsiTheme="minorHAnsi" w:cstheme="minorHAnsi"/>
                <w:sz w:val="22"/>
                <w:szCs w:val="22"/>
              </w:rPr>
              <w:t>Time period</w:t>
            </w:r>
          </w:p>
        </w:tc>
        <w:tc>
          <w:tcPr>
            <w:tcW w:w="6804" w:type="dxa"/>
            <w:gridSpan w:val="3"/>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61E5466" w14:textId="615FD723" w:rsidR="0006084C" w:rsidRPr="003D4AD4" w:rsidRDefault="0006084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2012</w:t>
            </w:r>
            <w:r w:rsidR="0030147B">
              <w:rPr>
                <w:rFonts w:asciiTheme="minorHAnsi" w:hAnsiTheme="minorHAnsi" w:cstheme="minorHAnsi"/>
                <w:sz w:val="22"/>
                <w:szCs w:val="22"/>
              </w:rPr>
              <w:t>–</w:t>
            </w:r>
            <w:r>
              <w:rPr>
                <w:rFonts w:asciiTheme="minorHAnsi" w:hAnsiTheme="minorHAnsi" w:cstheme="minorHAnsi"/>
                <w:sz w:val="22"/>
                <w:szCs w:val="22"/>
              </w:rPr>
              <w:t>2021</w:t>
            </w:r>
          </w:p>
        </w:tc>
      </w:tr>
      <w:tr w:rsidR="0006084C" w14:paraId="73FFF71E" w14:textId="77777777" w:rsidTr="000B3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D0CECE" w:themeColor="background2" w:themeShade="E6"/>
              <w:left w:val="single" w:sz="4" w:space="0" w:color="D0CECE" w:themeColor="background2" w:themeShade="E6"/>
              <w:bottom w:val="single" w:sz="4" w:space="0" w:color="FFFFFF" w:themeColor="background1"/>
              <w:right w:val="single" w:sz="4" w:space="0" w:color="D0CECE" w:themeColor="background2" w:themeShade="E6"/>
            </w:tcBorders>
          </w:tcPr>
          <w:p w14:paraId="74FBAF3D" w14:textId="77777777" w:rsidR="0006084C" w:rsidRPr="0089668F" w:rsidRDefault="0006084C" w:rsidP="000812A7">
            <w:pPr>
              <w:spacing w:before="0"/>
              <w:rPr>
                <w:rFonts w:asciiTheme="minorHAnsi" w:hAnsiTheme="minorHAnsi" w:cstheme="minorHAnsi"/>
                <w:sz w:val="22"/>
                <w:szCs w:val="22"/>
              </w:rPr>
            </w:pPr>
            <w:r w:rsidRPr="0089668F">
              <w:rPr>
                <w:rFonts w:asciiTheme="minorHAnsi" w:hAnsiTheme="minorHAnsi" w:cstheme="minorHAnsi"/>
                <w:sz w:val="22"/>
                <w:szCs w:val="22"/>
              </w:rPr>
              <w:t>Comparison countries</w:t>
            </w:r>
          </w:p>
        </w:tc>
        <w:tc>
          <w:tcPr>
            <w:tcW w:w="6804" w:type="dxa"/>
            <w:gridSpan w:val="3"/>
            <w:tcBorders>
              <w:top w:val="single" w:sz="4" w:space="0" w:color="D0CECE" w:themeColor="background2" w:themeShade="E6"/>
              <w:left w:val="single" w:sz="4" w:space="0" w:color="D0CECE" w:themeColor="background2" w:themeShade="E6"/>
              <w:bottom w:val="single" w:sz="4" w:space="0" w:color="FFFFFF" w:themeColor="background1"/>
              <w:right w:val="single" w:sz="4" w:space="0" w:color="D0CECE" w:themeColor="background2" w:themeShade="E6"/>
            </w:tcBorders>
          </w:tcPr>
          <w:p w14:paraId="767EA800" w14:textId="44825483" w:rsidR="0006084C" w:rsidRPr="0089668F"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G20 countries</w:t>
            </w:r>
          </w:p>
        </w:tc>
      </w:tr>
      <w:tr w:rsidR="0006084C" w14:paraId="1D9B4E0D" w14:textId="77777777" w:rsidTr="000B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tcPr>
          <w:p w14:paraId="3DB82220" w14:textId="77777777" w:rsidR="0006084C" w:rsidRPr="0089668F" w:rsidRDefault="0006084C" w:rsidP="000812A7">
            <w:pPr>
              <w:spacing w:before="0"/>
              <w:rPr>
                <w:rFonts w:asciiTheme="minorHAnsi" w:hAnsiTheme="minorHAnsi" w:cstheme="minorHAnsi"/>
                <w:b/>
                <w:bCs/>
                <w:color w:val="FFFFFF" w:themeColor="background1"/>
                <w:sz w:val="22"/>
                <w:szCs w:val="22"/>
              </w:rPr>
            </w:pPr>
            <w:r w:rsidRPr="0089668F">
              <w:rPr>
                <w:rFonts w:asciiTheme="minorHAnsi" w:hAnsiTheme="minorHAnsi" w:cstheme="minorHAnsi"/>
                <w:b/>
                <w:bCs/>
                <w:color w:val="FFFFFF" w:themeColor="background1"/>
                <w:sz w:val="22"/>
                <w:szCs w:val="22"/>
              </w:rPr>
              <w:t>Measure</w:t>
            </w:r>
          </w:p>
        </w:tc>
        <w:tc>
          <w:tcPr>
            <w:tcW w:w="2737"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tcPr>
          <w:p w14:paraId="5C01F293" w14:textId="77777777" w:rsidR="0006084C" w:rsidRPr="0089668F" w:rsidRDefault="0006084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89668F">
              <w:rPr>
                <w:rFonts w:asciiTheme="minorHAnsi" w:hAnsiTheme="minorHAnsi" w:cstheme="minorHAnsi"/>
                <w:b/>
                <w:bCs/>
                <w:color w:val="FFFFFF" w:themeColor="background1"/>
                <w:sz w:val="22"/>
                <w:szCs w:val="22"/>
              </w:rPr>
              <w:t>Country</w:t>
            </w:r>
          </w:p>
        </w:tc>
        <w:tc>
          <w:tcPr>
            <w:tcW w:w="2033"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tcPr>
          <w:p w14:paraId="51C3E025" w14:textId="77777777" w:rsidR="0006084C" w:rsidRPr="0089668F" w:rsidRDefault="0006084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89668F">
              <w:rPr>
                <w:rFonts w:asciiTheme="minorHAnsi" w:hAnsiTheme="minorHAnsi" w:cstheme="minorHAnsi"/>
                <w:b/>
                <w:bCs/>
                <w:color w:val="FFFFFF" w:themeColor="background1"/>
                <w:sz w:val="22"/>
                <w:szCs w:val="22"/>
              </w:rPr>
              <w:t>Result</w:t>
            </w:r>
          </w:p>
        </w:tc>
        <w:tc>
          <w:tcPr>
            <w:tcW w:w="2034"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tcPr>
          <w:p w14:paraId="627AD71D" w14:textId="2B85D296" w:rsidR="0006084C" w:rsidRPr="0089668F" w:rsidRDefault="0006084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sidRPr="0089668F">
              <w:rPr>
                <w:rFonts w:asciiTheme="minorHAnsi" w:hAnsiTheme="minorHAnsi" w:cstheme="minorHAnsi"/>
                <w:b/>
                <w:bCs/>
                <w:color w:val="FFFFFF" w:themeColor="background1"/>
                <w:sz w:val="22"/>
                <w:szCs w:val="22"/>
              </w:rPr>
              <w:t>Rank</w:t>
            </w:r>
            <w:r>
              <w:rPr>
                <w:rFonts w:asciiTheme="minorHAnsi" w:hAnsiTheme="minorHAnsi" w:cstheme="minorHAnsi"/>
                <w:b/>
                <w:bCs/>
                <w:color w:val="FFFFFF" w:themeColor="background1"/>
                <w:sz w:val="22"/>
                <w:szCs w:val="22"/>
              </w:rPr>
              <w:t xml:space="preserve"> (</w:t>
            </w:r>
            <w:r w:rsidR="00FE1663">
              <w:rPr>
                <w:rFonts w:asciiTheme="minorHAnsi" w:hAnsiTheme="minorHAnsi" w:cstheme="minorHAnsi"/>
                <w:b/>
                <w:bCs/>
                <w:color w:val="FFFFFF" w:themeColor="background1"/>
                <w:sz w:val="22"/>
                <w:szCs w:val="22"/>
              </w:rPr>
              <w:t>G20)</w:t>
            </w:r>
          </w:p>
        </w:tc>
      </w:tr>
      <w:tr w:rsidR="0006084C" w14:paraId="78F60BCC" w14:textId="77777777" w:rsidTr="000B3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6A0E0C61" w14:textId="7D271AF2" w:rsidR="0006084C" w:rsidRPr="003D4AD4" w:rsidRDefault="00B07F51" w:rsidP="000812A7">
            <w:pPr>
              <w:spacing w:before="0"/>
              <w:rPr>
                <w:rFonts w:asciiTheme="minorHAnsi" w:hAnsiTheme="minorHAnsi" w:cstheme="minorHAnsi"/>
                <w:sz w:val="22"/>
                <w:szCs w:val="22"/>
              </w:rPr>
            </w:pPr>
            <w:r>
              <w:rPr>
                <w:rFonts w:asciiTheme="minorHAnsi" w:hAnsiTheme="minorHAnsi" w:cstheme="minorHAnsi"/>
                <w:sz w:val="22"/>
                <w:szCs w:val="22"/>
              </w:rPr>
              <w:t>Average t</w:t>
            </w:r>
            <w:r w:rsidR="008A41DC">
              <w:rPr>
                <w:rFonts w:asciiTheme="minorHAnsi" w:hAnsiTheme="minorHAnsi" w:cstheme="minorHAnsi"/>
                <w:sz w:val="22"/>
                <w:szCs w:val="22"/>
              </w:rPr>
              <w:t>ime from global first launch to public reimbursement</w:t>
            </w:r>
            <w:r w:rsidR="0006084C" w:rsidRPr="003D4AD4">
              <w:rPr>
                <w:rFonts w:asciiTheme="minorHAnsi" w:hAnsiTheme="minorHAnsi" w:cstheme="minorHAnsi"/>
                <w:sz w:val="22"/>
                <w:szCs w:val="22"/>
              </w:rPr>
              <w:t xml:space="preserve"> </w:t>
            </w:r>
          </w:p>
        </w:tc>
        <w:tc>
          <w:tcPr>
            <w:tcW w:w="2737"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37FDE644" w14:textId="77777777" w:rsidR="0006084C" w:rsidRPr="0089668F"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89668F">
              <w:rPr>
                <w:rFonts w:asciiTheme="minorHAnsi" w:hAnsiTheme="minorHAnsi" w:cstheme="minorHAnsi"/>
                <w:sz w:val="22"/>
                <w:szCs w:val="22"/>
              </w:rPr>
              <w:t xml:space="preserve">Australia </w:t>
            </w:r>
          </w:p>
          <w:p w14:paraId="2277904D" w14:textId="77777777" w:rsidR="0006084C" w:rsidRPr="00B43C6D"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Canada</w:t>
            </w:r>
          </w:p>
          <w:p w14:paraId="5FE7AC64" w14:textId="77777777" w:rsidR="0006084C" w:rsidRPr="0089668F"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France</w:t>
            </w:r>
          </w:p>
          <w:p w14:paraId="55CD7109" w14:textId="77777777" w:rsidR="0006084C" w:rsidRPr="00B43C6D"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B43C6D">
              <w:rPr>
                <w:rFonts w:asciiTheme="minorHAnsi" w:hAnsiTheme="minorHAnsi" w:cstheme="minorHAnsi"/>
                <w:sz w:val="22"/>
                <w:szCs w:val="22"/>
              </w:rPr>
              <w:t>Germany</w:t>
            </w:r>
          </w:p>
          <w:p w14:paraId="45765803" w14:textId="4B25F277" w:rsidR="0006084C" w:rsidRPr="00B43C6D" w:rsidRDefault="008A41D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UK</w:t>
            </w:r>
          </w:p>
          <w:p w14:paraId="681B3A96" w14:textId="72AB1290" w:rsidR="0006084C" w:rsidRPr="000B3883" w:rsidRDefault="008A41DC" w:rsidP="000812A7">
            <w:pPr>
              <w:spacing w:before="0"/>
              <w:cnfStyle w:val="000000010000" w:firstRow="0" w:lastRow="0" w:firstColumn="0" w:lastColumn="0" w:oddVBand="0" w:evenVBand="0" w:oddHBand="0" w:evenHBand="1" w:firstRowFirstColumn="0" w:firstRowLastColumn="0" w:lastRowFirstColumn="0" w:lastRowLastColumn="0"/>
              <w:rPr>
                <w:rFonts w:cstheme="minorHAnsi"/>
                <w:b/>
                <w:bCs/>
              </w:rPr>
            </w:pPr>
            <w:r w:rsidRPr="000B3883">
              <w:rPr>
                <w:rFonts w:asciiTheme="minorHAnsi" w:hAnsiTheme="minorHAnsi" w:cstheme="minorHAnsi"/>
                <w:b/>
                <w:bCs/>
                <w:sz w:val="22"/>
                <w:szCs w:val="22"/>
              </w:rPr>
              <w:t>G</w:t>
            </w:r>
            <w:r w:rsidR="0006084C" w:rsidRPr="000B3883">
              <w:rPr>
                <w:rFonts w:asciiTheme="minorHAnsi" w:hAnsiTheme="minorHAnsi" w:cstheme="minorHAnsi"/>
                <w:b/>
                <w:bCs/>
                <w:sz w:val="22"/>
                <w:szCs w:val="22"/>
              </w:rPr>
              <w:t>20 average</w:t>
            </w:r>
          </w:p>
        </w:tc>
        <w:tc>
          <w:tcPr>
            <w:tcW w:w="2033"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77A381FA" w14:textId="042C553D" w:rsidR="0006084C" w:rsidRDefault="008A41D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47 months</w:t>
            </w:r>
          </w:p>
          <w:p w14:paraId="56BE4CD4" w14:textId="52B1139C" w:rsidR="0006084C" w:rsidRDefault="008A41D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52 months</w:t>
            </w:r>
          </w:p>
          <w:p w14:paraId="5D964857" w14:textId="42659D85" w:rsidR="0006084C" w:rsidRDefault="008A41D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34 months</w:t>
            </w:r>
          </w:p>
          <w:p w14:paraId="69621DF3" w14:textId="05BC284D" w:rsidR="0006084C" w:rsidRDefault="008A41D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11 months</w:t>
            </w:r>
          </w:p>
          <w:p w14:paraId="7423E624" w14:textId="3CAB4BA9" w:rsidR="0006084C" w:rsidRDefault="008A41D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27 months</w:t>
            </w:r>
          </w:p>
          <w:p w14:paraId="2040DE61" w14:textId="7B48299A" w:rsidR="0006084C" w:rsidRPr="000B3883" w:rsidRDefault="008A41D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0B3883">
              <w:rPr>
                <w:rFonts w:asciiTheme="minorHAnsi" w:hAnsiTheme="minorHAnsi" w:cstheme="minorHAnsi"/>
                <w:b/>
                <w:bCs/>
                <w:sz w:val="22"/>
                <w:szCs w:val="22"/>
              </w:rPr>
              <w:t>46 months</w:t>
            </w:r>
          </w:p>
        </w:tc>
        <w:tc>
          <w:tcPr>
            <w:tcW w:w="2034"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739FE6E8" w14:textId="78C5B323" w:rsidR="0006084C"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w:t>
            </w:r>
            <w:r w:rsidR="008A41DC">
              <w:rPr>
                <w:rFonts w:asciiTheme="minorHAnsi" w:hAnsiTheme="minorHAnsi" w:cstheme="minorHAnsi"/>
                <w:sz w:val="22"/>
                <w:szCs w:val="22"/>
              </w:rPr>
              <w:t>0</w:t>
            </w:r>
            <w:r w:rsidRPr="0089668F">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586A50E9" w14:textId="4F81E11D" w:rsidR="0006084C" w:rsidRDefault="008A41D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12</w:t>
            </w:r>
            <w:r w:rsidRPr="008A41DC">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2AF7EC46" w14:textId="13ADCF27" w:rsidR="0006084C" w:rsidRDefault="008A41D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w:t>
            </w:r>
            <w:r w:rsidRPr="008A41DC">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0DF0C64A" w14:textId="21CA260B" w:rsidR="008A41DC" w:rsidRDefault="008A41D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w:t>
            </w:r>
            <w:r w:rsidRPr="008A41DC">
              <w:rPr>
                <w:rFonts w:asciiTheme="minorHAnsi" w:hAnsiTheme="minorHAnsi" w:cstheme="minorHAnsi"/>
                <w:sz w:val="22"/>
                <w:szCs w:val="22"/>
                <w:vertAlign w:val="superscript"/>
              </w:rPr>
              <w:t>nd</w:t>
            </w:r>
            <w:r>
              <w:rPr>
                <w:rFonts w:asciiTheme="minorHAnsi" w:hAnsiTheme="minorHAnsi" w:cstheme="minorHAnsi"/>
                <w:sz w:val="22"/>
                <w:szCs w:val="22"/>
              </w:rPr>
              <w:t xml:space="preserve"> </w:t>
            </w:r>
          </w:p>
          <w:p w14:paraId="042FF78D" w14:textId="77777777" w:rsidR="0006084C"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w:t>
            </w:r>
            <w:r w:rsidRPr="00B43C6D">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3F389698" w14:textId="77777777" w:rsidR="0006084C" w:rsidRPr="003D4AD4"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06084C" w14:paraId="7588A7F6" w14:textId="77777777" w:rsidTr="000B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22F955C" w14:textId="6ECD6F5F" w:rsidR="0006084C" w:rsidRPr="003D4AD4" w:rsidRDefault="00B07F51" w:rsidP="000812A7">
            <w:pPr>
              <w:spacing w:before="0"/>
              <w:rPr>
                <w:rFonts w:asciiTheme="minorHAnsi" w:hAnsiTheme="minorHAnsi" w:cstheme="minorHAnsi"/>
                <w:sz w:val="22"/>
                <w:szCs w:val="22"/>
              </w:rPr>
            </w:pPr>
            <w:r>
              <w:rPr>
                <w:rFonts w:asciiTheme="minorHAnsi" w:hAnsiTheme="minorHAnsi" w:cstheme="minorHAnsi"/>
                <w:sz w:val="22"/>
                <w:szCs w:val="22"/>
              </w:rPr>
              <w:t>Average t</w:t>
            </w:r>
            <w:r w:rsidR="008A41DC">
              <w:rPr>
                <w:rFonts w:asciiTheme="minorHAnsi" w:hAnsiTheme="minorHAnsi" w:cstheme="minorHAnsi"/>
                <w:sz w:val="22"/>
                <w:szCs w:val="22"/>
              </w:rPr>
              <w:t xml:space="preserve">ime from local launch to public reimbursement </w:t>
            </w:r>
            <w:r w:rsidR="0006084C" w:rsidRPr="003D4AD4">
              <w:rPr>
                <w:rFonts w:asciiTheme="minorHAnsi" w:hAnsiTheme="minorHAnsi" w:cstheme="minorHAnsi"/>
                <w:sz w:val="22"/>
                <w:szCs w:val="22"/>
              </w:rPr>
              <w:t xml:space="preserve"> </w:t>
            </w:r>
          </w:p>
        </w:tc>
        <w:tc>
          <w:tcPr>
            <w:tcW w:w="2737"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4681B4D3" w14:textId="77777777" w:rsidR="0006084C" w:rsidRDefault="0006084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Australia</w:t>
            </w:r>
          </w:p>
          <w:p w14:paraId="7902EAA6" w14:textId="77777777" w:rsidR="0006084C" w:rsidRDefault="0006084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Canada</w:t>
            </w:r>
          </w:p>
          <w:p w14:paraId="7FF0E700" w14:textId="77777777" w:rsidR="0006084C" w:rsidRDefault="0006084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France</w:t>
            </w:r>
          </w:p>
          <w:p w14:paraId="57DADF36" w14:textId="77777777" w:rsidR="0006084C" w:rsidRDefault="0006084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Germany</w:t>
            </w:r>
          </w:p>
          <w:p w14:paraId="02B21055" w14:textId="6134B6E1" w:rsidR="0006084C" w:rsidRDefault="008A41D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UK</w:t>
            </w:r>
          </w:p>
          <w:p w14:paraId="04294E12" w14:textId="3ABC93F2" w:rsidR="0006084C" w:rsidRPr="000B3883" w:rsidRDefault="008A41D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0B3883">
              <w:rPr>
                <w:rFonts w:asciiTheme="minorHAnsi" w:hAnsiTheme="minorHAnsi" w:cstheme="minorHAnsi"/>
                <w:b/>
                <w:bCs/>
                <w:sz w:val="22"/>
                <w:szCs w:val="22"/>
              </w:rPr>
              <w:t>G</w:t>
            </w:r>
            <w:r w:rsidR="0006084C" w:rsidRPr="000B3883">
              <w:rPr>
                <w:rFonts w:asciiTheme="minorHAnsi" w:hAnsiTheme="minorHAnsi" w:cstheme="minorHAnsi"/>
                <w:b/>
                <w:bCs/>
                <w:sz w:val="22"/>
                <w:szCs w:val="22"/>
              </w:rPr>
              <w:t>20 average</w:t>
            </w:r>
          </w:p>
        </w:tc>
        <w:tc>
          <w:tcPr>
            <w:tcW w:w="2033"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3FA4BD11" w14:textId="44DD5843" w:rsidR="0006084C" w:rsidRDefault="008A41D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 months</w:t>
            </w:r>
          </w:p>
          <w:p w14:paraId="2DF60C4F" w14:textId="46D89865" w:rsidR="0006084C" w:rsidRDefault="008A41D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34 months</w:t>
            </w:r>
          </w:p>
          <w:p w14:paraId="534306C5" w14:textId="50398796" w:rsidR="0006084C" w:rsidRDefault="008A41D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 months</w:t>
            </w:r>
          </w:p>
          <w:p w14:paraId="4D6785C3" w14:textId="5736B14B" w:rsidR="0006084C" w:rsidRDefault="008A41D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 months</w:t>
            </w:r>
          </w:p>
          <w:p w14:paraId="17836DA6" w14:textId="3984F286" w:rsidR="0006084C" w:rsidRDefault="008A41D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 months</w:t>
            </w:r>
          </w:p>
          <w:p w14:paraId="28122AAF" w14:textId="77EEDFD9" w:rsidR="0006084C" w:rsidRPr="000B3883" w:rsidRDefault="008A41D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0B3883">
              <w:rPr>
                <w:rFonts w:asciiTheme="minorHAnsi" w:hAnsiTheme="minorHAnsi" w:cstheme="minorHAnsi"/>
                <w:b/>
                <w:bCs/>
                <w:sz w:val="22"/>
                <w:szCs w:val="22"/>
              </w:rPr>
              <w:t>19 months</w:t>
            </w:r>
          </w:p>
        </w:tc>
        <w:tc>
          <w:tcPr>
            <w:tcW w:w="20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BFC49F3" w14:textId="29B7E8DC" w:rsidR="0006084C" w:rsidRDefault="008A41D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16</w:t>
            </w:r>
            <w:r w:rsidRPr="008A41DC">
              <w:rPr>
                <w:rFonts w:asciiTheme="minorHAnsi" w:hAnsiTheme="minorHAnsi" w:cstheme="minorHAnsi"/>
                <w:sz w:val="22"/>
                <w:szCs w:val="22"/>
                <w:vertAlign w:val="superscript"/>
              </w:rPr>
              <w:t>th</w:t>
            </w:r>
          </w:p>
          <w:p w14:paraId="0F6CFCE1" w14:textId="7953CE91" w:rsidR="008A41DC" w:rsidRDefault="00B07F51"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w:t>
            </w:r>
            <w:r w:rsidRPr="00B07F51">
              <w:rPr>
                <w:rFonts w:asciiTheme="minorHAnsi" w:hAnsiTheme="minorHAnsi" w:cstheme="minorHAnsi"/>
                <w:sz w:val="22"/>
                <w:szCs w:val="22"/>
                <w:vertAlign w:val="superscript"/>
              </w:rPr>
              <w:t>th</w:t>
            </w:r>
          </w:p>
          <w:p w14:paraId="3E0395D4" w14:textId="7C1D144A" w:rsidR="0006084C" w:rsidRDefault="00B07F51"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w:t>
            </w:r>
            <w:r w:rsidRPr="00B07F51">
              <w:rPr>
                <w:rFonts w:asciiTheme="minorHAnsi" w:hAnsiTheme="minorHAnsi" w:cstheme="minorHAnsi"/>
                <w:sz w:val="22"/>
                <w:szCs w:val="22"/>
                <w:vertAlign w:val="superscript"/>
              </w:rPr>
              <w:t>th</w:t>
            </w:r>
          </w:p>
          <w:p w14:paraId="1078A7B2" w14:textId="77777777" w:rsidR="00B07F51" w:rsidRDefault="00B07F51"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Equal 1</w:t>
            </w:r>
            <w:r w:rsidRPr="00B07F51">
              <w:rPr>
                <w:rFonts w:asciiTheme="minorHAnsi" w:hAnsiTheme="minorHAnsi" w:cstheme="minorHAnsi"/>
                <w:sz w:val="22"/>
                <w:szCs w:val="22"/>
                <w:vertAlign w:val="superscript"/>
              </w:rPr>
              <w:t>st</w:t>
            </w:r>
          </w:p>
          <w:p w14:paraId="1BD2F8C8" w14:textId="5A68E44E" w:rsidR="0006084C" w:rsidRDefault="00B07F51"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8</w:t>
            </w:r>
            <w:r w:rsidRPr="00B07F51">
              <w:rPr>
                <w:rFonts w:asciiTheme="minorHAnsi" w:hAnsiTheme="minorHAnsi" w:cstheme="minorHAnsi"/>
                <w:sz w:val="22"/>
                <w:szCs w:val="22"/>
                <w:vertAlign w:val="superscript"/>
              </w:rPr>
              <w:t>th</w:t>
            </w:r>
          </w:p>
          <w:p w14:paraId="079EE375" w14:textId="77777777" w:rsidR="0006084C" w:rsidRPr="00B43C6D" w:rsidRDefault="0006084C"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06084C" w14:paraId="30596ED8" w14:textId="77777777" w:rsidTr="000B3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6A08BDF" w14:textId="4AAEC666" w:rsidR="0006084C" w:rsidRPr="003D4AD4" w:rsidRDefault="0006084C" w:rsidP="000812A7">
            <w:pPr>
              <w:spacing w:before="0"/>
              <w:rPr>
                <w:rFonts w:asciiTheme="minorHAnsi" w:hAnsiTheme="minorHAnsi" w:cstheme="minorHAnsi"/>
                <w:sz w:val="22"/>
                <w:szCs w:val="22"/>
              </w:rPr>
            </w:pPr>
            <w:r w:rsidRPr="003D4AD4">
              <w:rPr>
                <w:rFonts w:asciiTheme="minorHAnsi" w:hAnsiTheme="minorHAnsi" w:cstheme="minorHAnsi"/>
                <w:sz w:val="22"/>
                <w:szCs w:val="22"/>
              </w:rPr>
              <w:t xml:space="preserve">Proportion of </w:t>
            </w:r>
            <w:r w:rsidR="00B07F51">
              <w:rPr>
                <w:rFonts w:asciiTheme="minorHAnsi" w:hAnsiTheme="minorHAnsi" w:cstheme="minorHAnsi"/>
                <w:sz w:val="22"/>
                <w:szCs w:val="22"/>
              </w:rPr>
              <w:t>globally launched medicines reimbursed</w:t>
            </w:r>
          </w:p>
        </w:tc>
        <w:tc>
          <w:tcPr>
            <w:tcW w:w="2737"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28229519" w14:textId="77777777" w:rsidR="0006084C"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Australia</w:t>
            </w:r>
          </w:p>
          <w:p w14:paraId="51BEA491" w14:textId="77777777" w:rsidR="0006084C"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Canada</w:t>
            </w:r>
          </w:p>
          <w:p w14:paraId="19BC2944" w14:textId="77777777" w:rsidR="0006084C"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France</w:t>
            </w:r>
          </w:p>
          <w:p w14:paraId="6287E054" w14:textId="77777777" w:rsidR="0006084C"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Germany</w:t>
            </w:r>
          </w:p>
          <w:p w14:paraId="11B5F36D" w14:textId="33B3CB6B" w:rsidR="0006084C" w:rsidRDefault="008A41D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UK</w:t>
            </w:r>
          </w:p>
          <w:p w14:paraId="0C484836" w14:textId="6D0F9FD5" w:rsidR="0006084C" w:rsidRPr="000B3883" w:rsidRDefault="00B07F51"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0B3883">
              <w:rPr>
                <w:rFonts w:asciiTheme="minorHAnsi" w:hAnsiTheme="minorHAnsi" w:cstheme="minorHAnsi"/>
                <w:b/>
                <w:bCs/>
                <w:sz w:val="22"/>
                <w:szCs w:val="22"/>
              </w:rPr>
              <w:t>G20 average</w:t>
            </w:r>
          </w:p>
        </w:tc>
        <w:tc>
          <w:tcPr>
            <w:tcW w:w="2033" w:type="dxa"/>
            <w:tcBorders>
              <w:top w:val="single" w:sz="4" w:space="0" w:color="D0CECE" w:themeColor="background2" w:themeShade="E6"/>
              <w:left w:val="single" w:sz="4" w:space="0" w:color="D0CECE" w:themeColor="background2" w:themeShade="E6"/>
              <w:bottom w:val="single" w:sz="4" w:space="0" w:color="D0CECE" w:themeColor="background2" w:themeShade="E6"/>
            </w:tcBorders>
          </w:tcPr>
          <w:p w14:paraId="4C06E827" w14:textId="24E1D0FA" w:rsidR="0006084C" w:rsidRDefault="00B07F51"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24</w:t>
            </w:r>
            <w:r w:rsidR="0006084C">
              <w:rPr>
                <w:rFonts w:asciiTheme="minorHAnsi" w:hAnsiTheme="minorHAnsi" w:cstheme="minorHAnsi"/>
                <w:sz w:val="22"/>
                <w:szCs w:val="22"/>
              </w:rPr>
              <w:t>%</w:t>
            </w:r>
          </w:p>
          <w:p w14:paraId="40050446" w14:textId="620E3CBE" w:rsidR="0006084C" w:rsidRDefault="00B07F51"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21</w:t>
            </w:r>
            <w:r w:rsidR="0006084C">
              <w:rPr>
                <w:rFonts w:asciiTheme="minorHAnsi" w:hAnsiTheme="minorHAnsi" w:cstheme="minorHAnsi"/>
                <w:sz w:val="22"/>
                <w:szCs w:val="22"/>
              </w:rPr>
              <w:t>%</w:t>
            </w:r>
          </w:p>
          <w:p w14:paraId="1B81BEAF" w14:textId="38129F31" w:rsidR="0006084C" w:rsidRDefault="00B07F51"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43</w:t>
            </w:r>
            <w:r w:rsidR="0006084C">
              <w:rPr>
                <w:rFonts w:asciiTheme="minorHAnsi" w:hAnsiTheme="minorHAnsi" w:cstheme="minorHAnsi"/>
                <w:sz w:val="22"/>
                <w:szCs w:val="22"/>
              </w:rPr>
              <w:t>%</w:t>
            </w:r>
          </w:p>
          <w:p w14:paraId="5B7CFD77" w14:textId="75275D0C" w:rsidR="0006084C" w:rsidRDefault="00B07F51"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61</w:t>
            </w:r>
            <w:r w:rsidR="0006084C">
              <w:rPr>
                <w:rFonts w:asciiTheme="minorHAnsi" w:hAnsiTheme="minorHAnsi" w:cstheme="minorHAnsi"/>
                <w:sz w:val="22"/>
                <w:szCs w:val="22"/>
              </w:rPr>
              <w:t>%</w:t>
            </w:r>
          </w:p>
          <w:p w14:paraId="6514996B" w14:textId="35FDFE35" w:rsidR="0006084C" w:rsidRDefault="00B07F51"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48</w:t>
            </w:r>
            <w:r w:rsidR="0006084C">
              <w:rPr>
                <w:rFonts w:asciiTheme="minorHAnsi" w:hAnsiTheme="minorHAnsi" w:cstheme="minorHAnsi"/>
                <w:sz w:val="22"/>
                <w:szCs w:val="22"/>
              </w:rPr>
              <w:t>%</w:t>
            </w:r>
          </w:p>
          <w:p w14:paraId="624E79E2" w14:textId="5E427ED8" w:rsidR="0006084C" w:rsidRPr="000B3883" w:rsidRDefault="00B07F51"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0B3883">
              <w:rPr>
                <w:rFonts w:asciiTheme="minorHAnsi" w:hAnsiTheme="minorHAnsi" w:cstheme="minorHAnsi"/>
                <w:b/>
                <w:bCs/>
                <w:sz w:val="22"/>
                <w:szCs w:val="22"/>
              </w:rPr>
              <w:t>28</w:t>
            </w:r>
            <w:r w:rsidR="0006084C" w:rsidRPr="000B3883">
              <w:rPr>
                <w:rFonts w:asciiTheme="minorHAnsi" w:hAnsiTheme="minorHAnsi" w:cstheme="minorHAnsi"/>
                <w:b/>
                <w:bCs/>
                <w:sz w:val="22"/>
                <w:szCs w:val="22"/>
              </w:rPr>
              <w:t>%</w:t>
            </w:r>
          </w:p>
        </w:tc>
        <w:tc>
          <w:tcPr>
            <w:tcW w:w="203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7A6AF09" w14:textId="7A4F613D" w:rsidR="0006084C" w:rsidRPr="00B07F51" w:rsidRDefault="00B07F51"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w:t>
            </w:r>
            <w:r w:rsidRPr="00B07F51">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5095E79A" w14:textId="6B848BE9" w:rsidR="0006084C" w:rsidRDefault="00B07F51"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11</w:t>
            </w:r>
            <w:r w:rsidRPr="00B07F51">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21E2D830" w14:textId="271F9BE1" w:rsidR="0006084C" w:rsidRPr="00B07F51" w:rsidRDefault="00B07F51"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w:t>
            </w:r>
            <w:r w:rsidRPr="00B07F51">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168C69BB" w14:textId="66379AE8" w:rsidR="0006084C" w:rsidRPr="00B07F51" w:rsidRDefault="00B07F51"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w:t>
            </w:r>
            <w:r w:rsidRPr="00B07F51">
              <w:rPr>
                <w:rFonts w:asciiTheme="minorHAnsi" w:hAnsiTheme="minorHAnsi" w:cstheme="minorHAnsi"/>
                <w:sz w:val="22"/>
                <w:szCs w:val="22"/>
                <w:vertAlign w:val="superscript"/>
              </w:rPr>
              <w:t>nd</w:t>
            </w:r>
            <w:r>
              <w:rPr>
                <w:rFonts w:asciiTheme="minorHAnsi" w:hAnsiTheme="minorHAnsi" w:cstheme="minorHAnsi"/>
                <w:sz w:val="22"/>
                <w:szCs w:val="22"/>
              </w:rPr>
              <w:t xml:space="preserve"> </w:t>
            </w:r>
          </w:p>
          <w:p w14:paraId="23C0D891" w14:textId="62158B43" w:rsidR="0006084C" w:rsidRDefault="00B07F51"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w:t>
            </w:r>
            <w:r w:rsidRPr="00B07F51">
              <w:rPr>
                <w:rFonts w:asciiTheme="minorHAnsi" w:hAnsiTheme="minorHAnsi" w:cstheme="minorHAnsi"/>
                <w:sz w:val="22"/>
                <w:szCs w:val="22"/>
                <w:vertAlign w:val="superscript"/>
              </w:rPr>
              <w:t>th</w:t>
            </w:r>
            <w:r>
              <w:rPr>
                <w:rFonts w:asciiTheme="minorHAnsi" w:hAnsiTheme="minorHAnsi" w:cstheme="minorHAnsi"/>
                <w:sz w:val="22"/>
                <w:szCs w:val="22"/>
              </w:rPr>
              <w:t xml:space="preserve"> </w:t>
            </w:r>
          </w:p>
          <w:p w14:paraId="3840FDE8" w14:textId="77777777" w:rsidR="0006084C" w:rsidRPr="00B43C6D" w:rsidRDefault="0006084C"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bl>
    <w:p w14:paraId="2031EE3D" w14:textId="113A5050" w:rsidR="008534E1" w:rsidRDefault="00216DF2" w:rsidP="00216DF2">
      <w:pPr>
        <w:pStyle w:val="Heading4"/>
      </w:pPr>
      <w:r>
        <w:t>T</w:t>
      </w:r>
      <w:r w:rsidR="008534E1">
        <w:t xml:space="preserve">able 12. </w:t>
      </w:r>
      <w:r w:rsidR="008534E1" w:rsidRPr="00216DF2">
        <w:t>Metrics</w:t>
      </w:r>
      <w:r w:rsidR="008534E1">
        <w:t xml:space="preserve"> for PBS process improvements</w:t>
      </w:r>
    </w:p>
    <w:tbl>
      <w:tblPr>
        <w:tblStyle w:val="DepartmentofHealthtable"/>
        <w:tblW w:w="0" w:type="auto"/>
        <w:tblLook w:val="04A0" w:firstRow="1" w:lastRow="0" w:firstColumn="1" w:lastColumn="0" w:noHBand="0" w:noVBand="1"/>
      </w:tblPr>
      <w:tblGrid>
        <w:gridCol w:w="4171"/>
        <w:gridCol w:w="4845"/>
      </w:tblGrid>
      <w:tr w:rsidR="008534E1" w14:paraId="6143DB24" w14:textId="77777777" w:rsidTr="00ED7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tcPr>
          <w:p w14:paraId="368D59C6" w14:textId="77777777" w:rsidR="008534E1" w:rsidRPr="003D4AD4" w:rsidRDefault="008534E1" w:rsidP="000812A7">
            <w:pPr>
              <w:spacing w:before="0"/>
              <w:rPr>
                <w:rFonts w:asciiTheme="minorHAnsi" w:hAnsiTheme="minorHAnsi" w:cstheme="minorHAnsi"/>
                <w:b/>
                <w:bCs/>
                <w:color w:val="FFFFFF" w:themeColor="background1"/>
                <w:szCs w:val="22"/>
              </w:rPr>
            </w:pPr>
            <w:r w:rsidRPr="003D4AD4">
              <w:rPr>
                <w:rFonts w:asciiTheme="minorHAnsi" w:hAnsiTheme="minorHAnsi" w:cstheme="minorHAnsi"/>
                <w:b/>
                <w:bCs/>
                <w:color w:val="FFFFFF" w:themeColor="background1"/>
                <w:szCs w:val="22"/>
              </w:rPr>
              <w:t>Study details</w:t>
            </w:r>
          </w:p>
        </w:tc>
        <w:tc>
          <w:tcPr>
            <w:tcW w:w="4971"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tcPr>
          <w:p w14:paraId="67B9E2EF" w14:textId="77777777" w:rsidR="008534E1" w:rsidRPr="003D4AD4" w:rsidRDefault="008534E1" w:rsidP="000812A7">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Pr>
                <w:rFonts w:asciiTheme="minorHAnsi" w:hAnsiTheme="minorHAnsi" w:cstheme="minorHAnsi"/>
                <w:b/>
                <w:bCs/>
                <w:szCs w:val="22"/>
              </w:rPr>
              <w:t>Parameters</w:t>
            </w:r>
          </w:p>
        </w:tc>
      </w:tr>
      <w:tr w:rsidR="008534E1" w14:paraId="1BB0DFC1" w14:textId="77777777" w:rsidTr="00ED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033AD8A3" w14:textId="77777777" w:rsidR="008534E1" w:rsidRPr="003D4AD4" w:rsidRDefault="008534E1" w:rsidP="000812A7">
            <w:pPr>
              <w:spacing w:before="0"/>
              <w:rPr>
                <w:rFonts w:asciiTheme="minorHAnsi" w:hAnsiTheme="minorHAnsi" w:cstheme="minorHAnsi"/>
                <w:sz w:val="22"/>
                <w:szCs w:val="22"/>
              </w:rPr>
            </w:pPr>
            <w:r>
              <w:rPr>
                <w:rFonts w:asciiTheme="minorHAnsi" w:hAnsiTheme="minorHAnsi" w:cstheme="minorHAnsi"/>
                <w:sz w:val="22"/>
                <w:szCs w:val="22"/>
              </w:rPr>
              <w:t>Objective</w:t>
            </w:r>
          </w:p>
        </w:tc>
        <w:tc>
          <w:tcPr>
            <w:tcW w:w="4971"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03958F8E" w14:textId="7A5BA4AD" w:rsidR="008534E1" w:rsidRPr="003D4AD4" w:rsidRDefault="008534E1"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To report on </w:t>
            </w:r>
            <w:r w:rsidR="00216DF2">
              <w:rPr>
                <w:rFonts w:asciiTheme="minorHAnsi" w:hAnsiTheme="minorHAnsi" w:cstheme="minorHAnsi"/>
                <w:sz w:val="22"/>
                <w:szCs w:val="22"/>
              </w:rPr>
              <w:t>metrics for the Stage 1 and Stage 2 PBS process improvements</w:t>
            </w:r>
          </w:p>
        </w:tc>
      </w:tr>
      <w:tr w:rsidR="008534E1" w14:paraId="4C871667" w14:textId="77777777" w:rsidTr="00ED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B84BD2D" w14:textId="77777777" w:rsidR="008534E1" w:rsidRDefault="008534E1" w:rsidP="000812A7">
            <w:pPr>
              <w:spacing w:before="0"/>
              <w:rPr>
                <w:rFonts w:cstheme="minorHAnsi"/>
              </w:rPr>
            </w:pPr>
            <w:r>
              <w:rPr>
                <w:rFonts w:asciiTheme="minorHAnsi" w:hAnsiTheme="minorHAnsi" w:cstheme="minorHAnsi"/>
                <w:sz w:val="22"/>
                <w:szCs w:val="22"/>
              </w:rPr>
              <w:t>Listing type</w:t>
            </w:r>
          </w:p>
        </w:tc>
        <w:tc>
          <w:tcPr>
            <w:tcW w:w="49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E5A62A4" w14:textId="1055EA95" w:rsidR="008534E1" w:rsidRDefault="00216DF2" w:rsidP="000812A7">
            <w:pPr>
              <w:spacing w:before="0"/>
              <w:cnfStyle w:val="000000010000" w:firstRow="0" w:lastRow="0" w:firstColumn="0" w:lastColumn="0" w:oddVBand="0" w:evenVBand="0" w:oddHBand="0" w:evenHBand="1" w:firstRowFirstColumn="0" w:firstRowLastColumn="0" w:lastRowFirstColumn="0" w:lastRowLastColumn="0"/>
              <w:rPr>
                <w:rFonts w:cstheme="minorHAnsi"/>
              </w:rPr>
            </w:pPr>
            <w:r>
              <w:rPr>
                <w:rFonts w:asciiTheme="minorHAnsi" w:hAnsiTheme="minorHAnsi" w:cstheme="minorHAnsi"/>
                <w:sz w:val="22"/>
                <w:szCs w:val="22"/>
              </w:rPr>
              <w:t>All P</w:t>
            </w:r>
            <w:r w:rsidR="004D6EB9">
              <w:rPr>
                <w:rFonts w:asciiTheme="minorHAnsi" w:hAnsiTheme="minorHAnsi" w:cstheme="minorHAnsi"/>
                <w:sz w:val="22"/>
                <w:szCs w:val="22"/>
              </w:rPr>
              <w:t>B</w:t>
            </w:r>
            <w:r>
              <w:rPr>
                <w:rFonts w:asciiTheme="minorHAnsi" w:hAnsiTheme="minorHAnsi" w:cstheme="minorHAnsi"/>
                <w:sz w:val="22"/>
                <w:szCs w:val="22"/>
              </w:rPr>
              <w:t>AC submissions</w:t>
            </w:r>
          </w:p>
        </w:tc>
      </w:tr>
      <w:tr w:rsidR="008534E1" w14:paraId="076BA152" w14:textId="77777777" w:rsidTr="00ED757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5734BAD" w14:textId="77777777" w:rsidR="008534E1" w:rsidRPr="003D4AD4" w:rsidRDefault="008534E1" w:rsidP="000812A7">
            <w:pPr>
              <w:spacing w:before="0"/>
              <w:rPr>
                <w:rFonts w:asciiTheme="minorHAnsi" w:hAnsiTheme="minorHAnsi" w:cstheme="minorHAnsi"/>
                <w:sz w:val="22"/>
                <w:szCs w:val="22"/>
              </w:rPr>
            </w:pPr>
            <w:r>
              <w:rPr>
                <w:rFonts w:asciiTheme="minorHAnsi" w:hAnsiTheme="minorHAnsi" w:cstheme="minorHAnsi"/>
                <w:sz w:val="22"/>
                <w:szCs w:val="22"/>
              </w:rPr>
              <w:t>Time period</w:t>
            </w:r>
          </w:p>
        </w:tc>
        <w:tc>
          <w:tcPr>
            <w:tcW w:w="49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32B1904" w14:textId="54CC7829" w:rsidR="008534E1" w:rsidRPr="003D4AD4" w:rsidRDefault="00216DF2" w:rsidP="000812A7">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PBAC submissions from 1 July 2021 to 30 June 2022</w:t>
            </w:r>
          </w:p>
        </w:tc>
      </w:tr>
      <w:tr w:rsidR="008534E1" w14:paraId="252320CA" w14:textId="77777777" w:rsidTr="00ED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Borders>
              <w:top w:val="single" w:sz="4" w:space="0" w:color="D0CECE" w:themeColor="background2" w:themeShade="E6"/>
              <w:left w:val="single" w:sz="4" w:space="0" w:color="D0CECE" w:themeColor="background2" w:themeShade="E6"/>
              <w:bottom w:val="single" w:sz="4" w:space="0" w:color="FFFFFF" w:themeColor="background1"/>
              <w:right w:val="single" w:sz="4" w:space="0" w:color="D0CECE" w:themeColor="background2" w:themeShade="E6"/>
            </w:tcBorders>
          </w:tcPr>
          <w:p w14:paraId="47188BB9" w14:textId="77777777" w:rsidR="008534E1" w:rsidRPr="0089668F" w:rsidRDefault="008534E1" w:rsidP="000812A7">
            <w:pPr>
              <w:spacing w:before="0"/>
              <w:rPr>
                <w:rFonts w:asciiTheme="minorHAnsi" w:hAnsiTheme="minorHAnsi" w:cstheme="minorHAnsi"/>
                <w:sz w:val="22"/>
                <w:szCs w:val="22"/>
              </w:rPr>
            </w:pPr>
            <w:r w:rsidRPr="0089668F">
              <w:rPr>
                <w:rFonts w:asciiTheme="minorHAnsi" w:hAnsiTheme="minorHAnsi" w:cstheme="minorHAnsi"/>
                <w:sz w:val="22"/>
                <w:szCs w:val="22"/>
              </w:rPr>
              <w:t>Comparison countries</w:t>
            </w:r>
          </w:p>
        </w:tc>
        <w:tc>
          <w:tcPr>
            <w:tcW w:w="4971" w:type="dxa"/>
            <w:tcBorders>
              <w:top w:val="single" w:sz="4" w:space="0" w:color="D0CECE" w:themeColor="background2" w:themeShade="E6"/>
              <w:left w:val="single" w:sz="4" w:space="0" w:color="D0CECE" w:themeColor="background2" w:themeShade="E6"/>
              <w:bottom w:val="single" w:sz="4" w:space="0" w:color="FFFFFF" w:themeColor="background1"/>
              <w:right w:val="single" w:sz="4" w:space="0" w:color="D0CECE" w:themeColor="background2" w:themeShade="E6"/>
            </w:tcBorders>
          </w:tcPr>
          <w:p w14:paraId="13B5163F" w14:textId="15FC8FA2" w:rsidR="008534E1" w:rsidRPr="0089668F" w:rsidRDefault="00216DF2" w:rsidP="000812A7">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NIL</w:t>
            </w:r>
          </w:p>
        </w:tc>
      </w:tr>
      <w:tr w:rsidR="00ED7578" w14:paraId="13F19438" w14:textId="77777777" w:rsidTr="00ED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tcPr>
          <w:p w14:paraId="4FADBE2C" w14:textId="77777777" w:rsidR="00ED7578" w:rsidRPr="00216DF2" w:rsidRDefault="00ED7578" w:rsidP="000812A7">
            <w:pPr>
              <w:spacing w:before="0"/>
              <w:rPr>
                <w:rFonts w:asciiTheme="minorHAnsi" w:hAnsiTheme="minorHAnsi" w:cstheme="minorHAnsi"/>
                <w:b/>
                <w:bCs/>
                <w:color w:val="FFFFFF" w:themeColor="background1"/>
                <w:sz w:val="22"/>
                <w:szCs w:val="22"/>
              </w:rPr>
            </w:pPr>
            <w:r w:rsidRPr="00216DF2">
              <w:rPr>
                <w:rFonts w:asciiTheme="minorHAnsi" w:hAnsiTheme="minorHAnsi" w:cstheme="minorHAnsi"/>
                <w:b/>
                <w:bCs/>
                <w:color w:val="FFFFFF" w:themeColor="background1"/>
                <w:sz w:val="22"/>
                <w:szCs w:val="22"/>
              </w:rPr>
              <w:t>Measure</w:t>
            </w:r>
          </w:p>
        </w:tc>
        <w:tc>
          <w:tcPr>
            <w:tcW w:w="4971" w:type="dxa"/>
            <w:tcBorders>
              <w:top w:val="single" w:sz="4" w:space="0" w:color="FFFFFF" w:themeColor="background1"/>
              <w:left w:val="single" w:sz="4" w:space="0" w:color="D0CECE" w:themeColor="background2" w:themeShade="E6"/>
              <w:bottom w:val="single" w:sz="4" w:space="0" w:color="FFFFFF" w:themeColor="background1"/>
              <w:right w:val="single" w:sz="4" w:space="0" w:color="D0CECE" w:themeColor="background2" w:themeShade="E6"/>
            </w:tcBorders>
            <w:shd w:val="clear" w:color="auto" w:fill="3F4A75"/>
            <w:vAlign w:val="center"/>
          </w:tcPr>
          <w:p w14:paraId="3BC51CE0" w14:textId="654E08C5" w:rsidR="00ED7578" w:rsidRPr="00216DF2" w:rsidRDefault="00ED7578" w:rsidP="00ED7578">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Outcome</w:t>
            </w:r>
          </w:p>
        </w:tc>
      </w:tr>
      <w:tr w:rsidR="00ED7578" w14:paraId="1BB95F61" w14:textId="77777777" w:rsidTr="00ED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35CFEFD4" w14:textId="69CE743D" w:rsidR="00ED7578" w:rsidRPr="004D6EB9" w:rsidRDefault="00ED7578" w:rsidP="00216DF2">
            <w:pPr>
              <w:spacing w:before="0"/>
              <w:rPr>
                <w:rFonts w:asciiTheme="minorHAnsi" w:hAnsiTheme="minorHAnsi" w:cstheme="minorHAnsi"/>
                <w:sz w:val="22"/>
                <w:szCs w:val="22"/>
              </w:rPr>
            </w:pPr>
            <w:r w:rsidRPr="004D6EB9">
              <w:rPr>
                <w:rFonts w:asciiTheme="minorHAnsi" w:hAnsiTheme="minorHAnsi" w:cstheme="minorHAnsi"/>
                <w:sz w:val="22"/>
                <w:szCs w:val="22"/>
              </w:rPr>
              <w:t>Time from PBAC minutes to PBS listing (for applicants who lodged pricing offer package in the earliest possible week)</w:t>
            </w:r>
          </w:p>
        </w:tc>
        <w:tc>
          <w:tcPr>
            <w:tcW w:w="4971" w:type="dxa"/>
            <w:tcBorders>
              <w:top w:val="single" w:sz="4" w:space="0" w:color="FFFFFF" w:themeColor="background1"/>
              <w:left w:val="single" w:sz="4" w:space="0" w:color="D0CECE" w:themeColor="background2" w:themeShade="E6"/>
              <w:bottom w:val="single" w:sz="4" w:space="0" w:color="D0CECE" w:themeColor="background2" w:themeShade="E6"/>
              <w:right w:val="single" w:sz="4" w:space="0" w:color="D0CECE" w:themeColor="background2" w:themeShade="E6"/>
            </w:tcBorders>
          </w:tcPr>
          <w:p w14:paraId="4136DE2F" w14:textId="77777777" w:rsidR="00ED7578" w:rsidRDefault="00ED7578" w:rsidP="00ED7578">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D7578">
              <w:rPr>
                <w:rFonts w:asciiTheme="minorHAnsi" w:hAnsiTheme="minorHAnsi" w:cstheme="minorHAnsi"/>
                <w:b/>
                <w:bCs/>
                <w:sz w:val="22"/>
                <w:szCs w:val="22"/>
              </w:rPr>
              <w:t>Median:</w:t>
            </w:r>
            <w:r>
              <w:rPr>
                <w:rFonts w:asciiTheme="minorHAnsi" w:hAnsiTheme="minorHAnsi" w:cstheme="minorHAnsi"/>
                <w:sz w:val="22"/>
                <w:szCs w:val="22"/>
              </w:rPr>
              <w:t xml:space="preserve"> </w:t>
            </w:r>
            <w:r w:rsidRPr="004D6EB9">
              <w:rPr>
                <w:rFonts w:asciiTheme="minorHAnsi" w:hAnsiTheme="minorHAnsi" w:cstheme="minorHAnsi"/>
                <w:sz w:val="22"/>
                <w:szCs w:val="22"/>
              </w:rPr>
              <w:t>3 months</w:t>
            </w:r>
          </w:p>
          <w:p w14:paraId="70F69480" w14:textId="77777777" w:rsidR="00ED7578" w:rsidRDefault="00ED7578" w:rsidP="00ED7578">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D7578">
              <w:rPr>
                <w:rFonts w:asciiTheme="minorHAnsi" w:hAnsiTheme="minorHAnsi" w:cstheme="minorHAnsi"/>
                <w:b/>
                <w:bCs/>
                <w:sz w:val="22"/>
                <w:szCs w:val="22"/>
              </w:rPr>
              <w:t>Average:</w:t>
            </w:r>
            <w:r>
              <w:rPr>
                <w:rFonts w:asciiTheme="minorHAnsi" w:hAnsiTheme="minorHAnsi" w:cstheme="minorHAnsi"/>
                <w:sz w:val="22"/>
                <w:szCs w:val="22"/>
              </w:rPr>
              <w:t xml:space="preserve"> 3 months</w:t>
            </w:r>
          </w:p>
          <w:p w14:paraId="131EB2AD" w14:textId="3EABF420" w:rsidR="00ED7578" w:rsidRPr="004D6EB9" w:rsidRDefault="00ED7578" w:rsidP="00ED7578">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D7578">
              <w:rPr>
                <w:rFonts w:asciiTheme="minorHAnsi" w:hAnsiTheme="minorHAnsi" w:cstheme="minorHAnsi"/>
                <w:b/>
                <w:bCs/>
                <w:sz w:val="22"/>
                <w:szCs w:val="22"/>
              </w:rPr>
              <w:t>Proportion:</w:t>
            </w:r>
            <w:r>
              <w:rPr>
                <w:rFonts w:asciiTheme="minorHAnsi" w:hAnsiTheme="minorHAnsi" w:cstheme="minorHAnsi"/>
                <w:sz w:val="22"/>
                <w:szCs w:val="22"/>
              </w:rPr>
              <w:t xml:space="preserve"> </w:t>
            </w:r>
            <w:r w:rsidRPr="004D6EB9">
              <w:rPr>
                <w:rFonts w:asciiTheme="minorHAnsi" w:hAnsiTheme="minorHAnsi" w:cstheme="minorHAnsi"/>
                <w:sz w:val="22"/>
                <w:szCs w:val="22"/>
              </w:rPr>
              <w:t>20 out of 44 listings</w:t>
            </w:r>
          </w:p>
        </w:tc>
      </w:tr>
      <w:tr w:rsidR="00ED7578" w14:paraId="759AA2A2" w14:textId="77777777" w:rsidTr="00ED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318CDF7C" w14:textId="0D34D3DF" w:rsidR="00ED7578" w:rsidRPr="004D6EB9" w:rsidRDefault="00ED7578" w:rsidP="00216DF2">
            <w:pPr>
              <w:spacing w:before="0"/>
              <w:rPr>
                <w:rFonts w:asciiTheme="minorHAnsi" w:hAnsiTheme="minorHAnsi" w:cstheme="minorHAnsi"/>
                <w:sz w:val="22"/>
                <w:szCs w:val="22"/>
              </w:rPr>
            </w:pPr>
            <w:r w:rsidRPr="004D6EB9">
              <w:rPr>
                <w:rFonts w:asciiTheme="minorHAnsi" w:hAnsiTheme="minorHAnsi" w:cstheme="minorHAnsi"/>
                <w:sz w:val="22"/>
                <w:szCs w:val="22"/>
              </w:rPr>
              <w:lastRenderedPageBreak/>
              <w:t>Time from PBAC minutes to PBS listing (all other applicants)</w:t>
            </w:r>
          </w:p>
        </w:tc>
        <w:tc>
          <w:tcPr>
            <w:tcW w:w="49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6D980CA" w14:textId="77777777" w:rsidR="00ED7578" w:rsidRDefault="00ED7578" w:rsidP="00ED7578">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D7578">
              <w:rPr>
                <w:rFonts w:asciiTheme="minorHAnsi" w:hAnsiTheme="minorHAnsi" w:cstheme="minorHAnsi"/>
                <w:b/>
                <w:bCs/>
                <w:sz w:val="22"/>
                <w:szCs w:val="22"/>
              </w:rPr>
              <w:t>Median:</w:t>
            </w:r>
            <w:r>
              <w:rPr>
                <w:rFonts w:asciiTheme="minorHAnsi" w:hAnsiTheme="minorHAnsi" w:cstheme="minorHAnsi"/>
                <w:sz w:val="22"/>
                <w:szCs w:val="22"/>
              </w:rPr>
              <w:t xml:space="preserve"> </w:t>
            </w:r>
            <w:r w:rsidRPr="004D6EB9">
              <w:rPr>
                <w:rFonts w:asciiTheme="minorHAnsi" w:hAnsiTheme="minorHAnsi" w:cstheme="minorHAnsi"/>
                <w:sz w:val="22"/>
                <w:szCs w:val="22"/>
              </w:rPr>
              <w:t>5 months</w:t>
            </w:r>
          </w:p>
          <w:p w14:paraId="112EBA93" w14:textId="77777777" w:rsidR="00ED7578" w:rsidRDefault="00ED7578" w:rsidP="00ED7578">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D7578">
              <w:rPr>
                <w:rFonts w:asciiTheme="minorHAnsi" w:hAnsiTheme="minorHAnsi" w:cstheme="minorHAnsi"/>
                <w:b/>
                <w:bCs/>
                <w:sz w:val="22"/>
                <w:szCs w:val="22"/>
              </w:rPr>
              <w:t>Average:</w:t>
            </w:r>
            <w:r>
              <w:rPr>
                <w:rFonts w:asciiTheme="minorHAnsi" w:hAnsiTheme="minorHAnsi" w:cstheme="minorHAnsi"/>
                <w:sz w:val="22"/>
                <w:szCs w:val="22"/>
              </w:rPr>
              <w:t xml:space="preserve"> 5 months</w:t>
            </w:r>
          </w:p>
          <w:p w14:paraId="6E9C19E7" w14:textId="48B8502D" w:rsidR="00ED7578" w:rsidRPr="004D6EB9" w:rsidRDefault="00ED7578" w:rsidP="00ED7578">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D7578">
              <w:rPr>
                <w:rFonts w:asciiTheme="minorHAnsi" w:hAnsiTheme="minorHAnsi" w:cstheme="minorHAnsi"/>
                <w:b/>
                <w:bCs/>
                <w:sz w:val="22"/>
                <w:szCs w:val="22"/>
              </w:rPr>
              <w:t>Proportion:</w:t>
            </w:r>
            <w:r>
              <w:rPr>
                <w:rFonts w:asciiTheme="minorHAnsi" w:hAnsiTheme="minorHAnsi" w:cstheme="minorHAnsi"/>
                <w:sz w:val="22"/>
                <w:szCs w:val="22"/>
              </w:rPr>
              <w:t xml:space="preserve"> </w:t>
            </w:r>
            <w:r w:rsidRPr="004D6EB9">
              <w:rPr>
                <w:rFonts w:asciiTheme="minorHAnsi" w:hAnsiTheme="minorHAnsi" w:cstheme="minorHAnsi"/>
                <w:sz w:val="22"/>
                <w:szCs w:val="22"/>
              </w:rPr>
              <w:t>24 out of 44 listings</w:t>
            </w:r>
          </w:p>
        </w:tc>
      </w:tr>
      <w:tr w:rsidR="00ED7578" w14:paraId="7FBA0C7F" w14:textId="77777777" w:rsidTr="00ED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85E1A76" w14:textId="59A33228" w:rsidR="00ED7578" w:rsidRPr="004D6EB9" w:rsidRDefault="00ED7578" w:rsidP="00216DF2">
            <w:pPr>
              <w:spacing w:before="0"/>
              <w:rPr>
                <w:rFonts w:asciiTheme="minorHAnsi" w:hAnsiTheme="minorHAnsi" w:cstheme="minorHAnsi"/>
                <w:sz w:val="22"/>
                <w:szCs w:val="22"/>
              </w:rPr>
            </w:pPr>
            <w:r w:rsidRPr="004D6EB9">
              <w:rPr>
                <w:rFonts w:asciiTheme="minorHAnsi" w:hAnsiTheme="minorHAnsi" w:cstheme="minorHAnsi"/>
                <w:sz w:val="22"/>
                <w:szCs w:val="22"/>
              </w:rPr>
              <w:t>Time from PBAC minutes to PBS listing for submissions seeking a higher price over existing alternatives recommended first time</w:t>
            </w:r>
          </w:p>
        </w:tc>
        <w:tc>
          <w:tcPr>
            <w:tcW w:w="49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202C7DC" w14:textId="64108CCD" w:rsidR="00ED7578" w:rsidRPr="004D6EB9" w:rsidRDefault="00ED7578" w:rsidP="00ED7578">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D7578">
              <w:rPr>
                <w:rFonts w:asciiTheme="minorHAnsi" w:hAnsiTheme="minorHAnsi" w:cstheme="minorHAnsi"/>
                <w:b/>
                <w:bCs/>
                <w:sz w:val="22"/>
                <w:szCs w:val="22"/>
              </w:rPr>
              <w:t>Average:</w:t>
            </w:r>
            <w:r>
              <w:rPr>
                <w:rFonts w:asciiTheme="minorHAnsi" w:hAnsiTheme="minorHAnsi" w:cstheme="minorHAnsi"/>
                <w:sz w:val="22"/>
                <w:szCs w:val="22"/>
              </w:rPr>
              <w:t xml:space="preserve"> 5 months</w:t>
            </w:r>
          </w:p>
        </w:tc>
      </w:tr>
      <w:tr w:rsidR="00ED7578" w14:paraId="02EA2482" w14:textId="77777777" w:rsidTr="00ED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2A8BBBD0" w14:textId="52FF46E3" w:rsidR="00ED7578" w:rsidRPr="004D6EB9" w:rsidRDefault="00ED7578" w:rsidP="00216DF2">
            <w:pPr>
              <w:spacing w:before="0"/>
              <w:rPr>
                <w:rFonts w:asciiTheme="minorHAnsi" w:hAnsiTheme="minorHAnsi" w:cstheme="minorHAnsi"/>
                <w:sz w:val="22"/>
                <w:szCs w:val="22"/>
              </w:rPr>
            </w:pPr>
            <w:r w:rsidRPr="004D6EB9">
              <w:rPr>
                <w:rFonts w:asciiTheme="minorHAnsi" w:hAnsiTheme="minorHAnsi" w:cstheme="minorHAnsi"/>
                <w:sz w:val="22"/>
                <w:szCs w:val="22"/>
              </w:rPr>
              <w:t xml:space="preserve">Time </w:t>
            </w:r>
            <w:r>
              <w:rPr>
                <w:rFonts w:asciiTheme="minorHAnsi" w:hAnsiTheme="minorHAnsi" w:cstheme="minorHAnsi"/>
                <w:sz w:val="22"/>
                <w:szCs w:val="22"/>
              </w:rPr>
              <w:t>from PBAC minutes to PBS listing for cost minimisation submissions recommended first time</w:t>
            </w:r>
          </w:p>
        </w:tc>
        <w:tc>
          <w:tcPr>
            <w:tcW w:w="49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C81AA07" w14:textId="77777777" w:rsidR="00ED7578" w:rsidRDefault="00ED7578" w:rsidP="00ED7578">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D7578">
              <w:rPr>
                <w:rFonts w:asciiTheme="minorHAnsi" w:hAnsiTheme="minorHAnsi" w:cstheme="minorHAnsi"/>
                <w:b/>
                <w:bCs/>
                <w:sz w:val="22"/>
                <w:szCs w:val="22"/>
              </w:rPr>
              <w:t>Median:</w:t>
            </w:r>
            <w:r>
              <w:rPr>
                <w:rFonts w:asciiTheme="minorHAnsi" w:hAnsiTheme="minorHAnsi" w:cstheme="minorHAnsi"/>
                <w:sz w:val="22"/>
                <w:szCs w:val="22"/>
              </w:rPr>
              <w:t xml:space="preserve"> 4 months</w:t>
            </w:r>
          </w:p>
          <w:p w14:paraId="01B7CAC2" w14:textId="656475E1" w:rsidR="00ED7578" w:rsidRPr="004D6EB9" w:rsidRDefault="00ED7578" w:rsidP="00ED7578">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D7578">
              <w:rPr>
                <w:rFonts w:asciiTheme="minorHAnsi" w:hAnsiTheme="minorHAnsi" w:cstheme="minorHAnsi"/>
                <w:b/>
                <w:bCs/>
                <w:sz w:val="22"/>
                <w:szCs w:val="22"/>
              </w:rPr>
              <w:t>Average:</w:t>
            </w:r>
            <w:r>
              <w:rPr>
                <w:rFonts w:asciiTheme="minorHAnsi" w:hAnsiTheme="minorHAnsi" w:cstheme="minorHAnsi"/>
                <w:sz w:val="22"/>
                <w:szCs w:val="22"/>
              </w:rPr>
              <w:t xml:space="preserve"> 5 months</w:t>
            </w:r>
          </w:p>
        </w:tc>
      </w:tr>
      <w:tr w:rsidR="00ED7578" w14:paraId="56654686" w14:textId="77777777" w:rsidTr="00ED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D468B00" w14:textId="6E090EC6" w:rsidR="00ED7578" w:rsidRPr="004D6EB9" w:rsidRDefault="00ED7578" w:rsidP="00216DF2">
            <w:pPr>
              <w:spacing w:before="0"/>
              <w:rPr>
                <w:rFonts w:asciiTheme="minorHAnsi" w:hAnsiTheme="minorHAnsi" w:cstheme="minorHAnsi"/>
                <w:sz w:val="22"/>
                <w:szCs w:val="22"/>
              </w:rPr>
            </w:pPr>
            <w:r w:rsidRPr="004D6EB9">
              <w:rPr>
                <w:rFonts w:asciiTheme="minorHAnsi" w:hAnsiTheme="minorHAnsi" w:cstheme="minorHAnsi"/>
                <w:sz w:val="22"/>
                <w:szCs w:val="22"/>
              </w:rPr>
              <w:t>Proportion of initial submissions recommended first time</w:t>
            </w:r>
          </w:p>
        </w:tc>
        <w:tc>
          <w:tcPr>
            <w:tcW w:w="49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D919DF2" w14:textId="04AF0D52" w:rsidR="00ED7578" w:rsidRPr="004D6EB9" w:rsidRDefault="00ED7578" w:rsidP="00ED7578">
            <w:p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D7578">
              <w:rPr>
                <w:rFonts w:asciiTheme="minorHAnsi" w:hAnsiTheme="minorHAnsi" w:cstheme="minorHAnsi"/>
                <w:b/>
                <w:bCs/>
                <w:sz w:val="22"/>
                <w:szCs w:val="22"/>
              </w:rPr>
              <w:t>Proportion:</w:t>
            </w:r>
            <w:r>
              <w:rPr>
                <w:rFonts w:asciiTheme="minorHAnsi" w:hAnsiTheme="minorHAnsi" w:cstheme="minorHAnsi"/>
                <w:sz w:val="22"/>
                <w:szCs w:val="22"/>
              </w:rPr>
              <w:t xml:space="preserve"> </w:t>
            </w:r>
            <w:r w:rsidRPr="004D6EB9">
              <w:rPr>
                <w:rFonts w:asciiTheme="minorHAnsi" w:hAnsiTheme="minorHAnsi" w:cstheme="minorHAnsi"/>
                <w:sz w:val="22"/>
                <w:szCs w:val="22"/>
              </w:rPr>
              <w:t>56% (59 out of 105)</w:t>
            </w:r>
          </w:p>
        </w:tc>
      </w:tr>
      <w:tr w:rsidR="00ED7578" w14:paraId="116B6087" w14:textId="77777777" w:rsidTr="00ED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4E53D44" w14:textId="0337DC26" w:rsidR="00ED7578" w:rsidRPr="004D6EB9" w:rsidRDefault="00ED7578" w:rsidP="00216DF2">
            <w:pPr>
              <w:spacing w:before="0"/>
              <w:rPr>
                <w:rFonts w:asciiTheme="minorHAnsi" w:hAnsiTheme="minorHAnsi" w:cstheme="minorHAnsi"/>
                <w:sz w:val="22"/>
                <w:szCs w:val="22"/>
              </w:rPr>
            </w:pPr>
            <w:r w:rsidRPr="004D6EB9">
              <w:rPr>
                <w:rFonts w:asciiTheme="minorHAnsi" w:hAnsiTheme="minorHAnsi" w:cstheme="minorHAnsi"/>
                <w:sz w:val="22"/>
                <w:szCs w:val="22"/>
              </w:rPr>
              <w:t>Proportion of initial submissions recommended first time where higher price than existing alternative sought</w:t>
            </w:r>
          </w:p>
        </w:tc>
        <w:tc>
          <w:tcPr>
            <w:tcW w:w="497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B1D62FD" w14:textId="07A55573" w:rsidR="00ED7578" w:rsidRPr="004D6EB9" w:rsidRDefault="00ED7578" w:rsidP="00ED7578">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D7578">
              <w:rPr>
                <w:rFonts w:asciiTheme="minorHAnsi" w:hAnsiTheme="minorHAnsi" w:cstheme="minorHAnsi"/>
                <w:b/>
                <w:bCs/>
                <w:sz w:val="22"/>
                <w:szCs w:val="22"/>
              </w:rPr>
              <w:t>Proportion:</w:t>
            </w:r>
            <w:r>
              <w:rPr>
                <w:rFonts w:asciiTheme="minorHAnsi" w:hAnsiTheme="minorHAnsi" w:cstheme="minorHAnsi"/>
                <w:sz w:val="22"/>
                <w:szCs w:val="22"/>
              </w:rPr>
              <w:t xml:space="preserve"> </w:t>
            </w:r>
            <w:r w:rsidRPr="004D6EB9">
              <w:rPr>
                <w:rFonts w:asciiTheme="minorHAnsi" w:hAnsiTheme="minorHAnsi" w:cstheme="minorHAnsi"/>
                <w:sz w:val="22"/>
                <w:szCs w:val="22"/>
              </w:rPr>
              <w:t>11% (4 out of 37)</w:t>
            </w:r>
          </w:p>
        </w:tc>
      </w:tr>
    </w:tbl>
    <w:p w14:paraId="2193B791" w14:textId="6C299283" w:rsidR="008461E2" w:rsidRDefault="008461E2" w:rsidP="008461E2">
      <w:pPr>
        <w:pStyle w:val="Heading4"/>
      </w:pPr>
      <w:bookmarkStart w:id="22" w:name="_Hlk138837982"/>
      <w:r>
        <w:t xml:space="preserve">Limitations of </w:t>
      </w:r>
      <w:r w:rsidR="00852BDB">
        <w:t>timeframe to reimbursement analyses</w:t>
      </w:r>
    </w:p>
    <w:p w14:paraId="57BE4EE9" w14:textId="7F10A8A4" w:rsidR="00852BDB" w:rsidRDefault="008461E2" w:rsidP="000B3883">
      <w:r>
        <w:t>T</w:t>
      </w:r>
      <w:r w:rsidR="000B3883">
        <w:t>he methods for analysing and reporting on regulatory and reimbursement approval timelines var</w:t>
      </w:r>
      <w:r w:rsidR="00C8543C">
        <w:t>y</w:t>
      </w:r>
      <w:r w:rsidR="000B3883">
        <w:t xml:space="preserve"> between different studies. This can lead to differences in findings for similar metrics.</w:t>
      </w:r>
      <w:r>
        <w:t xml:space="preserve"> </w:t>
      </w:r>
    </w:p>
    <w:p w14:paraId="227CF468" w14:textId="1A9ABF3D" w:rsidR="000B3883" w:rsidRDefault="008461E2" w:rsidP="000B3883">
      <w:r>
        <w:t xml:space="preserve">Reports on new molecular entities and new active substances authorised and reimbursed are based on the first registered indication in respective jurisdictions. The first registered and funded indication can vary between </w:t>
      </w:r>
      <w:r w:rsidR="002F75E0">
        <w:t xml:space="preserve">international </w:t>
      </w:r>
      <w:r>
        <w:t>jurisdictions.</w:t>
      </w:r>
      <w:r w:rsidR="007009B3">
        <w:t xml:space="preserve"> Inclusion of repurposed medicines in statistics can significantly skew averages – where for example the repurposed medicine gained market authorisation many years ago for an indication that was not reimbursed or was later withdrawn and then gained market authorisation for a new indication that was reimbursed. It is unclear to what extent such outliers have been included or excluded in the different reports. </w:t>
      </w:r>
      <w:r w:rsidR="000B3883">
        <w:t xml:space="preserve">The raw data that supports the </w:t>
      </w:r>
      <w:r w:rsidR="003022AC">
        <w:t>Figure</w:t>
      </w:r>
      <w:r w:rsidR="000B3883">
        <w:t xml:space="preserve">s in the CIRS, Medicines Australia and PhRMA reports is not publicly available. </w:t>
      </w:r>
    </w:p>
    <w:p w14:paraId="32639E0D" w14:textId="47BFF9BA" w:rsidR="008461E2" w:rsidRDefault="00956B05" w:rsidP="000B3883">
      <w:r>
        <w:t>C</w:t>
      </w:r>
      <w:r w:rsidR="000B3883">
        <w:t>omparison of the numbers of new medicines reimbursed in different countries can</w:t>
      </w:r>
      <w:r>
        <w:t xml:space="preserve"> also</w:t>
      </w:r>
      <w:r w:rsidR="000B3883">
        <w:t xml:space="preserve"> be misleading as a measure of access as it may not reflect differences between national and local schemes for funding</w:t>
      </w:r>
      <w:r w:rsidR="008461E2">
        <w:t xml:space="preserve"> or </w:t>
      </w:r>
      <w:r w:rsidR="000B3883">
        <w:t xml:space="preserve">the availability and performance of alternative health technologies in various countries. </w:t>
      </w:r>
    </w:p>
    <w:p w14:paraId="2EB8F7E6" w14:textId="0EF89A5A" w:rsidR="000B3883" w:rsidRDefault="00C9371D" w:rsidP="000B3883">
      <w:r>
        <w:t>Medicines</w:t>
      </w:r>
      <w:r w:rsidR="000B3883">
        <w:t xml:space="preserve"> funded for inpatients in public hospitals</w:t>
      </w:r>
      <w:r>
        <w:t xml:space="preserve"> in Australia, for example,</w:t>
      </w:r>
      <w:r w:rsidR="000B3883">
        <w:t xml:space="preserve"> are unlikely to be captured in international comparisons. In other countries, the medicines may be funded but for a smaller population than indicated</w:t>
      </w:r>
      <w:r w:rsidR="00451041">
        <w:t xml:space="preserve"> or a subset of the overall population</w:t>
      </w:r>
      <w:r w:rsidR="008461E2">
        <w:t xml:space="preserve"> based on level of insurance</w:t>
      </w:r>
      <w:r w:rsidR="000B3883">
        <w:t>.</w:t>
      </w:r>
      <w:r>
        <w:t xml:space="preserve"> </w:t>
      </w:r>
    </w:p>
    <w:bookmarkEnd w:id="21"/>
    <w:bookmarkEnd w:id="22"/>
    <w:p w14:paraId="25C85735" w14:textId="413FFEA0" w:rsidR="000B3883" w:rsidRDefault="000B3883" w:rsidP="00451041">
      <w:r>
        <w:br w:type="page"/>
      </w:r>
    </w:p>
    <w:p w14:paraId="1EF762EC" w14:textId="3F4C53B6" w:rsidR="009978FA" w:rsidRDefault="009978FA" w:rsidP="00C33B1F">
      <w:pPr>
        <w:pStyle w:val="Heading1"/>
      </w:pPr>
      <w:bookmarkStart w:id="23" w:name="_Toc156576956"/>
      <w:r>
        <w:lastRenderedPageBreak/>
        <w:t xml:space="preserve">National </w:t>
      </w:r>
      <w:r w:rsidR="00786D0E">
        <w:t>I</w:t>
      </w:r>
      <w:r>
        <w:t xml:space="preserve">mmunisation </w:t>
      </w:r>
      <w:r w:rsidR="00786D0E">
        <w:t>P</w:t>
      </w:r>
      <w:r>
        <w:t>rogram</w:t>
      </w:r>
      <w:bookmarkEnd w:id="23"/>
    </w:p>
    <w:p w14:paraId="46E93099" w14:textId="53FBB251" w:rsidR="009978FA" w:rsidRDefault="00C54E90" w:rsidP="009978FA">
      <w:pPr>
        <w:pStyle w:val="Heading2"/>
      </w:pPr>
      <w:bookmarkStart w:id="24" w:name="_Toc156576957"/>
      <w:r>
        <w:t>Background</w:t>
      </w:r>
      <w:bookmarkEnd w:id="24"/>
    </w:p>
    <w:p w14:paraId="043C6A26" w14:textId="07478168" w:rsidR="00C54E90" w:rsidRDefault="00C54E90" w:rsidP="00C54E90">
      <w:r w:rsidRPr="005E3B10">
        <w:t xml:space="preserve">The </w:t>
      </w:r>
      <w:r w:rsidR="00682702">
        <w:t xml:space="preserve">National Immunisation </w:t>
      </w:r>
      <w:r w:rsidR="00A93F63">
        <w:t>Program (</w:t>
      </w:r>
      <w:r w:rsidRPr="005E3B10">
        <w:t>NIP</w:t>
      </w:r>
      <w:r w:rsidR="00A93F63">
        <w:t>)</w:t>
      </w:r>
      <w:r>
        <w:t xml:space="preserve"> </w:t>
      </w:r>
      <w:r w:rsidRPr="005E3B10">
        <w:t xml:space="preserve">provides free vaccines to eligible people to help reduce diseases that can be prevented by vaccination. </w:t>
      </w:r>
      <w:r w:rsidRPr="002E4914">
        <w:t>The current NIP consists of a schedule (the NIP Schedule) of recommended vaccines by age group and/or medical risk</w:t>
      </w:r>
      <w:r w:rsidR="00786D0E">
        <w:t>. Vaccines on the NIP are</w:t>
      </w:r>
      <w:r w:rsidRPr="002E4914">
        <w:t xml:space="preserve"> made available free of charge to Australians in </w:t>
      </w:r>
      <w:r w:rsidR="00786D0E">
        <w:t>the recommended</w:t>
      </w:r>
      <w:r w:rsidR="00786D0E" w:rsidRPr="002E4914">
        <w:t xml:space="preserve"> </w:t>
      </w:r>
      <w:r w:rsidRPr="002E4914">
        <w:t>age groups and risk groups. To date, the NIP Schedule includes vaccines against 17 diseases: hepatitis B, diphtheria, tetanus, pertussis (whooping cough), Haemophilus influenzae type b (Hib), polio, pneumococcal, rotavirus, measles, mumps, rubella, meningococcal, varicella (chickenpox), hepatitis A, human papillomavirus (HPV), influenza and herpes zoster</w:t>
      </w:r>
      <w:r w:rsidR="00C17B0B">
        <w:t>.</w:t>
      </w:r>
      <w:r w:rsidRPr="00F60FEE">
        <w:rPr>
          <w:vertAlign w:val="superscript"/>
        </w:rPr>
        <w:footnoteReference w:id="40"/>
      </w:r>
    </w:p>
    <w:p w14:paraId="79F4A1DE" w14:textId="7B572154" w:rsidR="00C54E90" w:rsidRDefault="00C54E90" w:rsidP="00C54E90">
      <w:pPr>
        <w:pStyle w:val="Heading2"/>
      </w:pPr>
      <w:bookmarkStart w:id="25" w:name="_Toc156576958"/>
      <w:r>
        <w:t>Listing process for new vaccines</w:t>
      </w:r>
      <w:bookmarkEnd w:id="25"/>
    </w:p>
    <w:p w14:paraId="7A6C0F5A" w14:textId="2AB1F2F5" w:rsidR="00C54E90" w:rsidRDefault="00C54E90" w:rsidP="00C54E90">
      <w:pPr>
        <w:pStyle w:val="Heading3"/>
      </w:pPr>
      <w:r>
        <w:t xml:space="preserve">Who </w:t>
      </w:r>
      <w:r w:rsidR="00331395">
        <w:t>considers</w:t>
      </w:r>
      <w:r>
        <w:t xml:space="preserve"> applications</w:t>
      </w:r>
      <w:r w:rsidR="00331395">
        <w:t>?</w:t>
      </w:r>
    </w:p>
    <w:p w14:paraId="3E36469A" w14:textId="46848050" w:rsidR="008D712B" w:rsidRDefault="00C54E90" w:rsidP="008D712B">
      <w:r w:rsidRPr="00650F52">
        <w:t xml:space="preserve">In 2005, the </w:t>
      </w:r>
      <w:r w:rsidR="00956B05">
        <w:rPr>
          <w:iCs/>
        </w:rPr>
        <w:t>NH Act</w:t>
      </w:r>
      <w:r w:rsidRPr="00650F52">
        <w:t xml:space="preserve"> was amended to provide for the </w:t>
      </w:r>
      <w:r w:rsidR="00901AC8">
        <w:t>consideration of</w:t>
      </w:r>
      <w:r w:rsidRPr="00650F52">
        <w:t xml:space="preserve"> vaccines by </w:t>
      </w:r>
      <w:r w:rsidRPr="00650F52" w:rsidDel="006A4EBC">
        <w:t xml:space="preserve">the </w:t>
      </w:r>
      <w:r w:rsidRPr="00650F52">
        <w:t>PBAC</w:t>
      </w:r>
      <w:r w:rsidR="00901AC8">
        <w:t xml:space="preserve">. Under the </w:t>
      </w:r>
      <w:r w:rsidR="00956B05">
        <w:t>NH Act</w:t>
      </w:r>
      <w:r w:rsidR="00901AC8">
        <w:rPr>
          <w:i/>
          <w:iCs/>
        </w:rPr>
        <w:t>,</w:t>
      </w:r>
      <w:r w:rsidR="00901AC8">
        <w:t xml:space="preserve"> the Minister cannot designate a vaccine (necessary for funding through the </w:t>
      </w:r>
      <w:r w:rsidR="00956B05">
        <w:t>NIP</w:t>
      </w:r>
      <w:r w:rsidR="00901AC8">
        <w:t xml:space="preserve">) unless </w:t>
      </w:r>
      <w:r w:rsidR="000B4872" w:rsidDel="004A62E9">
        <w:t xml:space="preserve">the </w:t>
      </w:r>
      <w:r w:rsidR="000B4872">
        <w:t xml:space="preserve">PBAC </w:t>
      </w:r>
      <w:r w:rsidR="00901AC8">
        <w:t>has recommended to the Minister that the vaccine be a designated vaccine.</w:t>
      </w:r>
    </w:p>
    <w:p w14:paraId="5D7936E0" w14:textId="6C0CB7A2" w:rsidR="00B64861" w:rsidRPr="008D712B" w:rsidRDefault="00C54E90" w:rsidP="008D712B">
      <w:r w:rsidRPr="00650F52">
        <w:t>As part of the</w:t>
      </w:r>
      <w:r w:rsidR="000B4872">
        <w:t xml:space="preserve"> reforms in</w:t>
      </w:r>
      <w:r w:rsidRPr="00650F52">
        <w:t xml:space="preserve"> </w:t>
      </w:r>
      <w:r w:rsidR="00901AC8">
        <w:t>2005</w:t>
      </w:r>
      <w:r w:rsidR="000B4872">
        <w:t>,</w:t>
      </w:r>
      <w:r w:rsidR="00313EA8">
        <w:t xml:space="preserve"> </w:t>
      </w:r>
      <w:r w:rsidR="00313EA8" w:rsidDel="004A62E9">
        <w:t>the</w:t>
      </w:r>
      <w:r w:rsidR="000B4872" w:rsidDel="004A62E9">
        <w:t xml:space="preserve"> </w:t>
      </w:r>
      <w:r w:rsidR="00B64861">
        <w:t>ATAGI</w:t>
      </w:r>
      <w:r w:rsidRPr="00650F52">
        <w:t xml:space="preserve"> was given a strengthened role in providing technical advice to </w:t>
      </w:r>
      <w:r w:rsidRPr="00650F52" w:rsidDel="00FF310B">
        <w:t xml:space="preserve">the </w:t>
      </w:r>
      <w:r w:rsidRPr="00650F52">
        <w:t>PBAC on new vaccines.</w:t>
      </w:r>
      <w:r w:rsidR="008D712B">
        <w:t xml:space="preserve"> </w:t>
      </w:r>
      <w:r w:rsidR="00B64861">
        <w:t xml:space="preserve">Before making a submission to </w:t>
      </w:r>
      <w:r w:rsidR="00B64861" w:rsidDel="008D5C57">
        <w:t xml:space="preserve">the </w:t>
      </w:r>
      <w:r w:rsidR="00B64861">
        <w:t xml:space="preserve">PBAC, sponsors seeking listing of a vaccine on the NIP must first seek advice from </w:t>
      </w:r>
      <w:r w:rsidR="00956B05" w:rsidDel="008D5C57">
        <w:t xml:space="preserve">the </w:t>
      </w:r>
      <w:r w:rsidR="00B64861">
        <w:t xml:space="preserve">ATAGI. </w:t>
      </w:r>
    </w:p>
    <w:p w14:paraId="6A67FECB" w14:textId="77777777" w:rsidR="00DB54DC" w:rsidRDefault="00DB54DC" w:rsidP="00DB54DC">
      <w:pPr>
        <w:pStyle w:val="Heading3"/>
      </w:pPr>
      <w:r>
        <w:t>What assessment is made and what information is used to make the assessment?</w:t>
      </w:r>
    </w:p>
    <w:p w14:paraId="7FC0718D" w14:textId="0B8CB3D4" w:rsidR="00786D0E" w:rsidRDefault="00956B05" w:rsidP="00956B05">
      <w:r w:rsidDel="008D5C57">
        <w:t xml:space="preserve">The </w:t>
      </w:r>
      <w:r w:rsidR="008B1E88">
        <w:t xml:space="preserve">ATAGI assesses the </w:t>
      </w:r>
      <w:r w:rsidR="001D085A">
        <w:t xml:space="preserve">suitability </w:t>
      </w:r>
      <w:r w:rsidR="008B1E88">
        <w:t xml:space="preserve">of the proposed clinical claim for the vaccine for the requested population. </w:t>
      </w:r>
      <w:r w:rsidR="00786D0E" w:rsidRPr="00956B05" w:rsidDel="00146DCE">
        <w:t xml:space="preserve">The </w:t>
      </w:r>
      <w:r w:rsidR="00786D0E" w:rsidRPr="00956B05">
        <w:t xml:space="preserve">ATAGI Guidelines set out in detail what information needs to be provided by the vaccine sponsor as part of </w:t>
      </w:r>
      <w:r w:rsidR="00146DCE">
        <w:t>a</w:t>
      </w:r>
      <w:r w:rsidR="00146DCE" w:rsidRPr="00956B05">
        <w:t xml:space="preserve"> </w:t>
      </w:r>
      <w:r w:rsidR="00786D0E" w:rsidRPr="00956B05">
        <w:t>request for ATAGI advice. These guidelines provide instructions for what evidence</w:t>
      </w:r>
      <w:r>
        <w:t xml:space="preserve"> </w:t>
      </w:r>
      <w:r w:rsidR="00786D0E" w:rsidRPr="00956B05">
        <w:t xml:space="preserve">ATAGI requires to provide advice on a new vaccine or changes to existing NIP listings. Requests for ATAGI advice require assessment of the proposed </w:t>
      </w:r>
      <w:r w:rsidR="00913199" w:rsidRPr="00913199">
        <w:t xml:space="preserve">population, intervention, comparator, and outcomes </w:t>
      </w:r>
      <w:r w:rsidR="00913199">
        <w:t>(</w:t>
      </w:r>
      <w:r w:rsidR="00786D0E" w:rsidRPr="00956B05">
        <w:t>PICO</w:t>
      </w:r>
      <w:r w:rsidR="00913199">
        <w:t>)</w:t>
      </w:r>
      <w:r w:rsidR="00786D0E" w:rsidRPr="00956B05">
        <w:t xml:space="preserve"> for the NIP listing, information on clinical management, evidence evaluation and identification of translational issues in the proposed PICO, issues associated with vaccine cost-effectiveness in an Australian setting, and expected use and implementation.</w:t>
      </w:r>
    </w:p>
    <w:p w14:paraId="2F23C831" w14:textId="422D5167" w:rsidR="00B64861" w:rsidRDefault="00956B05" w:rsidP="00956B05">
      <w:r w:rsidDel="0039662B">
        <w:t xml:space="preserve">The </w:t>
      </w:r>
      <w:r w:rsidR="008D712B">
        <w:t xml:space="preserve">ATAGI provides </w:t>
      </w:r>
      <w:r>
        <w:t xml:space="preserve">a </w:t>
      </w:r>
      <w:r w:rsidR="008D712B">
        <w:t>technical interpretation of clinical trial data assessing the efficacy of the vaccine and contextualised advice about the suitability and feasibility of any proposed change to the NIP in Australia.</w:t>
      </w:r>
    </w:p>
    <w:p w14:paraId="4A1A5511" w14:textId="4ECE6597" w:rsidR="008D712B" w:rsidRDefault="008D712B" w:rsidP="00956B05">
      <w:r>
        <w:t xml:space="preserve">Similar to requirements </w:t>
      </w:r>
      <w:r w:rsidR="00956B05">
        <w:t>for</w:t>
      </w:r>
      <w:r>
        <w:t xml:space="preserve"> making recommendations about medicines, </w:t>
      </w:r>
      <w:r w:rsidRPr="00901AC8" w:rsidDel="00964F33">
        <w:t xml:space="preserve">the </w:t>
      </w:r>
      <w:r w:rsidRPr="00901AC8">
        <w:t xml:space="preserve">PBAC must consider the effectiveness and cost of the new </w:t>
      </w:r>
      <w:r>
        <w:t>vaccine</w:t>
      </w:r>
      <w:r w:rsidRPr="00901AC8">
        <w:t xml:space="preserve">, compared to </w:t>
      </w:r>
      <w:r>
        <w:t>alternative options, whether or not involving the use of other vaccines</w:t>
      </w:r>
      <w:r w:rsidRPr="00901AC8">
        <w:t xml:space="preserve">. When recommending </w:t>
      </w:r>
      <w:r>
        <w:t>a vaccine</w:t>
      </w:r>
      <w:r w:rsidRPr="00901AC8">
        <w:t xml:space="preserve"> that is more costly than alternative</w:t>
      </w:r>
      <w:r>
        <w:t xml:space="preserve"> vaccines be a designated vaccine</w:t>
      </w:r>
      <w:r w:rsidRPr="00901AC8">
        <w:t xml:space="preserve">, </w:t>
      </w:r>
      <w:r w:rsidRPr="00901AC8" w:rsidDel="002D5750">
        <w:t xml:space="preserve">the </w:t>
      </w:r>
      <w:r w:rsidRPr="00901AC8">
        <w:t xml:space="preserve">PBAC must be satisfied that the </w:t>
      </w:r>
      <w:r>
        <w:t>vaccine</w:t>
      </w:r>
      <w:r w:rsidRPr="00901AC8">
        <w:t xml:space="preserve"> provides an improvement in efficacy or reduction in toxicity over alternative</w:t>
      </w:r>
      <w:r>
        <w:t xml:space="preserve"> vaccine</w:t>
      </w:r>
      <w:r w:rsidR="00956B05">
        <w:t>s</w:t>
      </w:r>
      <w:r w:rsidRPr="00956B05">
        <w:t xml:space="preserve"> </w:t>
      </w:r>
      <w:r w:rsidRPr="00901AC8">
        <w:t>for some patients</w:t>
      </w:r>
      <w:r>
        <w:t>.</w:t>
      </w:r>
    </w:p>
    <w:p w14:paraId="3102557D" w14:textId="77777777" w:rsidR="00081EFB" w:rsidRDefault="00081EFB" w:rsidP="00081EFB">
      <w:pPr>
        <w:pStyle w:val="Heading3"/>
      </w:pPr>
      <w:r>
        <w:lastRenderedPageBreak/>
        <w:t>Consideration of evidence from patients, consumers and others</w:t>
      </w:r>
    </w:p>
    <w:p w14:paraId="60798579" w14:textId="2EADDAC5" w:rsidR="00081EFB" w:rsidRDefault="00081EFB" w:rsidP="00956B05">
      <w:r>
        <w:t xml:space="preserve">Evidence from patients, consumers and others </w:t>
      </w:r>
      <w:r w:rsidR="009D4400">
        <w:t>is</w:t>
      </w:r>
      <w:r>
        <w:t xml:space="preserve"> considered </w:t>
      </w:r>
      <w:r w:rsidR="00424A34">
        <w:t>through the existing consultation mechanism</w:t>
      </w:r>
      <w:r w:rsidR="00956B05">
        <w:t>s</w:t>
      </w:r>
      <w:r w:rsidR="00424A34">
        <w:t xml:space="preserve"> </w:t>
      </w:r>
      <w:r w:rsidR="00956B05">
        <w:t>for</w:t>
      </w:r>
      <w:r>
        <w:t xml:space="preserve"> PBAC submissio</w:t>
      </w:r>
      <w:r w:rsidR="00956B05">
        <w:t>ns</w:t>
      </w:r>
      <w:r>
        <w:t xml:space="preserve">. </w:t>
      </w:r>
    </w:p>
    <w:p w14:paraId="42929DBD" w14:textId="7FF44F3F" w:rsidR="008473F1" w:rsidRDefault="008473F1" w:rsidP="0082198A">
      <w:pPr>
        <w:pStyle w:val="Heading3"/>
      </w:pPr>
      <w:r>
        <w:t>Pathway from submission</w:t>
      </w:r>
      <w:r w:rsidR="000B4872">
        <w:t xml:space="preserve"> to</w:t>
      </w:r>
      <w:r w:rsidR="00956B05">
        <w:t xml:space="preserve"> </w:t>
      </w:r>
      <w:r w:rsidR="00956B05" w:rsidDel="00B078E4">
        <w:t>the</w:t>
      </w:r>
      <w:r w:rsidR="000B4872" w:rsidDel="00B078E4">
        <w:t xml:space="preserve"> </w:t>
      </w:r>
      <w:r w:rsidR="000B4872">
        <w:t>ATAGI</w:t>
      </w:r>
      <w:r>
        <w:t xml:space="preserve"> to NIP</w:t>
      </w:r>
      <w:r w:rsidR="00FE5433">
        <w:t xml:space="preserve"> listing</w:t>
      </w:r>
    </w:p>
    <w:p w14:paraId="43037BDE" w14:textId="2D7A8288" w:rsidR="00DB5EF9" w:rsidRDefault="00DB5EF9" w:rsidP="00DB5EF9">
      <w:r>
        <w:t xml:space="preserve">The steps for obtaining advice from </w:t>
      </w:r>
      <w:r w:rsidR="00956B05" w:rsidDel="00427F2D">
        <w:t xml:space="preserve">the </w:t>
      </w:r>
      <w:r>
        <w:t>ATAGI</w:t>
      </w:r>
      <w:r w:rsidR="00B97D53">
        <w:t xml:space="preserve"> through to NIP funding</w:t>
      </w:r>
      <w:r>
        <w:t xml:space="preserve"> are set out </w:t>
      </w:r>
      <w:r w:rsidR="005D5701">
        <w:t xml:space="preserve">in </w:t>
      </w:r>
      <w:r w:rsidR="003022AC">
        <w:t>Figure</w:t>
      </w:r>
      <w:r w:rsidR="005D5701">
        <w:t xml:space="preserve"> </w:t>
      </w:r>
      <w:r w:rsidR="00B97D53">
        <w:t>1</w:t>
      </w:r>
      <w:r w:rsidR="00116E40">
        <w:t>0</w:t>
      </w:r>
      <w:r w:rsidR="005D5701">
        <w:t xml:space="preserve">. </w:t>
      </w:r>
    </w:p>
    <w:p w14:paraId="3A2B795D" w14:textId="0DB9D705" w:rsidR="005D5701" w:rsidRDefault="003022AC" w:rsidP="005D5701">
      <w:pPr>
        <w:pStyle w:val="Heading4"/>
      </w:pPr>
      <w:r>
        <w:t>Figure</w:t>
      </w:r>
      <w:r w:rsidR="005D5701">
        <w:t xml:space="preserve"> </w:t>
      </w:r>
      <w:r w:rsidR="00B97D53">
        <w:t>1</w:t>
      </w:r>
      <w:r w:rsidR="00116E40">
        <w:t>0</w:t>
      </w:r>
      <w:r w:rsidR="00B97D53">
        <w:t>.</w:t>
      </w:r>
      <w:r w:rsidR="005D5701">
        <w:t xml:space="preserve"> Pathway from submission</w:t>
      </w:r>
      <w:r w:rsidR="000B4872">
        <w:t xml:space="preserve"> to ATAGI</w:t>
      </w:r>
      <w:r w:rsidR="005D5701">
        <w:t xml:space="preserve"> to NIP listing</w:t>
      </w:r>
    </w:p>
    <w:p w14:paraId="70139FD7" w14:textId="17D4C458" w:rsidR="00D318BF" w:rsidRDefault="008D712B" w:rsidP="00D318BF">
      <w:r w:rsidRPr="008D712B">
        <w:rPr>
          <w:noProof/>
        </w:rPr>
        <w:drawing>
          <wp:inline distT="0" distB="0" distL="0" distR="0" wp14:anchorId="65D13DD5" wp14:editId="27DC21B8">
            <wp:extent cx="5351802" cy="7155712"/>
            <wp:effectExtent l="0" t="0" r="0" b="0"/>
            <wp:docPr id="12" name="Picture 12" descr="Figure 10. Pathway from submission to ATAGI to NIP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0. Pathway from submission to ATAGI to NIP list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55272" cy="7160351"/>
                    </a:xfrm>
                    <a:prstGeom prst="rect">
                      <a:avLst/>
                    </a:prstGeom>
                    <a:solidFill>
                      <a:schemeClr val="bg1"/>
                    </a:solidFill>
                    <a:ln>
                      <a:noFill/>
                    </a:ln>
                  </pic:spPr>
                </pic:pic>
              </a:graphicData>
            </a:graphic>
          </wp:inline>
        </w:drawing>
      </w:r>
    </w:p>
    <w:p w14:paraId="1F1CF349" w14:textId="77777777" w:rsidR="00D318BF" w:rsidRDefault="00D318BF">
      <w:pPr>
        <w:spacing w:before="0" w:after="160"/>
        <w:rPr>
          <w:rFonts w:eastAsiaTheme="majorEastAsia" w:cstheme="majorBidi"/>
          <w:iCs/>
          <w:color w:val="1F3864" w:themeColor="accent1" w:themeShade="80"/>
        </w:rPr>
      </w:pPr>
      <w:r>
        <w:br w:type="page"/>
      </w:r>
    </w:p>
    <w:p w14:paraId="1C707368" w14:textId="4B1FD436" w:rsidR="00F134DE" w:rsidRPr="00F134DE" w:rsidRDefault="00F134DE" w:rsidP="00F134DE">
      <w:pPr>
        <w:pStyle w:val="Heading4"/>
      </w:pPr>
      <w:r>
        <w:lastRenderedPageBreak/>
        <w:t>Post-PBAC process</w:t>
      </w:r>
    </w:p>
    <w:p w14:paraId="6C615E23" w14:textId="38F98795" w:rsidR="00BE4B49" w:rsidRPr="009D4400" w:rsidRDefault="00BE4B49" w:rsidP="009D4400">
      <w:r w:rsidRPr="009D4400">
        <w:t xml:space="preserve">Following a positive PBAC recommendation, a price must be agreed between the </w:t>
      </w:r>
      <w:r w:rsidR="002516E5">
        <w:t xml:space="preserve">Department of Health and Aged Care (Department) </w:t>
      </w:r>
      <w:r w:rsidRPr="009D4400">
        <w:t xml:space="preserve">and the </w:t>
      </w:r>
      <w:r w:rsidR="000B4872" w:rsidRPr="009D4400">
        <w:t>sponsor</w:t>
      </w:r>
      <w:r w:rsidRPr="009D4400">
        <w:t xml:space="preserve">. Approval is then sought from the Government to fund the vaccine through the NIP. Following Government approval of the vaccine, it is listed on the National Health (Immunisation Program – Designated Vaccines) Determination 2014 (No.1). These steps need to occur </w:t>
      </w:r>
      <w:r w:rsidR="007F498A">
        <w:t>before</w:t>
      </w:r>
      <w:r w:rsidRPr="009D4400">
        <w:t xml:space="preserve"> execution of any contract for supply with the </w:t>
      </w:r>
      <w:r w:rsidR="000B4872" w:rsidRPr="009D4400">
        <w:t>sponsor</w:t>
      </w:r>
      <w:r w:rsidRPr="009D4400">
        <w:t xml:space="preserve">. </w:t>
      </w:r>
    </w:p>
    <w:p w14:paraId="47FAA7E3" w14:textId="73603763" w:rsidR="0042089D" w:rsidRDefault="0042089D" w:rsidP="0042089D">
      <w:pPr>
        <w:pStyle w:val="Heading2"/>
      </w:pPr>
      <w:bookmarkStart w:id="26" w:name="_Toc156576959"/>
      <w:r>
        <w:t>Issues raised through the House of Representatives Inquiry</w:t>
      </w:r>
      <w:bookmarkEnd w:id="26"/>
      <w:r>
        <w:t xml:space="preserve"> </w:t>
      </w:r>
    </w:p>
    <w:p w14:paraId="4D39B777" w14:textId="3F80411E" w:rsidR="0042089D" w:rsidRPr="0042089D" w:rsidRDefault="00B336F4" w:rsidP="0042089D">
      <w:r>
        <w:t>No significant issues</w:t>
      </w:r>
      <w:r w:rsidR="009D4400">
        <w:t xml:space="preserve"> were</w:t>
      </w:r>
      <w:r>
        <w:t xml:space="preserve"> raised about the pathway to funding of vaccines through the NIP</w:t>
      </w:r>
      <w:r w:rsidR="009D4400">
        <w:t xml:space="preserve"> in the </w:t>
      </w:r>
      <w:r w:rsidR="000C5303">
        <w:t>i</w:t>
      </w:r>
      <w:r w:rsidR="009D4400">
        <w:t>nquiry</w:t>
      </w:r>
      <w:r>
        <w:t xml:space="preserve">. Several pharmaceutical companies </w:t>
      </w:r>
      <w:r w:rsidR="003A2844">
        <w:t>expressed</w:t>
      </w:r>
      <w:r>
        <w:t xml:space="preserve"> concerns about how vaccines are valued and </w:t>
      </w:r>
      <w:r w:rsidR="003A2844">
        <w:t>the extent to which</w:t>
      </w:r>
      <w:r>
        <w:t xml:space="preserve"> broader impacts of preventative treatments should be incorporated in evaluation. These issues will be discussed in later papers. </w:t>
      </w:r>
    </w:p>
    <w:p w14:paraId="381A91D0" w14:textId="27D24054" w:rsidR="00BE4B49" w:rsidRDefault="00C920A4" w:rsidP="00BE4B49">
      <w:pPr>
        <w:pStyle w:val="Heading2"/>
      </w:pPr>
      <w:bookmarkStart w:id="27" w:name="_Toc156576960"/>
      <w:r>
        <w:t>Timeframes</w:t>
      </w:r>
      <w:r w:rsidR="00CD61B4">
        <w:t xml:space="preserve"> to NIP listing</w:t>
      </w:r>
      <w:bookmarkEnd w:id="27"/>
    </w:p>
    <w:p w14:paraId="1FCA8875" w14:textId="17B87D9B" w:rsidR="0042089D" w:rsidRDefault="00C920A4" w:rsidP="009D4400">
      <w:r>
        <w:t>The</w:t>
      </w:r>
      <w:r w:rsidR="00295D4C">
        <w:t xml:space="preserve"> minimum</w:t>
      </w:r>
      <w:r>
        <w:t xml:space="preserve"> timeframe from </w:t>
      </w:r>
      <w:r w:rsidR="000B4872">
        <w:t xml:space="preserve">application to </w:t>
      </w:r>
      <w:r>
        <w:t xml:space="preserve">ATAGI to PBAC submission is 29 weeks. The PBAC process takes a </w:t>
      </w:r>
      <w:r w:rsidR="001D085A">
        <w:t>further 2</w:t>
      </w:r>
      <w:r w:rsidR="008D712B">
        <w:t>0</w:t>
      </w:r>
      <w:r w:rsidR="001D085A">
        <w:t xml:space="preserve"> weeks </w:t>
      </w:r>
      <w:r>
        <w:t xml:space="preserve">before </w:t>
      </w:r>
      <w:r w:rsidR="000B4872">
        <w:t xml:space="preserve">sponsors </w:t>
      </w:r>
      <w:r>
        <w:t xml:space="preserve">receive PBAC minutes and can commence pricing negotiations with the </w:t>
      </w:r>
      <w:r w:rsidR="00AC0EE6">
        <w:t>d</w:t>
      </w:r>
      <w:r>
        <w:t xml:space="preserve">epartment. </w:t>
      </w:r>
    </w:p>
    <w:p w14:paraId="10727E4B" w14:textId="26E2BB22" w:rsidR="005929A6" w:rsidRPr="009D4400" w:rsidRDefault="00C920A4" w:rsidP="009D4400">
      <w:r>
        <w:t xml:space="preserve">An example timeframe for </w:t>
      </w:r>
      <w:r w:rsidR="00C61638">
        <w:t xml:space="preserve">a </w:t>
      </w:r>
      <w:r>
        <w:t xml:space="preserve">recent NIP listing </w:t>
      </w:r>
      <w:r w:rsidR="0042089D">
        <w:t xml:space="preserve">(VAXELIS DTaP-HB-IPV-Hib) </w:t>
      </w:r>
      <w:r>
        <w:t xml:space="preserve">is provided in </w:t>
      </w:r>
      <w:r w:rsidR="003022AC">
        <w:t>Figure</w:t>
      </w:r>
      <w:r>
        <w:t xml:space="preserve"> </w:t>
      </w:r>
      <w:r w:rsidR="00B97D53">
        <w:t>1</w:t>
      </w:r>
      <w:r w:rsidR="007E0057">
        <w:t>1</w:t>
      </w:r>
      <w:r>
        <w:t xml:space="preserve">. </w:t>
      </w:r>
      <w:r w:rsidR="0042089D">
        <w:t xml:space="preserve">It took 16 months from ATAGI </w:t>
      </w:r>
      <w:r w:rsidR="005A5347">
        <w:t>s</w:t>
      </w:r>
      <w:r w:rsidR="0042089D">
        <w:t xml:space="preserve">ubmission to being recommended by </w:t>
      </w:r>
      <w:r w:rsidR="0042089D" w:rsidDel="005A5347">
        <w:t xml:space="preserve">the </w:t>
      </w:r>
      <w:r w:rsidR="0042089D">
        <w:t xml:space="preserve">PBAC and a further 2 months for pricing to be agreed. It took a further 16 months for it to be funded through the NIP.  </w:t>
      </w:r>
    </w:p>
    <w:p w14:paraId="079BFE53" w14:textId="6331BD99" w:rsidR="00DC544F" w:rsidRDefault="003022AC" w:rsidP="00DC544F">
      <w:pPr>
        <w:pStyle w:val="Heading4"/>
      </w:pPr>
      <w:r>
        <w:t>Figure</w:t>
      </w:r>
      <w:r w:rsidR="005929A6">
        <w:t xml:space="preserve"> 1</w:t>
      </w:r>
      <w:r w:rsidR="007E0057">
        <w:t>1</w:t>
      </w:r>
      <w:r w:rsidR="005929A6">
        <w:t>. Example timeframe – NIP listing</w:t>
      </w:r>
    </w:p>
    <w:p w14:paraId="328D902F" w14:textId="41E3D27D" w:rsidR="00DC544F" w:rsidRDefault="00A11050" w:rsidP="00DC544F">
      <w:r>
        <w:object w:dxaOrig="8472" w:dyaOrig="4205" w14:anchorId="4C07F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1. Example timeframe – NIP listing" style="width:458.6pt;height:226.5pt;mso-position-vertical:absolute" o:ole="" filled="t" fillcolor="white [3212]">
            <v:imagedata r:id="rId33" o:title=""/>
          </v:shape>
          <o:OLEObject Type="Link" ProgID="Excel.Sheet.12" ShapeID="_x0000_i1025" DrawAspect="Content" r:id="rId34" UpdateMode="Always">
            <o:LinkType>EnhancedMetaFile</o:LinkType>
            <o:LockedField>false</o:LockedField>
          </o:OLEObject>
        </w:object>
      </w:r>
    </w:p>
    <w:p w14:paraId="188F3DC6" w14:textId="2FC95495" w:rsidR="00DC544F" w:rsidRPr="00DC544F" w:rsidRDefault="00A11050" w:rsidP="00DC544F">
      <w:pPr>
        <w:sectPr w:rsidR="00DC544F" w:rsidRPr="00DC544F" w:rsidSect="00B27844">
          <w:pgSz w:w="11906" w:h="16838"/>
          <w:pgMar w:top="1440" w:right="1440" w:bottom="1440" w:left="1440" w:header="708" w:footer="530" w:gutter="0"/>
          <w:cols w:space="708"/>
          <w:docGrid w:linePitch="360"/>
        </w:sectPr>
      </w:pPr>
      <w:r>
        <w:object w:dxaOrig="8045" w:dyaOrig="1517" w14:anchorId="557EF9EC">
          <v:shape id="_x0000_i1026" type="#_x0000_t75" alt="Figure 11. Example timeframe – NIP listing key timeframes table" style="width:463.55pt;height:87.5pt" o:ole="">
            <v:imagedata r:id="rId35" o:title=""/>
          </v:shape>
          <o:OLEObject Type="Link" ProgID="Excel.Sheet.12" ShapeID="_x0000_i1026" DrawAspect="Content" r:id="rId36" UpdateMode="Always">
            <o:LinkType>EnhancedMetaFile</o:LinkType>
            <o:LockedField>false</o:LockedField>
          </o:OLEObject>
        </w:object>
      </w:r>
    </w:p>
    <w:p w14:paraId="75F60020" w14:textId="746D44DA" w:rsidR="0073424A" w:rsidRDefault="0073424A" w:rsidP="00C33B1F">
      <w:pPr>
        <w:pStyle w:val="Heading1"/>
      </w:pPr>
      <w:bookmarkStart w:id="28" w:name="_Toc156576961"/>
      <w:r>
        <w:lastRenderedPageBreak/>
        <w:t>Life Saving Drugs Program</w:t>
      </w:r>
      <w:bookmarkEnd w:id="28"/>
    </w:p>
    <w:p w14:paraId="00446DBF" w14:textId="198D3189" w:rsidR="0073424A" w:rsidRDefault="0073424A" w:rsidP="0073424A">
      <w:pPr>
        <w:pStyle w:val="Heading2"/>
      </w:pPr>
      <w:bookmarkStart w:id="29" w:name="_Toc156576962"/>
      <w:r>
        <w:t>Background</w:t>
      </w:r>
      <w:bookmarkEnd w:id="29"/>
    </w:p>
    <w:p w14:paraId="158FCE89" w14:textId="00B1562E" w:rsidR="00AC3025" w:rsidRDefault="00AC3025" w:rsidP="00AC3025">
      <w:pPr>
        <w:spacing w:before="0" w:line="240" w:lineRule="auto"/>
        <w:rPr>
          <w:rFonts w:cstheme="minorHAnsi"/>
        </w:rPr>
      </w:pPr>
      <w:r w:rsidRPr="00A85E48">
        <w:rPr>
          <w:rFonts w:cstheme="minorHAnsi"/>
        </w:rPr>
        <w:t xml:space="preserve">The </w:t>
      </w:r>
      <w:r w:rsidR="005A5347">
        <w:rPr>
          <w:rFonts w:cstheme="minorHAnsi"/>
        </w:rPr>
        <w:t>Life Saving Drugs Program (</w:t>
      </w:r>
      <w:r w:rsidR="00D318BF">
        <w:rPr>
          <w:rFonts w:cstheme="minorHAnsi"/>
        </w:rPr>
        <w:t>LSDP</w:t>
      </w:r>
      <w:r w:rsidR="005A5347">
        <w:rPr>
          <w:rFonts w:cstheme="minorHAnsi"/>
        </w:rPr>
        <w:t>)</w:t>
      </w:r>
      <w:r w:rsidRPr="00A85E48">
        <w:rPr>
          <w:rFonts w:cstheme="minorHAnsi"/>
        </w:rPr>
        <w:t xml:space="preserve"> pays for specific essential medicines to treat patients with ultra-rare and life-threatening diseases.</w:t>
      </w:r>
      <w:r>
        <w:rPr>
          <w:rFonts w:cstheme="minorHAnsi"/>
        </w:rPr>
        <w:t xml:space="preserve"> </w:t>
      </w:r>
      <w:r w:rsidRPr="00A85E48">
        <w:rPr>
          <w:rFonts w:cstheme="minorHAnsi"/>
        </w:rPr>
        <w:t>Funding for medicines on the LSDP is separate to the PBS.</w:t>
      </w:r>
      <w:r>
        <w:rPr>
          <w:rFonts w:cstheme="minorHAnsi"/>
        </w:rPr>
        <w:t xml:space="preserve"> </w:t>
      </w:r>
      <w:r w:rsidRPr="00A85E48">
        <w:rPr>
          <w:rFonts w:cstheme="minorHAnsi"/>
        </w:rPr>
        <w:t xml:space="preserve">There are currently </w:t>
      </w:r>
      <w:r w:rsidR="0018618C">
        <w:rPr>
          <w:rFonts w:cstheme="minorHAnsi"/>
        </w:rPr>
        <w:t xml:space="preserve">18 </w:t>
      </w:r>
      <w:r w:rsidRPr="00A85E48">
        <w:rPr>
          <w:rFonts w:cstheme="minorHAnsi"/>
        </w:rPr>
        <w:t>medicines</w:t>
      </w:r>
      <w:r w:rsidR="0018618C">
        <w:rPr>
          <w:rFonts w:cstheme="minorHAnsi"/>
        </w:rPr>
        <w:t>, including one generic medicine,</w:t>
      </w:r>
      <w:r w:rsidRPr="00A85E48">
        <w:rPr>
          <w:rFonts w:cstheme="minorHAnsi"/>
        </w:rPr>
        <w:t xml:space="preserve"> on the LSDP for the treatment of </w:t>
      </w:r>
      <w:r w:rsidR="0018618C" w:rsidRPr="00A85E48">
        <w:rPr>
          <w:rFonts w:cstheme="minorHAnsi"/>
        </w:rPr>
        <w:t>1</w:t>
      </w:r>
      <w:r w:rsidR="0018618C">
        <w:rPr>
          <w:rFonts w:cstheme="minorHAnsi"/>
        </w:rPr>
        <w:t>1</w:t>
      </w:r>
      <w:r w:rsidR="0018618C" w:rsidRPr="00A85E48">
        <w:rPr>
          <w:rFonts w:cstheme="minorHAnsi"/>
        </w:rPr>
        <w:t xml:space="preserve"> </w:t>
      </w:r>
      <w:r w:rsidRPr="00A85E48">
        <w:rPr>
          <w:rFonts w:cstheme="minorHAnsi"/>
        </w:rPr>
        <w:t>conditions</w:t>
      </w:r>
      <w:r w:rsidR="00354688">
        <w:rPr>
          <w:rFonts w:cstheme="minorHAnsi"/>
        </w:rPr>
        <w:t>.</w:t>
      </w:r>
      <w:r w:rsidR="0018618C">
        <w:rPr>
          <w:rStyle w:val="FootnoteReference"/>
          <w:rFonts w:cstheme="minorHAnsi"/>
        </w:rPr>
        <w:footnoteReference w:id="41"/>
      </w:r>
      <w:r w:rsidR="005929A6">
        <w:rPr>
          <w:rFonts w:cstheme="minorHAnsi"/>
        </w:rPr>
        <w:t xml:space="preserve"> To be funded through the LSDP medicines must meet the following criteria. </w:t>
      </w:r>
    </w:p>
    <w:tbl>
      <w:tblPr>
        <w:tblStyle w:val="TableGrid"/>
        <w:tblW w:w="0" w:type="auto"/>
        <w:tblLook w:val="04A0" w:firstRow="1" w:lastRow="0" w:firstColumn="1" w:lastColumn="0" w:noHBand="0" w:noVBand="1"/>
      </w:tblPr>
      <w:tblGrid>
        <w:gridCol w:w="9026"/>
      </w:tblGrid>
      <w:tr w:rsidR="005929A6" w14:paraId="5ECF4BBE" w14:textId="77777777" w:rsidTr="00C379E7">
        <w:tc>
          <w:tcPr>
            <w:tcW w:w="9242" w:type="dxa"/>
            <w:tcBorders>
              <w:top w:val="nil"/>
              <w:left w:val="nil"/>
              <w:bottom w:val="nil"/>
              <w:right w:val="nil"/>
            </w:tcBorders>
            <w:shd w:val="clear" w:color="auto" w:fill="B4C6E7" w:themeFill="accent1" w:themeFillTint="66"/>
          </w:tcPr>
          <w:p w14:paraId="21170EB7" w14:textId="77777777" w:rsidR="005929A6" w:rsidRDefault="005929A6" w:rsidP="00C379E7">
            <w:pPr>
              <w:rPr>
                <w:b/>
                <w:bCs/>
              </w:rPr>
            </w:pPr>
            <w:r>
              <w:rPr>
                <w:b/>
                <w:bCs/>
              </w:rPr>
              <w:t>LSDP criteria</w:t>
            </w:r>
          </w:p>
          <w:p w14:paraId="21ADB13C" w14:textId="710EAF22" w:rsidR="005929A6" w:rsidRPr="00AC3025" w:rsidRDefault="005929A6" w:rsidP="00651D54">
            <w:pPr>
              <w:pStyle w:val="ListParagraph"/>
              <w:numPr>
                <w:ilvl w:val="0"/>
                <w:numId w:val="27"/>
              </w:numPr>
            </w:pPr>
            <w:r w:rsidRPr="00AC3025">
              <w:t>The </w:t>
            </w:r>
            <w:hyperlink r:id="rId37" w:history="1">
              <w:r w:rsidR="000B4872">
                <w:t>TGA</w:t>
              </w:r>
            </w:hyperlink>
            <w:r w:rsidRPr="00AC3025">
              <w:t> has approved the medicine to treat an ultra-rare disease (prevalence of 1:50,000 people or less in the Australian population – around 500 people).</w:t>
            </w:r>
          </w:p>
          <w:p w14:paraId="4FA1518E" w14:textId="77777777" w:rsidR="00D45B12" w:rsidRDefault="005929A6" w:rsidP="00651D54">
            <w:pPr>
              <w:pStyle w:val="ListParagraph"/>
              <w:numPr>
                <w:ilvl w:val="0"/>
                <w:numId w:val="27"/>
              </w:numPr>
            </w:pPr>
            <w:r w:rsidRPr="00AC3025">
              <w:t xml:space="preserve">Doctors can identify the disease with reasonable diagnostic precision. </w:t>
            </w:r>
          </w:p>
          <w:p w14:paraId="1F750D1C" w14:textId="30267D4A" w:rsidR="005929A6" w:rsidRPr="00AC3025" w:rsidRDefault="005929A6" w:rsidP="00651D54">
            <w:pPr>
              <w:pStyle w:val="ListParagraph"/>
              <w:numPr>
                <w:ilvl w:val="0"/>
                <w:numId w:val="27"/>
              </w:numPr>
            </w:pPr>
            <w:r w:rsidRPr="00AC3025">
              <w:t>Studies show that the disease reduces patients’ age-specific life expectancy.</w:t>
            </w:r>
          </w:p>
          <w:p w14:paraId="6884BB7E" w14:textId="77777777" w:rsidR="005929A6" w:rsidRPr="00AC3025" w:rsidRDefault="005929A6" w:rsidP="00651D54">
            <w:pPr>
              <w:pStyle w:val="ListParagraph"/>
              <w:numPr>
                <w:ilvl w:val="0"/>
                <w:numId w:val="27"/>
              </w:numPr>
            </w:pPr>
            <w:r w:rsidRPr="00AC3025">
              <w:t>Evidence predicts that a patient’s life will be longer if they use the medicine.</w:t>
            </w:r>
          </w:p>
          <w:p w14:paraId="4719C630" w14:textId="0F9E7DDD" w:rsidR="005929A6" w:rsidRPr="00AC3025" w:rsidRDefault="005929A6" w:rsidP="00651D54">
            <w:pPr>
              <w:pStyle w:val="ListParagraph"/>
              <w:numPr>
                <w:ilvl w:val="0"/>
                <w:numId w:val="27"/>
              </w:numPr>
            </w:pPr>
            <w:r w:rsidRPr="00AC3025" w:rsidDel="005A5347">
              <w:t xml:space="preserve">The </w:t>
            </w:r>
            <w:r w:rsidRPr="00AC3025">
              <w:t>PBAC has:</w:t>
            </w:r>
          </w:p>
          <w:p w14:paraId="42D4EB1D" w14:textId="49DDD95A" w:rsidR="005929A6" w:rsidRPr="00AC3025" w:rsidRDefault="005929A6" w:rsidP="00651D54">
            <w:pPr>
              <w:pStyle w:val="ListParagraph"/>
              <w:numPr>
                <w:ilvl w:val="1"/>
                <w:numId w:val="27"/>
              </w:numPr>
            </w:pPr>
            <w:r w:rsidRPr="00AC3025">
              <w:t>accepted that the medicine is clinically effective</w:t>
            </w:r>
            <w:r w:rsidR="0073282F">
              <w:t>,</w:t>
            </w:r>
            <w:r>
              <w:t xml:space="preserve"> and</w:t>
            </w:r>
          </w:p>
          <w:p w14:paraId="7D4CA2E7" w14:textId="77777777" w:rsidR="005929A6" w:rsidRPr="00AC3025" w:rsidRDefault="005929A6" w:rsidP="00651D54">
            <w:pPr>
              <w:pStyle w:val="ListParagraph"/>
              <w:numPr>
                <w:ilvl w:val="1"/>
                <w:numId w:val="27"/>
              </w:numPr>
            </w:pPr>
            <w:r>
              <w:t>not recommended</w:t>
            </w:r>
            <w:r w:rsidRPr="00AC3025">
              <w:t xml:space="preserve"> PBS listing for cost</w:t>
            </w:r>
            <w:r>
              <w:t>-</w:t>
            </w:r>
            <w:r w:rsidRPr="00AC3025">
              <w:t>effectiveness reasons.</w:t>
            </w:r>
          </w:p>
          <w:p w14:paraId="0012834A" w14:textId="4A50372B" w:rsidR="005929A6" w:rsidRPr="00AC3025" w:rsidRDefault="005929A6" w:rsidP="00651D54">
            <w:pPr>
              <w:pStyle w:val="ListParagraph"/>
              <w:numPr>
                <w:ilvl w:val="0"/>
                <w:numId w:val="27"/>
              </w:numPr>
            </w:pPr>
            <w:r w:rsidRPr="00AC3025">
              <w:t xml:space="preserve">There is no other medicine listed on the PBS, or available for public hospital inpatients, that doctors can use as a life-saving treatment for the disease. </w:t>
            </w:r>
            <w:r w:rsidR="0073282F">
              <w:t>I</w:t>
            </w:r>
            <w:r w:rsidRPr="00AC3025">
              <w:t>t is possible to list new medicines on the LSDP if there are already other LSDP medicines that treat the same condition.</w:t>
            </w:r>
          </w:p>
          <w:p w14:paraId="61435BAA" w14:textId="02613980" w:rsidR="005929A6" w:rsidRPr="00AC3025" w:rsidRDefault="005929A6" w:rsidP="00651D54">
            <w:pPr>
              <w:pStyle w:val="ListParagraph"/>
              <w:numPr>
                <w:ilvl w:val="0"/>
                <w:numId w:val="27"/>
              </w:numPr>
            </w:pPr>
            <w:r w:rsidRPr="00AC3025">
              <w:t>There are no non-drug treatments (</w:t>
            </w:r>
            <w:r w:rsidR="0073282F">
              <w:t>such as</w:t>
            </w:r>
            <w:r w:rsidR="0073282F" w:rsidRPr="00AC3025">
              <w:t xml:space="preserve"> </w:t>
            </w:r>
            <w:r w:rsidRPr="00AC3025">
              <w:t>surgery or radiotherapy) that medical authorities regard as suitable and cost-effective for the condition.</w:t>
            </w:r>
          </w:p>
          <w:p w14:paraId="7446E515" w14:textId="61930CAB" w:rsidR="005929A6" w:rsidRPr="005929A6" w:rsidRDefault="005929A6" w:rsidP="00651D54">
            <w:pPr>
              <w:pStyle w:val="ListParagraph"/>
              <w:numPr>
                <w:ilvl w:val="0"/>
                <w:numId w:val="27"/>
              </w:numPr>
              <w:spacing w:after="240"/>
            </w:pPr>
            <w:r w:rsidRPr="00AC3025">
              <w:t xml:space="preserve">The cost of the medicine would be an unreasonable financial burden for the patient or their guardian. The cost is defined as the cost per dose multiplied by the expected number of doses in a </w:t>
            </w:r>
            <w:r w:rsidR="005A5347">
              <w:t>one</w:t>
            </w:r>
            <w:r w:rsidRPr="00AC3025">
              <w:t>-year period for the patient.</w:t>
            </w:r>
            <w:r w:rsidR="0073282F">
              <w:rPr>
                <w:rStyle w:val="FootnoteReference"/>
              </w:rPr>
              <w:footnoteReference w:id="42"/>
            </w:r>
            <w:r w:rsidR="0073282F" w:rsidDel="0073282F">
              <w:t xml:space="preserve"> </w:t>
            </w:r>
          </w:p>
        </w:tc>
      </w:tr>
    </w:tbl>
    <w:p w14:paraId="7514CCB8" w14:textId="0A81DBC5" w:rsidR="0073424A" w:rsidRDefault="00CD61B4" w:rsidP="0073424A">
      <w:pPr>
        <w:pStyle w:val="Heading2"/>
      </w:pPr>
      <w:bookmarkStart w:id="30" w:name="_Toc156576963"/>
      <w:r>
        <w:t>L</w:t>
      </w:r>
      <w:r w:rsidR="0073424A">
        <w:t xml:space="preserve">isting process for drugs on the </w:t>
      </w:r>
      <w:r w:rsidR="00002741">
        <w:t>L</w:t>
      </w:r>
      <w:r w:rsidR="0073424A">
        <w:t>ife</w:t>
      </w:r>
      <w:r w:rsidR="00002741">
        <w:t xml:space="preserve"> S</w:t>
      </w:r>
      <w:r w:rsidR="0073424A">
        <w:t xml:space="preserve">aving </w:t>
      </w:r>
      <w:r w:rsidR="00002741">
        <w:t>D</w:t>
      </w:r>
      <w:r w:rsidR="0073424A">
        <w:t xml:space="preserve">rugs </w:t>
      </w:r>
      <w:r w:rsidR="00002741">
        <w:t>P</w:t>
      </w:r>
      <w:r w:rsidR="0073424A">
        <w:t>rogram</w:t>
      </w:r>
      <w:bookmarkEnd w:id="30"/>
    </w:p>
    <w:p w14:paraId="3F500B5B" w14:textId="5B7FCE4E" w:rsidR="0073424A" w:rsidRDefault="0073424A" w:rsidP="0073424A">
      <w:pPr>
        <w:pStyle w:val="Heading3"/>
      </w:pPr>
      <w:r>
        <w:t xml:space="preserve">Who </w:t>
      </w:r>
      <w:r w:rsidR="00331395">
        <w:t>considers</w:t>
      </w:r>
      <w:r>
        <w:t xml:space="preserve"> applications</w:t>
      </w:r>
      <w:r w:rsidR="00C54E90">
        <w:t>?</w:t>
      </w:r>
    </w:p>
    <w:p w14:paraId="1D437195" w14:textId="2992102D" w:rsidR="004E078C" w:rsidRPr="00354688" w:rsidRDefault="00354688" w:rsidP="00354688">
      <w:r>
        <w:t xml:space="preserve">Applications to fund a medicine through the LSDP are considered by the LSDP </w:t>
      </w:r>
      <w:r w:rsidR="004E078C">
        <w:t>Expert Panel (LSDP</w:t>
      </w:r>
      <w:r>
        <w:t> </w:t>
      </w:r>
      <w:r w:rsidR="004E078C">
        <w:t xml:space="preserve">EP). </w:t>
      </w:r>
      <w:r w:rsidR="004E078C" w:rsidRPr="00354688">
        <w:t xml:space="preserve">The role of the </w:t>
      </w:r>
      <w:r w:rsidR="004E078C" w:rsidRPr="00D0396D">
        <w:t>LSDP</w:t>
      </w:r>
      <w:r w:rsidR="0073282F">
        <w:t xml:space="preserve"> </w:t>
      </w:r>
      <w:r w:rsidR="004E078C" w:rsidRPr="00D0396D">
        <w:t>EP</w:t>
      </w:r>
      <w:r w:rsidR="004E078C" w:rsidRPr="00354688">
        <w:t xml:space="preserve"> is to provide advice and assistance to </w:t>
      </w:r>
      <w:r w:rsidR="005A5347">
        <w:t>Australia’s</w:t>
      </w:r>
      <w:r w:rsidR="004E078C" w:rsidRPr="00354688">
        <w:t xml:space="preserve"> Chief Medical Officer (CMO) on a range of matters </w:t>
      </w:r>
      <w:r w:rsidR="004E078C" w:rsidRPr="004B7D4E">
        <w:t>relating to new medicines seeking funding, including assessment of how the medicine addresses the LSDP guidelines for medicine use and testing requirements, suitable pricing arrangements, and data collection required for future reviews. The LSDP</w:t>
      </w:r>
      <w:r w:rsidR="0073282F">
        <w:t xml:space="preserve"> </w:t>
      </w:r>
      <w:r w:rsidR="004E078C" w:rsidRPr="004B7D4E">
        <w:t xml:space="preserve">EP will </w:t>
      </w:r>
      <w:r w:rsidR="004E078C">
        <w:t xml:space="preserve">also </w:t>
      </w:r>
      <w:r w:rsidR="004E078C" w:rsidRPr="004B7D4E">
        <w:t>advise on any other matters that may relate to the LSDP, as directed by the Minister or CMO</w:t>
      </w:r>
      <w:r>
        <w:t>.</w:t>
      </w:r>
      <w:r w:rsidR="00EF3234" w:rsidRPr="00354688">
        <w:rPr>
          <w:vertAlign w:val="superscript"/>
        </w:rPr>
        <w:footnoteReference w:id="43"/>
      </w:r>
    </w:p>
    <w:p w14:paraId="0A91F8E2" w14:textId="77777777" w:rsidR="00DB54DC" w:rsidRDefault="00DB54DC" w:rsidP="00DB54DC">
      <w:pPr>
        <w:pStyle w:val="Heading3"/>
      </w:pPr>
      <w:r>
        <w:lastRenderedPageBreak/>
        <w:t>What assessment is made and what information is used to make the assessment?</w:t>
      </w:r>
    </w:p>
    <w:p w14:paraId="30D92180" w14:textId="77777777" w:rsidR="00C013BE" w:rsidRDefault="008B1E88" w:rsidP="008B1E88">
      <w:r>
        <w:t xml:space="preserve">The </w:t>
      </w:r>
      <w:r w:rsidR="0073282F">
        <w:t>LSDP EP</w:t>
      </w:r>
      <w:r>
        <w:t xml:space="preserve"> assesses whether the drug meets the criteria for funding through the LSDP. </w:t>
      </w:r>
      <w:r w:rsidR="004E078C" w:rsidRPr="004E078C">
        <w:t xml:space="preserve">Materials considered by the </w:t>
      </w:r>
      <w:r w:rsidR="0073282F">
        <w:t>LSDP EP</w:t>
      </w:r>
      <w:r w:rsidR="004E078C" w:rsidRPr="004E078C">
        <w:t xml:space="preserve"> will include</w:t>
      </w:r>
      <w:r w:rsidR="00FE56B6">
        <w:t>:</w:t>
      </w:r>
      <w:r w:rsidR="004E078C" w:rsidRPr="004E078C">
        <w:t xml:space="preserve"> </w:t>
      </w:r>
    </w:p>
    <w:p w14:paraId="792AF47F" w14:textId="77777777" w:rsidR="00C013BE" w:rsidRDefault="004E078C" w:rsidP="00651D54">
      <w:pPr>
        <w:pStyle w:val="ListParagraph"/>
        <w:numPr>
          <w:ilvl w:val="0"/>
          <w:numId w:val="47"/>
        </w:numPr>
      </w:pPr>
      <w:r w:rsidRPr="004E078C">
        <w:t>the sponsor’s application</w:t>
      </w:r>
    </w:p>
    <w:p w14:paraId="0A2CF953" w14:textId="138F16D4" w:rsidR="00C013BE" w:rsidRDefault="004E078C" w:rsidP="00651D54">
      <w:pPr>
        <w:pStyle w:val="ListParagraph"/>
        <w:numPr>
          <w:ilvl w:val="0"/>
          <w:numId w:val="47"/>
        </w:numPr>
      </w:pPr>
      <w:r w:rsidRPr="004E078C">
        <w:t>assessment (overview) of the submission prepared by the LSDP Secretariat</w:t>
      </w:r>
    </w:p>
    <w:p w14:paraId="2BEFD7FE" w14:textId="2923FF76" w:rsidR="007D698A" w:rsidRDefault="004E078C" w:rsidP="00651D54">
      <w:pPr>
        <w:pStyle w:val="ListParagraph"/>
        <w:numPr>
          <w:ilvl w:val="0"/>
          <w:numId w:val="47"/>
        </w:numPr>
      </w:pPr>
      <w:r w:rsidRPr="004E078C">
        <w:t xml:space="preserve">relevant materials from </w:t>
      </w:r>
      <w:r w:rsidRPr="004E078C" w:rsidDel="005A5347">
        <w:t xml:space="preserve">the </w:t>
      </w:r>
      <w:r w:rsidRPr="004E078C">
        <w:t>PBAC consideration</w:t>
      </w:r>
      <w:r w:rsidR="007D698A">
        <w:t xml:space="preserve">, </w:t>
      </w:r>
      <w:r w:rsidRPr="004E078C">
        <w:t xml:space="preserve">including ratified minutes/advice from the </w:t>
      </w:r>
      <w:r w:rsidR="005A5347">
        <w:t>committee</w:t>
      </w:r>
      <w:r w:rsidR="005A5347" w:rsidRPr="004E078C">
        <w:t xml:space="preserve"> </w:t>
      </w:r>
      <w:r w:rsidRPr="004E078C">
        <w:t xml:space="preserve">and its sub-committees, </w:t>
      </w:r>
      <w:r w:rsidR="005A5347">
        <w:t>p</w:t>
      </w:r>
      <w:r w:rsidRPr="004E078C">
        <w:t>re-</w:t>
      </w:r>
      <w:r w:rsidR="005A5347">
        <w:t>s</w:t>
      </w:r>
      <w:r w:rsidRPr="004E078C">
        <w:t>ub-</w:t>
      </w:r>
      <w:r w:rsidR="005A5347">
        <w:t>c</w:t>
      </w:r>
      <w:r w:rsidRPr="004E078C">
        <w:t>ommittee and pre-PBAC responses from sponsors</w:t>
      </w:r>
    </w:p>
    <w:p w14:paraId="7C0A1851" w14:textId="34BFC149" w:rsidR="005751E5" w:rsidRDefault="004E078C" w:rsidP="00651D54">
      <w:pPr>
        <w:pStyle w:val="ListParagraph"/>
        <w:numPr>
          <w:ilvl w:val="0"/>
          <w:numId w:val="47"/>
        </w:numPr>
      </w:pPr>
      <w:r w:rsidRPr="004E078C">
        <w:t>consumer comments received by the PBAC</w:t>
      </w:r>
      <w:r w:rsidR="00081EFB">
        <w:t xml:space="preserve"> </w:t>
      </w:r>
      <w:r w:rsidRPr="004E078C">
        <w:t xml:space="preserve">additional written stakeholder input to the </w:t>
      </w:r>
      <w:r w:rsidR="00081EFB">
        <w:t>LSDP EP</w:t>
      </w:r>
      <w:r w:rsidRPr="004E078C">
        <w:t xml:space="preserve">, and </w:t>
      </w:r>
    </w:p>
    <w:p w14:paraId="031EE513" w14:textId="122CA54E" w:rsidR="00FF43DA" w:rsidRDefault="004E078C" w:rsidP="00651D54">
      <w:pPr>
        <w:pStyle w:val="ListParagraph"/>
        <w:numPr>
          <w:ilvl w:val="0"/>
          <w:numId w:val="47"/>
        </w:numPr>
      </w:pPr>
      <w:r w:rsidRPr="004E078C">
        <w:t xml:space="preserve">presentations made to the </w:t>
      </w:r>
      <w:r w:rsidR="005751E5">
        <w:t>e</w:t>
      </w:r>
      <w:r w:rsidRPr="004E078C">
        <w:t xml:space="preserve">xpert </w:t>
      </w:r>
      <w:r w:rsidR="005751E5">
        <w:t>p</w:t>
      </w:r>
      <w:r w:rsidRPr="004E078C">
        <w:t>anel at the meeting.</w:t>
      </w:r>
    </w:p>
    <w:p w14:paraId="5387BFF5" w14:textId="77777777" w:rsidR="00081EFB" w:rsidRDefault="00081EFB" w:rsidP="00081EFB">
      <w:pPr>
        <w:pStyle w:val="Heading3"/>
      </w:pPr>
      <w:r>
        <w:t>Consideration of evidence from patients, consumers and others</w:t>
      </w:r>
    </w:p>
    <w:p w14:paraId="51D0D4FD" w14:textId="7B16D607" w:rsidR="00081EFB" w:rsidRDefault="00081EFB" w:rsidP="00354688">
      <w:r>
        <w:t xml:space="preserve">Evidence from patients, consumers and others are considered </w:t>
      </w:r>
      <w:r w:rsidR="00424A34">
        <w:t>through the existing consultation mechanisms through the</w:t>
      </w:r>
      <w:r>
        <w:t xml:space="preserve"> PBAC submission processes. Additional written stakeholder input may be considered by the LSDP EP. </w:t>
      </w:r>
    </w:p>
    <w:p w14:paraId="61EF531D" w14:textId="5796DE09" w:rsidR="0073424A" w:rsidRDefault="0073424A" w:rsidP="00FF43DA">
      <w:pPr>
        <w:pStyle w:val="Heading3"/>
      </w:pPr>
      <w:r>
        <w:t>Pathway from PBAC submission to LSDP listing</w:t>
      </w:r>
    </w:p>
    <w:p w14:paraId="2D7069B6" w14:textId="476FDF4C" w:rsidR="003235ED" w:rsidRPr="00354688" w:rsidRDefault="003235ED" w:rsidP="00354688">
      <w:r>
        <w:t xml:space="preserve">All </w:t>
      </w:r>
      <w:r w:rsidR="0073282F">
        <w:t xml:space="preserve">new </w:t>
      </w:r>
      <w:r>
        <w:t>drugs funded through the LSDP</w:t>
      </w:r>
      <w:r w:rsidR="0073282F">
        <w:t xml:space="preserve"> first require a</w:t>
      </w:r>
      <w:r>
        <w:t xml:space="preserve"> submission to </w:t>
      </w:r>
      <w:r w:rsidR="0073282F">
        <w:t xml:space="preserve">PBAC. </w:t>
      </w:r>
      <w:r>
        <w:t xml:space="preserve">If </w:t>
      </w:r>
      <w:r w:rsidDel="00CE39DB">
        <w:t xml:space="preserve">the </w:t>
      </w:r>
      <w:r>
        <w:t>PBAC considers a medicine to be clinically effective</w:t>
      </w:r>
      <w:r w:rsidR="000B4872">
        <w:t>,</w:t>
      </w:r>
      <w:r>
        <w:t xml:space="preserve"> but does not recommend the medicine </w:t>
      </w:r>
      <w:r w:rsidR="0031196F">
        <w:t xml:space="preserve">be </w:t>
      </w:r>
      <w:r>
        <w:t>listed on the PBS because it is not cost-effective</w:t>
      </w:r>
      <w:r w:rsidR="000B4872">
        <w:t>,</w:t>
      </w:r>
      <w:r>
        <w:t xml:space="preserve"> a sponsor may submit an application for the medicine to be funded through the LSDP.</w:t>
      </w:r>
      <w:r w:rsidR="006B33FE">
        <w:t xml:space="preserve"> At this time, the sponsor </w:t>
      </w:r>
      <w:r w:rsidR="000B4872">
        <w:t>may</w:t>
      </w:r>
      <w:r w:rsidR="006B33FE">
        <w:t xml:space="preserve"> seek advice from the </w:t>
      </w:r>
      <w:r w:rsidR="005279CD">
        <w:t>d</w:t>
      </w:r>
      <w:r w:rsidR="006B33FE">
        <w:t>epartment on the preparation of an application for a new medicine to be funded through the LSDP.</w:t>
      </w:r>
    </w:p>
    <w:p w14:paraId="592D02D2" w14:textId="0E8F605C" w:rsidR="00FF43DA" w:rsidRDefault="00FF43DA" w:rsidP="00FF43DA">
      <w:pPr>
        <w:pStyle w:val="Heading4"/>
      </w:pPr>
      <w:r>
        <w:t>LSDP assessment process</w:t>
      </w:r>
    </w:p>
    <w:p w14:paraId="0BBFE198" w14:textId="42EA6A10" w:rsidR="00BB6127" w:rsidRDefault="003235ED" w:rsidP="003235ED">
      <w:r w:rsidRPr="0029544C">
        <w:t xml:space="preserve">When an application is received for a new medicine to be funded through the LSDP, the </w:t>
      </w:r>
      <w:r w:rsidR="000B4872">
        <w:t>LSDP</w:t>
      </w:r>
      <w:r w:rsidR="00F36A7D">
        <w:t xml:space="preserve"> EP</w:t>
      </w:r>
      <w:r w:rsidR="000B4872">
        <w:t xml:space="preserve"> </w:t>
      </w:r>
      <w:r w:rsidRPr="0029544C">
        <w:t xml:space="preserve">Secretariat will prepare an overview of the application to assist the </w:t>
      </w:r>
      <w:r w:rsidR="0073282F">
        <w:t>LSDP EP</w:t>
      </w:r>
      <w:r w:rsidRPr="0029544C">
        <w:t xml:space="preserve"> in </w:t>
      </w:r>
      <w:r w:rsidR="00DC1364">
        <w:t>its</w:t>
      </w:r>
      <w:r w:rsidR="00DC1364" w:rsidRPr="0029544C">
        <w:t xml:space="preserve"> </w:t>
      </w:r>
      <w:r w:rsidRPr="0029544C">
        <w:t xml:space="preserve">considerations. The </w:t>
      </w:r>
      <w:r>
        <w:t>s</w:t>
      </w:r>
      <w:r w:rsidRPr="0029544C">
        <w:t>ponsor of the medicine will receive this overview</w:t>
      </w:r>
      <w:r w:rsidR="00F36A7D">
        <w:t xml:space="preserve"> and can provide written comments,</w:t>
      </w:r>
      <w:r w:rsidRPr="0029544C">
        <w:t xml:space="preserve"> and </w:t>
      </w:r>
      <w:r w:rsidR="00F36A7D">
        <w:t xml:space="preserve">may request to </w:t>
      </w:r>
      <w:r w:rsidRPr="0029544C">
        <w:t xml:space="preserve">respond to issues raised face-to-face at the </w:t>
      </w:r>
      <w:r w:rsidR="0073282F">
        <w:t>LSDP EP</w:t>
      </w:r>
      <w:r w:rsidRPr="0029544C">
        <w:t xml:space="preserve"> meeting. </w:t>
      </w:r>
    </w:p>
    <w:p w14:paraId="5F0F2EF5" w14:textId="77777777" w:rsidR="00F36A7D" w:rsidRDefault="00F36A7D" w:rsidP="00F36A7D">
      <w:r>
        <w:t xml:space="preserve">Following a meeting of the LSDP EP, sponsors receive the LSDP EP’s advice to the CMO and have one week to prepare a response to the LSDP EP advice and to provide this to the department. The LSDP EP advice and sponsor’s response will be sent to the CMO for consideration. </w:t>
      </w:r>
    </w:p>
    <w:p w14:paraId="0B30C3EE" w14:textId="031C0460" w:rsidR="003235ED" w:rsidRDefault="003235ED" w:rsidP="003235ED">
      <w:r w:rsidRPr="009D3983">
        <w:t>In the event that additional clinical information is provided by the sponsor that would significantly change the cost</w:t>
      </w:r>
      <w:r w:rsidR="00954904">
        <w:t>-</w:t>
      </w:r>
      <w:r w:rsidRPr="009D3983">
        <w:t>effectiveness of the medicine, such that it may meet the PBS cost</w:t>
      </w:r>
      <w:r w:rsidR="00954904">
        <w:t>-</w:t>
      </w:r>
      <w:r w:rsidRPr="009D3983">
        <w:t xml:space="preserve">effectiveness criteria, the </w:t>
      </w:r>
      <w:r w:rsidR="0073282F">
        <w:t>LSDP EP</w:t>
      </w:r>
      <w:r w:rsidRPr="009D3983">
        <w:t xml:space="preserve"> may recommend to the </w:t>
      </w:r>
      <w:r>
        <w:t>s</w:t>
      </w:r>
      <w:r w:rsidRPr="009D3983">
        <w:t xml:space="preserve">ponsor to reapply to </w:t>
      </w:r>
      <w:r w:rsidRPr="009D3983" w:rsidDel="0022608B">
        <w:t xml:space="preserve">the </w:t>
      </w:r>
      <w:r w:rsidRPr="009D3983">
        <w:t>PBAC for consideration for listing on the PBS</w:t>
      </w:r>
      <w:bookmarkStart w:id="31" w:name="_Ref129858609"/>
      <w:r w:rsidR="00354688">
        <w:t>.</w:t>
      </w:r>
      <w:r w:rsidRPr="00354688">
        <w:rPr>
          <w:vertAlign w:val="superscript"/>
        </w:rPr>
        <w:footnoteReference w:id="44"/>
      </w:r>
      <w:bookmarkEnd w:id="31"/>
      <w:r w:rsidRPr="009D3983">
        <w:t xml:space="preserve"> </w:t>
      </w:r>
    </w:p>
    <w:p w14:paraId="10B6E0B6" w14:textId="55773CC8" w:rsidR="003235ED" w:rsidRDefault="003235ED" w:rsidP="003235ED">
      <w:pPr>
        <w:pStyle w:val="Heading4"/>
      </w:pPr>
      <w:r>
        <w:t>Post</w:t>
      </w:r>
      <w:r w:rsidR="00BB6127">
        <w:t>-</w:t>
      </w:r>
      <w:r>
        <w:t>LSDP process</w:t>
      </w:r>
    </w:p>
    <w:p w14:paraId="438B53F7" w14:textId="3924985E" w:rsidR="003235ED" w:rsidRPr="00F36A7D" w:rsidRDefault="003235ED" w:rsidP="003235ED">
      <w:pPr>
        <w:rPr>
          <w:rFonts w:ascii="Times New Roman" w:hAnsi="Times New Roman" w:cs="Times New Roman"/>
          <w:sz w:val="24"/>
          <w:szCs w:val="24"/>
          <w:lang w:eastAsia="en-AU"/>
        </w:rPr>
      </w:pPr>
      <w:r w:rsidRPr="009D3983">
        <w:t>The CMO will make a recommendation</w:t>
      </w:r>
      <w:r w:rsidR="00FE5433">
        <w:t xml:space="preserve"> to the Minister</w:t>
      </w:r>
      <w:r w:rsidRPr="009D3983">
        <w:t xml:space="preserve"> within </w:t>
      </w:r>
      <w:r>
        <w:t>2-6</w:t>
      </w:r>
      <w:r w:rsidRPr="009D3983">
        <w:t xml:space="preserve"> weeks of receiving the </w:t>
      </w:r>
      <w:r w:rsidR="0073282F">
        <w:t>LSDP EP</w:t>
      </w:r>
      <w:r w:rsidRPr="009D3983">
        <w:t xml:space="preserve"> advice and the sponsor’s response to this advice. </w:t>
      </w:r>
      <w:r w:rsidR="00F36A7D">
        <w:rPr>
          <w:rFonts w:ascii="Times New Roman" w:hAnsi="Times New Roman" w:cs="Times New Roman"/>
          <w:sz w:val="24"/>
          <w:szCs w:val="24"/>
          <w:lang w:eastAsia="en-AU"/>
        </w:rPr>
        <w:t xml:space="preserve"> </w:t>
      </w:r>
    </w:p>
    <w:p w14:paraId="4C5EB585" w14:textId="4FE435F7" w:rsidR="003235ED" w:rsidRPr="003235ED" w:rsidRDefault="006B33FE" w:rsidP="003235ED">
      <w:r>
        <w:t>After the recommendation is made, pricing</w:t>
      </w:r>
      <w:r w:rsidR="006C09B3">
        <w:t xml:space="preserve"> and other</w:t>
      </w:r>
      <w:r>
        <w:t xml:space="preserve"> arrangements are negotiated with the sponsor based on any pricing parameters determined by the </w:t>
      </w:r>
      <w:r w:rsidR="0073282F">
        <w:t>LSDP EP</w:t>
      </w:r>
      <w:r>
        <w:t xml:space="preserve">. </w:t>
      </w:r>
      <w:r w:rsidR="006C09B3">
        <w:t xml:space="preserve">Negotiated arrangements are put to </w:t>
      </w:r>
      <w:r w:rsidR="006C09B3">
        <w:lastRenderedPageBreak/>
        <w:t xml:space="preserve">the </w:t>
      </w:r>
      <w:r w:rsidR="004B31ED">
        <w:t xml:space="preserve">Australian </w:t>
      </w:r>
      <w:r w:rsidR="006C09B3">
        <w:t xml:space="preserve">Government for decision. Following </w:t>
      </w:r>
      <w:r w:rsidR="000B4872">
        <w:t xml:space="preserve">a positive </w:t>
      </w:r>
      <w:r w:rsidR="006C09B3">
        <w:t>Government decision, deed and treatment guidelines are finalised before funding is made available.</w:t>
      </w:r>
    </w:p>
    <w:p w14:paraId="0614028D" w14:textId="701A97D3" w:rsidR="00BB6127" w:rsidRDefault="003022AC" w:rsidP="004A782E">
      <w:pPr>
        <w:pStyle w:val="Heading4"/>
        <w:rPr>
          <w:noProof/>
        </w:rPr>
      </w:pPr>
      <w:r>
        <w:rPr>
          <w:noProof/>
        </w:rPr>
        <w:t>Figure</w:t>
      </w:r>
      <w:r w:rsidR="00BB6127">
        <w:rPr>
          <w:noProof/>
        </w:rPr>
        <w:t xml:space="preserve"> </w:t>
      </w:r>
      <w:r w:rsidR="00B97D53">
        <w:rPr>
          <w:noProof/>
        </w:rPr>
        <w:t>1</w:t>
      </w:r>
      <w:r w:rsidR="009B3B10">
        <w:rPr>
          <w:noProof/>
        </w:rPr>
        <w:t>2</w:t>
      </w:r>
      <w:r w:rsidR="00BB6127">
        <w:rPr>
          <w:noProof/>
        </w:rPr>
        <w:t xml:space="preserve">. </w:t>
      </w:r>
      <w:r w:rsidR="009A5482">
        <w:rPr>
          <w:noProof/>
        </w:rPr>
        <w:t>Pathway from PBAC submission to LSDP listing</w:t>
      </w:r>
      <w:r w:rsidR="00F36A7D">
        <w:rPr>
          <w:noProof/>
        </w:rPr>
        <w:t xml:space="preserve"> </w:t>
      </w:r>
    </w:p>
    <w:p w14:paraId="57E631AC" w14:textId="6F0E08DD" w:rsidR="009A5482" w:rsidRPr="009A5482" w:rsidRDefault="00FE5433" w:rsidP="009A5482">
      <w:r w:rsidRPr="00FE5433">
        <w:rPr>
          <w:noProof/>
        </w:rPr>
        <w:drawing>
          <wp:inline distT="0" distB="0" distL="0" distR="0" wp14:anchorId="15599370" wp14:editId="5DB7C95D">
            <wp:extent cx="5617210" cy="5605145"/>
            <wp:effectExtent l="0" t="0" r="0" b="0"/>
            <wp:docPr id="155350206" name="Picture 155350206" descr="Figure 12. Pathway from PBAC submission to LSDP lis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0206" name="Picture 155350206" descr="Figure 12. Pathway from PBAC submission to LSDP listing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7210" cy="5605145"/>
                    </a:xfrm>
                    <a:prstGeom prst="rect">
                      <a:avLst/>
                    </a:prstGeom>
                    <a:solidFill>
                      <a:schemeClr val="bg1"/>
                    </a:solidFill>
                    <a:ln>
                      <a:noFill/>
                    </a:ln>
                  </pic:spPr>
                </pic:pic>
              </a:graphicData>
            </a:graphic>
          </wp:inline>
        </w:drawing>
      </w:r>
    </w:p>
    <w:p w14:paraId="1D6F0B7E" w14:textId="10510681" w:rsidR="00560144" w:rsidRDefault="00560144" w:rsidP="00560144">
      <w:pPr>
        <w:pStyle w:val="Heading2"/>
      </w:pPr>
      <w:bookmarkStart w:id="32" w:name="_Toc156576964"/>
      <w:r>
        <w:t xml:space="preserve">Recent reform </w:t>
      </w:r>
      <w:r w:rsidR="00CD61B4">
        <w:t>to</w:t>
      </w:r>
      <w:r w:rsidR="00F63A6E">
        <w:t xml:space="preserve"> the</w:t>
      </w:r>
      <w:r w:rsidR="00CD61B4">
        <w:t xml:space="preserve"> LSDP</w:t>
      </w:r>
      <w:bookmarkEnd w:id="32"/>
    </w:p>
    <w:p w14:paraId="7BF7DEEC" w14:textId="29ED492E" w:rsidR="00560144" w:rsidRDefault="00560144" w:rsidP="00560144">
      <w:pPr>
        <w:pStyle w:val="Heading3"/>
      </w:pPr>
      <w:r>
        <w:t>Post-market review of the LSDP</w:t>
      </w:r>
    </w:p>
    <w:p w14:paraId="782641E9" w14:textId="793AACA6" w:rsidR="00560144" w:rsidRPr="00560144" w:rsidRDefault="00560144" w:rsidP="00560144">
      <w:r w:rsidRPr="00560144">
        <w:t>In April 2014, the then Minister for Health announced the Post-market Review of the LSDP (LSDP Review)</w:t>
      </w:r>
      <w:r w:rsidR="00354688">
        <w:t>. The purpose of the review was t</w:t>
      </w:r>
      <w:r w:rsidRPr="00560144">
        <w:t>o ensure that Australians with ultra-rare conditions continue</w:t>
      </w:r>
      <w:r w:rsidR="000E2EB3">
        <w:t>d</w:t>
      </w:r>
      <w:r w:rsidRPr="00560144">
        <w:t xml:space="preserve"> to have subsidised access to much-needed medicines.</w:t>
      </w:r>
      <w:r>
        <w:rPr>
          <w:rStyle w:val="FootnoteReference"/>
        </w:rPr>
        <w:footnoteReference w:id="45"/>
      </w:r>
    </w:p>
    <w:p w14:paraId="6EBB751D" w14:textId="2C790E22" w:rsidR="00560144" w:rsidRPr="00560144" w:rsidRDefault="00560144" w:rsidP="00560144">
      <w:r w:rsidRPr="00560144">
        <w:t>The LSDP Review examined issues such as access and equity, value for money and the future administration of the program. A number of recommendations were made</w:t>
      </w:r>
      <w:r w:rsidR="000B4872">
        <w:t>,</w:t>
      </w:r>
      <w:r w:rsidRPr="00560144">
        <w:t xml:space="preserve"> including that </w:t>
      </w:r>
      <w:r w:rsidRPr="00560144">
        <w:lastRenderedPageBreak/>
        <w:t>consideration be given to the value of medicines for ultra-rare diseases to consider matters beyond cost-effectiveness. </w:t>
      </w:r>
    </w:p>
    <w:p w14:paraId="0F1D292E" w14:textId="20F0A513" w:rsidR="00560144" w:rsidRPr="00560144" w:rsidRDefault="00F36A7D" w:rsidP="00AC66F0">
      <w:r>
        <w:t xml:space="preserve">The outcomes of the Government response to the LSDP Review included the establishment of the LSDP EP and introduction of reviews of existing medicines listed on the </w:t>
      </w:r>
      <w:r w:rsidR="00B8465E">
        <w:t>program</w:t>
      </w:r>
      <w:r>
        <w:t>.</w:t>
      </w:r>
    </w:p>
    <w:p w14:paraId="69A51177" w14:textId="35F7BC19" w:rsidR="00560144" w:rsidRDefault="00560144" w:rsidP="00560144">
      <w:pPr>
        <w:pStyle w:val="Heading3"/>
      </w:pPr>
      <w:r>
        <w:t>LSDP medicines reviews</w:t>
      </w:r>
    </w:p>
    <w:p w14:paraId="48189047" w14:textId="5FA843C9" w:rsidR="00560144" w:rsidRPr="000B5BBF" w:rsidRDefault="00560144" w:rsidP="00560144">
      <w:r w:rsidRPr="000B5BBF">
        <w:t xml:space="preserve">In October 2018, the </w:t>
      </w:r>
      <w:r w:rsidR="0073282F">
        <w:t>LSDP EP</w:t>
      </w:r>
      <w:r w:rsidRPr="000B5BBF">
        <w:t xml:space="preserve"> commenced reviews of existing medicines listed on the LSDP (LSDP Medicine</w:t>
      </w:r>
      <w:r w:rsidR="00F36A7D">
        <w:t>s</w:t>
      </w:r>
      <w:r w:rsidRPr="000B5BBF">
        <w:t xml:space="preserve"> Review</w:t>
      </w:r>
      <w:r w:rsidR="00F36A7D">
        <w:t>s</w:t>
      </w:r>
      <w:r w:rsidRPr="000B5BBF">
        <w:t>). The purpose of the LSDP Medicine</w:t>
      </w:r>
      <w:r w:rsidR="00F36A7D">
        <w:t>s</w:t>
      </w:r>
      <w:r w:rsidRPr="000B5BBF">
        <w:t xml:space="preserve"> Review</w:t>
      </w:r>
      <w:r w:rsidR="00F36A7D">
        <w:t>s</w:t>
      </w:r>
      <w:r w:rsidRPr="000B5BBF">
        <w:t xml:space="preserve"> was to explore the suitability of each medicine for listing on the program, the appropriateness of the eligibility or exclusion criteria and testing, and avenues to improve the program’s overall value for money. </w:t>
      </w:r>
      <w:r w:rsidR="00F36A7D">
        <w:t>Following t</w:t>
      </w:r>
      <w:r w:rsidRPr="000B5BBF">
        <w:t>he LSDP Medicine</w:t>
      </w:r>
      <w:r w:rsidR="00F36A7D">
        <w:t>s</w:t>
      </w:r>
      <w:r w:rsidRPr="000B5BBF">
        <w:t xml:space="preserve"> Review</w:t>
      </w:r>
      <w:r w:rsidR="00F36A7D">
        <w:t>s, the LSDP EP</w:t>
      </w:r>
      <w:r w:rsidRPr="000B5BBF">
        <w:t xml:space="preserve"> made 51 recommendations including 3 overarching recommendations to improve the LSDP’s overall sustainability. These overarching recommendations considered the need for a clearly stated rationale for the program</w:t>
      </w:r>
      <w:r w:rsidR="006B6AE6">
        <w:t>,</w:t>
      </w:r>
      <w:r w:rsidRPr="000B5BBF">
        <w:t xml:space="preserve"> additional pricing criteria</w:t>
      </w:r>
      <w:r w:rsidR="006B6AE6">
        <w:t>,</w:t>
      </w:r>
      <w:r w:rsidRPr="000B5BBF">
        <w:t xml:space="preserve"> and improvements to data collection and management.</w:t>
      </w:r>
      <w:r>
        <w:rPr>
          <w:rStyle w:val="FootnoteReference"/>
        </w:rPr>
        <w:footnoteReference w:id="46"/>
      </w:r>
      <w:r w:rsidR="00F36A7D">
        <w:t xml:space="preserve"> In addition, the LSDP EP recommended that if the value for money of any LSDP medicine approached a level that could be considered cost-effective in terms of a PBS listing, the medicine should be reconsidered for suitability on the PBS.</w:t>
      </w:r>
    </w:p>
    <w:p w14:paraId="1E6F614B" w14:textId="03C69321" w:rsidR="00AF0313" w:rsidRDefault="00AF0313" w:rsidP="006C09B3">
      <w:pPr>
        <w:pStyle w:val="Heading2"/>
      </w:pPr>
      <w:bookmarkStart w:id="33" w:name="_Toc156576965"/>
      <w:r>
        <w:t>Issues raised through the House of Representatives Inquiry</w:t>
      </w:r>
      <w:bookmarkEnd w:id="33"/>
    </w:p>
    <w:p w14:paraId="342A0A23" w14:textId="4CDBF154" w:rsidR="00B336F4" w:rsidRPr="00AF0313" w:rsidRDefault="00AF0313" w:rsidP="00AF0313">
      <w:r>
        <w:t xml:space="preserve">Companies that submitted to the inquiry expressed concern that there were no clear assessment or funding pathways for rare disease treatments that need to be initiated as inpatient supply at the time of diagnosis but transition to the outpatient setting. </w:t>
      </w:r>
      <w:r w:rsidR="00B336F4">
        <w:t xml:space="preserve">Pharmaceutical industry representatives also expressed the view that the </w:t>
      </w:r>
      <w:r w:rsidR="0022764F">
        <w:t>2</w:t>
      </w:r>
      <w:r w:rsidR="00DC23E0">
        <w:t>-</w:t>
      </w:r>
      <w:r w:rsidR="00B336F4">
        <w:t xml:space="preserve">step consideration (by </w:t>
      </w:r>
      <w:r w:rsidR="00125A5E">
        <w:t xml:space="preserve">the </w:t>
      </w:r>
      <w:r w:rsidR="00B336F4">
        <w:t xml:space="preserve">PBAC and then the LSDEP) for LSDP listings created unnecessary delay. </w:t>
      </w:r>
    </w:p>
    <w:p w14:paraId="35ABB1F9" w14:textId="62EC4DBE" w:rsidR="006C09B3" w:rsidRDefault="0073424A" w:rsidP="006C09B3">
      <w:pPr>
        <w:pStyle w:val="Heading2"/>
      </w:pPr>
      <w:bookmarkStart w:id="34" w:name="_Toc156576966"/>
      <w:r>
        <w:t>Timeframes</w:t>
      </w:r>
      <w:r w:rsidR="00CD61B4">
        <w:t xml:space="preserve"> to </w:t>
      </w:r>
      <w:r w:rsidR="00F36A7D">
        <w:t xml:space="preserve">LSDP </w:t>
      </w:r>
      <w:r w:rsidR="00CD61B4">
        <w:t>listing</w:t>
      </w:r>
      <w:bookmarkEnd w:id="34"/>
    </w:p>
    <w:p w14:paraId="307D04EA" w14:textId="4020D182" w:rsidR="00433BE2" w:rsidRDefault="00433BE2" w:rsidP="006C09B3">
      <w:r>
        <w:t xml:space="preserve">Medicines are added to the LSDP infrequently. The minimum timeframe from PBAC submission to a recommendation to the Minister from the CMO is approximately 8 to 10 months. </w:t>
      </w:r>
      <w:r w:rsidR="0042089D">
        <w:t>Finalisation of</w:t>
      </w:r>
      <w:r>
        <w:t xml:space="preserve"> implementation arrangements can take a number of months after the CMO has made a recommendation. </w:t>
      </w:r>
    </w:p>
    <w:p w14:paraId="159607AC" w14:textId="473F6F4A" w:rsidR="00701C10" w:rsidRDefault="006C09B3" w:rsidP="006C09B3">
      <w:r>
        <w:t>The timeframe for the</w:t>
      </w:r>
      <w:r w:rsidR="00701C10">
        <w:t xml:space="preserve"> LSDP’s most recent listing,</w:t>
      </w:r>
      <w:r>
        <w:t xml:space="preserve"> </w:t>
      </w:r>
      <w:proofErr w:type="spellStart"/>
      <w:r w:rsidR="00F36A7D">
        <w:t>s</w:t>
      </w:r>
      <w:r>
        <w:t>ebelipase</w:t>
      </w:r>
      <w:proofErr w:type="spellEnd"/>
      <w:r>
        <w:t xml:space="preserve"> alfa</w:t>
      </w:r>
      <w:r w:rsidR="00701C10">
        <w:t>,</w:t>
      </w:r>
      <w:r>
        <w:t xml:space="preserve"> is set out</w:t>
      </w:r>
      <w:r w:rsidR="00701C10">
        <w:t xml:space="preserve"> in </w:t>
      </w:r>
      <w:r w:rsidR="003022AC">
        <w:t>Figure</w:t>
      </w:r>
      <w:r w:rsidR="00701C10">
        <w:t xml:space="preserve"> </w:t>
      </w:r>
      <w:r w:rsidR="00B97D53">
        <w:t>1</w:t>
      </w:r>
      <w:r w:rsidR="004E2E49">
        <w:t>3</w:t>
      </w:r>
      <w:r>
        <w:t>.</w:t>
      </w:r>
      <w:r w:rsidR="007E74B7">
        <w:t xml:space="preserve"> The PBAC submission was made over 5 years after application to the TGA.</w:t>
      </w:r>
      <w:r w:rsidR="00433BE2">
        <w:t xml:space="preserve"> It took 17 months from PBAC submission to LSDP listing. The additional consideration by the LSDP</w:t>
      </w:r>
      <w:r w:rsidR="00B63A32">
        <w:t xml:space="preserve"> </w:t>
      </w:r>
      <w:r w:rsidR="00433BE2">
        <w:t>EP after consideration by the PBAC took 6 months.</w:t>
      </w:r>
      <w:r w:rsidR="007E74B7">
        <w:t xml:space="preserve"> After it received a positive recommendation from the </w:t>
      </w:r>
      <w:r w:rsidR="00A92C59">
        <w:t>CMO</w:t>
      </w:r>
      <w:r w:rsidR="007E74B7">
        <w:t>, it took</w:t>
      </w:r>
      <w:r w:rsidR="00433BE2">
        <w:t xml:space="preserve"> further</w:t>
      </w:r>
      <w:r w:rsidR="007E74B7">
        <w:t xml:space="preserve"> 4 months </w:t>
      </w:r>
      <w:r w:rsidR="00433BE2">
        <w:t xml:space="preserve">to be funded through the LSDP. </w:t>
      </w:r>
    </w:p>
    <w:p w14:paraId="7A5414F3" w14:textId="679D4A9D" w:rsidR="005F6E07" w:rsidRDefault="003022AC" w:rsidP="005F6E07">
      <w:pPr>
        <w:pStyle w:val="Heading4"/>
      </w:pPr>
      <w:r>
        <w:lastRenderedPageBreak/>
        <w:t>Figure</w:t>
      </w:r>
      <w:r w:rsidR="005F6E07">
        <w:t xml:space="preserve"> 1</w:t>
      </w:r>
      <w:r w:rsidR="004E2E49">
        <w:t>3</w:t>
      </w:r>
      <w:r w:rsidR="005F6E07">
        <w:t xml:space="preserve">. Example timeframe – LSDP listing of </w:t>
      </w:r>
      <w:proofErr w:type="spellStart"/>
      <w:r w:rsidR="00F36A7D">
        <w:t>s</w:t>
      </w:r>
      <w:r w:rsidR="005F6E07">
        <w:t>ebelipase</w:t>
      </w:r>
      <w:proofErr w:type="spellEnd"/>
      <w:r w:rsidR="005F6E07">
        <w:t xml:space="preserve"> </w:t>
      </w:r>
      <w:r w:rsidR="00F36A7D">
        <w:t>a</w:t>
      </w:r>
      <w:r w:rsidR="005F6E07">
        <w:t>lfa</w:t>
      </w:r>
    </w:p>
    <w:p w14:paraId="4DC44B1D" w14:textId="17B8031D" w:rsidR="005F6E07" w:rsidRDefault="00A11050" w:rsidP="006C09B3">
      <w:r>
        <w:object w:dxaOrig="8472" w:dyaOrig="3763" w14:anchorId="460C5F44">
          <v:shape id="_x0000_i1027" type="#_x0000_t75" alt="Figure 12. Pathway from PBAC submission to LSDP listing table" style="width:458.6pt;height:199.95pt" o:ole="" filled="t" fillcolor="white [3212]">
            <v:imagedata r:id="rId39" o:title=""/>
          </v:shape>
          <o:OLEObject Type="Link" ProgID="Excel.Sheet.12" ShapeID="_x0000_i1027" DrawAspect="Content" r:id="rId40" UpdateMode="Always">
            <o:LinkType>EnhancedMetaFile</o:LinkType>
            <o:LockedField>false</o:LockedField>
          </o:OLEObject>
        </w:object>
      </w:r>
    </w:p>
    <w:p w14:paraId="59D6D7BF" w14:textId="1A58E6D1" w:rsidR="005F6E07" w:rsidRDefault="00A11050" w:rsidP="006C09B3">
      <w:pPr>
        <w:sectPr w:rsidR="005F6E07" w:rsidSect="00B27844">
          <w:pgSz w:w="11906" w:h="16838"/>
          <w:pgMar w:top="1440" w:right="1440" w:bottom="1440" w:left="1440" w:header="708" w:footer="530" w:gutter="0"/>
          <w:cols w:space="708"/>
          <w:docGrid w:linePitch="360"/>
        </w:sectPr>
      </w:pPr>
      <w:r>
        <w:object w:dxaOrig="8045" w:dyaOrig="1517" w14:anchorId="60B9783F">
          <v:shape id="_x0000_i1028" type="#_x0000_t75" alt="Figure 12. Pathway from PBAC submission to LSDP listing key timeframes table" style="width:463.55pt;height:87.5pt" o:ole="">
            <v:imagedata r:id="rId41" o:title=""/>
          </v:shape>
          <o:OLEObject Type="Link" ProgID="Excel.Sheet.12" ShapeID="_x0000_i1028" DrawAspect="Content" r:id="rId42" UpdateMode="Always">
            <o:LinkType>EnhancedMetaFile</o:LinkType>
            <o:LockedField>false</o:LockedField>
          </o:OLEObject>
        </w:object>
      </w:r>
    </w:p>
    <w:p w14:paraId="4A73794B" w14:textId="69E4E3DB" w:rsidR="008D6EE6" w:rsidRDefault="00BB6127" w:rsidP="00C33B1F">
      <w:pPr>
        <w:pStyle w:val="Heading1"/>
      </w:pPr>
      <w:bookmarkStart w:id="35" w:name="_Toc156576967"/>
      <w:r>
        <w:lastRenderedPageBreak/>
        <w:t>M</w:t>
      </w:r>
      <w:r w:rsidR="008D6EE6">
        <w:t>edicare Benefits Schedule</w:t>
      </w:r>
      <w:bookmarkEnd w:id="35"/>
    </w:p>
    <w:p w14:paraId="61FE6AFD" w14:textId="13EA7354" w:rsidR="008D6EE6" w:rsidRDefault="008D6EE6" w:rsidP="008D6EE6">
      <w:pPr>
        <w:pStyle w:val="Heading2"/>
        <w:rPr>
          <w:lang w:eastAsia="en-GB"/>
        </w:rPr>
      </w:pPr>
      <w:bookmarkStart w:id="36" w:name="_Toc156576968"/>
      <w:r>
        <w:rPr>
          <w:lang w:eastAsia="en-GB"/>
        </w:rPr>
        <w:t>Background</w:t>
      </w:r>
      <w:bookmarkEnd w:id="36"/>
    </w:p>
    <w:p w14:paraId="52610091" w14:textId="2003308B" w:rsidR="00934AEF" w:rsidRDefault="00C31CAE" w:rsidP="008D6EE6">
      <w:r>
        <w:t>T</w:t>
      </w:r>
      <w:r w:rsidR="00934AEF">
        <w:t>he main</w:t>
      </w:r>
      <w:r w:rsidR="00DC23E0">
        <w:t xml:space="preserve"> </w:t>
      </w:r>
      <w:r w:rsidR="00934AEF">
        <w:t>funding</w:t>
      </w:r>
      <w:r>
        <w:t xml:space="preserve"> mechanism</w:t>
      </w:r>
      <w:r w:rsidR="00DC23E0">
        <w:t xml:space="preserve"> in Australia</w:t>
      </w:r>
      <w:r>
        <w:t xml:space="preserve"> for health technologies that are not medicines is </w:t>
      </w:r>
      <w:r w:rsidR="00934AEF">
        <w:t xml:space="preserve">the </w:t>
      </w:r>
      <w:r w:rsidR="00C66A30">
        <w:t>Medical benefits Schedule (</w:t>
      </w:r>
      <w:r w:rsidR="00934AEF">
        <w:t>MBS</w:t>
      </w:r>
      <w:r w:rsidR="00C66A30">
        <w:t>)</w:t>
      </w:r>
      <w:r w:rsidR="00934AEF">
        <w:t xml:space="preserve">. </w:t>
      </w:r>
    </w:p>
    <w:p w14:paraId="13895445" w14:textId="6A9A513C" w:rsidR="0065731D" w:rsidRDefault="0065731D" w:rsidP="00DC23E0">
      <w:r>
        <w:t>The MBS</w:t>
      </w:r>
      <w:r w:rsidR="00DC23E0">
        <w:t xml:space="preserve"> is</w:t>
      </w:r>
      <w:r>
        <w:t xml:space="preserve"> established under </w:t>
      </w:r>
      <w:r w:rsidR="00062D1B">
        <w:t xml:space="preserve">the </w:t>
      </w:r>
      <w:r w:rsidRPr="00354E7B">
        <w:rPr>
          <w:i/>
        </w:rPr>
        <w:t>Health Insurance Act 1973</w:t>
      </w:r>
      <w:r>
        <w:t>.</w:t>
      </w:r>
      <w:r w:rsidRPr="00DC23E0">
        <w:rPr>
          <w:vertAlign w:val="superscript"/>
        </w:rPr>
        <w:footnoteReference w:id="47"/>
      </w:r>
      <w:r w:rsidR="00AC4205">
        <w:t xml:space="preserve"> </w:t>
      </w:r>
      <w:r w:rsidR="003F4B03">
        <w:t>It</w:t>
      </w:r>
      <w:r w:rsidR="00AC4205">
        <w:t xml:space="preserve"> is a list of medical services</w:t>
      </w:r>
      <w:r w:rsidR="00F9168C">
        <w:t xml:space="preserve">, </w:t>
      </w:r>
      <w:r w:rsidR="00AC4205">
        <w:t>includ</w:t>
      </w:r>
      <w:r w:rsidR="00F9168C">
        <w:t>ing</w:t>
      </w:r>
      <w:r w:rsidR="00AC4205">
        <w:t xml:space="preserve"> consultations, procedures and tests,</w:t>
      </w:r>
      <w:r w:rsidR="00540121">
        <w:t xml:space="preserve"> each of which </w:t>
      </w:r>
      <w:r w:rsidR="002B65AB">
        <w:t>has a</w:t>
      </w:r>
      <w:r w:rsidR="00935318">
        <w:t>n associated</w:t>
      </w:r>
      <w:r w:rsidR="00FA21EE" w:rsidRPr="00FA21EE">
        <w:t xml:space="preserve"> fee‐for‐service set by Government</w:t>
      </w:r>
      <w:r w:rsidR="00192D44">
        <w:t xml:space="preserve"> known as the ‘Schedule fee’.</w:t>
      </w:r>
      <w:r w:rsidR="00E50D7D">
        <w:t xml:space="preserve"> </w:t>
      </w:r>
      <w:r w:rsidR="00900C8A">
        <w:t xml:space="preserve">The MBS also sets out </w:t>
      </w:r>
      <w:r>
        <w:t>the rate</w:t>
      </w:r>
      <w:r w:rsidR="00E8182F">
        <w:t>/s</w:t>
      </w:r>
      <w:r>
        <w:t xml:space="preserve"> at which the benefit </w:t>
      </w:r>
      <w:r w:rsidR="002A0035">
        <w:t xml:space="preserve">for that service </w:t>
      </w:r>
      <w:r>
        <w:t xml:space="preserve">is to be calculated, as well as providing guidance on the clinical and administrative circumstances under which benefits can be claimed. </w:t>
      </w:r>
    </w:p>
    <w:p w14:paraId="4197B04E" w14:textId="453ED5F9" w:rsidR="008D6EE6" w:rsidRPr="00DC23E0" w:rsidRDefault="008D6EE6" w:rsidP="00DC23E0">
      <w:r w:rsidRPr="008B272F">
        <w:t xml:space="preserve">The MBS is an </w:t>
      </w:r>
      <w:r w:rsidR="0065731D">
        <w:t xml:space="preserve">uncapped, </w:t>
      </w:r>
      <w:r w:rsidRPr="008B272F">
        <w:t xml:space="preserve">demand-driven programme. </w:t>
      </w:r>
      <w:r w:rsidR="000B0725">
        <w:t>O</w:t>
      </w:r>
      <w:r w:rsidRPr="008B272F">
        <w:t>nce a particular service is included on the MBS, its utilisation is largely a matter for health professionals and their clinical decision making in consultation with their patients</w:t>
      </w:r>
      <w:r>
        <w:t>.</w:t>
      </w:r>
      <w:r w:rsidRPr="00DC23E0">
        <w:rPr>
          <w:vertAlign w:val="superscript"/>
        </w:rPr>
        <w:footnoteReference w:id="48"/>
      </w:r>
      <w:r w:rsidR="00AC4205">
        <w:t xml:space="preserve"> Services on the MBS are subject to stringent eligibility criteria which limit </w:t>
      </w:r>
      <w:r w:rsidR="00430C0C">
        <w:t>their use to particular circumstances</w:t>
      </w:r>
      <w:r w:rsidR="00AC4205">
        <w:t xml:space="preserve">. </w:t>
      </w:r>
    </w:p>
    <w:p w14:paraId="39C0C61C" w14:textId="36C0B3A8" w:rsidR="008D6EE6" w:rsidRDefault="00294F9E" w:rsidP="00311917">
      <w:pPr>
        <w:pStyle w:val="Heading2"/>
      </w:pPr>
      <w:bookmarkStart w:id="37" w:name="_Toc156576969"/>
      <w:r>
        <w:t>P</w:t>
      </w:r>
      <w:r w:rsidR="00311917">
        <w:t>rocess for</w:t>
      </w:r>
      <w:r>
        <w:t xml:space="preserve"> listing</w:t>
      </w:r>
      <w:r w:rsidR="00B5748A">
        <w:t xml:space="preserve"> health technologies on the</w:t>
      </w:r>
      <w:r w:rsidR="00311917">
        <w:t xml:space="preserve"> MBS</w:t>
      </w:r>
      <w:bookmarkEnd w:id="37"/>
    </w:p>
    <w:p w14:paraId="1C4BA688" w14:textId="53319206" w:rsidR="00311917" w:rsidRDefault="00317671" w:rsidP="00311917">
      <w:r>
        <w:t>The</w:t>
      </w:r>
      <w:r w:rsidR="001774C6">
        <w:t xml:space="preserve"> application for</w:t>
      </w:r>
      <w:r>
        <w:t xml:space="preserve"> listing a </w:t>
      </w:r>
      <w:r w:rsidR="00B5748A">
        <w:t>health technology</w:t>
      </w:r>
      <w:r>
        <w:t xml:space="preserve"> on the MBS can be initiated by </w:t>
      </w:r>
      <w:r w:rsidR="0070203C">
        <w:t>a</w:t>
      </w:r>
      <w:r w:rsidR="0070203C" w:rsidRPr="00317671">
        <w:t xml:space="preserve"> </w:t>
      </w:r>
      <w:r w:rsidRPr="00317671">
        <w:t xml:space="preserve">medical profession, </w:t>
      </w:r>
      <w:r w:rsidR="0070203C">
        <w:t xml:space="preserve">the </w:t>
      </w:r>
      <w:r w:rsidRPr="00317671">
        <w:t>medical industry and other</w:t>
      </w:r>
      <w:r w:rsidR="0070203C">
        <w:t xml:space="preserve"> </w:t>
      </w:r>
      <w:r w:rsidRPr="00317671">
        <w:t>s</w:t>
      </w:r>
      <w:r w:rsidR="0070203C">
        <w:t>takeholders</w:t>
      </w:r>
      <w:r w:rsidRPr="00317671">
        <w:t xml:space="preserve"> with an interest in seeking Australian </w:t>
      </w:r>
      <w:r w:rsidR="0070203C">
        <w:t>G</w:t>
      </w:r>
      <w:r w:rsidRPr="00317671">
        <w:t>overnment funding</w:t>
      </w:r>
      <w:r w:rsidR="00B5748A">
        <w:t>.</w:t>
      </w:r>
      <w:r>
        <w:t xml:space="preserve"> </w:t>
      </w:r>
    </w:p>
    <w:p w14:paraId="1AFF10F1" w14:textId="1A85CFCA" w:rsidR="00B27844" w:rsidRDefault="00B27844" w:rsidP="00B27844">
      <w:pPr>
        <w:pStyle w:val="Heading3"/>
      </w:pPr>
      <w:r>
        <w:t xml:space="preserve">Who </w:t>
      </w:r>
      <w:r w:rsidR="00331395">
        <w:t>considers</w:t>
      </w:r>
      <w:r>
        <w:t xml:space="preserve"> applications </w:t>
      </w:r>
      <w:r w:rsidR="00934AEF">
        <w:t>to list</w:t>
      </w:r>
      <w:r w:rsidR="00B5748A">
        <w:t xml:space="preserve"> health technologies on the</w:t>
      </w:r>
      <w:r>
        <w:t xml:space="preserve"> MBS?</w:t>
      </w:r>
    </w:p>
    <w:p w14:paraId="4E335F02" w14:textId="4CFB4C7D" w:rsidR="00934AEF" w:rsidRPr="00DC23E0" w:rsidRDefault="00934AEF" w:rsidP="00DC23E0">
      <w:r>
        <w:t xml:space="preserve">Applications to list health technologies on the </w:t>
      </w:r>
      <w:r w:rsidR="00725759">
        <w:t>MBS</w:t>
      </w:r>
      <w:r>
        <w:t xml:space="preserve"> are</w:t>
      </w:r>
      <w:r w:rsidR="00B27844">
        <w:t xml:space="preserve"> assessed by MSAC.</w:t>
      </w:r>
      <w:r w:rsidR="00DC23E0">
        <w:t xml:space="preserve"> </w:t>
      </w:r>
      <w:r w:rsidR="00B27844" w:rsidRPr="008B272F">
        <w:t xml:space="preserve">MSAC is a non-statutory committee established </w:t>
      </w:r>
      <w:r w:rsidR="00B27844">
        <w:t xml:space="preserve">in 1998 </w:t>
      </w:r>
      <w:r w:rsidR="00B27844" w:rsidRPr="008B272F">
        <w:t>by the Australian Minister for Health and Aged Care</w:t>
      </w:r>
      <w:r w:rsidR="00B27844">
        <w:t>. It</w:t>
      </w:r>
      <w:r w:rsidR="00E747D1">
        <w:t xml:space="preserve"> was established </w:t>
      </w:r>
      <w:r w:rsidR="00B27844" w:rsidRPr="008B272F">
        <w:t xml:space="preserve">to improve health outcomes for patients by ensuring that new and existing medical procedures attracting funding under the MBS are supported by evidence of their </w:t>
      </w:r>
      <w:r w:rsidR="001774C6">
        <w:t xml:space="preserve">comparative </w:t>
      </w:r>
      <w:r w:rsidR="00B27844" w:rsidRPr="008B272F">
        <w:t>safety, clinical effectiveness</w:t>
      </w:r>
      <w:r w:rsidR="001774C6">
        <w:t>,</w:t>
      </w:r>
      <w:r w:rsidR="00B27844" w:rsidRPr="008B272F">
        <w:t xml:space="preserve"> cost-effectiveness</w:t>
      </w:r>
      <w:r w:rsidR="001774C6">
        <w:t xml:space="preserve"> and total cost</w:t>
      </w:r>
      <w:r w:rsidR="00B27844" w:rsidRPr="008B272F">
        <w:t>. MSAC’s role is to provide</w:t>
      </w:r>
      <w:r w:rsidR="008F2F98">
        <w:t xml:space="preserve"> advice to</w:t>
      </w:r>
      <w:r w:rsidR="00CB20D0">
        <w:t xml:space="preserve"> the Australian</w:t>
      </w:r>
      <w:r w:rsidR="008F2F98">
        <w:t xml:space="preserve"> Government on whether a new medical service or</w:t>
      </w:r>
      <w:r w:rsidR="001534A9">
        <w:t xml:space="preserve"> other</w:t>
      </w:r>
      <w:r w:rsidR="008F2F98">
        <w:t xml:space="preserve"> health technolog</w:t>
      </w:r>
      <w:r w:rsidR="001534A9">
        <w:t>ies</w:t>
      </w:r>
      <w:r w:rsidR="008F2F98">
        <w:t xml:space="preserve"> should be publicly funded (and if so, its circumstances)</w:t>
      </w:r>
      <w:r w:rsidR="00B27844">
        <w:t>,</w:t>
      </w:r>
      <w:r w:rsidR="00B27844" w:rsidRPr="008B272F">
        <w:t xml:space="preserve"> other than medicines that would be subsidised through the PBS. </w:t>
      </w:r>
    </w:p>
    <w:p w14:paraId="758B4971" w14:textId="5FB2275B" w:rsidR="00B27844" w:rsidRDefault="00B27844" w:rsidP="00B27844">
      <w:r>
        <w:t>H</w:t>
      </w:r>
      <w:r w:rsidRPr="008B272F">
        <w:t>ealth technologies</w:t>
      </w:r>
      <w:r>
        <w:t xml:space="preserve"> considered by MSAC</w:t>
      </w:r>
      <w:r w:rsidRPr="008B272F">
        <w:t xml:space="preserve"> include</w:t>
      </w:r>
      <w:r>
        <w:t>:</w:t>
      </w:r>
    </w:p>
    <w:p w14:paraId="7B8D687D" w14:textId="77777777" w:rsidR="00B27844" w:rsidRDefault="00B27844" w:rsidP="00651D54">
      <w:pPr>
        <w:pStyle w:val="ListParagraph"/>
        <w:numPr>
          <w:ilvl w:val="0"/>
          <w:numId w:val="42"/>
        </w:numPr>
      </w:pPr>
      <w:r w:rsidRPr="00392C51">
        <w:t>medical services (eligible for MBS listing)</w:t>
      </w:r>
    </w:p>
    <w:p w14:paraId="7AEE7EAA" w14:textId="77777777" w:rsidR="00B27844" w:rsidRDefault="00B27844" w:rsidP="00651D54">
      <w:pPr>
        <w:pStyle w:val="ListParagraph"/>
        <w:numPr>
          <w:ilvl w:val="0"/>
          <w:numId w:val="42"/>
        </w:numPr>
      </w:pPr>
      <w:r w:rsidRPr="00392C51">
        <w:t xml:space="preserve">other programs (blood products </w:t>
      </w:r>
      <w:r>
        <w:t xml:space="preserve">and blood-related products, </w:t>
      </w:r>
      <w:r w:rsidRPr="00392C51">
        <w:t xml:space="preserve">or screening programs) </w:t>
      </w:r>
    </w:p>
    <w:p w14:paraId="2A7E3852" w14:textId="6321B36C" w:rsidR="00B27844" w:rsidRDefault="00710EFC" w:rsidP="00651D54">
      <w:pPr>
        <w:pStyle w:val="ListParagraph"/>
        <w:numPr>
          <w:ilvl w:val="0"/>
          <w:numId w:val="42"/>
        </w:numPr>
      </w:pPr>
      <w:r>
        <w:t xml:space="preserve">high cost, </w:t>
      </w:r>
      <w:r w:rsidR="000B4872">
        <w:t>HSTs</w:t>
      </w:r>
      <w:r w:rsidR="00B27844" w:rsidRPr="00392C51">
        <w:t xml:space="preserve"> delivered as state-based services</w:t>
      </w:r>
      <w:r w:rsidR="00B27844">
        <w:t xml:space="preserve">. </w:t>
      </w:r>
    </w:p>
    <w:p w14:paraId="47435F4E" w14:textId="509CC6FE" w:rsidR="00B27844" w:rsidRDefault="00B27844" w:rsidP="00B27844">
      <w:r w:rsidRPr="00F64B5C">
        <w:t>There are currently two subcommittees</w:t>
      </w:r>
      <w:r>
        <w:t xml:space="preserve"> </w:t>
      </w:r>
      <w:r w:rsidR="00395A99">
        <w:t>of</w:t>
      </w:r>
      <w:r>
        <w:t xml:space="preserve"> MSAC, t</w:t>
      </w:r>
      <w:r w:rsidRPr="00601C8C">
        <w:t>he</w:t>
      </w:r>
      <w:r>
        <w:t xml:space="preserve"> Evaluation Sub-Committee</w:t>
      </w:r>
      <w:r w:rsidR="00B63A32">
        <w:t xml:space="preserve"> (MSAC ESC)</w:t>
      </w:r>
      <w:r>
        <w:t xml:space="preserve"> and the </w:t>
      </w:r>
      <w:r w:rsidR="000B4872" w:rsidRPr="00560144">
        <w:t>Population Intervention Comparator and Outcome (PICO)</w:t>
      </w:r>
      <w:r w:rsidRPr="008B272F">
        <w:t xml:space="preserve"> Advisory Sub-committee (PASC)</w:t>
      </w:r>
      <w:r>
        <w:t>.</w:t>
      </w:r>
    </w:p>
    <w:p w14:paraId="2A3D209D" w14:textId="08304B84" w:rsidR="00B27844" w:rsidRDefault="00B27844" w:rsidP="00DC23E0">
      <w:r w:rsidRPr="008B272F">
        <w:t>PASC confirm</w:t>
      </w:r>
      <w:r>
        <w:t>s</w:t>
      </w:r>
      <w:r w:rsidRPr="008B272F">
        <w:t xml:space="preserve"> the population, intervention, prior test</w:t>
      </w:r>
      <w:r w:rsidR="00395A99">
        <w:t xml:space="preserve"> (for investigative technologies only)</w:t>
      </w:r>
      <w:r w:rsidRPr="008B272F">
        <w:t>, comparator and outcomes (PICO/PPICO) of the application’s proposed medical service.</w:t>
      </w:r>
    </w:p>
    <w:p w14:paraId="41764BE3" w14:textId="55FD27FB" w:rsidR="001774C6" w:rsidRDefault="005A35D1" w:rsidP="00DC23E0">
      <w:r>
        <w:lastRenderedPageBreak/>
        <w:t xml:space="preserve">MSAC </w:t>
      </w:r>
      <w:r w:rsidR="001774C6">
        <w:t>ESC provides advice on the quality, validity and relevance of internal and external assessments for applications being considered by MSAC</w:t>
      </w:r>
      <w:r w:rsidR="00B63A32">
        <w:t>.</w:t>
      </w:r>
    </w:p>
    <w:p w14:paraId="1D05AD40" w14:textId="77777777" w:rsidR="00DB54DC" w:rsidRDefault="00DB54DC" w:rsidP="00DB54DC">
      <w:pPr>
        <w:pStyle w:val="Heading3"/>
      </w:pPr>
      <w:r>
        <w:t>What assessment is made and what information is used to make the assessment?</w:t>
      </w:r>
    </w:p>
    <w:p w14:paraId="4433D27C" w14:textId="6BF3BE91" w:rsidR="008B1E88" w:rsidRDefault="008B1E88" w:rsidP="00B5748A">
      <w:r>
        <w:t xml:space="preserve">MSAC </w:t>
      </w:r>
      <w:r w:rsidR="00DC23E0">
        <w:t>conducts appraisals of</w:t>
      </w:r>
      <w:r w:rsidRPr="008B1E88">
        <w:t xml:space="preserve"> </w:t>
      </w:r>
      <w:r w:rsidR="0082198A">
        <w:t>health technolog</w:t>
      </w:r>
      <w:r w:rsidR="00DC23E0">
        <w:t>ies and provides advice to Government on whether</w:t>
      </w:r>
      <w:r w:rsidRPr="008B1E88">
        <w:t xml:space="preserve"> </w:t>
      </w:r>
      <w:r w:rsidR="002F4A42">
        <w:t xml:space="preserve">they </w:t>
      </w:r>
      <w:r w:rsidRPr="008B1E88">
        <w:t xml:space="preserve">should be publicly funded </w:t>
      </w:r>
      <w:r w:rsidR="00DC23E0">
        <w:t xml:space="preserve">and under what circumstances. </w:t>
      </w:r>
    </w:p>
    <w:p w14:paraId="61C8013B" w14:textId="1723F4AA" w:rsidR="00B5748A" w:rsidRDefault="00DC23E0" w:rsidP="00B5748A">
      <w:r>
        <w:t xml:space="preserve">When conducting its appraisal, </w:t>
      </w:r>
      <w:r w:rsidR="00B5748A">
        <w:t>MSAC considers</w:t>
      </w:r>
      <w:r w:rsidR="00BC05E5">
        <w:t xml:space="preserve"> a</w:t>
      </w:r>
      <w:r w:rsidR="001F4ED2">
        <w:t>n</w:t>
      </w:r>
      <w:r w:rsidR="00BC05E5">
        <w:t xml:space="preserve"> HTA that summarises the best</w:t>
      </w:r>
      <w:r w:rsidR="00B5748A">
        <w:t xml:space="preserve"> evidence of the </w:t>
      </w:r>
      <w:r w:rsidR="00B5748A" w:rsidRPr="00B5748A">
        <w:t>benefits, harms and costs of the health technology</w:t>
      </w:r>
      <w:r w:rsidR="00B5748A">
        <w:t xml:space="preserve"> to determine </w:t>
      </w:r>
      <w:r w:rsidR="00BC05E5">
        <w:t xml:space="preserve">its </w:t>
      </w:r>
      <w:r w:rsidR="00B5748A">
        <w:t xml:space="preserve">value. The value of a health technology involves </w:t>
      </w:r>
      <w:r w:rsidR="00934AEF">
        <w:t>clinical effectiveness, safety, costs, economic implications, and</w:t>
      </w:r>
      <w:r w:rsidR="00934AEF" w:rsidRPr="00934AEF">
        <w:t xml:space="preserve"> </w:t>
      </w:r>
      <w:r w:rsidR="00C5670D">
        <w:t xml:space="preserve">may include </w:t>
      </w:r>
      <w:r w:rsidR="00934AEF" w:rsidRPr="00934AEF">
        <w:t>information encompassing the value of knowing, ethical, organisational, patient and social, legal or environmental aspects, and whether a rule of rescue applies</w:t>
      </w:r>
      <w:r w:rsidR="00934AEF">
        <w:t>.</w:t>
      </w:r>
      <w:r w:rsidR="00934AEF" w:rsidRPr="00934AEF">
        <w:t xml:space="preserve"> </w:t>
      </w:r>
      <w:r w:rsidR="00934AEF">
        <w:t xml:space="preserve"> </w:t>
      </w:r>
    </w:p>
    <w:p w14:paraId="1459BC00" w14:textId="2DB99FE0" w:rsidR="00C60E56" w:rsidRDefault="00934AEF" w:rsidP="00B5748A">
      <w:r w:rsidRPr="00934AEF">
        <w:t>Health impacts and costs are measured against what is already used (called the comparator). This helps decide whether the extra benefits from a new health technology justify any extra costs to the health care system.</w:t>
      </w:r>
    </w:p>
    <w:p w14:paraId="13B9C1D2" w14:textId="6E7C621A" w:rsidR="00934AEF" w:rsidRDefault="00934AEF" w:rsidP="00B5748A">
      <w:r>
        <w:t>This information is provided as a</w:t>
      </w:r>
      <w:r w:rsidR="00BC05E5">
        <w:t xml:space="preserve"> health technology</w:t>
      </w:r>
      <w:r>
        <w:t xml:space="preserve"> assessment report for</w:t>
      </w:r>
      <w:r w:rsidR="006F1B02">
        <w:t xml:space="preserve"> </w:t>
      </w:r>
      <w:r>
        <w:t>MSAC to consider.</w:t>
      </w:r>
    </w:p>
    <w:p w14:paraId="59EB373D" w14:textId="271C7B22" w:rsidR="00424A34" w:rsidRDefault="00424A34" w:rsidP="00424A34">
      <w:pPr>
        <w:pStyle w:val="Heading3"/>
      </w:pPr>
      <w:r>
        <w:t>Consideration of evidence from patients, consumers and other</w:t>
      </w:r>
      <w:r w:rsidR="008A10FD">
        <w:t xml:space="preserve"> </w:t>
      </w:r>
      <w:r>
        <w:t>s</w:t>
      </w:r>
      <w:r w:rsidR="008A10FD">
        <w:t>takeholders</w:t>
      </w:r>
    </w:p>
    <w:p w14:paraId="37733FFD" w14:textId="34CC711D" w:rsidR="00C60E56" w:rsidRDefault="00C60E56" w:rsidP="00C60E56">
      <w:r>
        <w:t>MSAC also receives evidence and input from consumers (patients, family members, carers) and other stakeholders through pathways other than the assessment report process. These include:</w:t>
      </w:r>
    </w:p>
    <w:p w14:paraId="5B6A9D28" w14:textId="2ADC3842" w:rsidR="00C60E56" w:rsidRPr="00C60E56" w:rsidRDefault="00B9700C" w:rsidP="00651D54">
      <w:pPr>
        <w:pStyle w:val="ListParagraph"/>
        <w:numPr>
          <w:ilvl w:val="0"/>
          <w:numId w:val="31"/>
        </w:numPr>
      </w:pPr>
      <w:r>
        <w:t>f</w:t>
      </w:r>
      <w:r w:rsidR="00C60E56" w:rsidRPr="00C60E56">
        <w:t>ormal targeted public consultation at the start of an MSAC application</w:t>
      </w:r>
    </w:p>
    <w:p w14:paraId="27131E1C" w14:textId="5DFF7CF9" w:rsidR="00C5670D" w:rsidRDefault="00B9700C" w:rsidP="00651D54">
      <w:pPr>
        <w:pStyle w:val="ListParagraph"/>
        <w:numPr>
          <w:ilvl w:val="0"/>
          <w:numId w:val="31"/>
        </w:numPr>
      </w:pPr>
      <w:r>
        <w:t>c</w:t>
      </w:r>
      <w:r w:rsidR="00C60E56" w:rsidRPr="00C60E56">
        <w:t xml:space="preserve">onsumer comments provided </w:t>
      </w:r>
      <w:r w:rsidR="00D45B12">
        <w:t xml:space="preserve">within the specified consultation period </w:t>
      </w:r>
      <w:r w:rsidR="00C60E56" w:rsidRPr="00C60E56">
        <w:t xml:space="preserve">before the health technology is considered. </w:t>
      </w:r>
    </w:p>
    <w:p w14:paraId="229CC9ED" w14:textId="497A5459" w:rsidR="00395A99" w:rsidRDefault="00395A99" w:rsidP="00395A99">
      <w:r>
        <w:t xml:space="preserve">There are two main points in the process where consultation feedback </w:t>
      </w:r>
      <w:r w:rsidR="00DC23E0">
        <w:t>obtained</w:t>
      </w:r>
      <w:r>
        <w:t xml:space="preserve">: </w:t>
      </w:r>
    </w:p>
    <w:p w14:paraId="73FB4B8E" w14:textId="2E22F54B" w:rsidR="00395A99" w:rsidRDefault="00D74250" w:rsidP="00651D54">
      <w:pPr>
        <w:pStyle w:val="ListParagraph"/>
        <w:numPr>
          <w:ilvl w:val="0"/>
          <w:numId w:val="41"/>
        </w:numPr>
        <w:spacing w:line="256" w:lineRule="auto"/>
      </w:pPr>
      <w:r>
        <w:t>p</w:t>
      </w:r>
      <w:r w:rsidR="00395A99">
        <w:t>rior to the meeting of PASC</w:t>
      </w:r>
    </w:p>
    <w:p w14:paraId="0587B9D1" w14:textId="57CD69D6" w:rsidR="00395A99" w:rsidRDefault="00D74250" w:rsidP="00651D54">
      <w:pPr>
        <w:pStyle w:val="ListParagraph"/>
        <w:numPr>
          <w:ilvl w:val="0"/>
          <w:numId w:val="41"/>
        </w:numPr>
        <w:spacing w:line="256" w:lineRule="auto"/>
      </w:pPr>
      <w:r>
        <w:t>p</w:t>
      </w:r>
      <w:r w:rsidR="00395A99">
        <w:t>rior to</w:t>
      </w:r>
      <w:r w:rsidR="006F1B02">
        <w:t xml:space="preserve"> </w:t>
      </w:r>
      <w:r w:rsidR="00395A99">
        <w:t>MSAC’s consideration of the application.</w:t>
      </w:r>
    </w:p>
    <w:p w14:paraId="241BF5FA" w14:textId="176D0467" w:rsidR="00C60E56" w:rsidRPr="00C60E56" w:rsidRDefault="00C60E56" w:rsidP="00C5670D">
      <w:r w:rsidRPr="00C60E56">
        <w:t>The applications scheduled for consideration by MSAC and its subcommittees (</w:t>
      </w:r>
      <w:r w:rsidR="000B4872">
        <w:t xml:space="preserve">MSAC </w:t>
      </w:r>
      <w:r w:rsidRPr="00C60E56">
        <w:t>ESC and PASC) are published before each meeting.</w:t>
      </w:r>
    </w:p>
    <w:p w14:paraId="16809A2A" w14:textId="77777777" w:rsidR="00B27844" w:rsidRDefault="00B27844" w:rsidP="00B27844">
      <w:pPr>
        <w:pStyle w:val="Heading3"/>
      </w:pPr>
      <w:r>
        <w:t>Pathway from MSAC submission to MBS listing</w:t>
      </w:r>
    </w:p>
    <w:p w14:paraId="5EA70C4E" w14:textId="47680585" w:rsidR="00B27844" w:rsidRDefault="00B27844" w:rsidP="00B27844">
      <w:r w:rsidRPr="008B272F">
        <w:t>The MSAC process includes four broad stages</w:t>
      </w:r>
      <w:r>
        <w:t>.</w:t>
      </w:r>
      <w:r>
        <w:rPr>
          <w:rStyle w:val="FootnoteReference"/>
        </w:rPr>
        <w:footnoteReference w:id="49"/>
      </w:r>
    </w:p>
    <w:p w14:paraId="47291C49" w14:textId="4C4E9518" w:rsidR="00934AEF" w:rsidRDefault="00534C25" w:rsidP="00651D54">
      <w:pPr>
        <w:pStyle w:val="ListParagraph"/>
        <w:numPr>
          <w:ilvl w:val="0"/>
          <w:numId w:val="30"/>
        </w:numPr>
        <w:spacing w:before="0" w:after="240" w:line="240" w:lineRule="auto"/>
        <w:jc w:val="both"/>
        <w:rPr>
          <w:rFonts w:ascii="Calibri" w:hAnsi="Calibri" w:cs="Calibri"/>
        </w:rPr>
      </w:pPr>
      <w:r w:rsidRPr="00534C25">
        <w:rPr>
          <w:rFonts w:ascii="Calibri" w:hAnsi="Calibri" w:cs="Calibri"/>
          <w:b/>
          <w:bCs/>
        </w:rPr>
        <w:t>Preassessment Stage</w:t>
      </w:r>
      <w:r>
        <w:rPr>
          <w:rFonts w:ascii="Calibri" w:hAnsi="Calibri" w:cs="Calibri"/>
        </w:rPr>
        <w:t xml:space="preserve">: </w:t>
      </w:r>
      <w:r w:rsidR="00934AEF">
        <w:rPr>
          <w:rFonts w:ascii="Calibri" w:hAnsi="Calibri" w:cs="Calibri"/>
        </w:rPr>
        <w:t>The Department receives an application form for funding and assesses it</w:t>
      </w:r>
      <w:r w:rsidR="00C5670D">
        <w:rPr>
          <w:rFonts w:ascii="Calibri" w:hAnsi="Calibri" w:cs="Calibri"/>
        </w:rPr>
        <w:t>s suitability to progress</w:t>
      </w:r>
      <w:r w:rsidR="00934AEF">
        <w:rPr>
          <w:rFonts w:ascii="Calibri" w:hAnsi="Calibri" w:cs="Calibri"/>
        </w:rPr>
        <w:t>.</w:t>
      </w:r>
      <w:r>
        <w:rPr>
          <w:rFonts w:ascii="Calibri" w:hAnsi="Calibri" w:cs="Calibri"/>
        </w:rPr>
        <w:t xml:space="preserve"> </w:t>
      </w:r>
    </w:p>
    <w:p w14:paraId="0F2EFA1C" w14:textId="7C312A4C" w:rsidR="00934AEF" w:rsidRDefault="00534C25" w:rsidP="00651D54">
      <w:pPr>
        <w:pStyle w:val="ListParagraph"/>
        <w:numPr>
          <w:ilvl w:val="0"/>
          <w:numId w:val="30"/>
        </w:numPr>
        <w:spacing w:before="0" w:after="240" w:line="240" w:lineRule="auto"/>
        <w:jc w:val="both"/>
        <w:rPr>
          <w:rFonts w:ascii="Calibri" w:hAnsi="Calibri" w:cs="Calibri"/>
        </w:rPr>
      </w:pPr>
      <w:r w:rsidRPr="00534C25">
        <w:rPr>
          <w:rFonts w:ascii="Calibri" w:hAnsi="Calibri" w:cs="Calibri"/>
          <w:b/>
          <w:bCs/>
        </w:rPr>
        <w:t>PICO confirmation stage</w:t>
      </w:r>
      <w:r>
        <w:rPr>
          <w:rFonts w:ascii="Calibri" w:hAnsi="Calibri" w:cs="Calibri"/>
        </w:rPr>
        <w:t xml:space="preserve">: </w:t>
      </w:r>
      <w:r w:rsidR="00934AEF">
        <w:rPr>
          <w:rFonts w:ascii="Calibri" w:hAnsi="Calibri" w:cs="Calibri"/>
        </w:rPr>
        <w:t>A PICO confirmation is developed to guide the application. This is reviewed and confirmed by PASC.</w:t>
      </w:r>
      <w:r w:rsidR="00D45B12">
        <w:rPr>
          <w:rFonts w:ascii="Calibri" w:hAnsi="Calibri" w:cs="Calibri"/>
        </w:rPr>
        <w:t xml:space="preserve"> Public and targeted consultation is undertaken at this stage of the process to inform PASC.</w:t>
      </w:r>
    </w:p>
    <w:p w14:paraId="183DB2A1" w14:textId="77FEB5EB" w:rsidR="00934AEF" w:rsidRDefault="00534C25" w:rsidP="00651D54">
      <w:pPr>
        <w:pStyle w:val="ListParagraph"/>
        <w:numPr>
          <w:ilvl w:val="0"/>
          <w:numId w:val="30"/>
        </w:numPr>
        <w:spacing w:before="0" w:after="240" w:line="240" w:lineRule="auto"/>
        <w:jc w:val="both"/>
        <w:rPr>
          <w:rFonts w:ascii="Calibri" w:hAnsi="Calibri" w:cs="Calibri"/>
        </w:rPr>
      </w:pPr>
      <w:r w:rsidRPr="00534C25">
        <w:rPr>
          <w:b/>
          <w:bCs/>
        </w:rPr>
        <w:t>Application assessment</w:t>
      </w:r>
      <w:r>
        <w:rPr>
          <w:rFonts w:ascii="Calibri" w:hAnsi="Calibri" w:cs="Calibri"/>
        </w:rPr>
        <w:t>: A</w:t>
      </w:r>
      <w:r w:rsidR="003D3CA3">
        <w:rPr>
          <w:rFonts w:ascii="Calibri" w:hAnsi="Calibri" w:cs="Calibri"/>
        </w:rPr>
        <w:t>n</w:t>
      </w:r>
      <w:r>
        <w:rPr>
          <w:rFonts w:ascii="Calibri" w:hAnsi="Calibri" w:cs="Calibri"/>
        </w:rPr>
        <w:t xml:space="preserve"> </w:t>
      </w:r>
      <w:r w:rsidR="008512E9">
        <w:rPr>
          <w:rFonts w:ascii="Calibri" w:hAnsi="Calibri" w:cs="Calibri"/>
        </w:rPr>
        <w:t>HTA</w:t>
      </w:r>
      <w:r w:rsidR="00934AEF">
        <w:rPr>
          <w:rFonts w:ascii="Calibri" w:hAnsi="Calibri" w:cs="Calibri"/>
        </w:rPr>
        <w:t xml:space="preserve"> </w:t>
      </w:r>
      <w:r>
        <w:rPr>
          <w:rFonts w:ascii="Calibri" w:hAnsi="Calibri" w:cs="Calibri"/>
        </w:rPr>
        <w:t>is undertaken.</w:t>
      </w:r>
      <w:r w:rsidR="00934AEF">
        <w:rPr>
          <w:rFonts w:ascii="Calibri" w:hAnsi="Calibri" w:cs="Calibri"/>
        </w:rPr>
        <w:t xml:space="preserve"> The</w:t>
      </w:r>
      <w:r w:rsidR="007F469E">
        <w:rPr>
          <w:rFonts w:ascii="Calibri" w:hAnsi="Calibri" w:cs="Calibri"/>
        </w:rPr>
        <w:t xml:space="preserve"> resulting</w:t>
      </w:r>
      <w:r w:rsidR="00934AEF">
        <w:rPr>
          <w:rFonts w:ascii="Calibri" w:hAnsi="Calibri" w:cs="Calibri"/>
        </w:rPr>
        <w:t xml:space="preserve"> </w:t>
      </w:r>
      <w:r>
        <w:rPr>
          <w:rFonts w:ascii="Calibri" w:hAnsi="Calibri" w:cs="Calibri"/>
        </w:rPr>
        <w:t>a</w:t>
      </w:r>
      <w:r w:rsidR="00934AEF">
        <w:rPr>
          <w:rFonts w:ascii="Calibri" w:hAnsi="Calibri" w:cs="Calibri"/>
        </w:rPr>
        <w:t xml:space="preserve">ssessment report is reviewed and discussed by </w:t>
      </w:r>
      <w:r w:rsidR="000B4872">
        <w:rPr>
          <w:rFonts w:ascii="Calibri" w:hAnsi="Calibri" w:cs="Calibri"/>
        </w:rPr>
        <w:t>MSAC</w:t>
      </w:r>
      <w:r w:rsidR="00934AEF">
        <w:rPr>
          <w:rFonts w:ascii="Calibri" w:hAnsi="Calibri" w:cs="Calibri"/>
        </w:rPr>
        <w:t xml:space="preserve"> </w:t>
      </w:r>
      <w:r w:rsidR="008512E9">
        <w:rPr>
          <w:rFonts w:ascii="Calibri" w:hAnsi="Calibri" w:cs="Calibri"/>
        </w:rPr>
        <w:t>ESC</w:t>
      </w:r>
      <w:r w:rsidR="00934AEF">
        <w:rPr>
          <w:rFonts w:ascii="Calibri" w:hAnsi="Calibri" w:cs="Calibri"/>
        </w:rPr>
        <w:t>.</w:t>
      </w:r>
      <w:r w:rsidR="00D45B12">
        <w:rPr>
          <w:rFonts w:ascii="Calibri" w:hAnsi="Calibri" w:cs="Calibri"/>
        </w:rPr>
        <w:t xml:space="preserve"> Public and targeted consultation is undertaken at this stage of the process to inform MSAC.</w:t>
      </w:r>
    </w:p>
    <w:p w14:paraId="11FA95A5" w14:textId="2BA60AEF" w:rsidR="00934AEF" w:rsidRDefault="00534C25" w:rsidP="00651D54">
      <w:pPr>
        <w:pStyle w:val="ListParagraph"/>
        <w:numPr>
          <w:ilvl w:val="0"/>
          <w:numId w:val="30"/>
        </w:numPr>
        <w:spacing w:before="0" w:after="240" w:line="240" w:lineRule="auto"/>
        <w:jc w:val="both"/>
        <w:rPr>
          <w:rFonts w:ascii="Calibri" w:hAnsi="Calibri" w:cs="Calibri"/>
        </w:rPr>
      </w:pPr>
      <w:r w:rsidRPr="00534C25">
        <w:rPr>
          <w:rFonts w:ascii="Calibri" w:hAnsi="Calibri" w:cs="Calibri"/>
          <w:b/>
          <w:bCs/>
        </w:rPr>
        <w:t>MSAC appraisal</w:t>
      </w:r>
      <w:r>
        <w:rPr>
          <w:rFonts w:ascii="Calibri" w:hAnsi="Calibri" w:cs="Calibri"/>
        </w:rPr>
        <w:t xml:space="preserve">: </w:t>
      </w:r>
      <w:r w:rsidR="00934AEF">
        <w:rPr>
          <w:rFonts w:ascii="Calibri" w:hAnsi="Calibri" w:cs="Calibri"/>
        </w:rPr>
        <w:t xml:space="preserve">MSAC reviews and discusses the </w:t>
      </w:r>
      <w:r>
        <w:rPr>
          <w:rFonts w:ascii="Calibri" w:hAnsi="Calibri" w:cs="Calibri"/>
        </w:rPr>
        <w:t>assessment</w:t>
      </w:r>
      <w:r w:rsidR="00934AEF">
        <w:rPr>
          <w:rFonts w:ascii="Calibri" w:hAnsi="Calibri" w:cs="Calibri"/>
        </w:rPr>
        <w:t xml:space="preserve"> report and </w:t>
      </w:r>
      <w:r w:rsidR="000B4872">
        <w:rPr>
          <w:rFonts w:ascii="Calibri" w:hAnsi="Calibri" w:cs="Calibri"/>
        </w:rPr>
        <w:t xml:space="preserve">MSAC </w:t>
      </w:r>
      <w:r w:rsidR="00934AEF">
        <w:rPr>
          <w:rFonts w:ascii="Calibri" w:hAnsi="Calibri" w:cs="Calibri"/>
        </w:rPr>
        <w:t>ESC advice. MSAC advises the Minister for Health about whether the health technology should be funded on the MBS or another funding program.</w:t>
      </w:r>
    </w:p>
    <w:p w14:paraId="5078494A" w14:textId="3B334566" w:rsidR="00534C25" w:rsidRDefault="00534C25" w:rsidP="00534C25">
      <w:r>
        <w:t>There are three pathway</w:t>
      </w:r>
      <w:r w:rsidR="00395A99">
        <w:t xml:space="preserve"> types</w:t>
      </w:r>
      <w:r>
        <w:t xml:space="preserve"> </w:t>
      </w:r>
      <w:r w:rsidR="005B3888">
        <w:t>through the MSAC process</w:t>
      </w:r>
      <w:r>
        <w:t>.</w:t>
      </w:r>
    </w:p>
    <w:p w14:paraId="31A086E2" w14:textId="04F57143" w:rsidR="00534C25" w:rsidRPr="00785273" w:rsidRDefault="00534C25" w:rsidP="00651D54">
      <w:pPr>
        <w:pStyle w:val="ListParagraph"/>
        <w:numPr>
          <w:ilvl w:val="0"/>
          <w:numId w:val="29"/>
        </w:numPr>
      </w:pPr>
      <w:r w:rsidRPr="00785273">
        <w:rPr>
          <w:b/>
          <w:bCs/>
        </w:rPr>
        <w:lastRenderedPageBreak/>
        <w:t>Expedited</w:t>
      </w:r>
      <w:r w:rsidR="008B0691">
        <w:t>:</w:t>
      </w:r>
      <w:r w:rsidRPr="00785273">
        <w:t xml:space="preserve"> If an applicant’s PICO is very clear in the application form stage, the </w:t>
      </w:r>
      <w:r w:rsidR="00692BBF">
        <w:t>D</w:t>
      </w:r>
      <w:r w:rsidRPr="00785273">
        <w:t xml:space="preserve">epartment and the MSAC Executive may agree that the application can bypass PASC and progress straight to the development of an </w:t>
      </w:r>
      <w:r>
        <w:t>a</w:t>
      </w:r>
      <w:r w:rsidRPr="00785273">
        <w:t xml:space="preserve">ssessment report. </w:t>
      </w:r>
    </w:p>
    <w:p w14:paraId="76634E43" w14:textId="3B7FBB83" w:rsidR="00534C25" w:rsidRDefault="00534C25" w:rsidP="00651D54">
      <w:pPr>
        <w:pStyle w:val="ListParagraph"/>
        <w:numPr>
          <w:ilvl w:val="0"/>
          <w:numId w:val="29"/>
        </w:numPr>
        <w:spacing w:before="0" w:after="160"/>
      </w:pPr>
      <w:r w:rsidRPr="007920B3">
        <w:rPr>
          <w:b/>
          <w:bCs/>
        </w:rPr>
        <w:t>Standard</w:t>
      </w:r>
      <w:r w:rsidR="008B0691">
        <w:t>:</w:t>
      </w:r>
      <w:r>
        <w:t xml:space="preserve"> This is the primary pathway in which the majority of applications will progress through the MSAC process. This pathway will generally involve the development of a PICO Confirmation by a</w:t>
      </w:r>
      <w:r w:rsidR="0041032A">
        <w:t>n</w:t>
      </w:r>
      <w:r>
        <w:t xml:space="preserve"> HTA Group; consideration at one PASC meeting; and the development of an </w:t>
      </w:r>
      <w:r w:rsidR="00FF17F9">
        <w:t>assessment report</w:t>
      </w:r>
      <w:r>
        <w:t xml:space="preserve"> for consideration by </w:t>
      </w:r>
      <w:r w:rsidR="000B4872">
        <w:t xml:space="preserve">MSAC </w:t>
      </w:r>
      <w:r>
        <w:t>ESC and MSAC.</w:t>
      </w:r>
    </w:p>
    <w:p w14:paraId="2A893D82" w14:textId="4F45E97F" w:rsidR="00534C25" w:rsidRDefault="00534C25" w:rsidP="00651D54">
      <w:pPr>
        <w:pStyle w:val="ListParagraph"/>
        <w:numPr>
          <w:ilvl w:val="0"/>
          <w:numId w:val="29"/>
        </w:numPr>
        <w:spacing w:before="0" w:after="160"/>
      </w:pPr>
      <w:r w:rsidRPr="007920B3">
        <w:rPr>
          <w:b/>
          <w:bCs/>
        </w:rPr>
        <w:t>Comprehensive</w:t>
      </w:r>
      <w:r w:rsidR="008B0691">
        <w:t>:</w:t>
      </w:r>
      <w:r>
        <w:t xml:space="preserve"> The comprehensive pathway will follow the same steps as </w:t>
      </w:r>
      <w:r w:rsidR="003B003D">
        <w:t>the</w:t>
      </w:r>
      <w:r>
        <w:t xml:space="preserve"> Standard pathway but will require more than one consideration by PASC and have a formal consultation period between the two PASC meetings.</w:t>
      </w:r>
    </w:p>
    <w:p w14:paraId="1F9D9213" w14:textId="481B991C" w:rsidR="00395A99" w:rsidRDefault="00395A99" w:rsidP="008B0691">
      <w:pPr>
        <w:spacing w:before="0" w:after="160"/>
      </w:pPr>
      <w:r>
        <w:t xml:space="preserve">In consultation with the </w:t>
      </w:r>
      <w:r w:rsidR="003B003D">
        <w:t>a</w:t>
      </w:r>
      <w:r>
        <w:t>pplicant, the Department will decide on the most appropriate pathway for each application to progress through the MSAC process.</w:t>
      </w:r>
    </w:p>
    <w:p w14:paraId="341E9440" w14:textId="20A37622" w:rsidR="00B27844" w:rsidRDefault="00B27844" w:rsidP="00B27844">
      <w:pPr>
        <w:pStyle w:val="Heading4"/>
      </w:pPr>
      <w:r>
        <w:t>Pre</w:t>
      </w:r>
      <w:r w:rsidR="00985475">
        <w:t xml:space="preserve"> </w:t>
      </w:r>
      <w:r>
        <w:t>assessment</w:t>
      </w:r>
    </w:p>
    <w:p w14:paraId="142A19E5" w14:textId="1B2E32B5" w:rsidR="00B27844" w:rsidRDefault="00B27844" w:rsidP="00B27844">
      <w:r w:rsidRPr="008B272F">
        <w:t xml:space="preserve">The purpose of this stage is to ensure the </w:t>
      </w:r>
      <w:r w:rsidR="00D45B12">
        <w:t xml:space="preserve">application is suitable for consideration by MSAC and if so, that the </w:t>
      </w:r>
      <w:r w:rsidRPr="008B272F">
        <w:t xml:space="preserve">applicant is aware of the process, likely pathway, and evidence </w:t>
      </w:r>
      <w:r w:rsidR="00F26924">
        <w:t>expected to be provides</w:t>
      </w:r>
      <w:r w:rsidRPr="008B272F">
        <w:t xml:space="preserve">. </w:t>
      </w:r>
      <w:r w:rsidR="005A0297">
        <w:t>During this stage the following occurs:</w:t>
      </w:r>
    </w:p>
    <w:p w14:paraId="15875EA4" w14:textId="37ECADB7" w:rsidR="005A0297" w:rsidRPr="005A0297" w:rsidRDefault="00D74250" w:rsidP="00651D54">
      <w:pPr>
        <w:pStyle w:val="ListParagraph"/>
        <w:numPr>
          <w:ilvl w:val="0"/>
          <w:numId w:val="29"/>
        </w:numPr>
      </w:pPr>
      <w:r>
        <w:t>t</w:t>
      </w:r>
      <w:r w:rsidR="005A0297" w:rsidRPr="005A0297">
        <w:t>he suitability and triage process</w:t>
      </w:r>
    </w:p>
    <w:p w14:paraId="0546821D" w14:textId="2AB3FE13" w:rsidR="005A0297" w:rsidRPr="005A0297" w:rsidRDefault="00D74250" w:rsidP="00651D54">
      <w:pPr>
        <w:pStyle w:val="ListParagraph"/>
        <w:numPr>
          <w:ilvl w:val="0"/>
          <w:numId w:val="29"/>
        </w:numPr>
      </w:pPr>
      <w:r>
        <w:t>a</w:t>
      </w:r>
      <w:r w:rsidR="005A0297" w:rsidRPr="005A0297">
        <w:t>pplication Progression Record acknowledgement and finalisation</w:t>
      </w:r>
    </w:p>
    <w:p w14:paraId="33C368DA" w14:textId="62CB64C0" w:rsidR="005A0297" w:rsidRDefault="00D74250" w:rsidP="00651D54">
      <w:pPr>
        <w:pStyle w:val="ListParagraph"/>
        <w:numPr>
          <w:ilvl w:val="0"/>
          <w:numId w:val="29"/>
        </w:numPr>
      </w:pPr>
      <w:r>
        <w:t>t</w:t>
      </w:r>
      <w:r w:rsidR="005A0297" w:rsidRPr="005A0297">
        <w:t>argeted consultation</w:t>
      </w:r>
      <w:r>
        <w:t>.</w:t>
      </w:r>
    </w:p>
    <w:p w14:paraId="6FB1E3E4" w14:textId="0AA6FBCF" w:rsidR="00B27844" w:rsidRDefault="00573DD8" w:rsidP="00F02D13">
      <w:pPr>
        <w:pStyle w:val="Heading4"/>
      </w:pPr>
      <w:r>
        <w:t>PICO confirmation</w:t>
      </w:r>
    </w:p>
    <w:p w14:paraId="29134AFC" w14:textId="2267AE19" w:rsidR="00573DD8" w:rsidRDefault="005A0297" w:rsidP="00573DD8">
      <w:r>
        <w:t>T</w:t>
      </w:r>
      <w:r w:rsidRPr="005A0297">
        <w:t>he PICO Confirmation is developed by a</w:t>
      </w:r>
      <w:r w:rsidR="00274F28">
        <w:t>n</w:t>
      </w:r>
      <w:r w:rsidRPr="005A0297">
        <w:t xml:space="preserve"> HTA Group and the relevant clinical </w:t>
      </w:r>
      <w:r w:rsidR="00C02EFD">
        <w:t xml:space="preserve">management </w:t>
      </w:r>
      <w:r w:rsidRPr="005A0297">
        <w:t xml:space="preserve">algorithms to progress an assessment are determined. At the end of this step, the applicant, </w:t>
      </w:r>
      <w:r w:rsidR="00255ED1">
        <w:t>D</w:t>
      </w:r>
      <w:r w:rsidRPr="005A0297">
        <w:t>epartment and PASC aim to have an agreed PICO to undertake a systematic review of the evidence and generate an economic evaluation/model.</w:t>
      </w:r>
      <w:r>
        <w:t xml:space="preserve"> During this stage the following occurs:</w:t>
      </w:r>
    </w:p>
    <w:p w14:paraId="6EAB6813" w14:textId="7E8EC1CE" w:rsidR="005A0297" w:rsidRDefault="005A0297" w:rsidP="00651D54">
      <w:pPr>
        <w:pStyle w:val="ListParagraph"/>
        <w:numPr>
          <w:ilvl w:val="0"/>
          <w:numId w:val="29"/>
        </w:numPr>
      </w:pPr>
      <w:r w:rsidRPr="005A0297">
        <w:t xml:space="preserve">PICO confirmation development by an HTA </w:t>
      </w:r>
      <w:r w:rsidR="004C60FC">
        <w:t>g</w:t>
      </w:r>
      <w:r w:rsidRPr="005A0297">
        <w:t>roup</w:t>
      </w:r>
    </w:p>
    <w:p w14:paraId="3C53BD72" w14:textId="45ADFC0A" w:rsidR="00D45B12" w:rsidRPr="005A0297" w:rsidRDefault="00F841A4" w:rsidP="00651D54">
      <w:pPr>
        <w:pStyle w:val="ListParagraph"/>
        <w:numPr>
          <w:ilvl w:val="0"/>
          <w:numId w:val="29"/>
        </w:numPr>
      </w:pPr>
      <w:r>
        <w:t>p</w:t>
      </w:r>
      <w:r w:rsidR="00D45B12">
        <w:t>ublic and targeted consultation</w:t>
      </w:r>
    </w:p>
    <w:p w14:paraId="40C49CD6" w14:textId="3EAADD61" w:rsidR="005A0297" w:rsidRPr="005A0297" w:rsidRDefault="00F841A4" w:rsidP="00651D54">
      <w:pPr>
        <w:pStyle w:val="ListParagraph"/>
        <w:numPr>
          <w:ilvl w:val="0"/>
          <w:numId w:val="29"/>
        </w:numPr>
      </w:pPr>
      <w:r>
        <w:t>a</w:t>
      </w:r>
      <w:r w:rsidR="005A0297" w:rsidRPr="005A0297">
        <w:t>pplicant comment on the PICO confirmation</w:t>
      </w:r>
    </w:p>
    <w:p w14:paraId="51C18200" w14:textId="2FE4F4A4" w:rsidR="005A0297" w:rsidRPr="005A0297" w:rsidRDefault="005A0297" w:rsidP="00651D54">
      <w:pPr>
        <w:pStyle w:val="ListParagraph"/>
        <w:numPr>
          <w:ilvl w:val="0"/>
          <w:numId w:val="29"/>
        </w:numPr>
      </w:pPr>
      <w:r w:rsidRPr="005A0297">
        <w:t>PASC Meeting (PICO confirmation ratification)</w:t>
      </w:r>
      <w:r w:rsidR="00D74250">
        <w:t>.</w:t>
      </w:r>
    </w:p>
    <w:p w14:paraId="7EF50F3A" w14:textId="205E7303" w:rsidR="00573DD8" w:rsidRDefault="00573DD8" w:rsidP="00F02D13">
      <w:pPr>
        <w:pStyle w:val="Heading4"/>
      </w:pPr>
      <w:r>
        <w:t>Application assessment</w:t>
      </w:r>
      <w:r w:rsidR="00445A0A">
        <w:t xml:space="preserve"> </w:t>
      </w:r>
    </w:p>
    <w:p w14:paraId="417C9A0E" w14:textId="3BFBB299" w:rsidR="00573DD8" w:rsidRDefault="00E747D1" w:rsidP="00573DD8">
      <w:r w:rsidRPr="00E747D1">
        <w:t xml:space="preserve">Evidence outlined in the PICO confirmation is presented in an </w:t>
      </w:r>
      <w:r w:rsidR="00FF2258">
        <w:t>a</w:t>
      </w:r>
      <w:r w:rsidRPr="00E747D1">
        <w:t>ssessment report.</w:t>
      </w:r>
      <w:r>
        <w:t xml:space="preserve"> </w:t>
      </w:r>
      <w:r w:rsidR="00573DD8" w:rsidRPr="008B272F">
        <w:t>Assessment reports are undertaken either as a</w:t>
      </w:r>
      <w:r w:rsidR="005B3888">
        <w:t xml:space="preserve"> contracted assessment or a submission</w:t>
      </w:r>
      <w:r w:rsidR="00C60E56">
        <w:t>-</w:t>
      </w:r>
      <w:r w:rsidR="005B3888">
        <w:t xml:space="preserve">based assessment. </w:t>
      </w:r>
    </w:p>
    <w:p w14:paraId="7508B5AA" w14:textId="1BEECD88" w:rsidR="00573DD8" w:rsidRDefault="005B3888" w:rsidP="005B3888">
      <w:r>
        <w:t>For contracted assessments</w:t>
      </w:r>
      <w:r w:rsidR="00395A99">
        <w:t xml:space="preserve"> (now called a </w:t>
      </w:r>
      <w:r w:rsidR="00A24483">
        <w:t>D</w:t>
      </w:r>
      <w:r w:rsidR="00395A99">
        <w:t xml:space="preserve">epartment </w:t>
      </w:r>
      <w:r w:rsidR="00A24483">
        <w:t>C</w:t>
      </w:r>
      <w:r w:rsidR="00395A99">
        <w:t xml:space="preserve">ontracted </w:t>
      </w:r>
      <w:r w:rsidR="00A24483">
        <w:t>A</w:t>
      </w:r>
      <w:r w:rsidR="00395A99">
        <w:t xml:space="preserve">ssessment </w:t>
      </w:r>
      <w:r w:rsidR="00A24483">
        <w:t>R</w:t>
      </w:r>
      <w:r w:rsidR="00395A99">
        <w:t>eports [DCAR])</w:t>
      </w:r>
      <w:r>
        <w:t>, t</w:t>
      </w:r>
      <w:r w:rsidR="00573DD8" w:rsidRPr="00DE569B">
        <w:t xml:space="preserve">he </w:t>
      </w:r>
      <w:r w:rsidR="00A24483">
        <w:t>D</w:t>
      </w:r>
      <w:r w:rsidR="00573DD8" w:rsidRPr="00DE569B">
        <w:t>epartment organi</w:t>
      </w:r>
      <w:r w:rsidR="00573DD8">
        <w:t>s</w:t>
      </w:r>
      <w:r w:rsidR="00573DD8" w:rsidRPr="00DE569B">
        <w:t xml:space="preserve">es, coordinates, and covers the costs associated with developing and preparing the necessary MSAC documents for consideration. Applicants are allowed to engage with the HTA group contracted to undertake the assessment, although this is facilitated via the </w:t>
      </w:r>
      <w:r w:rsidR="004C60FC">
        <w:t>D</w:t>
      </w:r>
      <w:r w:rsidR="00573DD8" w:rsidRPr="00DE569B">
        <w:t xml:space="preserve">epartment. </w:t>
      </w:r>
    </w:p>
    <w:p w14:paraId="09DB09A7" w14:textId="209BDABB" w:rsidR="00573DD8" w:rsidRDefault="005B3888" w:rsidP="005B3888">
      <w:r w:rsidRPr="005B3888">
        <w:t xml:space="preserve">For </w:t>
      </w:r>
      <w:r w:rsidR="00573DD8" w:rsidRPr="005B3888">
        <w:t>submission</w:t>
      </w:r>
      <w:r>
        <w:t>-</w:t>
      </w:r>
      <w:r w:rsidR="00573DD8" w:rsidRPr="005B3888">
        <w:t>based</w:t>
      </w:r>
      <w:r w:rsidR="00573DD8">
        <w:t xml:space="preserve"> </w:t>
      </w:r>
      <w:r>
        <w:t>assessments</w:t>
      </w:r>
      <w:r w:rsidR="00395A99">
        <w:t xml:space="preserve"> (now called an </w:t>
      </w:r>
      <w:r w:rsidR="004C60FC">
        <w:t>A</w:t>
      </w:r>
      <w:r w:rsidR="00395A99">
        <w:t xml:space="preserve">pplicant </w:t>
      </w:r>
      <w:r w:rsidR="004C60FC">
        <w:t>D</w:t>
      </w:r>
      <w:r w:rsidR="00395A99">
        <w:t xml:space="preserve">eveloped </w:t>
      </w:r>
      <w:r w:rsidR="004C60FC">
        <w:t>A</w:t>
      </w:r>
      <w:r w:rsidR="00395A99">
        <w:t xml:space="preserve">ssessment </w:t>
      </w:r>
      <w:r w:rsidR="004C60FC">
        <w:t>R</w:t>
      </w:r>
      <w:r w:rsidR="00395A99">
        <w:t>eport [ADAR])</w:t>
      </w:r>
      <w:r>
        <w:t>, a</w:t>
      </w:r>
      <w:r w:rsidR="00573DD8" w:rsidRPr="00DE569B">
        <w:t>pplicants are responsible for organi</w:t>
      </w:r>
      <w:r w:rsidR="00573DD8">
        <w:t>s</w:t>
      </w:r>
      <w:r w:rsidR="00573DD8" w:rsidRPr="00DE569B">
        <w:t>ing, coordinating, and covering the costs associated with developing and preparing MSAC documents.</w:t>
      </w:r>
    </w:p>
    <w:p w14:paraId="64E25E32" w14:textId="71702239" w:rsidR="005D0EEE" w:rsidRPr="00DE569B" w:rsidRDefault="005D0EEE" w:rsidP="005B3888">
      <w:r>
        <w:t>For ADARs, the Department will co</w:t>
      </w:r>
      <w:r w:rsidRPr="005D0EEE">
        <w:t xml:space="preserve">ordinate and cover the costs </w:t>
      </w:r>
      <w:r w:rsidR="00BF5581">
        <w:t>for an HTA group to develop</w:t>
      </w:r>
      <w:r w:rsidRPr="005D0EEE">
        <w:t xml:space="preserve"> a commentary to evaluate an</w:t>
      </w:r>
      <w:r w:rsidR="00505F8F">
        <w:t xml:space="preserve"> ADAR.</w:t>
      </w:r>
    </w:p>
    <w:p w14:paraId="054D126D" w14:textId="79B1389D" w:rsidR="00445A0A" w:rsidRDefault="00573DD8" w:rsidP="00573DD8">
      <w:r w:rsidRPr="00DE569B">
        <w:t xml:space="preserve">In addition, a summary of the feedback from any formal public consultation or otherwise received throughout the process are presented alongside the assessment report. </w:t>
      </w:r>
    </w:p>
    <w:p w14:paraId="29FF41B6" w14:textId="64D31C6D" w:rsidR="001B62FD" w:rsidRDefault="00573DD8" w:rsidP="001B62FD">
      <w:r w:rsidRPr="00DE569B">
        <w:lastRenderedPageBreak/>
        <w:t xml:space="preserve">A 2-stage approach to submitting the assessment report is </w:t>
      </w:r>
      <w:r w:rsidR="00095B6F">
        <w:t xml:space="preserve">available as an option </w:t>
      </w:r>
      <w:r w:rsidR="00395A99">
        <w:t xml:space="preserve">(i.e. will be considered by </w:t>
      </w:r>
      <w:r w:rsidR="005A35D1">
        <w:t xml:space="preserve">MSAC </w:t>
      </w:r>
      <w:r w:rsidR="00395A99">
        <w:t>ESC and</w:t>
      </w:r>
      <w:r w:rsidR="006F1B02">
        <w:t xml:space="preserve"> </w:t>
      </w:r>
      <w:r w:rsidR="00395A99">
        <w:t>MSAC twice)</w:t>
      </w:r>
      <w:r w:rsidRPr="00DE569B">
        <w:t xml:space="preserve"> where the context and clinical evaluation sections are assessed first before subsequently preparing and submitting the economic eval</w:t>
      </w:r>
      <w:r w:rsidRPr="002D2EE8">
        <w:t>uation and financial implications sections for assessment in a following round</w:t>
      </w:r>
      <w:r w:rsidR="001B62FD">
        <w:t xml:space="preserve">. </w:t>
      </w:r>
    </w:p>
    <w:p w14:paraId="5679CFE1" w14:textId="160A738A" w:rsidR="00E747D1" w:rsidRDefault="00E747D1" w:rsidP="001B62FD">
      <w:pPr>
        <w:pStyle w:val="Heading4"/>
      </w:pPr>
      <w:r>
        <w:t>MSAC appraisal</w:t>
      </w:r>
    </w:p>
    <w:p w14:paraId="52259DC6" w14:textId="078D4236" w:rsidR="00E747D1" w:rsidRPr="00C5670D" w:rsidRDefault="00E747D1" w:rsidP="00C5670D">
      <w:pPr>
        <w:rPr>
          <w:rFonts w:ascii="Times New Roman" w:hAnsi="Times New Roman" w:cs="Times New Roman"/>
          <w:sz w:val="24"/>
          <w:szCs w:val="24"/>
          <w:lang w:eastAsia="en-AU"/>
        </w:rPr>
      </w:pPr>
      <w:r w:rsidRPr="00E747D1">
        <w:t>This step is where</w:t>
      </w:r>
      <w:r w:rsidR="008B0691">
        <w:t xml:space="preserve"> </w:t>
      </w:r>
      <w:r w:rsidRPr="00E747D1">
        <w:t xml:space="preserve">MSAC undertakes a rigorous and transparent appraisal of the evidence presented to </w:t>
      </w:r>
      <w:r w:rsidR="008B0691">
        <w:t xml:space="preserve">it </w:t>
      </w:r>
      <w:r w:rsidRPr="00E747D1">
        <w:t xml:space="preserve">before advice is provided to Government for consideration. MSAC will consider a wide range of information, including the assessment report; the independent </w:t>
      </w:r>
      <w:r w:rsidR="00395A99">
        <w:t>commentary</w:t>
      </w:r>
      <w:r w:rsidR="00395A99" w:rsidRPr="00E747D1">
        <w:t xml:space="preserve"> </w:t>
      </w:r>
      <w:r w:rsidRPr="00E747D1">
        <w:t xml:space="preserve">of the </w:t>
      </w:r>
      <w:r w:rsidR="00395A99">
        <w:t>ADAR</w:t>
      </w:r>
      <w:r w:rsidRPr="00E747D1">
        <w:t>, feedback from the applicant</w:t>
      </w:r>
      <w:r w:rsidR="008B0691">
        <w:t xml:space="preserve"> and</w:t>
      </w:r>
      <w:r w:rsidRPr="00E747D1">
        <w:t xml:space="preserve"> </w:t>
      </w:r>
      <w:r w:rsidR="000B4872">
        <w:t xml:space="preserve">MSAC </w:t>
      </w:r>
      <w:r w:rsidRPr="00E747D1">
        <w:t xml:space="preserve">ESC; any feedback on the </w:t>
      </w:r>
      <w:r w:rsidR="000B4872">
        <w:t xml:space="preserve">MSAC </w:t>
      </w:r>
      <w:r w:rsidRPr="00E747D1">
        <w:t xml:space="preserve">ESC </w:t>
      </w:r>
      <w:r w:rsidR="002B75A8">
        <w:t>r</w:t>
      </w:r>
      <w:r w:rsidRPr="00E747D1">
        <w:t xml:space="preserve">eport provided by the </w:t>
      </w:r>
      <w:r w:rsidR="002B75A8">
        <w:t>a</w:t>
      </w:r>
      <w:r w:rsidRPr="00E747D1">
        <w:t>pplicant and/or other relevant parties.</w:t>
      </w:r>
    </w:p>
    <w:p w14:paraId="06228238" w14:textId="7FE6DE6B" w:rsidR="00395A99" w:rsidRDefault="002B2FB2" w:rsidP="00395A99">
      <w:r w:rsidRPr="002B2FB2">
        <w:t>MSAC’s advice to the Minister is made public on the MSAC website via a Public Summary Document (PSD), which explains the rationale for MSAC’s advice</w:t>
      </w:r>
      <w:r w:rsidR="00395A99">
        <w:t>.</w:t>
      </w:r>
    </w:p>
    <w:p w14:paraId="417454F0" w14:textId="09F343F9" w:rsidR="00445A0A" w:rsidRDefault="00445A0A" w:rsidP="00445A0A">
      <w:pPr>
        <w:pStyle w:val="Heading4"/>
      </w:pPr>
      <w:r>
        <w:t>Post-MSAC process</w:t>
      </w:r>
      <w:r w:rsidR="008D3337">
        <w:t xml:space="preserve"> for MBS listing</w:t>
      </w:r>
    </w:p>
    <w:p w14:paraId="75EF4004" w14:textId="43AF0290" w:rsidR="008D3337" w:rsidRPr="00445A0A" w:rsidRDefault="00445A0A" w:rsidP="008D3337">
      <w:r w:rsidRPr="00445A0A">
        <w:t>Once MSAC has considered an application, its advice will inform a decision by the Minister of Health in relation to public funding.</w:t>
      </w:r>
      <w:r w:rsidR="008D3337">
        <w:t xml:space="preserve"> For MBS listings, n</w:t>
      </w:r>
      <w:r w:rsidR="008D3337" w:rsidRPr="00445A0A">
        <w:t xml:space="preserve">ew policy proposals will be developed by the </w:t>
      </w:r>
      <w:r w:rsidR="00BA48C7">
        <w:t>D</w:t>
      </w:r>
      <w:r w:rsidR="008D3337" w:rsidRPr="00445A0A">
        <w:t>epartment and include liaison with central agencies and the applicant/clinical experts where relevant.</w:t>
      </w:r>
    </w:p>
    <w:p w14:paraId="7677BF81" w14:textId="434E1548" w:rsidR="008D3337" w:rsidRPr="00445A0A" w:rsidRDefault="008D3337" w:rsidP="008D3337">
      <w:r w:rsidRPr="00445A0A">
        <w:t xml:space="preserve">The </w:t>
      </w:r>
      <w:r w:rsidR="008B0691">
        <w:t>D</w:t>
      </w:r>
      <w:r w:rsidRPr="00445A0A">
        <w:t>epartment will provide advice to the Minister on</w:t>
      </w:r>
      <w:r w:rsidR="00EE43CD">
        <w:t xml:space="preserve"> the</w:t>
      </w:r>
      <w:r w:rsidRPr="00445A0A">
        <w:t xml:space="preserve"> MSAC deliberations and seek authority to put forward the new policy proposals through the Budget or Mid-Year Economic Fiscal Outlook (MYEFO) process.</w:t>
      </w:r>
      <w:r>
        <w:t xml:space="preserve"> </w:t>
      </w:r>
      <w:r w:rsidRPr="00445A0A">
        <w:t>The Budget is brought down by the Treasurer on the second Tuesday of May each year.</w:t>
      </w:r>
    </w:p>
    <w:p w14:paraId="6AFAA0FC" w14:textId="7F7E460D" w:rsidR="008D3337" w:rsidRDefault="008D3337" w:rsidP="008D3337">
      <w:r w:rsidRPr="00445A0A">
        <w:t>The Government also provides a Mid-Year Economic Outlook which updates information contained in the Budget, by the end of January each year.</w:t>
      </w:r>
      <w:r>
        <w:t xml:space="preserve"> </w:t>
      </w:r>
      <w:r w:rsidRPr="00445A0A">
        <w:t xml:space="preserve">The Government will decide whether public funding should be granted based on </w:t>
      </w:r>
      <w:r w:rsidR="00EE43CD">
        <w:t xml:space="preserve">the </w:t>
      </w:r>
      <w:r w:rsidRPr="00445A0A">
        <w:t xml:space="preserve">MSAC advice and advice from the </w:t>
      </w:r>
      <w:r w:rsidR="008B0691">
        <w:t>D</w:t>
      </w:r>
      <w:r w:rsidRPr="00445A0A">
        <w:t>epartment.</w:t>
      </w:r>
    </w:p>
    <w:p w14:paraId="6CE72096" w14:textId="2BFEDDC2" w:rsidR="00560144" w:rsidRDefault="00560144" w:rsidP="001B62FD">
      <w:pPr>
        <w:pStyle w:val="Heading4"/>
      </w:pPr>
      <w:r>
        <w:t xml:space="preserve">Recent </w:t>
      </w:r>
      <w:r w:rsidR="00F63A6E">
        <w:t>reforms</w:t>
      </w:r>
    </w:p>
    <w:p w14:paraId="1F3C5FD0" w14:textId="707399D2" w:rsidR="00560144" w:rsidRPr="00560144" w:rsidRDefault="00560144" w:rsidP="00560144">
      <w:r w:rsidRPr="00560144">
        <w:t>In 2020, A review of the Therapeutic Guidelines (version 2.0, March 2016) and Investigative Guidelines (version 3.0, July 2017) was undertaken to ensure</w:t>
      </w:r>
      <w:r w:rsidR="00EE43CD">
        <w:t xml:space="preserve"> the</w:t>
      </w:r>
      <w:r w:rsidRPr="00560144">
        <w:t xml:space="preserve"> MSAC assessment processes align with best practice in HTA for therapeutic and investigative medical technologies and services.</w:t>
      </w:r>
      <w:r>
        <w:rPr>
          <w:rStyle w:val="FootnoteReference"/>
        </w:rPr>
        <w:footnoteReference w:id="50"/>
      </w:r>
      <w:r w:rsidRPr="00560144">
        <w:t xml:space="preserve"> Two reference groups were established - the Guidelines Review Steering Committee, and the Technical Reference Group - to provide strategic and technical oversight, respectively.</w:t>
      </w:r>
    </w:p>
    <w:p w14:paraId="4368F6C3" w14:textId="2C0231D2" w:rsidR="00560144" w:rsidRPr="00560144" w:rsidRDefault="00560144" w:rsidP="00560144">
      <w:r w:rsidRPr="00560144">
        <w:t>The MSAC Guidelines Review addressed technical method issues raised by MSAC and stakeholders since the last substantial revision. There is now only one set of technical guidelines – which combine Therapeutic and Investigative Guidelines.</w:t>
      </w:r>
    </w:p>
    <w:p w14:paraId="2CCF6059" w14:textId="77777777" w:rsidR="00560144" w:rsidRPr="00560144" w:rsidRDefault="00560144" w:rsidP="00560144">
      <w:r w:rsidRPr="00560144">
        <w:t>Other changes included:</w:t>
      </w:r>
    </w:p>
    <w:p w14:paraId="2AAFF114" w14:textId="7D89F7B7" w:rsidR="00560144" w:rsidRPr="00560144" w:rsidRDefault="00560144" w:rsidP="00651D54">
      <w:pPr>
        <w:pStyle w:val="ListParagraph"/>
        <w:numPr>
          <w:ilvl w:val="0"/>
          <w:numId w:val="29"/>
        </w:numPr>
      </w:pPr>
      <w:r w:rsidRPr="00560144">
        <w:t>The structure is no longer mapped to MSAC templates – it now follows ‘Technical Guidance’ topics, that can be used like a ‘manual’ (i.e. the MSAC Guidelines do not need to be read beginning to end)</w:t>
      </w:r>
      <w:r w:rsidR="00D74250">
        <w:t>.</w:t>
      </w:r>
    </w:p>
    <w:p w14:paraId="3AC04F54" w14:textId="30F113E7" w:rsidR="00560144" w:rsidRPr="00560144" w:rsidRDefault="00560144" w:rsidP="00651D54">
      <w:pPr>
        <w:pStyle w:val="ListParagraph"/>
        <w:numPr>
          <w:ilvl w:val="0"/>
          <w:numId w:val="29"/>
        </w:numPr>
      </w:pPr>
      <w:r w:rsidRPr="00560144">
        <w:lastRenderedPageBreak/>
        <w:t>There are updated PICO Confirmation and Assessment Report Templates, with signposted guidance to the relevant sections of the MSAC Guidelines</w:t>
      </w:r>
      <w:r w:rsidR="00D74250">
        <w:t>.</w:t>
      </w:r>
    </w:p>
    <w:p w14:paraId="7EB012CB" w14:textId="2B955877" w:rsidR="00560144" w:rsidRPr="00560144" w:rsidRDefault="00560144" w:rsidP="00651D54">
      <w:pPr>
        <w:pStyle w:val="ListParagraph"/>
        <w:numPr>
          <w:ilvl w:val="0"/>
          <w:numId w:val="29"/>
        </w:numPr>
      </w:pPr>
      <w:r w:rsidRPr="00560144">
        <w:t>There are options to present additional relevant information such as the Inclusion of the ‘Value of Knowing’ and ‘Other Relevant Considerations’</w:t>
      </w:r>
      <w:r w:rsidR="00D74250">
        <w:t>.</w:t>
      </w:r>
    </w:p>
    <w:p w14:paraId="43CDE850" w14:textId="1B6F9504" w:rsidR="00560144" w:rsidRPr="00560144" w:rsidRDefault="00560144" w:rsidP="00651D54">
      <w:pPr>
        <w:pStyle w:val="ListParagraph"/>
        <w:numPr>
          <w:ilvl w:val="0"/>
          <w:numId w:val="29"/>
        </w:numPr>
      </w:pPr>
      <w:r w:rsidRPr="00560144">
        <w:t>The revised Guidelines provide guidance for newer technologies, including genetic testing for heritable diseases and other screening tests, incorporating information that used to be in the Clinical Utility Card (CUC) Proforma</w:t>
      </w:r>
      <w:r w:rsidR="00D74250">
        <w:t>.</w:t>
      </w:r>
    </w:p>
    <w:p w14:paraId="4D561490" w14:textId="22B46E61" w:rsidR="00560144" w:rsidRPr="00560144" w:rsidRDefault="00560144" w:rsidP="00651D54">
      <w:pPr>
        <w:pStyle w:val="ListParagraph"/>
        <w:numPr>
          <w:ilvl w:val="0"/>
          <w:numId w:val="29"/>
        </w:numPr>
      </w:pPr>
      <w:r w:rsidRPr="00560144">
        <w:t>There is an exemplar/facilitated approach for investigative/diagnostic genetic tests</w:t>
      </w:r>
      <w:r w:rsidR="00D74250">
        <w:t>.</w:t>
      </w:r>
    </w:p>
    <w:p w14:paraId="7A5FA76F" w14:textId="7EFB545A" w:rsidR="00560144" w:rsidRPr="00560144" w:rsidRDefault="00560144" w:rsidP="00651D54">
      <w:pPr>
        <w:pStyle w:val="ListParagraph"/>
        <w:numPr>
          <w:ilvl w:val="0"/>
          <w:numId w:val="29"/>
        </w:numPr>
      </w:pPr>
      <w:r w:rsidRPr="00560144">
        <w:t>‘Key Consideration Boxes’ and more images/diagrams to better visualise concepts have been added</w:t>
      </w:r>
      <w:r w:rsidR="00D74250">
        <w:t>.</w:t>
      </w:r>
    </w:p>
    <w:p w14:paraId="278CC851" w14:textId="77777777" w:rsidR="00433BE2" w:rsidRDefault="00433BE2" w:rsidP="00433BE2">
      <w:pPr>
        <w:pStyle w:val="Heading2"/>
      </w:pPr>
      <w:bookmarkStart w:id="38" w:name="_Toc156576970"/>
      <w:r>
        <w:t>Issues raised through the House of Representatives Inquiry</w:t>
      </w:r>
      <w:bookmarkEnd w:id="38"/>
    </w:p>
    <w:p w14:paraId="13DCD646" w14:textId="772FE6AA" w:rsidR="006054AC" w:rsidRDefault="003846AA" w:rsidP="003846AA">
      <w:r>
        <w:t>The Standing Committee heard from some stakeholders that</w:t>
      </w:r>
      <w:r w:rsidR="008B0691">
        <w:t xml:space="preserve"> the</w:t>
      </w:r>
      <w:r>
        <w:t xml:space="preserve"> </w:t>
      </w:r>
      <w:r w:rsidR="006054AC">
        <w:t>MSAC</w:t>
      </w:r>
      <w:r w:rsidR="008B0691">
        <w:t xml:space="preserve"> </w:t>
      </w:r>
      <w:r w:rsidR="006054AC">
        <w:t>processes are not as</w:t>
      </w:r>
      <w:r>
        <w:t xml:space="preserve"> transparen</w:t>
      </w:r>
      <w:r w:rsidR="006054AC">
        <w:t>t or</w:t>
      </w:r>
      <w:r>
        <w:t xml:space="preserve"> consiste</w:t>
      </w:r>
      <w:r w:rsidR="006054AC">
        <w:t>nt</w:t>
      </w:r>
      <w:r>
        <w:t xml:space="preserve"> </w:t>
      </w:r>
      <w:r w:rsidR="006054AC">
        <w:t>as</w:t>
      </w:r>
      <w:r>
        <w:t xml:space="preserve"> </w:t>
      </w:r>
      <w:r w:rsidR="006054AC">
        <w:t>PBAC processes</w:t>
      </w:r>
      <w:r>
        <w:t xml:space="preserve">. In particular, stakeholders commented that there is no calendar that details the milestones and deadlines for MSAC processes. </w:t>
      </w:r>
    </w:p>
    <w:p w14:paraId="3C8CBEEC" w14:textId="3A6E4FF9" w:rsidR="00433BE2" w:rsidRDefault="003A2844" w:rsidP="003846AA">
      <w:r>
        <w:t>Stakeholders also pointed to the absence of a commitment from Government to commit funding for MSAC recommendations, and absence of delegation from the Minister to implement MSAC recommendations, as occurs for PBAC recommendations</w:t>
      </w:r>
      <w:r w:rsidR="006054AC">
        <w:t>.</w:t>
      </w:r>
    </w:p>
    <w:p w14:paraId="2B63E36B" w14:textId="17914EE7" w:rsidR="0038216E" w:rsidRPr="00445A0A" w:rsidRDefault="0038216E" w:rsidP="0038216E">
      <w:pPr>
        <w:pStyle w:val="Heading2"/>
      </w:pPr>
      <w:bookmarkStart w:id="39" w:name="_Toc156576971"/>
      <w:r>
        <w:t>Timeframes</w:t>
      </w:r>
      <w:r w:rsidR="00CD61B4">
        <w:t xml:space="preserve"> to MBS listing</w:t>
      </w:r>
      <w:bookmarkEnd w:id="39"/>
    </w:p>
    <w:p w14:paraId="56192A0B" w14:textId="1C8C9BA5" w:rsidR="004760D1" w:rsidRDefault="004760D1" w:rsidP="004760D1">
      <w:pPr>
        <w:pStyle w:val="Heading4"/>
      </w:pPr>
      <w:r>
        <w:t>MSAC process</w:t>
      </w:r>
    </w:p>
    <w:p w14:paraId="146467F7" w14:textId="745FF361" w:rsidR="004760D1" w:rsidRDefault="004760D1" w:rsidP="004760D1">
      <w:r w:rsidRPr="004760D1">
        <w:t>The length of time of the MSAC process is particular to each application, and will depend on a number of factors including the time it takes to determine suitability and the MSAC pathway that the application follows. For example</w:t>
      </w:r>
      <w:r w:rsidR="00060FFB">
        <w:t>,</w:t>
      </w:r>
      <w:r w:rsidRPr="004760D1">
        <w:t xml:space="preserve"> a pathway that involves more than one PASC consideration will take longer than just one or no PASC consideration. </w:t>
      </w:r>
    </w:p>
    <w:p w14:paraId="33872EC0" w14:textId="1FA41E2A" w:rsidR="004760D1" w:rsidRDefault="004760D1" w:rsidP="004760D1">
      <w:r w:rsidRPr="004760D1">
        <w:t>The ‘pre assessment’ stage is measured from when the completed application form is submitted to when the PICO confirmation for the application is considered at PASC and should take approximately 20 weeks</w:t>
      </w:r>
      <w:r w:rsidR="008D3337">
        <w:t>. This applies to applications following a standard or comprehensive pathway.</w:t>
      </w:r>
    </w:p>
    <w:p w14:paraId="03FF751C" w14:textId="34FED821" w:rsidR="004760D1" w:rsidRPr="004760D1" w:rsidRDefault="004760D1" w:rsidP="004760D1">
      <w:r w:rsidRPr="004760D1">
        <w:t xml:space="preserve">The assessment phase of the MSAC process does not vary as greatly as the pre-assessment phase. Once the </w:t>
      </w:r>
      <w:r w:rsidR="00705254">
        <w:t>D</w:t>
      </w:r>
      <w:r w:rsidRPr="004760D1">
        <w:t>epartment receives an assessment report (either submission based or contracted), the assessment phase of the MSAC process takes approximately</w:t>
      </w:r>
      <w:r w:rsidR="005A0297">
        <w:t xml:space="preserve"> 22 weeks.</w:t>
      </w:r>
      <w:r w:rsidRPr="004760D1">
        <w:t xml:space="preserve"> </w:t>
      </w:r>
    </w:p>
    <w:p w14:paraId="23AFBECE" w14:textId="05DE56B4" w:rsidR="004760D1" w:rsidRDefault="004760D1" w:rsidP="004760D1">
      <w:pPr>
        <w:pStyle w:val="Heading4"/>
      </w:pPr>
      <w:r>
        <w:t>Post-MSAC</w:t>
      </w:r>
    </w:p>
    <w:p w14:paraId="44DC1317" w14:textId="2FB62735" w:rsidR="00F279C9" w:rsidRPr="008B0691" w:rsidRDefault="004760D1" w:rsidP="008B0691">
      <w:r w:rsidRPr="00445A0A">
        <w:t xml:space="preserve">There are no specific timeframes for listing on the </w:t>
      </w:r>
      <w:r w:rsidR="006A534F">
        <w:t>MBS</w:t>
      </w:r>
      <w:r w:rsidRPr="00445A0A">
        <w:t xml:space="preserve">. However, once approved, the </w:t>
      </w:r>
      <w:r w:rsidR="00705254">
        <w:t>D</w:t>
      </w:r>
      <w:r w:rsidRPr="00445A0A">
        <w:t xml:space="preserve">epartment will implement the decision of Government through amendment to regulations and/or other instruments for the listing of the recommended service on the </w:t>
      </w:r>
      <w:r w:rsidR="008D3337" w:rsidRPr="00445A0A">
        <w:t>MBS</w:t>
      </w:r>
      <w:r w:rsidR="008B0691">
        <w:t>.</w:t>
      </w:r>
    </w:p>
    <w:p w14:paraId="0932D97C" w14:textId="77777777" w:rsidR="00F279C9" w:rsidRDefault="00F279C9">
      <w:pPr>
        <w:spacing w:before="0" w:after="160"/>
      </w:pPr>
      <w:r>
        <w:br w:type="page"/>
      </w:r>
    </w:p>
    <w:p w14:paraId="42FF5D50" w14:textId="0AE2095D" w:rsidR="00E82F51" w:rsidRPr="002E6334" w:rsidRDefault="00F279C9" w:rsidP="00C33B1F">
      <w:pPr>
        <w:pStyle w:val="Heading1"/>
      </w:pPr>
      <w:bookmarkStart w:id="40" w:name="_Toc156576972"/>
      <w:r>
        <w:lastRenderedPageBreak/>
        <w:t>PBS MBS c</w:t>
      </w:r>
      <w:r w:rsidR="00C33B1F">
        <w:t>odependent technologies</w:t>
      </w:r>
      <w:bookmarkEnd w:id="40"/>
    </w:p>
    <w:p w14:paraId="534E4600" w14:textId="70DE9580" w:rsidR="002E6334" w:rsidRDefault="008D6EE6" w:rsidP="00C33B1F">
      <w:pPr>
        <w:pStyle w:val="Heading2"/>
      </w:pPr>
      <w:bookmarkStart w:id="41" w:name="_Toc156576973"/>
      <w:r>
        <w:t>Background</w:t>
      </w:r>
      <w:bookmarkEnd w:id="41"/>
    </w:p>
    <w:p w14:paraId="37F6AE74" w14:textId="0F982B07" w:rsidR="00AA7625" w:rsidRPr="00171E35" w:rsidRDefault="00A65F27" w:rsidP="002B2FB2">
      <w:pPr>
        <w:rPr>
          <w:rFonts w:cs="Arial"/>
          <w:lang w:eastAsia="en-AU"/>
        </w:rPr>
      </w:pPr>
      <w:r>
        <w:rPr>
          <w:rFonts w:cstheme="minorHAnsi"/>
        </w:rPr>
        <w:t>A</w:t>
      </w:r>
      <w:r w:rsidR="00C33B1F" w:rsidRPr="00AA7625">
        <w:rPr>
          <w:rFonts w:cstheme="minorHAnsi"/>
        </w:rPr>
        <w:t xml:space="preserve"> </w:t>
      </w:r>
      <w:r w:rsidRPr="00A65F27">
        <w:rPr>
          <w:rFonts w:cstheme="minorHAnsi"/>
        </w:rPr>
        <w:t>codependent technology is a medical technology/service that relies on another technology to achieve its intended purpose or enhance its effect.</w:t>
      </w:r>
      <w:r w:rsidRPr="00171E35">
        <w:rPr>
          <w:rFonts w:ascii="Arial" w:hAnsi="Arial" w:cs="Arial"/>
          <w:vertAlign w:val="superscript"/>
        </w:rPr>
        <w:footnoteReference w:id="51"/>
      </w:r>
      <w:r w:rsidR="002B2FB2">
        <w:rPr>
          <w:rFonts w:cstheme="minorHAnsi"/>
        </w:rPr>
        <w:t xml:space="preserve"> Codependent technologies in scope for the HTA Review are those that improve health outcomes associated with medicines, vaccines and </w:t>
      </w:r>
      <w:r w:rsidR="009A7EA5">
        <w:rPr>
          <w:rFonts w:cstheme="minorHAnsi"/>
        </w:rPr>
        <w:t>HSTs</w:t>
      </w:r>
      <w:r w:rsidR="002B2FB2">
        <w:rPr>
          <w:rFonts w:cstheme="minorHAnsi"/>
        </w:rPr>
        <w:t>.</w:t>
      </w:r>
    </w:p>
    <w:p w14:paraId="0D8F6791" w14:textId="3DDCC597" w:rsidR="00AA7625" w:rsidRPr="008B272F" w:rsidRDefault="00AA7625" w:rsidP="00AA7625">
      <w:r w:rsidRPr="008B272F">
        <w:t>The cost-effectiveness and financial implications of the joint use of the technologies are considered as part of</w:t>
      </w:r>
      <w:r w:rsidR="008B0691">
        <w:t xml:space="preserve"> </w:t>
      </w:r>
      <w:r w:rsidR="000A6D7F">
        <w:t>the advice to Government on whether codependent technologies should be funded</w:t>
      </w:r>
      <w:r w:rsidRPr="008B272F">
        <w:t>.</w:t>
      </w:r>
      <w:bookmarkStart w:id="42" w:name="_Ref129792818"/>
      <w:r>
        <w:rPr>
          <w:rStyle w:val="FootnoteReference"/>
        </w:rPr>
        <w:footnoteReference w:id="52"/>
      </w:r>
      <w:bookmarkEnd w:id="42"/>
    </w:p>
    <w:p w14:paraId="1AC12AD7" w14:textId="47A1A7F4" w:rsidR="00175FFD" w:rsidRDefault="008F2775" w:rsidP="00C33B1F">
      <w:pPr>
        <w:pStyle w:val="Heading2"/>
      </w:pPr>
      <w:bookmarkStart w:id="43" w:name="_Toc156576974"/>
      <w:r>
        <w:t>P</w:t>
      </w:r>
      <w:r w:rsidR="00C33B1F">
        <w:t>rocess</w:t>
      </w:r>
      <w:r w:rsidR="00CD61B4">
        <w:t xml:space="preserve"> for</w:t>
      </w:r>
      <w:r>
        <w:t xml:space="preserve"> listing</w:t>
      </w:r>
      <w:r w:rsidR="00CD61B4">
        <w:t xml:space="preserve"> PBS </w:t>
      </w:r>
      <w:r w:rsidR="006A534F">
        <w:t xml:space="preserve">and </w:t>
      </w:r>
      <w:r w:rsidR="00CD61B4">
        <w:t>MBS codependent technologies</w:t>
      </w:r>
      <w:bookmarkEnd w:id="43"/>
    </w:p>
    <w:p w14:paraId="2D2728D6" w14:textId="01C188B0" w:rsidR="00F3741A" w:rsidRDefault="00F3741A" w:rsidP="00F3741A">
      <w:pPr>
        <w:pStyle w:val="Heading3"/>
      </w:pPr>
      <w:r>
        <w:t xml:space="preserve">Who </w:t>
      </w:r>
      <w:r w:rsidR="00331395">
        <w:t>considers</w:t>
      </w:r>
      <w:r>
        <w:t xml:space="preserve"> submissions</w:t>
      </w:r>
      <w:r w:rsidR="004760D1">
        <w:t>?</w:t>
      </w:r>
    </w:p>
    <w:p w14:paraId="0C55E43E" w14:textId="7F4E1524" w:rsidR="00F3741A" w:rsidRDefault="00F3741A" w:rsidP="00F3741A">
      <w:r>
        <w:t xml:space="preserve">The medicine component of the codependent submission is assessed by PBAC while the other technology (such as a pathology test) is assessed by MSAC. </w:t>
      </w:r>
    </w:p>
    <w:p w14:paraId="7DD43E19" w14:textId="77777777" w:rsidR="00DB54DC" w:rsidRDefault="00DB54DC" w:rsidP="00DB54DC">
      <w:pPr>
        <w:pStyle w:val="Heading3"/>
      </w:pPr>
      <w:r>
        <w:t>What assessment is made and what information is used to make the assessment?</w:t>
      </w:r>
    </w:p>
    <w:p w14:paraId="497B9F05" w14:textId="5B20465A" w:rsidR="001D085A" w:rsidRDefault="001D085A" w:rsidP="001D085A">
      <w:r>
        <w:t xml:space="preserve">PBAC and MSAC </w:t>
      </w:r>
      <w:r>
        <w:rPr>
          <w:rFonts w:ascii="Calibri" w:hAnsi="Calibri" w:cs="Calibri"/>
          <w:color w:val="000000"/>
        </w:rPr>
        <w:t>assess the magnitude of clinical improvement or toxicity reduction, the incremental cost and the comparative costs and outcomes where an economic evaluation is required to support a claim of cost-effectiveness, cost-utility or cost</w:t>
      </w:r>
      <w:r w:rsidR="001433D4">
        <w:rPr>
          <w:rFonts w:ascii="Calibri" w:hAnsi="Calibri" w:cs="Calibri"/>
          <w:color w:val="000000"/>
        </w:rPr>
        <w:t>-</w:t>
      </w:r>
      <w:r>
        <w:rPr>
          <w:rFonts w:ascii="Calibri" w:hAnsi="Calibri" w:cs="Calibri"/>
          <w:color w:val="000000"/>
        </w:rPr>
        <w:t>minimisation.</w:t>
      </w:r>
      <w:r w:rsidR="002B2FB2">
        <w:t xml:space="preserve"> </w:t>
      </w:r>
      <w:r>
        <w:t>For the medicine component, the same information as</w:t>
      </w:r>
      <w:r w:rsidR="00493B49">
        <w:t xml:space="preserve"> required </w:t>
      </w:r>
      <w:r>
        <w:t>for a Category 1 PBAC submission</w:t>
      </w:r>
      <w:r w:rsidR="00493B49">
        <w:t xml:space="preserve"> is assessed</w:t>
      </w:r>
      <w:r>
        <w:t xml:space="preserve">. For the other technology, the same information as </w:t>
      </w:r>
      <w:r w:rsidR="00EB0A84">
        <w:t xml:space="preserve">required </w:t>
      </w:r>
      <w:r>
        <w:t>by MSAC for the particular type of technology</w:t>
      </w:r>
      <w:r w:rsidR="00F224B0">
        <w:t xml:space="preserve"> is assessed</w:t>
      </w:r>
      <w:r>
        <w:t xml:space="preserve">. </w:t>
      </w:r>
    </w:p>
    <w:p w14:paraId="041C70D6" w14:textId="77777777" w:rsidR="00424A34" w:rsidRDefault="00424A34" w:rsidP="00424A34">
      <w:pPr>
        <w:pStyle w:val="Heading3"/>
      </w:pPr>
      <w:r>
        <w:t>Consideration of evidence from patients, consumers and others</w:t>
      </w:r>
    </w:p>
    <w:p w14:paraId="4A699F79" w14:textId="4F5E0309" w:rsidR="00424A34" w:rsidRDefault="00424A34" w:rsidP="00424A34">
      <w:pPr>
        <w:spacing w:before="0" w:line="240" w:lineRule="auto"/>
      </w:pPr>
      <w:r>
        <w:t xml:space="preserve">Evidence from patients, consumers and others are considered through the existing consultation mechanisms for PBAC and MSAC submission processes. </w:t>
      </w:r>
    </w:p>
    <w:p w14:paraId="43746A0A" w14:textId="2366B98F" w:rsidR="0038216E" w:rsidRDefault="0038216E" w:rsidP="00424A34">
      <w:pPr>
        <w:pStyle w:val="Heading3"/>
      </w:pPr>
      <w:r>
        <w:t>Pathway from application to listing of a codependent technology</w:t>
      </w:r>
    </w:p>
    <w:p w14:paraId="6048B1F8" w14:textId="55C8C681" w:rsidR="0038216E" w:rsidRDefault="0038216E" w:rsidP="0038216E">
      <w:r w:rsidRPr="00062CD2">
        <w:t xml:space="preserve">There are two different </w:t>
      </w:r>
      <w:r>
        <w:t xml:space="preserve">codependent submission processes: integrated and </w:t>
      </w:r>
      <w:r w:rsidRPr="00367917">
        <w:t>streamlined</w:t>
      </w:r>
      <w:r>
        <w:t>.</w:t>
      </w:r>
      <w:r>
        <w:rPr>
          <w:vertAlign w:val="superscript"/>
        </w:rPr>
        <w:t xml:space="preserve"> </w:t>
      </w:r>
      <w:r w:rsidRPr="00171E35">
        <w:rPr>
          <w:rFonts w:cs="Arial"/>
          <w:vertAlign w:val="superscript"/>
        </w:rPr>
        <w:fldChar w:fldCharType="begin"/>
      </w:r>
      <w:r w:rsidRPr="00171E35">
        <w:rPr>
          <w:rFonts w:cs="Arial"/>
          <w:vertAlign w:val="superscript"/>
        </w:rPr>
        <w:instrText xml:space="preserve"> NOTEREF _Ref129792818 \h </w:instrText>
      </w:r>
      <w:r>
        <w:rPr>
          <w:rFonts w:cs="Arial"/>
          <w:vertAlign w:val="superscript"/>
        </w:rPr>
        <w:instrText xml:space="preserve"> \* MERGEFORMAT </w:instrText>
      </w:r>
      <w:r w:rsidRPr="00171E35">
        <w:rPr>
          <w:rFonts w:cs="Arial"/>
          <w:vertAlign w:val="superscript"/>
        </w:rPr>
      </w:r>
      <w:r w:rsidRPr="00171E35">
        <w:rPr>
          <w:rFonts w:cs="Arial"/>
          <w:vertAlign w:val="superscript"/>
        </w:rPr>
        <w:fldChar w:fldCharType="separate"/>
      </w:r>
      <w:r w:rsidR="00A71271">
        <w:rPr>
          <w:rFonts w:cs="Arial"/>
          <w:vertAlign w:val="superscript"/>
        </w:rPr>
        <w:t>51</w:t>
      </w:r>
      <w:r w:rsidRPr="00171E35">
        <w:rPr>
          <w:rFonts w:cs="Arial"/>
          <w:vertAlign w:val="superscript"/>
        </w:rPr>
        <w:fldChar w:fldCharType="end"/>
      </w:r>
    </w:p>
    <w:p w14:paraId="5FE05FC4" w14:textId="0BF0F1E5" w:rsidR="0038216E" w:rsidRPr="0038216E" w:rsidRDefault="0038216E" w:rsidP="0038216E">
      <w:pPr>
        <w:pStyle w:val="Heading4"/>
      </w:pPr>
      <w:bookmarkStart w:id="44" w:name="_Toc130480959"/>
      <w:r w:rsidRPr="0038216E">
        <w:t xml:space="preserve">Table </w:t>
      </w:r>
      <w:r w:rsidR="00B97D53">
        <w:t>1</w:t>
      </w:r>
      <w:r w:rsidR="0081464B">
        <w:t>3</w:t>
      </w:r>
      <w:r>
        <w:t>.</w:t>
      </w:r>
      <w:r w:rsidRPr="0038216E">
        <w:t xml:space="preserve"> Integrated vs Streamlined Codependent Submission</w:t>
      </w:r>
      <w:r w:rsidRPr="0038216E">
        <w:rPr>
          <w:vertAlign w:val="superscript"/>
        </w:rPr>
        <w:fldChar w:fldCharType="begin"/>
      </w:r>
      <w:r w:rsidRPr="0038216E">
        <w:rPr>
          <w:vertAlign w:val="superscript"/>
        </w:rPr>
        <w:instrText xml:space="preserve"> NOTEREF _Ref129792818 \h  \* MERGEFORMAT </w:instrText>
      </w:r>
      <w:r w:rsidRPr="0038216E">
        <w:rPr>
          <w:vertAlign w:val="superscript"/>
        </w:rPr>
      </w:r>
      <w:r w:rsidRPr="0038216E">
        <w:rPr>
          <w:vertAlign w:val="superscript"/>
        </w:rPr>
        <w:fldChar w:fldCharType="separate"/>
      </w:r>
      <w:r w:rsidR="00A71271">
        <w:rPr>
          <w:vertAlign w:val="superscript"/>
        </w:rPr>
        <w:t>51</w:t>
      </w:r>
      <w:r w:rsidRPr="0038216E">
        <w:rPr>
          <w:vertAlign w:val="superscript"/>
        </w:rPr>
        <w:fldChar w:fldCharType="end"/>
      </w:r>
      <w:r w:rsidRPr="0038216E">
        <w:rPr>
          <w:vertAlign w:val="superscript"/>
        </w:rPr>
        <w:t>,</w:t>
      </w:r>
      <w:r w:rsidRPr="0038216E">
        <w:rPr>
          <w:vertAlign w:val="superscript"/>
        </w:rPr>
        <w:footnoteReference w:id="53"/>
      </w:r>
      <w:r w:rsidRPr="0038216E">
        <w:rPr>
          <w:vertAlign w:val="superscript"/>
        </w:rPr>
        <w:t>,</w:t>
      </w:r>
      <w:r w:rsidRPr="0038216E">
        <w:rPr>
          <w:vertAlign w:val="superscript"/>
        </w:rPr>
        <w:footnoteReference w:id="54"/>
      </w:r>
      <w:bookmarkEnd w:id="44"/>
    </w:p>
    <w:tbl>
      <w:tblPr>
        <w:tblStyle w:val="DepartmentofHealthtable"/>
        <w:tblW w:w="0" w:type="auto"/>
        <w:tblLook w:val="04A0" w:firstRow="1" w:lastRow="0" w:firstColumn="1" w:lastColumn="0" w:noHBand="0" w:noVBand="1"/>
      </w:tblPr>
      <w:tblGrid>
        <w:gridCol w:w="4508"/>
        <w:gridCol w:w="4508"/>
      </w:tblGrid>
      <w:tr w:rsidR="0038216E" w:rsidRPr="0038216E" w14:paraId="6ACC906A" w14:textId="77777777" w:rsidTr="006054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8" w:type="dxa"/>
          </w:tcPr>
          <w:p w14:paraId="3DC6D8E4" w14:textId="77777777" w:rsidR="0038216E" w:rsidRPr="0038216E" w:rsidRDefault="0038216E" w:rsidP="006054AC">
            <w:pPr>
              <w:widowControl w:val="0"/>
              <w:spacing w:before="0"/>
              <w:rPr>
                <w:rFonts w:asciiTheme="minorHAnsi" w:hAnsiTheme="minorHAnsi" w:cstheme="minorHAnsi"/>
                <w:b/>
                <w:szCs w:val="22"/>
              </w:rPr>
            </w:pPr>
            <w:r w:rsidRPr="0038216E">
              <w:rPr>
                <w:rFonts w:asciiTheme="minorHAnsi" w:hAnsiTheme="minorHAnsi" w:cstheme="minorHAnsi"/>
                <w:b/>
                <w:szCs w:val="22"/>
              </w:rPr>
              <w:t>Integrated codependent submission</w:t>
            </w:r>
          </w:p>
        </w:tc>
        <w:tc>
          <w:tcPr>
            <w:tcW w:w="4508" w:type="dxa"/>
          </w:tcPr>
          <w:p w14:paraId="107B71E1" w14:textId="77777777" w:rsidR="0038216E" w:rsidRPr="0038216E" w:rsidRDefault="0038216E" w:rsidP="006054AC">
            <w:pPr>
              <w:widowControl w:val="0"/>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2"/>
              </w:rPr>
            </w:pPr>
            <w:r w:rsidRPr="0038216E">
              <w:rPr>
                <w:rFonts w:asciiTheme="minorHAnsi" w:hAnsiTheme="minorHAnsi" w:cstheme="minorHAnsi"/>
                <w:b/>
                <w:szCs w:val="22"/>
              </w:rPr>
              <w:t>Streamlined codependent submission</w:t>
            </w:r>
          </w:p>
        </w:tc>
      </w:tr>
      <w:tr w:rsidR="0038216E" w:rsidRPr="0038216E" w14:paraId="2C6F6D26" w14:textId="77777777" w:rsidTr="00605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80C09D7" w14:textId="4B2C9FB5" w:rsidR="002B2FB2" w:rsidRPr="002B2FB2" w:rsidRDefault="002B2FB2" w:rsidP="00651D54">
            <w:pPr>
              <w:pStyle w:val="ListParagraph"/>
              <w:widowControl w:val="0"/>
              <w:numPr>
                <w:ilvl w:val="0"/>
                <w:numId w:val="32"/>
              </w:numPr>
              <w:spacing w:before="0"/>
              <w:rPr>
                <w:rFonts w:asciiTheme="minorHAnsi" w:hAnsiTheme="minorHAnsi" w:cstheme="minorHAnsi"/>
                <w:sz w:val="22"/>
                <w:szCs w:val="22"/>
              </w:rPr>
            </w:pPr>
            <w:r w:rsidRPr="002B2FB2">
              <w:rPr>
                <w:rFonts w:asciiTheme="minorHAnsi" w:hAnsiTheme="minorHAnsi" w:cstheme="minorHAnsi"/>
                <w:sz w:val="22"/>
                <w:szCs w:val="22"/>
              </w:rPr>
              <w:t>Involves submission of a medicine to the PBAC which also involves a codepend</w:t>
            </w:r>
            <w:r>
              <w:rPr>
                <w:rFonts w:asciiTheme="minorHAnsi" w:hAnsiTheme="minorHAnsi" w:cstheme="minorHAnsi"/>
                <w:sz w:val="22"/>
                <w:szCs w:val="22"/>
              </w:rPr>
              <w:t>ent test or other investigative services that either: is not listed on the MBS; or requires a substantial amendment to the MBS to list it as intended.</w:t>
            </w:r>
          </w:p>
          <w:p w14:paraId="44CD1DE1" w14:textId="3366164D" w:rsidR="0038216E" w:rsidRPr="0038216E" w:rsidRDefault="00D318BF" w:rsidP="00651D54">
            <w:pPr>
              <w:pStyle w:val="ListParagraph"/>
              <w:widowControl w:val="0"/>
              <w:numPr>
                <w:ilvl w:val="0"/>
                <w:numId w:val="32"/>
              </w:numPr>
              <w:spacing w:before="0"/>
              <w:rPr>
                <w:rFonts w:asciiTheme="minorHAnsi" w:hAnsiTheme="minorHAnsi" w:cstheme="minorHAnsi"/>
                <w:b/>
                <w:bCs/>
                <w:sz w:val="22"/>
                <w:szCs w:val="22"/>
              </w:rPr>
            </w:pPr>
            <w:r>
              <w:rPr>
                <w:rFonts w:asciiTheme="minorHAnsi" w:hAnsiTheme="minorHAnsi" w:cstheme="minorHAnsi"/>
                <w:sz w:val="22"/>
                <w:szCs w:val="22"/>
              </w:rPr>
              <w:t>A</w:t>
            </w:r>
            <w:r w:rsidR="0038216E" w:rsidRPr="0038216E">
              <w:rPr>
                <w:rFonts w:asciiTheme="minorHAnsi" w:hAnsiTheme="minorHAnsi" w:cstheme="minorHAnsi"/>
                <w:sz w:val="22"/>
                <w:szCs w:val="22"/>
              </w:rPr>
              <w:t xml:space="preserve"> combined submission prepared and considered jointly by</w:t>
            </w:r>
            <w:r w:rsidR="00EE43CD">
              <w:rPr>
                <w:rFonts w:asciiTheme="minorHAnsi" w:hAnsiTheme="minorHAnsi" w:cstheme="minorHAnsi"/>
                <w:sz w:val="22"/>
                <w:szCs w:val="22"/>
              </w:rPr>
              <w:t xml:space="preserve"> </w:t>
            </w:r>
            <w:r w:rsidR="0038216E" w:rsidRPr="0038216E">
              <w:rPr>
                <w:rFonts w:asciiTheme="minorHAnsi" w:hAnsiTheme="minorHAnsi" w:cstheme="minorHAnsi"/>
                <w:sz w:val="22"/>
                <w:szCs w:val="22"/>
              </w:rPr>
              <w:t>MSAC and the PBAC</w:t>
            </w:r>
          </w:p>
          <w:p w14:paraId="0C0025D2" w14:textId="34DBA659" w:rsidR="0038216E" w:rsidRPr="0038216E" w:rsidRDefault="00D318BF" w:rsidP="00651D54">
            <w:pPr>
              <w:pStyle w:val="ListParagraph"/>
              <w:widowControl w:val="0"/>
              <w:numPr>
                <w:ilvl w:val="0"/>
                <w:numId w:val="32"/>
              </w:numPr>
              <w:spacing w:before="0"/>
              <w:rPr>
                <w:rFonts w:asciiTheme="minorHAnsi" w:hAnsiTheme="minorHAnsi" w:cstheme="minorHAnsi"/>
                <w:b/>
                <w:bCs/>
                <w:sz w:val="22"/>
                <w:szCs w:val="22"/>
              </w:rPr>
            </w:pPr>
            <w:r>
              <w:rPr>
                <w:rFonts w:asciiTheme="minorHAnsi" w:hAnsiTheme="minorHAnsi" w:cstheme="minorHAnsi"/>
                <w:sz w:val="22"/>
                <w:szCs w:val="22"/>
              </w:rPr>
              <w:lastRenderedPageBreak/>
              <w:t>D</w:t>
            </w:r>
            <w:r w:rsidR="0038216E" w:rsidRPr="0038216E">
              <w:rPr>
                <w:rFonts w:asciiTheme="minorHAnsi" w:hAnsiTheme="minorHAnsi" w:cstheme="minorHAnsi"/>
                <w:sz w:val="22"/>
                <w:szCs w:val="22"/>
              </w:rPr>
              <w:t>ocuments for the medicinal and medical service components</w:t>
            </w:r>
          </w:p>
          <w:p w14:paraId="7CB79E09" w14:textId="77777777" w:rsidR="0038216E" w:rsidRPr="0038216E" w:rsidRDefault="0038216E" w:rsidP="00651D54">
            <w:pPr>
              <w:pStyle w:val="ListParagraph"/>
              <w:widowControl w:val="0"/>
              <w:numPr>
                <w:ilvl w:val="1"/>
                <w:numId w:val="32"/>
              </w:numPr>
              <w:spacing w:before="0"/>
              <w:rPr>
                <w:rFonts w:asciiTheme="minorHAnsi" w:hAnsiTheme="minorHAnsi" w:cstheme="minorHAnsi"/>
                <w:b/>
                <w:bCs/>
                <w:sz w:val="22"/>
                <w:szCs w:val="22"/>
              </w:rPr>
            </w:pPr>
            <w:r w:rsidRPr="0038216E">
              <w:rPr>
                <w:rFonts w:asciiTheme="minorHAnsi" w:hAnsiTheme="minorHAnsi" w:cstheme="minorHAnsi"/>
                <w:sz w:val="22"/>
                <w:szCs w:val="22"/>
              </w:rPr>
              <w:t xml:space="preserve">same evaluation group </w:t>
            </w:r>
          </w:p>
          <w:p w14:paraId="2B36BAAE" w14:textId="77777777" w:rsidR="0038216E" w:rsidRPr="0038216E" w:rsidRDefault="0038216E" w:rsidP="00651D54">
            <w:pPr>
              <w:pStyle w:val="ListParagraph"/>
              <w:widowControl w:val="0"/>
              <w:numPr>
                <w:ilvl w:val="1"/>
                <w:numId w:val="32"/>
              </w:numPr>
              <w:spacing w:before="0"/>
              <w:rPr>
                <w:rFonts w:asciiTheme="minorHAnsi" w:hAnsiTheme="minorHAnsi" w:cstheme="minorHAnsi"/>
                <w:b/>
                <w:bCs/>
                <w:sz w:val="22"/>
                <w:szCs w:val="22"/>
              </w:rPr>
            </w:pPr>
            <w:r w:rsidRPr="0038216E">
              <w:rPr>
                <w:rFonts w:asciiTheme="minorHAnsi" w:hAnsiTheme="minorHAnsi" w:cstheme="minorHAnsi"/>
                <w:sz w:val="22"/>
                <w:szCs w:val="22"/>
              </w:rPr>
              <w:t>joint evaluation document</w:t>
            </w:r>
          </w:p>
          <w:p w14:paraId="6DA45EFA" w14:textId="082FEEB7" w:rsidR="0038216E" w:rsidRPr="0038216E" w:rsidRDefault="0038216E" w:rsidP="00651D54">
            <w:pPr>
              <w:pStyle w:val="ListParagraph"/>
              <w:widowControl w:val="0"/>
              <w:numPr>
                <w:ilvl w:val="1"/>
                <w:numId w:val="32"/>
              </w:numPr>
              <w:spacing w:before="0"/>
              <w:rPr>
                <w:rFonts w:asciiTheme="minorHAnsi" w:hAnsiTheme="minorHAnsi" w:cstheme="minorHAnsi"/>
                <w:b/>
                <w:bCs/>
                <w:sz w:val="22"/>
                <w:szCs w:val="22"/>
              </w:rPr>
            </w:pPr>
            <w:r w:rsidRPr="0038216E">
              <w:rPr>
                <w:rFonts w:asciiTheme="minorHAnsi" w:hAnsiTheme="minorHAnsi" w:cstheme="minorHAnsi"/>
                <w:sz w:val="22"/>
                <w:szCs w:val="22"/>
              </w:rPr>
              <w:t xml:space="preserve">PBAC and MSAC </w:t>
            </w:r>
            <w:r w:rsidR="008D3337">
              <w:rPr>
                <w:rFonts w:asciiTheme="minorHAnsi" w:hAnsiTheme="minorHAnsi" w:cstheme="minorHAnsi"/>
                <w:sz w:val="22"/>
                <w:szCs w:val="22"/>
              </w:rPr>
              <w:t xml:space="preserve">ESC </w:t>
            </w:r>
            <w:r w:rsidRPr="0038216E">
              <w:rPr>
                <w:rFonts w:asciiTheme="minorHAnsi" w:hAnsiTheme="minorHAnsi" w:cstheme="minorHAnsi"/>
                <w:sz w:val="22"/>
                <w:szCs w:val="22"/>
              </w:rPr>
              <w:t xml:space="preserve">joint meeting </w:t>
            </w:r>
          </w:p>
          <w:p w14:paraId="55DC9EBF" w14:textId="77777777" w:rsidR="0038216E" w:rsidRPr="0038216E" w:rsidRDefault="0038216E" w:rsidP="00651D54">
            <w:pPr>
              <w:pStyle w:val="ListParagraph"/>
              <w:widowControl w:val="0"/>
              <w:numPr>
                <w:ilvl w:val="1"/>
                <w:numId w:val="32"/>
              </w:numPr>
              <w:spacing w:before="0"/>
              <w:rPr>
                <w:rFonts w:asciiTheme="minorHAnsi" w:hAnsiTheme="minorHAnsi" w:cstheme="minorHAnsi"/>
                <w:sz w:val="22"/>
                <w:szCs w:val="22"/>
              </w:rPr>
            </w:pPr>
            <w:r w:rsidRPr="0038216E">
              <w:rPr>
                <w:rFonts w:asciiTheme="minorHAnsi" w:hAnsiTheme="minorHAnsi" w:cstheme="minorHAnsi"/>
                <w:sz w:val="22"/>
                <w:szCs w:val="22"/>
              </w:rPr>
              <w:t xml:space="preserve">joint ESC Advice document </w:t>
            </w:r>
          </w:p>
          <w:p w14:paraId="0BC2DE08" w14:textId="77777777" w:rsidR="0038216E" w:rsidRPr="0038216E" w:rsidRDefault="0038216E" w:rsidP="006054AC">
            <w:pPr>
              <w:widowControl w:val="0"/>
              <w:rPr>
                <w:rFonts w:asciiTheme="minorHAnsi" w:hAnsiTheme="minorHAnsi" w:cstheme="minorHAnsi"/>
                <w:sz w:val="22"/>
                <w:szCs w:val="22"/>
              </w:rPr>
            </w:pPr>
          </w:p>
        </w:tc>
        <w:tc>
          <w:tcPr>
            <w:tcW w:w="4508" w:type="dxa"/>
          </w:tcPr>
          <w:p w14:paraId="00FC5A08" w14:textId="4FF80FE9" w:rsidR="002B2FB2" w:rsidRDefault="002B2FB2" w:rsidP="00651D54">
            <w:pPr>
              <w:pStyle w:val="ListParagraph"/>
              <w:widowControl w:val="0"/>
              <w:numPr>
                <w:ilvl w:val="0"/>
                <w:numId w:val="32"/>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lastRenderedPageBreak/>
              <w:t xml:space="preserve">For reconsideration by the PBAC or MSAC, after previous consideration, where one committee has foreshadowed support for a technology in the pairing. </w:t>
            </w:r>
          </w:p>
          <w:p w14:paraId="4DCC87D0" w14:textId="32A6D6B0" w:rsidR="0038216E" w:rsidRPr="0038216E" w:rsidRDefault="00D318BF" w:rsidP="00651D54">
            <w:pPr>
              <w:pStyle w:val="ListParagraph"/>
              <w:widowControl w:val="0"/>
              <w:numPr>
                <w:ilvl w:val="0"/>
                <w:numId w:val="32"/>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w:t>
            </w:r>
            <w:r w:rsidR="0038216E" w:rsidRPr="0038216E">
              <w:rPr>
                <w:rFonts w:asciiTheme="minorHAnsi" w:hAnsiTheme="minorHAnsi" w:cstheme="minorHAnsi"/>
                <w:sz w:val="22"/>
                <w:szCs w:val="22"/>
              </w:rPr>
              <w:t>ndividual submissions for each of the technologies are lodged simultaneously and considered by</w:t>
            </w:r>
            <w:r w:rsidR="00EE43CD">
              <w:rPr>
                <w:rFonts w:asciiTheme="minorHAnsi" w:hAnsiTheme="minorHAnsi" w:cstheme="minorHAnsi"/>
                <w:sz w:val="22"/>
                <w:szCs w:val="22"/>
              </w:rPr>
              <w:t xml:space="preserve"> </w:t>
            </w:r>
            <w:r w:rsidR="0038216E" w:rsidRPr="0038216E">
              <w:rPr>
                <w:rFonts w:asciiTheme="minorHAnsi" w:hAnsiTheme="minorHAnsi" w:cstheme="minorHAnsi"/>
                <w:sz w:val="22"/>
                <w:szCs w:val="22"/>
              </w:rPr>
              <w:t>MSAC and the PBAC, respectively, in parallel</w:t>
            </w:r>
          </w:p>
          <w:p w14:paraId="3A83052A" w14:textId="3CF42251" w:rsidR="0038216E" w:rsidRPr="0038216E" w:rsidRDefault="0038216E" w:rsidP="00651D54">
            <w:pPr>
              <w:pStyle w:val="ListParagraph"/>
              <w:widowControl w:val="0"/>
              <w:numPr>
                <w:ilvl w:val="0"/>
                <w:numId w:val="32"/>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8216E">
              <w:rPr>
                <w:rFonts w:asciiTheme="minorHAnsi" w:hAnsiTheme="minorHAnsi" w:cstheme="minorHAnsi"/>
                <w:sz w:val="22"/>
                <w:szCs w:val="22"/>
              </w:rPr>
              <w:lastRenderedPageBreak/>
              <w:t>An overview of the streamlined submission to</w:t>
            </w:r>
            <w:r w:rsidR="00EE43CD">
              <w:rPr>
                <w:rFonts w:asciiTheme="minorHAnsi" w:hAnsiTheme="minorHAnsi" w:cstheme="minorHAnsi"/>
                <w:sz w:val="22"/>
                <w:szCs w:val="22"/>
              </w:rPr>
              <w:t xml:space="preserve"> </w:t>
            </w:r>
            <w:r w:rsidRPr="0038216E">
              <w:rPr>
                <w:rFonts w:asciiTheme="minorHAnsi" w:hAnsiTheme="minorHAnsi" w:cstheme="minorHAnsi"/>
                <w:sz w:val="22"/>
                <w:szCs w:val="22"/>
              </w:rPr>
              <w:t xml:space="preserve">MSAC is prepared by the </w:t>
            </w:r>
            <w:r w:rsidR="00B42E5C">
              <w:rPr>
                <w:rFonts w:asciiTheme="minorHAnsi" w:hAnsiTheme="minorHAnsi" w:cstheme="minorHAnsi"/>
                <w:sz w:val="22"/>
                <w:szCs w:val="22"/>
              </w:rPr>
              <w:t>D</w:t>
            </w:r>
            <w:r w:rsidRPr="0038216E">
              <w:rPr>
                <w:rFonts w:asciiTheme="minorHAnsi" w:hAnsiTheme="minorHAnsi" w:cstheme="minorHAnsi"/>
                <w:sz w:val="22"/>
                <w:szCs w:val="22"/>
              </w:rPr>
              <w:t>epartment and provided to the applicant according to the standard pre-MSAC process.</w:t>
            </w:r>
            <w:r w:rsidR="008D3337">
              <w:rPr>
                <w:rFonts w:asciiTheme="minorHAnsi" w:hAnsiTheme="minorHAnsi" w:cstheme="minorHAnsi"/>
                <w:sz w:val="22"/>
                <w:szCs w:val="22"/>
              </w:rPr>
              <w:t xml:space="preserve"> In some circumstances, the streamlined component of the submission is to PBAC.</w:t>
            </w:r>
          </w:p>
          <w:p w14:paraId="4F69E47D" w14:textId="1E25CD07" w:rsidR="0038216E" w:rsidRPr="0038216E" w:rsidRDefault="0038216E" w:rsidP="00651D54">
            <w:pPr>
              <w:pStyle w:val="ListParagraph"/>
              <w:widowControl w:val="0"/>
              <w:numPr>
                <w:ilvl w:val="0"/>
                <w:numId w:val="32"/>
              </w:num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8216E">
              <w:rPr>
                <w:rFonts w:asciiTheme="minorHAnsi" w:hAnsiTheme="minorHAnsi" w:cstheme="minorHAnsi"/>
                <w:sz w:val="22"/>
                <w:szCs w:val="22"/>
              </w:rPr>
              <w:t xml:space="preserve">Resubmissions where one committee (PBAC or MSAC) has not supported/recommended </w:t>
            </w:r>
          </w:p>
        </w:tc>
      </w:tr>
    </w:tbl>
    <w:p w14:paraId="377F159C" w14:textId="2B373892" w:rsidR="004760D1" w:rsidRDefault="004760D1" w:rsidP="004760D1">
      <w:r w:rsidRPr="00C33B1F">
        <w:lastRenderedPageBreak/>
        <w:t xml:space="preserve">Where an applicant </w:t>
      </w:r>
      <w:r w:rsidR="00E747D1">
        <w:t>makes</w:t>
      </w:r>
      <w:r w:rsidRPr="00C33B1F">
        <w:t xml:space="preserve"> an integrated codependent submission, the Intent to Apply form is required four weeks prior to the MSAC submission due day. </w:t>
      </w:r>
      <w:r w:rsidR="000A6D7F">
        <w:t>T</w:t>
      </w:r>
      <w:r w:rsidRPr="00C33B1F">
        <w:t xml:space="preserve">he MSAC submission date is typically four weeks earlier than the corresponding PBAC submission due day (the MSAC submission due day corresponds with the date of the previous meeting of </w:t>
      </w:r>
      <w:r w:rsidR="000A6D7F">
        <w:t>MSAC ESC</w:t>
      </w:r>
      <w:r w:rsidRPr="00C33B1F">
        <w:t>). As a result, the Intent to Apply form for an integrated codependent submission is required eight weeks before the usual PBAC submission due day and the integrated codependent submission due day is four weeks before the usual PBAC submission due day.</w:t>
      </w:r>
      <w:r w:rsidR="000A6D7F">
        <w:t xml:space="preserve"> The steps for consideration of a codependent submission are included in </w:t>
      </w:r>
      <w:r w:rsidR="003022AC">
        <w:t>Figure</w:t>
      </w:r>
      <w:r w:rsidR="000A6D7F">
        <w:t xml:space="preserve"> 7. </w:t>
      </w:r>
    </w:p>
    <w:p w14:paraId="7D479B40" w14:textId="77777777" w:rsidR="00A33A13" w:rsidRDefault="00A33A13" w:rsidP="00A33A13">
      <w:pPr>
        <w:pStyle w:val="Heading2"/>
      </w:pPr>
      <w:bookmarkStart w:id="45" w:name="_Toc156576975"/>
      <w:r>
        <w:t>Issues raised through the House of Representatives Inquiry</w:t>
      </w:r>
      <w:bookmarkEnd w:id="45"/>
    </w:p>
    <w:p w14:paraId="568D1410" w14:textId="3FA49FDB" w:rsidR="00A33A13" w:rsidRPr="000A6D7F" w:rsidRDefault="00A33A13" w:rsidP="000A6D7F">
      <w:r w:rsidRPr="000A6D7F">
        <w:t xml:space="preserve">Pharmaceutical </w:t>
      </w:r>
      <w:r w:rsidR="00874169" w:rsidRPr="000A6D7F">
        <w:t xml:space="preserve">companies expressed concern that the current process of having two committees consider codependent PBS and MBS listings is creating delays. </w:t>
      </w:r>
      <w:r w:rsidRPr="000A6D7F">
        <w:t xml:space="preserve"> </w:t>
      </w:r>
    </w:p>
    <w:p w14:paraId="46A06D34" w14:textId="088AF95D" w:rsidR="002E6334" w:rsidRDefault="00C33B1F" w:rsidP="00D135FB">
      <w:pPr>
        <w:pStyle w:val="Heading2"/>
      </w:pPr>
      <w:bookmarkStart w:id="46" w:name="_Toc156576976"/>
      <w:r>
        <w:t>Timeframes</w:t>
      </w:r>
      <w:r w:rsidR="00F279C9">
        <w:t xml:space="preserve"> for PBS and MBS listing of codependent technologies</w:t>
      </w:r>
      <w:bookmarkEnd w:id="46"/>
    </w:p>
    <w:p w14:paraId="2CD6BFE4" w14:textId="7A225F7B" w:rsidR="001D085A" w:rsidRDefault="0038216E" w:rsidP="000A6D7F">
      <w:r>
        <w:t>The timeframe</w:t>
      </w:r>
      <w:r w:rsidR="00045B53">
        <w:t>s</w:t>
      </w:r>
      <w:r>
        <w:t xml:space="preserve"> for listing </w:t>
      </w:r>
      <w:r w:rsidR="00F279C9">
        <w:t>PBS MBS codependent technologies is similar to that for PBS medicines</w:t>
      </w:r>
      <w:r w:rsidR="00045B53">
        <w:t xml:space="preserve"> with the exception of the PBAC submission to earliest possible date to submit pricing offer period (see </w:t>
      </w:r>
      <w:r w:rsidR="003022AC">
        <w:t>Figure</w:t>
      </w:r>
      <w:r w:rsidR="00045B53">
        <w:t xml:space="preserve">s </w:t>
      </w:r>
      <w:r w:rsidR="00A3449D">
        <w:t>1</w:t>
      </w:r>
      <w:r w:rsidR="00CD7306">
        <w:t>4</w:t>
      </w:r>
      <w:r w:rsidR="00045B53">
        <w:t xml:space="preserve"> and </w:t>
      </w:r>
      <w:r w:rsidR="00A3449D">
        <w:t>1</w:t>
      </w:r>
      <w:r w:rsidR="00CD7306">
        <w:t>5</w:t>
      </w:r>
      <w:r w:rsidR="00045B53">
        <w:t>)</w:t>
      </w:r>
      <w:r w:rsidR="00F279C9">
        <w:t>.</w:t>
      </w:r>
      <w:r w:rsidR="00045B53">
        <w:t xml:space="preserve"> This is period is longer, due to the earlier date required for submission and interdependency of committee recommendations (see </w:t>
      </w:r>
      <w:r w:rsidR="003022AC">
        <w:t>Figure</w:t>
      </w:r>
      <w:r w:rsidR="00045B53">
        <w:t xml:space="preserve"> </w:t>
      </w:r>
      <w:r w:rsidR="00B97D53">
        <w:t>1</w:t>
      </w:r>
      <w:r w:rsidR="00CD7306">
        <w:t>5</w:t>
      </w:r>
      <w:r w:rsidR="00045B53">
        <w:t xml:space="preserve"> example for </w:t>
      </w:r>
      <w:proofErr w:type="spellStart"/>
      <w:r w:rsidR="00045B53">
        <w:t>larotrectinib</w:t>
      </w:r>
      <w:proofErr w:type="spellEnd"/>
      <w:r w:rsidR="00045B53">
        <w:t>).</w:t>
      </w:r>
    </w:p>
    <w:p w14:paraId="45E8B4BD" w14:textId="13B5DE12" w:rsidR="0038216E" w:rsidRPr="000A6D7F" w:rsidRDefault="00F279C9" w:rsidP="000A6D7F">
      <w:r>
        <w:t>The MBS technology</w:t>
      </w:r>
      <w:r w:rsidR="001D085A">
        <w:t xml:space="preserve"> and the PBS medicine are subsidised on the same day </w:t>
      </w:r>
      <w:r w:rsidR="00045B53">
        <w:t xml:space="preserve">(see </w:t>
      </w:r>
      <w:r w:rsidR="003022AC">
        <w:t>Figure</w:t>
      </w:r>
      <w:r w:rsidR="00045B53">
        <w:t xml:space="preserve"> </w:t>
      </w:r>
      <w:r w:rsidR="00A3449D">
        <w:t>1</w:t>
      </w:r>
      <w:r w:rsidR="00CD7306">
        <w:t>4</w:t>
      </w:r>
      <w:r w:rsidR="00045B53">
        <w:t>).</w:t>
      </w:r>
      <w:r>
        <w:t xml:space="preserve"> </w:t>
      </w:r>
    </w:p>
    <w:p w14:paraId="61E8EE54" w14:textId="77777777" w:rsidR="00F279C9" w:rsidRPr="007123C0" w:rsidRDefault="00F279C9" w:rsidP="00D135FB">
      <w:pPr>
        <w:rPr>
          <w:rFonts w:ascii="Open Sans" w:hAnsi="Open Sans" w:cs="Open Sans"/>
          <w:color w:val="222222"/>
          <w:sz w:val="23"/>
          <w:szCs w:val="23"/>
        </w:rPr>
        <w:sectPr w:rsidR="00F279C9" w:rsidRPr="007123C0" w:rsidSect="00B27844">
          <w:pgSz w:w="11906" w:h="16838"/>
          <w:pgMar w:top="1440" w:right="1440" w:bottom="1440" w:left="1440" w:header="708" w:footer="530" w:gutter="0"/>
          <w:cols w:space="708"/>
          <w:docGrid w:linePitch="360"/>
        </w:sectPr>
      </w:pPr>
    </w:p>
    <w:p w14:paraId="08758EE1" w14:textId="43151575" w:rsidR="009B58D8" w:rsidRDefault="003022AC" w:rsidP="000F5157">
      <w:pPr>
        <w:pStyle w:val="Heading4"/>
        <w:rPr>
          <w:rFonts w:ascii="Open Sans" w:hAnsi="Open Sans" w:cs="Open Sans"/>
          <w:color w:val="222222"/>
          <w:sz w:val="23"/>
          <w:szCs w:val="23"/>
        </w:rPr>
      </w:pPr>
      <w:r>
        <w:lastRenderedPageBreak/>
        <w:t>Figure</w:t>
      </w:r>
      <w:r w:rsidR="009939D1" w:rsidRPr="009939D1">
        <w:t xml:space="preserve"> </w:t>
      </w:r>
      <w:r w:rsidR="00B97D53">
        <w:t>1</w:t>
      </w:r>
      <w:r w:rsidR="00CD7306">
        <w:t>4</w:t>
      </w:r>
      <w:r w:rsidR="009939D1" w:rsidRPr="009939D1">
        <w:t xml:space="preserve">. </w:t>
      </w:r>
      <w:r w:rsidR="009B58D8">
        <w:t>Timeframes for integrated codependent PBS listing compared with PBS new medicine listing</w:t>
      </w:r>
    </w:p>
    <w:p w14:paraId="2F0B1344" w14:textId="4559407A" w:rsidR="0078345F" w:rsidRPr="0078345F" w:rsidRDefault="00A11050" w:rsidP="0078345F">
      <w:pPr>
        <w:spacing w:before="0"/>
      </w:pPr>
      <w:r>
        <w:object w:dxaOrig="15727" w:dyaOrig="3931" w14:anchorId="406A3D03">
          <v:shape id="_x0000_i1029" type="#_x0000_t75" alt="Figure 14. Timeframes for integrated codependent PBS listing compared with PBS new medicine listing table" style="width:755.45pt;height:190.5pt" o:ole="" filled="t" fillcolor="white [3212]">
            <v:imagedata r:id="rId43" o:title=""/>
          </v:shape>
          <o:OLEObject Type="Link" ProgID="Excel.Sheet.12" ShapeID="_x0000_i1029" DrawAspect="Content" r:id="rId44" UpdateMode="Always">
            <o:LinkType>EnhancedMetaFile</o:LinkType>
            <o:LockedField>false</o:LockedField>
          </o:OLEObject>
        </w:object>
      </w:r>
    </w:p>
    <w:p w14:paraId="0DCF81EE" w14:textId="1AE4F6D5" w:rsidR="009939D1" w:rsidRPr="009939D1" w:rsidRDefault="003022AC" w:rsidP="0078345F">
      <w:pPr>
        <w:pStyle w:val="Heading4"/>
      </w:pPr>
      <w:r>
        <w:t>Figure</w:t>
      </w:r>
      <w:r w:rsidR="009B58D8" w:rsidRPr="009939D1">
        <w:t xml:space="preserve"> </w:t>
      </w:r>
      <w:r w:rsidR="00B97D53">
        <w:t>1</w:t>
      </w:r>
      <w:r w:rsidR="00CD7306">
        <w:t>5</w:t>
      </w:r>
      <w:r w:rsidR="009B58D8" w:rsidRPr="009939D1">
        <w:t xml:space="preserve">. </w:t>
      </w:r>
      <w:r w:rsidR="009B58D8">
        <w:t>Example</w:t>
      </w:r>
      <w:r w:rsidR="00045B53">
        <w:t xml:space="preserve"> </w:t>
      </w:r>
      <w:r w:rsidR="00295D4C">
        <w:t xml:space="preserve">timeframe - </w:t>
      </w:r>
      <w:r w:rsidR="00045B53">
        <w:t>integrated</w:t>
      </w:r>
      <w:r w:rsidR="009B58D8">
        <w:t xml:space="preserve"> codependent PBS MBS listing</w:t>
      </w:r>
    </w:p>
    <w:p w14:paraId="57D6B9E3" w14:textId="2A190E90" w:rsidR="00C53237" w:rsidRDefault="00A11050" w:rsidP="0078345F">
      <w:pPr>
        <w:rPr>
          <w:rFonts w:ascii="Open Sans" w:hAnsi="Open Sans" w:cs="Open Sans"/>
          <w:color w:val="222222"/>
          <w:sz w:val="23"/>
          <w:szCs w:val="23"/>
        </w:rPr>
      </w:pPr>
      <w:r>
        <w:rPr>
          <w:rFonts w:ascii="Open Sans" w:hAnsi="Open Sans" w:cs="Open Sans"/>
          <w:color w:val="222222"/>
          <w:sz w:val="23"/>
          <w:szCs w:val="23"/>
        </w:rPr>
        <w:object w:dxaOrig="16498" w:dyaOrig="5007" w14:anchorId="657E09DE">
          <v:shape id="_x0000_i1030" type="#_x0000_t75" alt="Figure 15. Example timeframe - integrated codependent PBS MBS listing" style="width:776.5pt;height:236.5pt;mso-position-vertical:absolute" o:ole="" filled="t" fillcolor="white [3212]">
            <v:imagedata r:id="rId45" o:title=""/>
          </v:shape>
          <o:OLEObject Type="Link" ProgID="Excel.Sheet.12" ShapeID="_x0000_i1030" DrawAspect="Content" r:id="rId46" UpdateMode="Always">
            <o:LinkType>EnhancedMetaFile</o:LinkType>
            <o:LockedField>false</o:LockedField>
          </o:OLEObject>
        </w:object>
      </w:r>
      <w:r>
        <w:rPr>
          <w:rFonts w:ascii="Open Sans" w:hAnsi="Open Sans" w:cs="Open Sans"/>
          <w:color w:val="222222"/>
          <w:sz w:val="23"/>
          <w:szCs w:val="23"/>
        </w:rPr>
        <w:object w:dxaOrig="15727" w:dyaOrig="310" w14:anchorId="159F89A5">
          <v:shape id="_x0000_i1031" type="#_x0000_t75" alt="Figure 15. Example timeframe - integrated codependent PBS MBS listing table key" style="width:766.5pt;height:15.5pt" o:ole="">
            <v:imagedata r:id="rId47" o:title=""/>
          </v:shape>
          <o:OLEObject Type="Link" ProgID="Excel.Sheet.12" ShapeID="_x0000_i1031" DrawAspect="Content" r:id="rId48" UpdateMode="Always">
            <o:LinkType>EnhancedMetaFile</o:LinkType>
            <o:LockedField>false</o:LockedField>
          </o:OLEObject>
        </w:object>
      </w:r>
      <w:r w:rsidR="00C53237">
        <w:rPr>
          <w:rFonts w:ascii="Open Sans" w:hAnsi="Open Sans" w:cs="Open Sans"/>
          <w:color w:val="222222"/>
          <w:sz w:val="23"/>
          <w:szCs w:val="23"/>
        </w:rPr>
        <w:br w:type="page"/>
      </w:r>
    </w:p>
    <w:p w14:paraId="09DFBBA0" w14:textId="77777777" w:rsidR="009B58D8" w:rsidRPr="007123C0" w:rsidRDefault="009B58D8" w:rsidP="009B58D8">
      <w:pPr>
        <w:spacing w:before="0"/>
        <w:rPr>
          <w:rFonts w:ascii="Open Sans" w:hAnsi="Open Sans" w:cs="Open Sans"/>
          <w:color w:val="222222"/>
          <w:sz w:val="23"/>
          <w:szCs w:val="23"/>
        </w:rPr>
        <w:sectPr w:rsidR="009B58D8" w:rsidRPr="007123C0" w:rsidSect="00F279C9">
          <w:pgSz w:w="16838" w:h="11906" w:orient="landscape"/>
          <w:pgMar w:top="720" w:right="720" w:bottom="720" w:left="720" w:header="708" w:footer="530" w:gutter="0"/>
          <w:cols w:space="708"/>
          <w:docGrid w:linePitch="360"/>
        </w:sectPr>
      </w:pPr>
    </w:p>
    <w:p w14:paraId="245479F0" w14:textId="5A4BE088" w:rsidR="00F279C9" w:rsidRDefault="00CC7714" w:rsidP="000812A7">
      <w:pPr>
        <w:pStyle w:val="Heading1"/>
      </w:pPr>
      <w:bookmarkStart w:id="47" w:name="_Toc156576977"/>
      <w:r>
        <w:lastRenderedPageBreak/>
        <w:t>High cost h</w:t>
      </w:r>
      <w:r w:rsidR="00C53237" w:rsidRPr="00C53237">
        <w:t>ighly specialised therapies</w:t>
      </w:r>
      <w:bookmarkEnd w:id="47"/>
    </w:p>
    <w:p w14:paraId="20EA5F57" w14:textId="4BB85F73" w:rsidR="00255B25" w:rsidRDefault="00255B25" w:rsidP="00255B25">
      <w:pPr>
        <w:pStyle w:val="Heading2"/>
      </w:pPr>
      <w:bookmarkStart w:id="48" w:name="_Toc156576978"/>
      <w:r>
        <w:t>Background</w:t>
      </w:r>
      <w:bookmarkEnd w:id="48"/>
    </w:p>
    <w:p w14:paraId="7128C909" w14:textId="5D3B68A7" w:rsidR="009F2E06" w:rsidRDefault="000C4537" w:rsidP="009F2E06">
      <w:r>
        <w:t>Funding arrangements for</w:t>
      </w:r>
      <w:r w:rsidR="002E5FE4">
        <w:t xml:space="preserve"> </w:t>
      </w:r>
      <w:r w:rsidR="001B62FD">
        <w:t>high cost</w:t>
      </w:r>
      <w:r w:rsidR="003A4EC8">
        <w:t>,</w:t>
      </w:r>
      <w:r w:rsidR="001B62FD">
        <w:t xml:space="preserve"> </w:t>
      </w:r>
      <w:r w:rsidR="002E5FE4">
        <w:t>HSTs</w:t>
      </w:r>
      <w:r>
        <w:t xml:space="preserve"> are set out in the </w:t>
      </w:r>
      <w:r w:rsidR="009F2E06">
        <w:t xml:space="preserve">2020‐25 </w:t>
      </w:r>
      <w:r w:rsidR="002E5FE4">
        <w:t>NHRA</w:t>
      </w:r>
      <w:r w:rsidR="00C91850">
        <w:t xml:space="preserve"> addendum</w:t>
      </w:r>
      <w:r w:rsidR="002E5FE4">
        <w:t>.</w:t>
      </w:r>
      <w:r>
        <w:t xml:space="preserve"> The</w:t>
      </w:r>
      <w:r w:rsidR="009F2E06">
        <w:t xml:space="preserve"> NHRA defines</w:t>
      </w:r>
      <w:r w:rsidR="00152C79">
        <w:t xml:space="preserve"> high cost,</w:t>
      </w:r>
      <w:r w:rsidR="009F2E06">
        <w:t xml:space="preserve"> HSTs as:</w:t>
      </w:r>
    </w:p>
    <w:p w14:paraId="44B54E96" w14:textId="69FE347B" w:rsidR="009F2E06" w:rsidRPr="000A6D7F" w:rsidRDefault="009F2E06" w:rsidP="000A6D7F">
      <w:pPr>
        <w:rPr>
          <w:i/>
          <w:iCs/>
        </w:rPr>
      </w:pPr>
      <w:r w:rsidRPr="000A6D7F">
        <w:rPr>
          <w:i/>
          <w:iCs/>
        </w:rPr>
        <w:t xml:space="preserve">‘TGA approved medicines and biologicals delivered in public hospitals where the therapy and its conditions of use are recommended by </w:t>
      </w:r>
      <w:r w:rsidR="00C91850" w:rsidRPr="000A6D7F">
        <w:rPr>
          <w:i/>
          <w:iCs/>
        </w:rPr>
        <w:t>MSAC or PBAC</w:t>
      </w:r>
      <w:r w:rsidRPr="000A6D7F">
        <w:rPr>
          <w:i/>
          <w:iCs/>
        </w:rPr>
        <w:t>; and the average annual treatment cost at the commencement of funding exceeds $200,000 per patient (including ancillary services) as determined by the MSAC or PBAC with input from the Independent Hospital Pricing Authority; and where the therapy is not otherwise funded through a Commonwealth program or the costs of the therapy would be appropriately funded through a component of an existing pricing classification.’</w:t>
      </w:r>
      <w:r w:rsidR="00D318BF" w:rsidRPr="000A6D7F">
        <w:rPr>
          <w:iCs/>
          <w:vertAlign w:val="superscript"/>
        </w:rPr>
        <w:footnoteReference w:id="55"/>
      </w:r>
    </w:p>
    <w:p w14:paraId="20A0BD68" w14:textId="21ADF6AB" w:rsidR="002E5FE4" w:rsidRDefault="002E5FE4" w:rsidP="002E5FE4">
      <w:r>
        <w:t>The NHRA states that funding arrangements for HSTs recommended for delivery in a public hospital setting by MSAC will be determined on the basis of hospital funding contributions specified in Schedule A with the following exceptions for the term of this addendum:</w:t>
      </w:r>
    </w:p>
    <w:p w14:paraId="2DA877C0" w14:textId="3D72DCE5" w:rsidR="002E5FE4" w:rsidRDefault="00313EA8" w:rsidP="00651D54">
      <w:pPr>
        <w:pStyle w:val="ListParagraph"/>
        <w:numPr>
          <w:ilvl w:val="0"/>
          <w:numId w:val="43"/>
        </w:numPr>
      </w:pPr>
      <w:r>
        <w:t>T</w:t>
      </w:r>
      <w:r w:rsidR="002E5FE4">
        <w:t>he Commonwealth, for these types of therapies, will provide a contribution of 50 percent of the growth in the efficient price or cost (including ancillary services), instead of 45 per cent; and</w:t>
      </w:r>
    </w:p>
    <w:p w14:paraId="2249EDCA" w14:textId="2A11FED6" w:rsidR="002E5FE4" w:rsidRDefault="00313EA8" w:rsidP="00651D54">
      <w:pPr>
        <w:pStyle w:val="ListParagraph"/>
        <w:numPr>
          <w:ilvl w:val="0"/>
          <w:numId w:val="43"/>
        </w:numPr>
      </w:pPr>
      <w:r>
        <w:t>T</w:t>
      </w:r>
      <w:r w:rsidR="002E5FE4">
        <w:t>hey will be exempt from the funding cap at clause A56 for a period of two years from the commencement of service delivery of the new treatment</w:t>
      </w:r>
      <w:r>
        <w:t>.</w:t>
      </w:r>
    </w:p>
    <w:p w14:paraId="199E4842" w14:textId="7553C74E" w:rsidR="006F3D43" w:rsidRDefault="00313EA8" w:rsidP="00651D54">
      <w:pPr>
        <w:pStyle w:val="ListParagraph"/>
        <w:numPr>
          <w:ilvl w:val="0"/>
          <w:numId w:val="43"/>
        </w:numPr>
      </w:pPr>
      <w:r>
        <w:t>U</w:t>
      </w:r>
      <w:r w:rsidR="002E5FE4">
        <w:t xml:space="preserve">pon commencement of service delivery of the new treatment in a state, the state may request advice form the administrator on the operation of the cap exemption for that treatment in that state. </w:t>
      </w:r>
    </w:p>
    <w:p w14:paraId="59807DD1" w14:textId="0125191A" w:rsidR="006F3D43" w:rsidRPr="00CC7714" w:rsidRDefault="00C91850" w:rsidP="00CC7714">
      <w:r>
        <w:t xml:space="preserve">As </w:t>
      </w:r>
      <w:r w:rsidR="00103407">
        <w:t xml:space="preserve">at 31 December </w:t>
      </w:r>
      <w:r>
        <w:t xml:space="preserve">2023, </w:t>
      </w:r>
      <w:r w:rsidRPr="00CC7714">
        <w:t>t</w:t>
      </w:r>
      <w:r w:rsidR="006F3D43" w:rsidRPr="006F3D43">
        <w:t xml:space="preserve">here are </w:t>
      </w:r>
      <w:r w:rsidR="00103407">
        <w:t xml:space="preserve">five </w:t>
      </w:r>
      <w:r w:rsidR="006F3D43" w:rsidRPr="006F3D43">
        <w:t>HSTs funded under the NHRA arrangements.</w:t>
      </w:r>
      <w:r w:rsidR="00CC7714">
        <w:t xml:space="preserve"> </w:t>
      </w:r>
    </w:p>
    <w:p w14:paraId="477F6B85" w14:textId="7CF25898" w:rsidR="00255B25" w:rsidRDefault="00CD61B4" w:rsidP="00255B25">
      <w:pPr>
        <w:pStyle w:val="Heading2"/>
      </w:pPr>
      <w:bookmarkStart w:id="49" w:name="_Toc156576979"/>
      <w:r>
        <w:t>Funding</w:t>
      </w:r>
      <w:r w:rsidR="00255B25">
        <w:t xml:space="preserve"> process</w:t>
      </w:r>
      <w:r>
        <w:t xml:space="preserve"> for </w:t>
      </w:r>
      <w:r w:rsidR="00BB2127">
        <w:t xml:space="preserve">high cost, </w:t>
      </w:r>
      <w:r>
        <w:t>HSTs</w:t>
      </w:r>
      <w:bookmarkEnd w:id="49"/>
    </w:p>
    <w:p w14:paraId="6147C395" w14:textId="783BDE11" w:rsidR="00DA2E80" w:rsidRPr="00C91850" w:rsidRDefault="009F2E06" w:rsidP="00C91850">
      <w:pPr>
        <w:spacing w:before="0" w:line="240" w:lineRule="auto"/>
        <w:rPr>
          <w:rFonts w:ascii="Times New Roman" w:hAnsi="Times New Roman" w:cs="Times New Roman"/>
          <w:sz w:val="24"/>
          <w:szCs w:val="24"/>
          <w:lang w:eastAsia="en-AU"/>
        </w:rPr>
      </w:pPr>
      <w:r>
        <w:t>The MSAC and PBAC Chairs, together with a</w:t>
      </w:r>
      <w:r w:rsidR="001A54F6">
        <w:t xml:space="preserve"> representative from each</w:t>
      </w:r>
      <w:r>
        <w:t xml:space="preserve"> </w:t>
      </w:r>
      <w:r w:rsidR="0065731D" w:rsidRPr="00CC7714">
        <w:t xml:space="preserve">state and territory </w:t>
      </w:r>
      <w:r>
        <w:t xml:space="preserve">jointly decide on which </w:t>
      </w:r>
      <w:r w:rsidR="00ED7091">
        <w:t xml:space="preserve">HTA advisory </w:t>
      </w:r>
      <w:r>
        <w:t xml:space="preserve">committee should assess the application for a new drug or therapy, </w:t>
      </w:r>
      <w:r w:rsidR="00C91850">
        <w:t>and whether it meets the definition of a</w:t>
      </w:r>
      <w:r w:rsidR="00894132">
        <w:t xml:space="preserve"> high cost,</w:t>
      </w:r>
      <w:r>
        <w:t xml:space="preserve"> HST</w:t>
      </w:r>
      <w:r w:rsidR="00C91850">
        <w:t>.</w:t>
      </w:r>
    </w:p>
    <w:p w14:paraId="081AA09C" w14:textId="224D6653" w:rsidR="000C4537" w:rsidRDefault="009F2E06" w:rsidP="009F2E06">
      <w:r>
        <w:t xml:space="preserve">Once a decision is made, the </w:t>
      </w:r>
      <w:r w:rsidR="000A6D7F">
        <w:t>D</w:t>
      </w:r>
      <w:r>
        <w:t xml:space="preserve">epartment will advise the applicant whether the application was determined </w:t>
      </w:r>
      <w:r w:rsidR="00C91850">
        <w:t xml:space="preserve">to meet the </w:t>
      </w:r>
      <w:r w:rsidR="008D3337">
        <w:t>criteria</w:t>
      </w:r>
      <w:r w:rsidR="00C91850">
        <w:t xml:space="preserve"> </w:t>
      </w:r>
      <w:r w:rsidR="006A2408">
        <w:t>for a</w:t>
      </w:r>
      <w:r w:rsidR="00022966">
        <w:t xml:space="preserve"> high cost,</w:t>
      </w:r>
      <w:r w:rsidR="00CC7714">
        <w:t xml:space="preserve"> </w:t>
      </w:r>
      <w:r w:rsidR="008D3337">
        <w:t>HST</w:t>
      </w:r>
      <w:r>
        <w:t>.</w:t>
      </w:r>
      <w:r w:rsidR="000C4537">
        <w:t xml:space="preserve"> The criteria for determining whether an application meets the criteria for a</w:t>
      </w:r>
      <w:r w:rsidR="00022966">
        <w:t xml:space="preserve"> high cost,</w:t>
      </w:r>
      <w:r w:rsidR="000C4537">
        <w:t xml:space="preserve"> </w:t>
      </w:r>
      <w:r w:rsidR="00E73380">
        <w:t>HST</w:t>
      </w:r>
      <w:r w:rsidR="000C4537">
        <w:t xml:space="preserve"> under the NHRA is set out in </w:t>
      </w:r>
      <w:r w:rsidR="003022AC">
        <w:t>Figure</w:t>
      </w:r>
      <w:r w:rsidR="000C4537">
        <w:t xml:space="preserve"> </w:t>
      </w:r>
      <w:r w:rsidR="00A3449D">
        <w:t>1</w:t>
      </w:r>
      <w:r w:rsidR="0069700E">
        <w:t>6</w:t>
      </w:r>
      <w:r w:rsidR="000C4537">
        <w:t xml:space="preserve">. </w:t>
      </w:r>
    </w:p>
    <w:p w14:paraId="53FF85FB" w14:textId="0E5B426A" w:rsidR="00560AAB" w:rsidRDefault="003022AC" w:rsidP="008853BD">
      <w:pPr>
        <w:pStyle w:val="Heading4"/>
      </w:pPr>
      <w:r>
        <w:lastRenderedPageBreak/>
        <w:t>Figure</w:t>
      </w:r>
      <w:r w:rsidR="00560AAB">
        <w:t xml:space="preserve"> 1</w:t>
      </w:r>
      <w:r w:rsidR="0069700E">
        <w:t>6</w:t>
      </w:r>
      <w:r w:rsidR="00560AAB">
        <w:t xml:space="preserve">. Decision tree for determining if a health technology should be treated as a potential NHRA </w:t>
      </w:r>
      <w:r w:rsidR="000518CE">
        <w:t xml:space="preserve">high cost, </w:t>
      </w:r>
      <w:r w:rsidR="00560AAB">
        <w:t>HST</w:t>
      </w:r>
      <w:r w:rsidR="008853BD">
        <w:br/>
      </w:r>
      <w:r w:rsidR="008853BD">
        <w:br/>
      </w:r>
      <w:r w:rsidR="00560AAB" w:rsidRPr="003D08F5">
        <w:rPr>
          <w:noProof/>
        </w:rPr>
        <w:drawing>
          <wp:inline distT="0" distB="0" distL="0" distR="0" wp14:anchorId="349CB42C" wp14:editId="6B5EC59F">
            <wp:extent cx="5731510" cy="5753100"/>
            <wp:effectExtent l="0" t="0" r="0" b="0"/>
            <wp:docPr id="155350207" name="Picture 155350207" descr="Figure 16. Decision tree for determining if a health technology should be treated as a potential NHRA high cost, H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0207" name="Picture 155350207" descr="Figure 16. Decision tree for determining if a health technology should be treated as a potential NHRA high cost, HS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5753100"/>
                    </a:xfrm>
                    <a:prstGeom prst="rect">
                      <a:avLst/>
                    </a:prstGeom>
                    <a:solidFill>
                      <a:schemeClr val="bg1"/>
                    </a:solidFill>
                    <a:ln>
                      <a:noFill/>
                    </a:ln>
                  </pic:spPr>
                </pic:pic>
              </a:graphicData>
            </a:graphic>
          </wp:inline>
        </w:drawing>
      </w:r>
    </w:p>
    <w:p w14:paraId="4DE947D4" w14:textId="77777777" w:rsidR="00560AAB" w:rsidRDefault="00560AAB" w:rsidP="00560AAB">
      <w:pPr>
        <w:pStyle w:val="Heading3"/>
      </w:pPr>
      <w:r>
        <w:t>Who considers submissions?</w:t>
      </w:r>
    </w:p>
    <w:p w14:paraId="0975728D" w14:textId="547AC6D1" w:rsidR="00560AAB" w:rsidRDefault="00560AAB" w:rsidP="00560AAB">
      <w:r>
        <w:t xml:space="preserve">Where an application is determined to meet the criteria for an HST, the MSAC assessment pathway will apply. Where an application is determined not to meet the criteria for an HST, other funding programs, such as the PBS will be considered.  </w:t>
      </w:r>
    </w:p>
    <w:p w14:paraId="3C88BD10" w14:textId="77777777" w:rsidR="00424A34" w:rsidRDefault="00424A34" w:rsidP="00424A34">
      <w:pPr>
        <w:pStyle w:val="Heading3"/>
      </w:pPr>
      <w:r>
        <w:t>Consideration of evidence from patients, consumers and others</w:t>
      </w:r>
    </w:p>
    <w:p w14:paraId="64C9DC96" w14:textId="7B2D3DE4" w:rsidR="00424A34" w:rsidRDefault="00424A34" w:rsidP="000A6D7F">
      <w:r>
        <w:t xml:space="preserve">Evidence from patients, consumers and others are considered through the existing consultations in the MSAC process. </w:t>
      </w:r>
    </w:p>
    <w:p w14:paraId="0A4CBA03" w14:textId="77777777" w:rsidR="00424A34" w:rsidRDefault="00424A34" w:rsidP="00560AAB"/>
    <w:p w14:paraId="4F3A5B18" w14:textId="3FEC8008" w:rsidR="00DB54DC" w:rsidRDefault="00DB54DC" w:rsidP="00CC7714">
      <w:pPr>
        <w:pStyle w:val="Heading3"/>
      </w:pPr>
      <w:r>
        <w:lastRenderedPageBreak/>
        <w:t>What assessment is made and what information is used to make the assessment?</w:t>
      </w:r>
    </w:p>
    <w:p w14:paraId="6E508BFB" w14:textId="1E32E241" w:rsidR="00C91850" w:rsidRPr="000A6D7F" w:rsidRDefault="002E5FE4" w:rsidP="000A6D7F">
      <w:r>
        <w:t xml:space="preserve">The </w:t>
      </w:r>
      <w:r w:rsidR="00DB54DC">
        <w:t xml:space="preserve">assessment and </w:t>
      </w:r>
      <w:r>
        <w:t>information is</w:t>
      </w:r>
      <w:r w:rsidR="009313D1">
        <w:t xml:space="preserve"> the same as that</w:t>
      </w:r>
      <w:r>
        <w:t xml:space="preserve"> required </w:t>
      </w:r>
      <w:r w:rsidR="009313D1">
        <w:t>for other</w:t>
      </w:r>
      <w:r w:rsidR="001E201B">
        <w:t xml:space="preserve"> submissions considered by</w:t>
      </w:r>
      <w:r>
        <w:t xml:space="preserve"> MSAC</w:t>
      </w:r>
      <w:r w:rsidR="00C91850">
        <w:t>,</w:t>
      </w:r>
      <w:r w:rsidR="00C91850" w:rsidRPr="00C91850">
        <w:t xml:space="preserve"> </w:t>
      </w:r>
      <w:r w:rsidR="00C91850">
        <w:t>with the addition of submissions from state and territory health departments. Details of the assessment of HSTs are detailed in the draft HST Framework.</w:t>
      </w:r>
      <w:r w:rsidR="00C91850" w:rsidRPr="000A6D7F">
        <w:t xml:space="preserve"> </w:t>
      </w:r>
    </w:p>
    <w:p w14:paraId="4C843C52" w14:textId="77777777" w:rsidR="002E5FE4" w:rsidRDefault="002E5FE4" w:rsidP="002E5FE4">
      <w:pPr>
        <w:pStyle w:val="Heading3"/>
      </w:pPr>
      <w:r>
        <w:t>Pathway from application to funding?</w:t>
      </w:r>
    </w:p>
    <w:p w14:paraId="080AF507" w14:textId="77777777" w:rsidR="002E5FE4" w:rsidRDefault="002E5FE4" w:rsidP="002E5FE4">
      <w:pPr>
        <w:pStyle w:val="Heading4"/>
      </w:pPr>
      <w:r>
        <w:t>MSAC process</w:t>
      </w:r>
    </w:p>
    <w:p w14:paraId="2766BBDA" w14:textId="211EA697" w:rsidR="002E5FE4" w:rsidRPr="00C34BD9" w:rsidRDefault="002E5FE4" w:rsidP="002E5FE4">
      <w:r>
        <w:t xml:space="preserve">The normal pathways for appraisal by MSAC apply to </w:t>
      </w:r>
      <w:r w:rsidR="00D318BF">
        <w:t>HST</w:t>
      </w:r>
      <w:r w:rsidR="00A33A13">
        <w:t>s</w:t>
      </w:r>
      <w:r w:rsidR="00D318BF">
        <w:t>.</w:t>
      </w:r>
      <w:r w:rsidR="00560AAB">
        <w:t xml:space="preserve"> </w:t>
      </w:r>
    </w:p>
    <w:p w14:paraId="5BD76739" w14:textId="77777777" w:rsidR="002E5FE4" w:rsidRDefault="002E5FE4" w:rsidP="002E5FE4">
      <w:pPr>
        <w:pStyle w:val="Heading4"/>
      </w:pPr>
      <w:r>
        <w:t>Post-MSAC process</w:t>
      </w:r>
    </w:p>
    <w:p w14:paraId="2D87710F" w14:textId="339A8ACF" w:rsidR="00D318BF" w:rsidRDefault="006A2408" w:rsidP="002E5FE4">
      <w:r>
        <w:t xml:space="preserve">Following a supportive MSAC recommendation, the Commonwealth </w:t>
      </w:r>
      <w:r w:rsidR="000A6D7F">
        <w:t xml:space="preserve">and sponsor </w:t>
      </w:r>
      <w:r w:rsidR="000F55B0">
        <w:t xml:space="preserve">company </w:t>
      </w:r>
      <w:r w:rsidR="000A6D7F">
        <w:t>negotiate</w:t>
      </w:r>
      <w:r>
        <w:t xml:space="preserve"> an overarching Deed of Agreement in line with MSAC’s conditions for funding. States and territories are notified on the same day that the company agrees to the recommendations of </w:t>
      </w:r>
      <w:r w:rsidR="00EE43CD">
        <w:t xml:space="preserve"> </w:t>
      </w:r>
      <w:r>
        <w:t xml:space="preserve">MSAC. </w:t>
      </w:r>
      <w:r w:rsidR="00DA2E80">
        <w:t>States and territories decide when and where the therapy will be provided.</w:t>
      </w:r>
      <w:r w:rsidR="00DA2E80">
        <w:rPr>
          <w:rStyle w:val="FootnoteReference"/>
        </w:rPr>
        <w:footnoteReference w:id="56"/>
      </w:r>
    </w:p>
    <w:p w14:paraId="5EAF0ED7" w14:textId="3495E14A" w:rsidR="00AF0313" w:rsidRDefault="00AF0313" w:rsidP="00CC7714">
      <w:pPr>
        <w:pStyle w:val="Heading2"/>
      </w:pPr>
      <w:bookmarkStart w:id="50" w:name="_Toc156576980"/>
      <w:r>
        <w:t>Issues raised through the House of Representatives Inquiry</w:t>
      </w:r>
      <w:bookmarkEnd w:id="50"/>
    </w:p>
    <w:p w14:paraId="7AA03E9B" w14:textId="4ACBE577" w:rsidR="007E74B7" w:rsidRDefault="007E74B7" w:rsidP="007E74B7">
      <w:r>
        <w:t>Pharmaceutical companies expressed the view that companies seeking to bring new types of technologies such as precision therapies are finding it difficult to determine the appropriate pathway</w:t>
      </w:r>
      <w:r w:rsidR="00A33A13">
        <w:t xml:space="preserve"> – particularly for gene therapies which could be subsidised either through the PBS or funded under HST arrangements. </w:t>
      </w:r>
      <w:r>
        <w:t>There was a</w:t>
      </w:r>
      <w:r w:rsidR="00A33A13">
        <w:t>lso a</w:t>
      </w:r>
      <w:r>
        <w:t xml:space="preserve"> perception among pharmaceutical companies, that for some technologies, there </w:t>
      </w:r>
      <w:r w:rsidR="00A33A13">
        <w:t>w</w:t>
      </w:r>
      <w:r w:rsidR="009663F5">
        <w:t>as no</w:t>
      </w:r>
      <w:r>
        <w:t xml:space="preserve"> pathway for funding</w:t>
      </w:r>
      <w:r w:rsidR="009663F5">
        <w:t xml:space="preserve"> – although these technologies were not identified</w:t>
      </w:r>
      <w:r>
        <w:t xml:space="preserve">. </w:t>
      </w:r>
    </w:p>
    <w:p w14:paraId="2E9DDF5E" w14:textId="79EEC2FE" w:rsidR="00CC7714" w:rsidRDefault="00CC7714" w:rsidP="00CC7714">
      <w:pPr>
        <w:pStyle w:val="Heading2"/>
      </w:pPr>
      <w:bookmarkStart w:id="51" w:name="_Toc156576981"/>
      <w:r>
        <w:t>Timeframes for funding HSTs</w:t>
      </w:r>
      <w:bookmarkEnd w:id="51"/>
    </w:p>
    <w:p w14:paraId="65700DDA" w14:textId="0B2EDDE6" w:rsidR="00CC7714" w:rsidRPr="00CC7714" w:rsidRDefault="00CC7714" w:rsidP="00CC7714">
      <w:pPr>
        <w:sectPr w:rsidR="00CC7714" w:rsidRPr="00CC7714" w:rsidSect="00B27844">
          <w:pgSz w:w="11906" w:h="16838"/>
          <w:pgMar w:top="1440" w:right="1440" w:bottom="1440" w:left="1440" w:header="708" w:footer="530" w:gutter="0"/>
          <w:cols w:space="708"/>
          <w:docGrid w:linePitch="360"/>
        </w:sectPr>
      </w:pPr>
      <w:r>
        <w:t xml:space="preserve">The timeframes for assessment of HSTs are the same as for </w:t>
      </w:r>
      <w:r w:rsidR="00F121D1">
        <w:t xml:space="preserve">other health technologies considered by the MSAC. </w:t>
      </w:r>
      <w:r>
        <w:t xml:space="preserve">As with MBS listings, there is no specific timeframe for the funding of </w:t>
      </w:r>
      <w:r w:rsidR="003D08F5">
        <w:t>a</w:t>
      </w:r>
      <w:r w:rsidR="000C333F">
        <w:t>n</w:t>
      </w:r>
      <w:r w:rsidR="003D08F5">
        <w:t xml:space="preserve"> </w:t>
      </w:r>
      <w:r>
        <w:t>HST</w:t>
      </w:r>
      <w:r w:rsidR="00F121D1">
        <w:t xml:space="preserve"> following advice from MSAC. </w:t>
      </w:r>
    </w:p>
    <w:p w14:paraId="1D2CCAB8" w14:textId="200387F7" w:rsidR="00221D99" w:rsidRDefault="003022AC" w:rsidP="00CC7714">
      <w:pPr>
        <w:pStyle w:val="Heading4"/>
      </w:pPr>
      <w:r>
        <w:lastRenderedPageBreak/>
        <w:t>Figure</w:t>
      </w:r>
      <w:r w:rsidR="0078345F">
        <w:t xml:space="preserve"> </w:t>
      </w:r>
      <w:r w:rsidR="00B97D53">
        <w:t>1</w:t>
      </w:r>
      <w:r w:rsidR="0069700E">
        <w:t>7</w:t>
      </w:r>
      <w:r w:rsidR="0078345F">
        <w:t xml:space="preserve">. Example timeframe </w:t>
      </w:r>
      <w:r w:rsidR="007C79F1">
        <w:t>–</w:t>
      </w:r>
      <w:r w:rsidR="00295D4C">
        <w:t xml:space="preserve"> </w:t>
      </w:r>
      <w:r w:rsidR="0078345F">
        <w:t>HST</w:t>
      </w:r>
    </w:p>
    <w:p w14:paraId="4BC38303" w14:textId="77777777" w:rsidR="007C79F1" w:rsidRDefault="007C79F1" w:rsidP="007C79F1"/>
    <w:p w14:paraId="1610F985" w14:textId="5E7FF20B" w:rsidR="0078345F" w:rsidRDefault="00A11050" w:rsidP="0078345F">
      <w:pPr>
        <w:spacing w:before="0"/>
        <w:sectPr w:rsidR="0078345F" w:rsidSect="002E5FE4">
          <w:pgSz w:w="16838" w:h="11906" w:orient="landscape"/>
          <w:pgMar w:top="720" w:right="720" w:bottom="720" w:left="720" w:header="708" w:footer="530" w:gutter="0"/>
          <w:cols w:space="708"/>
          <w:docGrid w:linePitch="360"/>
        </w:sectPr>
      </w:pPr>
      <w:r>
        <w:rPr>
          <w:rFonts w:ascii="Open Sans" w:hAnsi="Open Sans" w:cs="Open Sans"/>
          <w:color w:val="222222"/>
          <w:sz w:val="23"/>
          <w:szCs w:val="23"/>
        </w:rPr>
        <w:object w:dxaOrig="17817" w:dyaOrig="3763" w14:anchorId="7A11FB34">
          <v:shape id="_x0000_i1032" type="#_x0000_t75" alt="Figure 17. Example timeframe – HST table" style="width:781.5pt;height:165.05pt" o:ole="" filled="t" fillcolor="white [3212]">
            <v:imagedata r:id="rId50" o:title=""/>
          </v:shape>
          <o:OLEObject Type="Link" ProgID="Excel.Sheet.12" ShapeID="_x0000_i1032" DrawAspect="Content" r:id="rId51" UpdateMode="Always">
            <o:LinkType>EnhancedMetaFile</o:LinkType>
            <o:LockedField>false</o:LockedField>
          </o:OLEObject>
        </w:object>
      </w:r>
    </w:p>
    <w:p w14:paraId="2A443FBE" w14:textId="27B22E18" w:rsidR="0078345F" w:rsidRDefault="00A45278" w:rsidP="00295D4C">
      <w:pPr>
        <w:pStyle w:val="Heading1"/>
      </w:pPr>
      <w:bookmarkStart w:id="52" w:name="_Toc156576982"/>
      <w:r>
        <w:lastRenderedPageBreak/>
        <w:t>National Blood Arrangements</w:t>
      </w:r>
      <w:bookmarkEnd w:id="52"/>
    </w:p>
    <w:p w14:paraId="799F0D35" w14:textId="54A04846" w:rsidR="00A45278" w:rsidRDefault="00A45278" w:rsidP="00A45278">
      <w:pPr>
        <w:pStyle w:val="Heading2"/>
      </w:pPr>
      <w:bookmarkStart w:id="53" w:name="_Toc156576983"/>
      <w:r>
        <w:t>Background</w:t>
      </w:r>
      <w:bookmarkEnd w:id="53"/>
    </w:p>
    <w:p w14:paraId="19672C0B" w14:textId="77777777" w:rsidR="00A45278" w:rsidRDefault="00A45278" w:rsidP="00A45278">
      <w:pPr>
        <w:pStyle w:val="Heading4"/>
      </w:pPr>
      <w:r>
        <w:t xml:space="preserve">Regulation of blood </w:t>
      </w:r>
    </w:p>
    <w:p w14:paraId="26115B05" w14:textId="648C18F3" w:rsidR="00A45278" w:rsidRDefault="00A45278" w:rsidP="00A45278">
      <w:pPr>
        <w:rPr>
          <w:b/>
          <w:bCs/>
        </w:rPr>
      </w:pPr>
      <w:r w:rsidRPr="000A1DC6">
        <w:t>Blood and blood components (including haematopoietic progenitor cells), are regulated under the </w:t>
      </w:r>
      <w:r w:rsidR="000A6D7F">
        <w:t>TG Act</w:t>
      </w:r>
      <w:r w:rsidRPr="000A1DC6">
        <w:t> as medicines</w:t>
      </w:r>
      <w:r w:rsidR="00C17B0B">
        <w:t>.</w:t>
      </w:r>
      <w:r>
        <w:rPr>
          <w:rStyle w:val="FootnoteReference"/>
        </w:rPr>
        <w:footnoteReference w:id="57"/>
      </w:r>
    </w:p>
    <w:p w14:paraId="02DD8B10" w14:textId="77777777" w:rsidR="00A45278" w:rsidRPr="009F51FE" w:rsidRDefault="00A45278" w:rsidP="00A45278">
      <w:pPr>
        <w:pStyle w:val="Heading4"/>
      </w:pPr>
      <w:r w:rsidRPr="009F51FE">
        <w:t>National Blood Authority</w:t>
      </w:r>
    </w:p>
    <w:p w14:paraId="082C99CA" w14:textId="3D6542E0" w:rsidR="00A45278" w:rsidRDefault="00A45278" w:rsidP="00A45278">
      <w:r w:rsidRPr="009F51FE">
        <w:t xml:space="preserve">The </w:t>
      </w:r>
      <w:r w:rsidR="008C72FC">
        <w:t>NBA</w:t>
      </w:r>
      <w:r w:rsidRPr="009F51FE">
        <w:t xml:space="preserve"> </w:t>
      </w:r>
      <w:r>
        <w:t>i</w:t>
      </w:r>
      <w:r w:rsidRPr="009F51FE">
        <w:t xml:space="preserve">s a statutory agency </w:t>
      </w:r>
      <w:r>
        <w:t xml:space="preserve">established under the </w:t>
      </w:r>
      <w:r w:rsidRPr="009F51FE">
        <w:rPr>
          <w:i/>
          <w:iCs/>
        </w:rPr>
        <w:t>National Blood Authority Act 2003</w:t>
      </w:r>
      <w:r>
        <w:t xml:space="preserve"> </w:t>
      </w:r>
      <w:r w:rsidRPr="009F51FE">
        <w:t>within the Australian Government Health portfolio</w:t>
      </w:r>
      <w:r>
        <w:t xml:space="preserve">. The </w:t>
      </w:r>
      <w:r w:rsidR="008C72FC">
        <w:t>NBA</w:t>
      </w:r>
      <w:r w:rsidR="008C72FC" w:rsidRPr="009F51FE">
        <w:t xml:space="preserve"> </w:t>
      </w:r>
      <w:r w:rsidRPr="009F51FE">
        <w:t xml:space="preserve">manages and coordinates arrangements for the supply of blood and blood products and services on behalf of the </w:t>
      </w:r>
      <w:r w:rsidR="00D52311">
        <w:t>Commonwealth,</w:t>
      </w:r>
      <w:r w:rsidRPr="009F51FE">
        <w:t xml:space="preserve"> state and territory governments</w:t>
      </w:r>
      <w:r w:rsidR="000A6D7F">
        <w:t>.</w:t>
      </w:r>
      <w:r w:rsidRPr="00EA3249">
        <w:rPr>
          <w:vertAlign w:val="superscript"/>
        </w:rPr>
        <w:footnoteReference w:id="58"/>
      </w:r>
    </w:p>
    <w:p w14:paraId="32149DF9" w14:textId="77777777" w:rsidR="00A45278" w:rsidRPr="000A1DC6" w:rsidRDefault="00A45278" w:rsidP="00A45278">
      <w:pPr>
        <w:pStyle w:val="Heading4"/>
      </w:pPr>
      <w:r w:rsidRPr="000A1DC6">
        <w:t>National Blood A</w:t>
      </w:r>
      <w:r>
        <w:t>greement</w:t>
      </w:r>
    </w:p>
    <w:p w14:paraId="5BFD1DC8" w14:textId="0B753ACA" w:rsidR="00A45278" w:rsidRDefault="00A45278" w:rsidP="00A45278">
      <w:r w:rsidRPr="00223B15">
        <w:t xml:space="preserve">The National Blood Agreement </w:t>
      </w:r>
      <w:r>
        <w:t xml:space="preserve">(the Agreement) </w:t>
      </w:r>
      <w:r w:rsidRPr="00223B15">
        <w:t xml:space="preserve">between the </w:t>
      </w:r>
      <w:r w:rsidR="007F5A54">
        <w:t>Commonwealth,</w:t>
      </w:r>
      <w:r w:rsidR="006A534F">
        <w:t xml:space="preserve"> s</w:t>
      </w:r>
      <w:r w:rsidRPr="00223B15">
        <w:t xml:space="preserve">tate and </w:t>
      </w:r>
      <w:r w:rsidR="006A534F">
        <w:t>t</w:t>
      </w:r>
      <w:r w:rsidRPr="00223B15">
        <w:t>erritor</w:t>
      </w:r>
      <w:r w:rsidR="007F5A54">
        <w:t>y governments</w:t>
      </w:r>
      <w:r w:rsidR="006A534F">
        <w:t>,</w:t>
      </w:r>
      <w:r w:rsidRPr="00223B15">
        <w:t xml:space="preserve"> implements a coordinated national approach to policy setting, governance and management for the Australian blood sector.</w:t>
      </w:r>
      <w:r w:rsidR="00CD388B" w:rsidRPr="00CD388B">
        <w:rPr>
          <w:vertAlign w:val="superscript"/>
        </w:rPr>
        <w:footnoteReference w:id="59"/>
      </w:r>
      <w:r w:rsidRPr="00223B15">
        <w:t xml:space="preserve"> </w:t>
      </w:r>
      <w:r>
        <w:t xml:space="preserve">The primary objectives under the Agreement are to provide an adequate, safe, secure, and affordable supply of blood products, blood related products and blood related services and promote safe, high-quality management and use of blood products, blood related products and blood related services in Australia. </w:t>
      </w:r>
      <w:r w:rsidRPr="00223B15">
        <w:t>The Agreement describes the</w:t>
      </w:r>
      <w:r>
        <w:t xml:space="preserve"> </w:t>
      </w:r>
      <w:r w:rsidRPr="00223B15">
        <w:t>process for determining the products which are supplied through the National Product</w:t>
      </w:r>
      <w:r>
        <w:t xml:space="preserve"> </w:t>
      </w:r>
      <w:r w:rsidRPr="00223B15">
        <w:t>Price List</w:t>
      </w:r>
      <w:r w:rsidR="00CD388B">
        <w:t>.</w:t>
      </w:r>
      <w:r w:rsidRPr="00CD388B">
        <w:rPr>
          <w:vertAlign w:val="superscript"/>
        </w:rPr>
        <w:footnoteReference w:id="60"/>
      </w:r>
      <w:r w:rsidRPr="00223B15">
        <w:t xml:space="preserve"> </w:t>
      </w:r>
      <w:r>
        <w:t>All state and territory governments must approve the supply and funding of products under Schedule 4 of the Agreement, with:</w:t>
      </w:r>
    </w:p>
    <w:p w14:paraId="186C656D" w14:textId="5DA7321A" w:rsidR="00A45278" w:rsidRDefault="00A45278" w:rsidP="00651D54">
      <w:pPr>
        <w:pStyle w:val="ListParagraph"/>
        <w:numPr>
          <w:ilvl w:val="0"/>
          <w:numId w:val="44"/>
        </w:numPr>
      </w:pPr>
      <w:r>
        <w:t>63</w:t>
      </w:r>
      <w:r w:rsidR="007C79F1">
        <w:t xml:space="preserve">% </w:t>
      </w:r>
      <w:r>
        <w:t>of the funding provided by the Australian Government</w:t>
      </w:r>
    </w:p>
    <w:p w14:paraId="117BC7A3" w14:textId="69DC11E4" w:rsidR="00A45278" w:rsidRDefault="00A45278" w:rsidP="00651D54">
      <w:pPr>
        <w:pStyle w:val="ListParagraph"/>
        <w:numPr>
          <w:ilvl w:val="0"/>
          <w:numId w:val="44"/>
        </w:numPr>
      </w:pPr>
      <w:r>
        <w:t>37</w:t>
      </w:r>
      <w:r w:rsidR="007C79F1">
        <w:t xml:space="preserve">% </w:t>
      </w:r>
      <w:r>
        <w:t xml:space="preserve">provided by state and territory governments. </w:t>
      </w:r>
    </w:p>
    <w:p w14:paraId="5FA0F164" w14:textId="54569612" w:rsidR="00A45278" w:rsidRDefault="00A45278" w:rsidP="00A45278">
      <w:r>
        <w:t xml:space="preserve">The </w:t>
      </w:r>
      <w:r w:rsidR="004D35AC">
        <w:t>operating costs</w:t>
      </w:r>
      <w:r>
        <w:t xml:space="preserve"> of the National Blood Arrangements (the Arrangements)</w:t>
      </w:r>
      <w:r w:rsidR="004D35AC">
        <w:t xml:space="preserve"> are also</w:t>
      </w:r>
      <w:r w:rsidR="001D1B75">
        <w:t xml:space="preserve"> jointly funded by </w:t>
      </w:r>
      <w:r w:rsidR="00553CED">
        <w:t>the Commonwealth, state and territory governments</w:t>
      </w:r>
      <w:r>
        <w:t>. </w:t>
      </w:r>
      <w:bookmarkStart w:id="54" w:name="_Toc127437252"/>
      <w:bookmarkStart w:id="55" w:name="_Toc127438101"/>
      <w:bookmarkStart w:id="56" w:name="_Toc127439358"/>
      <w:bookmarkStart w:id="57" w:name="_Toc127437253"/>
      <w:bookmarkStart w:id="58" w:name="_Toc127438102"/>
      <w:bookmarkStart w:id="59" w:name="_Toc127439359"/>
      <w:bookmarkStart w:id="60" w:name="_Toc121497188"/>
      <w:bookmarkStart w:id="61" w:name="_Toc121497433"/>
      <w:bookmarkStart w:id="62" w:name="_Toc121497678"/>
      <w:bookmarkStart w:id="63" w:name="_Toc121497923"/>
      <w:bookmarkStart w:id="64" w:name="_Toc121498169"/>
      <w:bookmarkStart w:id="65" w:name="_Toc121735336"/>
      <w:bookmarkStart w:id="66" w:name="_Toc121752487"/>
      <w:bookmarkStart w:id="67" w:name="_Toc121752750"/>
      <w:bookmarkStart w:id="68" w:name="_Toc121833524"/>
      <w:bookmarkStart w:id="69" w:name="_Toc12190241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237B80" w:rsidRPr="00237B80">
        <w:t xml:space="preserve">Anyone can propose changes to products or services that are publicly funded under the </w:t>
      </w:r>
      <w:r w:rsidR="007E7B3F">
        <w:t xml:space="preserve">Arrangements. </w:t>
      </w:r>
      <w:r w:rsidRPr="00D1582B">
        <w:t xml:space="preserve">Proposals to change the products and services funded under the </w:t>
      </w:r>
      <w:r>
        <w:t>A</w:t>
      </w:r>
      <w:r w:rsidRPr="00D1582B">
        <w:t xml:space="preserve">rrangements </w:t>
      </w:r>
      <w:r w:rsidR="00FB75E2">
        <w:t>usually come from</w:t>
      </w:r>
      <w:r w:rsidRPr="00D1582B">
        <w:t xml:space="preserve"> suppliers with new products, </w:t>
      </w:r>
      <w:r w:rsidR="00CD388B">
        <w:t xml:space="preserve">the </w:t>
      </w:r>
      <w:r w:rsidRPr="00D1582B">
        <w:t>TGA, other bodies with responsibilities in relation to safety and quality, or patient groups</w:t>
      </w:r>
      <w:r>
        <w:t>.</w:t>
      </w:r>
    </w:p>
    <w:p w14:paraId="457EFB3F" w14:textId="32220CD9" w:rsidR="00A45278" w:rsidRDefault="009C2F13" w:rsidP="00A45278">
      <w:pPr>
        <w:pStyle w:val="Heading2"/>
      </w:pPr>
      <w:r>
        <w:t xml:space="preserve"> </w:t>
      </w:r>
      <w:bookmarkStart w:id="70" w:name="_Toc156576984"/>
      <w:r w:rsidR="00A45278">
        <w:t>Funding process</w:t>
      </w:r>
      <w:r w:rsidR="00CD61B4">
        <w:t xml:space="preserve"> for blood products</w:t>
      </w:r>
      <w:bookmarkEnd w:id="70"/>
    </w:p>
    <w:p w14:paraId="663E51F0" w14:textId="2975C587" w:rsidR="00A45278" w:rsidRPr="00DE6D92" w:rsidRDefault="00A45278" w:rsidP="00A45278">
      <w:pPr>
        <w:rPr>
          <w:bdr w:val="none" w:sz="0" w:space="0" w:color="auto" w:frame="1"/>
        </w:rPr>
      </w:pPr>
      <w:r w:rsidRPr="00D1582B">
        <w:t xml:space="preserve">In all instances, applications are made to the </w:t>
      </w:r>
      <w:r w:rsidR="003B1FDC">
        <w:t>NBA</w:t>
      </w:r>
      <w:r w:rsidRPr="00D1582B">
        <w:t xml:space="preserve">. In order to make the application process consistent, a comprehensive Multi-Criteria Analysis Framework has been developed to assess proposals and is undertaken by the </w:t>
      </w:r>
      <w:r w:rsidR="003B1FDC">
        <w:t>NBA</w:t>
      </w:r>
      <w:r w:rsidRPr="00D1582B">
        <w:t xml:space="preserve">. </w:t>
      </w:r>
      <w:r w:rsidRPr="00223B15">
        <w:t xml:space="preserve">Consideration of funding proposals is initially undertaken by the </w:t>
      </w:r>
      <w:r w:rsidR="006A534F">
        <w:t>JBC</w:t>
      </w:r>
      <w:r w:rsidRPr="00223B15">
        <w:t xml:space="preserve"> which </w:t>
      </w:r>
      <w:r>
        <w:rPr>
          <w:bdr w:val="none" w:sz="0" w:space="0" w:color="auto" w:frame="1"/>
        </w:rPr>
        <w:t>consists</w:t>
      </w:r>
      <w:r w:rsidRPr="00DE6D92">
        <w:rPr>
          <w:bdr w:val="none" w:sz="0" w:space="0" w:color="auto" w:frame="1"/>
        </w:rPr>
        <w:t xml:space="preserve"> of senior government officials with member representation from the </w:t>
      </w:r>
      <w:r w:rsidRPr="00DE6D92">
        <w:rPr>
          <w:bdr w:val="none" w:sz="0" w:space="0" w:color="auto" w:frame="1"/>
        </w:rPr>
        <w:lastRenderedPageBreak/>
        <w:t xml:space="preserve">Australian Government, the six </w:t>
      </w:r>
      <w:r>
        <w:rPr>
          <w:bdr w:val="none" w:sz="0" w:space="0" w:color="auto" w:frame="1"/>
        </w:rPr>
        <w:t>s</w:t>
      </w:r>
      <w:r w:rsidRPr="00DE6D92">
        <w:rPr>
          <w:bdr w:val="none" w:sz="0" w:space="0" w:color="auto" w:frame="1"/>
        </w:rPr>
        <w:t xml:space="preserve">tate </w:t>
      </w:r>
      <w:r>
        <w:rPr>
          <w:bdr w:val="none" w:sz="0" w:space="0" w:color="auto" w:frame="1"/>
        </w:rPr>
        <w:t>g</w:t>
      </w:r>
      <w:r w:rsidRPr="00DE6D92">
        <w:rPr>
          <w:bdr w:val="none" w:sz="0" w:space="0" w:color="auto" w:frame="1"/>
        </w:rPr>
        <w:t xml:space="preserve">overnments and two </w:t>
      </w:r>
      <w:r>
        <w:rPr>
          <w:bdr w:val="none" w:sz="0" w:space="0" w:color="auto" w:frame="1"/>
        </w:rPr>
        <w:t>t</w:t>
      </w:r>
      <w:r w:rsidRPr="00DE6D92">
        <w:rPr>
          <w:bdr w:val="none" w:sz="0" w:space="0" w:color="auto" w:frame="1"/>
        </w:rPr>
        <w:t xml:space="preserve">erritory </w:t>
      </w:r>
      <w:r>
        <w:rPr>
          <w:bdr w:val="none" w:sz="0" w:space="0" w:color="auto" w:frame="1"/>
        </w:rPr>
        <w:t>g</w:t>
      </w:r>
      <w:r w:rsidRPr="00DE6D92">
        <w:rPr>
          <w:bdr w:val="none" w:sz="0" w:space="0" w:color="auto" w:frame="1"/>
        </w:rPr>
        <w:t>overnments</w:t>
      </w:r>
      <w:r>
        <w:rPr>
          <w:bdr w:val="none" w:sz="0" w:space="0" w:color="auto" w:frame="1"/>
        </w:rPr>
        <w:t xml:space="preserve">. </w:t>
      </w:r>
      <w:r w:rsidR="006A534F">
        <w:rPr>
          <w:bdr w:val="none" w:sz="0" w:space="0" w:color="auto" w:frame="1"/>
        </w:rPr>
        <w:t xml:space="preserve">The </w:t>
      </w:r>
      <w:r>
        <w:rPr>
          <w:bdr w:val="none" w:sz="0" w:space="0" w:color="auto" w:frame="1"/>
        </w:rPr>
        <w:t>JBC’s</w:t>
      </w:r>
      <w:r w:rsidRPr="00DE6D92">
        <w:rPr>
          <w:bdr w:val="none" w:sz="0" w:space="0" w:color="auto" w:frame="1"/>
        </w:rPr>
        <w:t xml:space="preserve"> key functions </w:t>
      </w:r>
      <w:r w:rsidR="0054429E">
        <w:rPr>
          <w:bdr w:val="none" w:sz="0" w:space="0" w:color="auto" w:frame="1"/>
        </w:rPr>
        <w:t>are to:</w:t>
      </w:r>
      <w:r w:rsidRPr="00DE6D92">
        <w:rPr>
          <w:bdr w:val="none" w:sz="0" w:space="0" w:color="auto" w:frame="1"/>
        </w:rPr>
        <w:t xml:space="preserve"> </w:t>
      </w:r>
    </w:p>
    <w:p w14:paraId="7FDA4537" w14:textId="2E942751" w:rsidR="00A45278" w:rsidRPr="00E02B5A" w:rsidRDefault="00A45278" w:rsidP="00651D54">
      <w:pPr>
        <w:pStyle w:val="ListParagraph"/>
        <w:numPr>
          <w:ilvl w:val="0"/>
          <w:numId w:val="33"/>
        </w:numPr>
        <w:spacing w:before="0" w:after="160"/>
        <w:rPr>
          <w:bdr w:val="none" w:sz="0" w:space="0" w:color="auto" w:frame="1"/>
        </w:rPr>
      </w:pPr>
      <w:r w:rsidRPr="00E02B5A">
        <w:rPr>
          <w:bdr w:val="none" w:sz="0" w:space="0" w:color="auto" w:frame="1"/>
        </w:rPr>
        <w:t xml:space="preserve">Consider applications for new products to be funding under the </w:t>
      </w:r>
      <w:r w:rsidR="006A534F">
        <w:rPr>
          <w:bdr w:val="none" w:sz="0" w:space="0" w:color="auto" w:frame="1"/>
        </w:rPr>
        <w:t>A</w:t>
      </w:r>
      <w:r w:rsidRPr="00E02B5A">
        <w:rPr>
          <w:bdr w:val="none" w:sz="0" w:space="0" w:color="auto" w:frame="1"/>
        </w:rPr>
        <w:t>rrangements</w:t>
      </w:r>
      <w:r w:rsidR="00313EA8">
        <w:rPr>
          <w:bdr w:val="none" w:sz="0" w:space="0" w:color="auto" w:frame="1"/>
        </w:rPr>
        <w:t>.</w:t>
      </w:r>
    </w:p>
    <w:p w14:paraId="739E57CC" w14:textId="686CEF02" w:rsidR="00A45278" w:rsidRPr="00E02B5A" w:rsidRDefault="00A45278" w:rsidP="00651D54">
      <w:pPr>
        <w:pStyle w:val="ListParagraph"/>
        <w:numPr>
          <w:ilvl w:val="0"/>
          <w:numId w:val="33"/>
        </w:numPr>
        <w:spacing w:before="0" w:after="160"/>
        <w:rPr>
          <w:bdr w:val="none" w:sz="0" w:space="0" w:color="auto" w:frame="1"/>
        </w:rPr>
      </w:pPr>
      <w:r w:rsidRPr="00E02B5A">
        <w:rPr>
          <w:bdr w:val="none" w:sz="0" w:space="0" w:color="auto" w:frame="1"/>
        </w:rPr>
        <w:t>Participate in the development of the national supply plan and budget</w:t>
      </w:r>
      <w:r w:rsidR="00313EA8">
        <w:rPr>
          <w:bdr w:val="none" w:sz="0" w:space="0" w:color="auto" w:frame="1"/>
        </w:rPr>
        <w:t>.</w:t>
      </w:r>
    </w:p>
    <w:p w14:paraId="1C9B2107" w14:textId="12D32CFA" w:rsidR="00A45278" w:rsidRPr="00E02B5A" w:rsidRDefault="00313EA8" w:rsidP="00651D54">
      <w:pPr>
        <w:pStyle w:val="ListParagraph"/>
        <w:numPr>
          <w:ilvl w:val="0"/>
          <w:numId w:val="33"/>
        </w:numPr>
        <w:spacing w:before="0" w:after="160"/>
        <w:rPr>
          <w:bdr w:val="none" w:sz="0" w:space="0" w:color="auto" w:frame="1"/>
        </w:rPr>
      </w:pPr>
      <w:r>
        <w:rPr>
          <w:bdr w:val="none" w:sz="0" w:space="0" w:color="auto" w:frame="1"/>
        </w:rPr>
        <w:t>C</w:t>
      </w:r>
      <w:r w:rsidR="00A45278" w:rsidRPr="00E02B5A">
        <w:rPr>
          <w:bdr w:val="none" w:sz="0" w:space="0" w:color="auto" w:frame="1"/>
        </w:rPr>
        <w:t>onsider advice from the NBA, and to consider and advise the NBA of national blood supply issues</w:t>
      </w:r>
      <w:r>
        <w:rPr>
          <w:bdr w:val="none" w:sz="0" w:space="0" w:color="auto" w:frame="1"/>
        </w:rPr>
        <w:t>.</w:t>
      </w:r>
      <w:r w:rsidR="00A45278" w:rsidRPr="00E02B5A">
        <w:rPr>
          <w:bdr w:val="none" w:sz="0" w:space="0" w:color="auto" w:frame="1"/>
        </w:rPr>
        <w:t xml:space="preserve"> </w:t>
      </w:r>
    </w:p>
    <w:p w14:paraId="064EBD06" w14:textId="4A71404C" w:rsidR="00A45278" w:rsidRPr="00B36277" w:rsidRDefault="00313EA8" w:rsidP="00651D54">
      <w:pPr>
        <w:pStyle w:val="ListParagraph"/>
        <w:numPr>
          <w:ilvl w:val="0"/>
          <w:numId w:val="33"/>
        </w:numPr>
        <w:spacing w:before="0" w:after="160"/>
      </w:pPr>
      <w:r>
        <w:rPr>
          <w:bdr w:val="none" w:sz="0" w:space="0" w:color="auto" w:frame="1"/>
        </w:rPr>
        <w:t>O</w:t>
      </w:r>
      <w:r w:rsidR="00A45278" w:rsidRPr="00E02B5A">
        <w:rPr>
          <w:bdr w:val="none" w:sz="0" w:space="0" w:color="auto" w:frame="1"/>
        </w:rPr>
        <w:t>versee the NBA’s role in relation to contracts with bodies involved in the collection, production and distribution of products for the purposes of the national blood supply.</w:t>
      </w:r>
    </w:p>
    <w:p w14:paraId="15B63A7E" w14:textId="5550D79B" w:rsidR="00A45278" w:rsidRPr="00DE6D92" w:rsidRDefault="00A45278" w:rsidP="00A45278">
      <w:r w:rsidRPr="00223B15">
        <w:t xml:space="preserve">Where appropriate, the </w:t>
      </w:r>
      <w:r>
        <w:t>JBC</w:t>
      </w:r>
      <w:r w:rsidRPr="00223B15">
        <w:t xml:space="preserve"> may also request an evidence-based evaluation by MSAC on the safety, clinical</w:t>
      </w:r>
      <w:r>
        <w:t xml:space="preserve"> </w:t>
      </w:r>
      <w:r w:rsidRPr="00223B15">
        <w:t>effectiveness or cost effectiveness of the proposal.</w:t>
      </w:r>
      <w:r>
        <w:t xml:space="preserve"> </w:t>
      </w:r>
      <w:r w:rsidRPr="00DE6D92">
        <w:t xml:space="preserve">Once </w:t>
      </w:r>
      <w:r w:rsidR="008806C5">
        <w:t xml:space="preserve"> </w:t>
      </w:r>
      <w:proofErr w:type="spellStart"/>
      <w:r w:rsidR="00EE43CD">
        <w:t>t</w:t>
      </w:r>
      <w:r w:rsidRPr="00DE6D92">
        <w:t>MSAC</w:t>
      </w:r>
      <w:proofErr w:type="spellEnd"/>
      <w:r w:rsidRPr="00DE6D92">
        <w:t xml:space="preserve"> makes a recommendation, </w:t>
      </w:r>
      <w:r w:rsidR="006A534F">
        <w:t>the application</w:t>
      </w:r>
      <w:r w:rsidR="00CC7714">
        <w:t xml:space="preserve"> </w:t>
      </w:r>
      <w:r w:rsidRPr="00DE6D92">
        <w:t xml:space="preserve">must go back to JBC for further consideration and </w:t>
      </w:r>
      <w:r w:rsidR="00FA5DDF">
        <w:t xml:space="preserve">final </w:t>
      </w:r>
      <w:r w:rsidRPr="00DE6D92">
        <w:t xml:space="preserve">decision. </w:t>
      </w:r>
    </w:p>
    <w:p w14:paraId="0AEEA6CE" w14:textId="696D330A" w:rsidR="00A45278" w:rsidRDefault="00A45278" w:rsidP="00A45278">
      <w:r w:rsidRPr="00DE6D92">
        <w:t xml:space="preserve">If governments agree to fund a new product, the </w:t>
      </w:r>
      <w:r w:rsidR="003B1FDC">
        <w:t>NBA</w:t>
      </w:r>
      <w:r w:rsidR="003B1FDC" w:rsidRPr="00DE6D92">
        <w:t xml:space="preserve"> </w:t>
      </w:r>
      <w:r w:rsidRPr="00DE6D92">
        <w:t>will negotiate with the supplier to achieve the best value for money.</w:t>
      </w:r>
    </w:p>
    <w:p w14:paraId="4B50FFA1" w14:textId="5D41D657" w:rsidR="00A33A13" w:rsidRDefault="00BD0DDF" w:rsidP="00A33A13">
      <w:pPr>
        <w:pStyle w:val="Heading2"/>
      </w:pPr>
      <w:r>
        <w:t xml:space="preserve"> </w:t>
      </w:r>
      <w:bookmarkStart w:id="71" w:name="_Toc156576985"/>
      <w:r w:rsidR="00A33A13">
        <w:t>Issues raised through the House of Representatives Inquiry</w:t>
      </w:r>
      <w:bookmarkEnd w:id="71"/>
    </w:p>
    <w:p w14:paraId="519DFE38" w14:textId="3A189792" w:rsidR="00A33A13" w:rsidRPr="00A33A13" w:rsidRDefault="00A33A13" w:rsidP="00A33A13">
      <w:r>
        <w:t xml:space="preserve">The issues raised in the Inquiry relevant to blood arrangements were the same as those that related to timeframes for </w:t>
      </w:r>
      <w:r w:rsidR="00EE43CD">
        <w:t xml:space="preserve">the </w:t>
      </w:r>
      <w:r>
        <w:t>MSAC and post</w:t>
      </w:r>
      <w:r w:rsidR="00124EEE">
        <w:t>-</w:t>
      </w:r>
      <w:r>
        <w:t xml:space="preserve">MSAC processes discussed in </w:t>
      </w:r>
      <w:r w:rsidR="001C6F1A">
        <w:t>S</w:t>
      </w:r>
      <w:r>
        <w:t xml:space="preserve">ection 7. </w:t>
      </w:r>
    </w:p>
    <w:p w14:paraId="53DB89CB" w14:textId="6572EDDE" w:rsidR="00192A58" w:rsidRDefault="0082147B" w:rsidP="00192A58">
      <w:pPr>
        <w:pStyle w:val="Heading2"/>
      </w:pPr>
      <w:r>
        <w:t xml:space="preserve"> </w:t>
      </w:r>
      <w:bookmarkStart w:id="72" w:name="_Toc156576986"/>
      <w:r w:rsidR="00192A58">
        <w:t>Timeframes for funding blood products</w:t>
      </w:r>
      <w:bookmarkEnd w:id="72"/>
    </w:p>
    <w:p w14:paraId="28421082" w14:textId="08710077" w:rsidR="00192A58" w:rsidRPr="00CC7714" w:rsidRDefault="00192A58" w:rsidP="00192A58">
      <w:pPr>
        <w:sectPr w:rsidR="00192A58" w:rsidRPr="00CC7714" w:rsidSect="00B27844">
          <w:pgSz w:w="11906" w:h="16838"/>
          <w:pgMar w:top="1440" w:right="1440" w:bottom="1440" w:left="1440" w:header="708" w:footer="530" w:gutter="0"/>
          <w:cols w:space="708"/>
          <w:docGrid w:linePitch="360"/>
        </w:sectPr>
      </w:pPr>
      <w:r>
        <w:t>There are no specific timeframe</w:t>
      </w:r>
      <w:r w:rsidR="00AE185E">
        <w:t>s</w:t>
      </w:r>
      <w:r>
        <w:t xml:space="preserve"> for the funding of blood products. </w:t>
      </w:r>
    </w:p>
    <w:p w14:paraId="066EF0D9" w14:textId="42FB2A20" w:rsidR="00A45278" w:rsidRDefault="00A45278" w:rsidP="00A45278">
      <w:pPr>
        <w:pStyle w:val="Heading1"/>
      </w:pPr>
      <w:bookmarkStart w:id="73" w:name="_Toc156576987"/>
      <w:r>
        <w:lastRenderedPageBreak/>
        <w:t>Appendix A – List of HTA committees and sub-committees</w:t>
      </w:r>
      <w:bookmarkEnd w:id="73"/>
    </w:p>
    <w:tbl>
      <w:tblPr>
        <w:tblStyle w:val="DepartmentofHealthtable"/>
        <w:tblW w:w="9072" w:type="dxa"/>
        <w:tblLook w:val="04A0" w:firstRow="1" w:lastRow="0" w:firstColumn="1" w:lastColumn="0" w:noHBand="0" w:noVBand="1"/>
      </w:tblPr>
      <w:tblGrid>
        <w:gridCol w:w="2257"/>
        <w:gridCol w:w="6815"/>
      </w:tblGrid>
      <w:tr w:rsidR="00A45278" w:rsidRPr="00557D5A" w14:paraId="7CE95159" w14:textId="77777777" w:rsidTr="00A452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7" w:type="dxa"/>
          </w:tcPr>
          <w:p w14:paraId="2C71618E" w14:textId="10CD9A0C" w:rsidR="00A45278" w:rsidRPr="00A45278" w:rsidRDefault="00A45278" w:rsidP="000812A7">
            <w:pPr>
              <w:pStyle w:val="TableHeaderWhite"/>
              <w:rPr>
                <w:rFonts w:asciiTheme="minorHAnsi" w:hAnsiTheme="minorHAnsi" w:cstheme="minorHAnsi"/>
                <w:szCs w:val="22"/>
              </w:rPr>
            </w:pPr>
            <w:r w:rsidRPr="00A45278">
              <w:rPr>
                <w:rFonts w:asciiTheme="minorHAnsi" w:hAnsiTheme="minorHAnsi" w:cstheme="minorHAnsi"/>
                <w:szCs w:val="22"/>
              </w:rPr>
              <w:t xml:space="preserve">Advisory bodies </w:t>
            </w:r>
          </w:p>
        </w:tc>
        <w:tc>
          <w:tcPr>
            <w:tcW w:w="6815" w:type="dxa"/>
          </w:tcPr>
          <w:p w14:paraId="14B84986" w14:textId="77777777" w:rsidR="00A45278" w:rsidRPr="00A45278" w:rsidRDefault="00A45278" w:rsidP="000812A7">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45278">
              <w:rPr>
                <w:rFonts w:asciiTheme="minorHAnsi" w:hAnsiTheme="minorHAnsi" w:cstheme="minorHAnsi"/>
                <w:szCs w:val="22"/>
              </w:rPr>
              <w:t xml:space="preserve">Roles </w:t>
            </w:r>
          </w:p>
        </w:tc>
      </w:tr>
      <w:tr w:rsidR="00A45278" w:rsidRPr="00557D5A" w14:paraId="3BB2487A" w14:textId="77777777" w:rsidTr="00A45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1DE2C1F7" w14:textId="77777777" w:rsidR="00A45278" w:rsidRPr="00374D92" w:rsidRDefault="00A45278" w:rsidP="00B739FA">
            <w:pPr>
              <w:pStyle w:val="Tabletextleft"/>
            </w:pPr>
            <w:r w:rsidRPr="00374D92">
              <w:rPr>
                <w:rFonts w:eastAsia="Calibri"/>
              </w:rPr>
              <w:t xml:space="preserve">PBAC </w:t>
            </w:r>
          </w:p>
        </w:tc>
        <w:tc>
          <w:tcPr>
            <w:tcW w:w="6815" w:type="dxa"/>
          </w:tcPr>
          <w:p w14:paraId="1F37D34F" w14:textId="77777777" w:rsidR="00A45278" w:rsidRPr="00374D92" w:rsidRDefault="00A45278" w:rsidP="00D90219">
            <w:pPr>
              <w:pStyle w:val="Tabletextleft"/>
              <w:cnfStyle w:val="000000100000" w:firstRow="0" w:lastRow="0" w:firstColumn="0" w:lastColumn="0" w:oddVBand="0" w:evenVBand="0" w:oddHBand="1" w:evenHBand="0" w:firstRowFirstColumn="0" w:firstRowLastColumn="0" w:lastRowFirstColumn="0" w:lastRowLastColumn="0"/>
            </w:pPr>
            <w:r w:rsidRPr="00374D92">
              <w:rPr>
                <w:rFonts w:eastAsia="Calibri"/>
              </w:rPr>
              <w:t xml:space="preserve">Pharmaceutical Benefits Advisory Committee: Is an independent expert body appointed by the Australian Government. Members include doctors, health professionals, health economists and consumer representatives. Its primary role is to recommend new medicines for listing on the Pharmaceutical Benefits Committee (PBS). </w:t>
            </w:r>
          </w:p>
        </w:tc>
      </w:tr>
      <w:tr w:rsidR="00A45278" w:rsidRPr="00557D5A" w14:paraId="5CDFC88A" w14:textId="77777777" w:rsidTr="00A45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419354CD" w14:textId="77777777" w:rsidR="00A45278" w:rsidRPr="00374D92" w:rsidRDefault="00A45278" w:rsidP="00B739FA">
            <w:pPr>
              <w:pStyle w:val="Tabletextleft"/>
            </w:pPr>
            <w:r w:rsidRPr="00374D92">
              <w:rPr>
                <w:rFonts w:eastAsia="Calibri"/>
              </w:rPr>
              <w:t>PBAC ESC</w:t>
            </w:r>
          </w:p>
        </w:tc>
        <w:tc>
          <w:tcPr>
            <w:tcW w:w="6815" w:type="dxa"/>
          </w:tcPr>
          <w:p w14:paraId="4C290634" w14:textId="061FAEE7" w:rsidR="00A45278" w:rsidRPr="00374D92" w:rsidRDefault="00A45278" w:rsidP="00D90219">
            <w:pPr>
              <w:pStyle w:val="Tabletextleft"/>
              <w:cnfStyle w:val="000000010000" w:firstRow="0" w:lastRow="0" w:firstColumn="0" w:lastColumn="0" w:oddVBand="0" w:evenVBand="0" w:oddHBand="0" w:evenHBand="1" w:firstRowFirstColumn="0" w:firstRowLastColumn="0" w:lastRowFirstColumn="0" w:lastRowLastColumn="0"/>
            </w:pPr>
            <w:r w:rsidRPr="00374D92">
              <w:rPr>
                <w:rFonts w:eastAsia="Calibri"/>
              </w:rPr>
              <w:t xml:space="preserve">PBAC Economics Sub Committee: Assesses clinical and economic evaluations of medicines submitted to PBAC for listing, and advises PBAC on the technical aspects of these evaluations. </w:t>
            </w:r>
          </w:p>
        </w:tc>
      </w:tr>
      <w:tr w:rsidR="00A45278" w:rsidRPr="00557D5A" w14:paraId="36C4D5AD" w14:textId="77777777" w:rsidTr="00081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101D3332" w14:textId="77777777" w:rsidR="00A45278" w:rsidRPr="00374D92" w:rsidRDefault="00A45278" w:rsidP="00B739FA">
            <w:pPr>
              <w:pStyle w:val="Tabletextleft"/>
              <w:rPr>
                <w:rFonts w:eastAsia="Calibri"/>
              </w:rPr>
            </w:pPr>
            <w:r w:rsidRPr="00374D92">
              <w:rPr>
                <w:rFonts w:eastAsia="Calibri"/>
              </w:rPr>
              <w:t>DUSC</w:t>
            </w:r>
          </w:p>
        </w:tc>
        <w:tc>
          <w:tcPr>
            <w:tcW w:w="6815" w:type="dxa"/>
          </w:tcPr>
          <w:p w14:paraId="4B41CF91" w14:textId="088599D4" w:rsidR="00A45278" w:rsidRPr="00374D92" w:rsidRDefault="00A45278" w:rsidP="00D90219">
            <w:pPr>
              <w:pStyle w:val="Tabletextleft"/>
              <w:cnfStyle w:val="000000100000" w:firstRow="0" w:lastRow="0" w:firstColumn="0" w:lastColumn="0" w:oddVBand="0" w:evenVBand="0" w:oddHBand="1" w:evenHBand="0" w:firstRowFirstColumn="0" w:firstRowLastColumn="0" w:lastRowFirstColumn="0" w:lastRowLastColumn="0"/>
              <w:rPr>
                <w:rFonts w:eastAsia="Calibri"/>
              </w:rPr>
            </w:pPr>
            <w:r w:rsidRPr="00374D92">
              <w:rPr>
                <w:rFonts w:eastAsia="Calibri"/>
              </w:rPr>
              <w:t xml:space="preserve">Drug Utilisation Sub Committee: </w:t>
            </w:r>
            <w:r w:rsidR="00F25238" w:rsidRPr="00374D92">
              <w:rPr>
                <w:rFonts w:eastAsia="Calibri"/>
              </w:rPr>
              <w:t>Advises PBAC on estimates of projected usage and financial cost for medicines and the actual utilisation of medicines.</w:t>
            </w:r>
            <w:r w:rsidRPr="00374D92">
              <w:rPr>
                <w:rFonts w:eastAsia="Calibri"/>
              </w:rPr>
              <w:t xml:space="preserve">. </w:t>
            </w:r>
          </w:p>
        </w:tc>
      </w:tr>
      <w:tr w:rsidR="00A45278" w:rsidRPr="00557D5A" w14:paraId="35077781" w14:textId="77777777" w:rsidTr="00081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8462C2F" w14:textId="77777777" w:rsidR="00A45278" w:rsidRPr="00374D92" w:rsidRDefault="00A45278" w:rsidP="00B739FA">
            <w:pPr>
              <w:pStyle w:val="Tabletextleft"/>
              <w:rPr>
                <w:rFonts w:eastAsia="Calibri"/>
              </w:rPr>
            </w:pPr>
            <w:r w:rsidRPr="00374D92">
              <w:rPr>
                <w:rFonts w:eastAsia="Calibri"/>
              </w:rPr>
              <w:t>MSAC</w:t>
            </w:r>
          </w:p>
        </w:tc>
        <w:tc>
          <w:tcPr>
            <w:tcW w:w="6815" w:type="dxa"/>
          </w:tcPr>
          <w:p w14:paraId="7719D4D9" w14:textId="77777777" w:rsidR="00A45278" w:rsidRPr="00374D92" w:rsidRDefault="00A45278" w:rsidP="00D90219">
            <w:pPr>
              <w:pStyle w:val="Tabletextleft"/>
              <w:cnfStyle w:val="000000010000" w:firstRow="0" w:lastRow="0" w:firstColumn="0" w:lastColumn="0" w:oddVBand="0" w:evenVBand="0" w:oddHBand="0" w:evenHBand="1" w:firstRowFirstColumn="0" w:firstRowLastColumn="0" w:lastRowFirstColumn="0" w:lastRowLastColumn="0"/>
              <w:rPr>
                <w:rFonts w:eastAsia="Calibri"/>
              </w:rPr>
            </w:pPr>
            <w:r w:rsidRPr="00374D92">
              <w:rPr>
                <w:rFonts w:eastAsia="Calibri"/>
              </w:rPr>
              <w:t xml:space="preserve">Medical Services Advisory Committee: Appraises new medical services proposed for public funding and provides advice to Government on whether a new medical service should be publicly funded (and if so, circumstances) on an assessment of its comparative safety, clinical effectiveness, cost-effectiveness and total cost, using the best available evidence. </w:t>
            </w:r>
          </w:p>
        </w:tc>
      </w:tr>
      <w:tr w:rsidR="00A45278" w:rsidRPr="00557D5A" w14:paraId="0B520B39" w14:textId="77777777" w:rsidTr="00081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7A804E46" w14:textId="77777777" w:rsidR="00A45278" w:rsidRPr="00374D92" w:rsidRDefault="00A45278" w:rsidP="00B739FA">
            <w:pPr>
              <w:pStyle w:val="Tabletextleft"/>
              <w:rPr>
                <w:rFonts w:eastAsia="Calibri"/>
              </w:rPr>
            </w:pPr>
            <w:r w:rsidRPr="00374D92">
              <w:rPr>
                <w:rFonts w:eastAsia="Calibri"/>
              </w:rPr>
              <w:t>MSAC ESC</w:t>
            </w:r>
          </w:p>
        </w:tc>
        <w:tc>
          <w:tcPr>
            <w:tcW w:w="6815" w:type="dxa"/>
          </w:tcPr>
          <w:p w14:paraId="2747DF66" w14:textId="10A62D48" w:rsidR="00A45278" w:rsidRPr="00374D92" w:rsidRDefault="00A45278" w:rsidP="00D90219">
            <w:pPr>
              <w:pStyle w:val="Tabletextleft"/>
              <w:cnfStyle w:val="000000100000" w:firstRow="0" w:lastRow="0" w:firstColumn="0" w:lastColumn="0" w:oddVBand="0" w:evenVBand="0" w:oddHBand="1" w:evenHBand="0" w:firstRowFirstColumn="0" w:firstRowLastColumn="0" w:lastRowFirstColumn="0" w:lastRowLastColumn="0"/>
              <w:rPr>
                <w:rFonts w:eastAsia="Calibri"/>
              </w:rPr>
            </w:pPr>
            <w:r w:rsidRPr="00374D92">
              <w:rPr>
                <w:rFonts w:eastAsia="Calibri"/>
              </w:rPr>
              <w:t xml:space="preserve">MSAC Evaluation Sub-committee: A standing sub-committee of MSAC with membership to include health economics, epidemiology, public health, consumer and clinical expertise. Its focus is to provide advice on the quality, validity and relevance of internal and external assessments for applications being considered by MSAC. </w:t>
            </w:r>
          </w:p>
        </w:tc>
      </w:tr>
      <w:tr w:rsidR="00A45278" w:rsidRPr="00557D5A" w14:paraId="1E0258E4" w14:textId="77777777" w:rsidTr="00081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658541E7" w14:textId="77777777" w:rsidR="00A45278" w:rsidRPr="00374D92" w:rsidRDefault="00A45278" w:rsidP="00B739FA">
            <w:pPr>
              <w:pStyle w:val="Tabletextleft"/>
              <w:rPr>
                <w:rFonts w:eastAsia="Calibri"/>
              </w:rPr>
            </w:pPr>
            <w:r w:rsidRPr="00374D92">
              <w:rPr>
                <w:rFonts w:eastAsia="Calibri"/>
              </w:rPr>
              <w:t>MSAC PASC</w:t>
            </w:r>
          </w:p>
        </w:tc>
        <w:tc>
          <w:tcPr>
            <w:tcW w:w="6815" w:type="dxa"/>
          </w:tcPr>
          <w:p w14:paraId="443E1D99" w14:textId="44806FEE" w:rsidR="00A45278" w:rsidRPr="00374D92" w:rsidRDefault="00A45278" w:rsidP="00D90219">
            <w:pPr>
              <w:pStyle w:val="Tabletextleft"/>
              <w:cnfStyle w:val="000000010000" w:firstRow="0" w:lastRow="0" w:firstColumn="0" w:lastColumn="0" w:oddVBand="0" w:evenVBand="0" w:oddHBand="0" w:evenHBand="1" w:firstRowFirstColumn="0" w:firstRowLastColumn="0" w:lastRowFirstColumn="0" w:lastRowLastColumn="0"/>
              <w:rPr>
                <w:rFonts w:eastAsia="Calibri"/>
              </w:rPr>
            </w:pPr>
            <w:r w:rsidRPr="00374D92">
              <w:rPr>
                <w:rFonts w:eastAsia="Calibri"/>
              </w:rPr>
              <w:t>The PICO Advisory Sub-committee: A standing sub-committee of</w:t>
            </w:r>
            <w:r w:rsidR="00EE43CD">
              <w:rPr>
                <w:rFonts w:eastAsia="Calibri"/>
              </w:rPr>
              <w:t xml:space="preserve"> </w:t>
            </w:r>
            <w:r w:rsidRPr="00374D92">
              <w:rPr>
                <w:rFonts w:eastAsia="Calibri"/>
              </w:rPr>
              <w:t xml:space="preserve"> MSAC with membership to include decision analysis, health economics, epidemiology, public health, consumer and clinical expertise. Its focus is on the task of confirming the population, intervention, prior test, comparator and outcomes (PICO/PPICO) of the application’s proposed medical service. This in turn informs the construction of decision analytic for the economic evaluation that is subsequently conducted during the assessment stage of the process. </w:t>
            </w:r>
          </w:p>
        </w:tc>
      </w:tr>
      <w:tr w:rsidR="00A45278" w:rsidRPr="00557D5A" w14:paraId="08C094A0" w14:textId="77777777" w:rsidTr="00081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5B18E24B" w14:textId="77777777" w:rsidR="00A45278" w:rsidRPr="00374D92" w:rsidRDefault="00A45278" w:rsidP="00B739FA">
            <w:pPr>
              <w:pStyle w:val="Tabletextleft"/>
              <w:rPr>
                <w:rFonts w:eastAsia="Calibri"/>
              </w:rPr>
            </w:pPr>
            <w:r w:rsidRPr="00374D92">
              <w:rPr>
                <w:rFonts w:eastAsia="Calibri"/>
              </w:rPr>
              <w:t>ATAGI</w:t>
            </w:r>
          </w:p>
        </w:tc>
        <w:tc>
          <w:tcPr>
            <w:tcW w:w="6815" w:type="dxa"/>
          </w:tcPr>
          <w:p w14:paraId="64AE2B50" w14:textId="1848F71C" w:rsidR="00A45278" w:rsidRPr="00374D92" w:rsidRDefault="00A45278" w:rsidP="00D90219">
            <w:pPr>
              <w:pStyle w:val="Tabletextleft"/>
              <w:cnfStyle w:val="000000100000" w:firstRow="0" w:lastRow="0" w:firstColumn="0" w:lastColumn="0" w:oddVBand="0" w:evenVBand="0" w:oddHBand="1" w:evenHBand="0" w:firstRowFirstColumn="0" w:firstRowLastColumn="0" w:lastRowFirstColumn="0" w:lastRowLastColumn="0"/>
              <w:rPr>
                <w:rFonts w:eastAsia="Calibri"/>
              </w:rPr>
            </w:pPr>
            <w:r w:rsidRPr="00374D92">
              <w:rPr>
                <w:rFonts w:eastAsia="Calibri"/>
              </w:rPr>
              <w:t>Australian Technical Advisory Group on Immunisation: Advises the Minister for Health and Aged Care on the</w:t>
            </w:r>
            <w:r w:rsidR="00C61638">
              <w:rPr>
                <w:rFonts w:eastAsia="Calibri"/>
              </w:rPr>
              <w:t xml:space="preserve"> administration of vaccines including those on the</w:t>
            </w:r>
            <w:r w:rsidRPr="00374D92">
              <w:rPr>
                <w:rFonts w:eastAsia="Calibri"/>
              </w:rPr>
              <w:t xml:space="preserve"> National Immunisation Program (NIP) and other immunisation issues.</w:t>
            </w:r>
            <w:r w:rsidR="00313EA8">
              <w:rPr>
                <w:rFonts w:eastAsia="Calibri"/>
              </w:rPr>
              <w:t xml:space="preserve"> </w:t>
            </w:r>
            <w:r w:rsidR="00C61638">
              <w:rPr>
                <w:rFonts w:eastAsia="Calibri"/>
              </w:rPr>
              <w:t>ATAGI also advises</w:t>
            </w:r>
            <w:r w:rsidR="00125A5E">
              <w:rPr>
                <w:rFonts w:eastAsia="Calibri"/>
              </w:rPr>
              <w:t xml:space="preserve"> the</w:t>
            </w:r>
            <w:r w:rsidR="00C61638">
              <w:rPr>
                <w:rFonts w:eastAsia="Calibri"/>
              </w:rPr>
              <w:t xml:space="preserve"> PBAC on evidence relating to vaccines and their effectiveness for use in Australia.</w:t>
            </w:r>
          </w:p>
        </w:tc>
      </w:tr>
      <w:tr w:rsidR="00A45278" w:rsidRPr="00557D5A" w14:paraId="27A9743F" w14:textId="77777777" w:rsidTr="00374D92">
        <w:trPr>
          <w:cnfStyle w:val="000000010000" w:firstRow="0" w:lastRow="0" w:firstColumn="0" w:lastColumn="0" w:oddVBand="0" w:evenVBand="0" w:oddHBand="0" w:evenHBand="1"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257" w:type="dxa"/>
          </w:tcPr>
          <w:p w14:paraId="5F127B91" w14:textId="21D6B199" w:rsidR="00A45278" w:rsidRPr="00374D92" w:rsidRDefault="00A45278" w:rsidP="00B739FA">
            <w:pPr>
              <w:pStyle w:val="Tabletextleft"/>
              <w:rPr>
                <w:rFonts w:eastAsia="Calibri"/>
              </w:rPr>
            </w:pPr>
            <w:r w:rsidRPr="00374D92">
              <w:rPr>
                <w:rFonts w:eastAsia="Calibri"/>
              </w:rPr>
              <w:t>LSDP</w:t>
            </w:r>
            <w:r w:rsidR="006A534F" w:rsidRPr="00374D92">
              <w:rPr>
                <w:rFonts w:eastAsia="Calibri"/>
              </w:rPr>
              <w:t xml:space="preserve"> </w:t>
            </w:r>
            <w:r w:rsidRPr="00374D92">
              <w:rPr>
                <w:rFonts w:eastAsia="Calibri"/>
              </w:rPr>
              <w:t>EP</w:t>
            </w:r>
          </w:p>
        </w:tc>
        <w:tc>
          <w:tcPr>
            <w:tcW w:w="6815" w:type="dxa"/>
          </w:tcPr>
          <w:p w14:paraId="631B416A" w14:textId="2F0CC3CF" w:rsidR="00A45278" w:rsidRPr="00374D92" w:rsidRDefault="00A45278" w:rsidP="00D90219">
            <w:pPr>
              <w:pStyle w:val="Tabletextleft"/>
              <w:cnfStyle w:val="000000010000" w:firstRow="0" w:lastRow="0" w:firstColumn="0" w:lastColumn="0" w:oddVBand="0" w:evenVBand="0" w:oddHBand="0" w:evenHBand="1" w:firstRowFirstColumn="0" w:firstRowLastColumn="0" w:lastRowFirstColumn="0" w:lastRowLastColumn="0"/>
              <w:rPr>
                <w:rFonts w:eastAsia="Calibri"/>
              </w:rPr>
            </w:pPr>
            <w:r w:rsidRPr="00374D92">
              <w:rPr>
                <w:rFonts w:eastAsia="Calibri"/>
              </w:rPr>
              <w:t xml:space="preserve">Life Saving Drugs Program Expert Panel: Considers all applications to list new medicines on the </w:t>
            </w:r>
            <w:r w:rsidR="006A534F" w:rsidRPr="00374D92">
              <w:rPr>
                <w:rFonts w:eastAsia="Calibri"/>
              </w:rPr>
              <w:t>Life Saving Drugs Program (LSDP)</w:t>
            </w:r>
            <w:r w:rsidRPr="00374D92">
              <w:rPr>
                <w:rFonts w:eastAsia="Calibri"/>
              </w:rPr>
              <w:t>. The</w:t>
            </w:r>
            <w:r w:rsidR="0073282F" w:rsidRPr="00374D92">
              <w:rPr>
                <w:rFonts w:eastAsia="Calibri"/>
              </w:rPr>
              <w:br/>
              <w:t xml:space="preserve">LSDP EP </w:t>
            </w:r>
            <w:r w:rsidRPr="00374D92">
              <w:rPr>
                <w:rFonts w:eastAsia="Calibri"/>
              </w:rPr>
              <w:t>assesses medicines, listens to stakeholders, and advises the Chief Medical Officer about listing medicines. It also reviews medicines already on the LSDP program.</w:t>
            </w:r>
          </w:p>
        </w:tc>
      </w:tr>
    </w:tbl>
    <w:p w14:paraId="2B66BC2F" w14:textId="77777777" w:rsidR="00DF6307" w:rsidRDefault="00DF6307" w:rsidP="00DF6307">
      <w:pPr>
        <w:pStyle w:val="Heading1"/>
        <w:numPr>
          <w:ilvl w:val="0"/>
          <w:numId w:val="0"/>
        </w:numPr>
        <w:sectPr w:rsidR="00DF6307" w:rsidSect="0078345F">
          <w:pgSz w:w="11906" w:h="16838"/>
          <w:pgMar w:top="1440" w:right="1440" w:bottom="1440" w:left="1440" w:header="708" w:footer="530" w:gutter="0"/>
          <w:cols w:space="708"/>
          <w:docGrid w:linePitch="360"/>
        </w:sectPr>
      </w:pPr>
    </w:p>
    <w:p w14:paraId="388BF673" w14:textId="00AA7773" w:rsidR="00A45278" w:rsidRDefault="00DF6307" w:rsidP="00DF6307">
      <w:pPr>
        <w:pStyle w:val="Heading1"/>
      </w:pPr>
      <w:bookmarkStart w:id="74" w:name="_Toc156576988"/>
      <w:r>
        <w:lastRenderedPageBreak/>
        <w:t>Appendix B – Example timelines for new medicines</w:t>
      </w:r>
      <w:bookmarkEnd w:id="74"/>
    </w:p>
    <w:p w14:paraId="26F505E3" w14:textId="423C9EC6" w:rsidR="00DF6307" w:rsidRDefault="003022AC" w:rsidP="00DF6307">
      <w:pPr>
        <w:pStyle w:val="Heading4"/>
        <w:spacing w:before="0"/>
      </w:pPr>
      <w:r>
        <w:t>Figure</w:t>
      </w:r>
      <w:r w:rsidR="00DF6307">
        <w:t xml:space="preserve"> 1</w:t>
      </w:r>
      <w:r w:rsidR="0069700E">
        <w:t>8</w:t>
      </w:r>
      <w:r w:rsidR="00DF6307">
        <w:t>. Example timeframes (min, median and max of different stages)*</w:t>
      </w:r>
    </w:p>
    <w:p w14:paraId="456CF393" w14:textId="77777777" w:rsidR="004C215D" w:rsidRPr="004C215D" w:rsidRDefault="004C215D" w:rsidP="004C215D"/>
    <w:p w14:paraId="20EF8E0A" w14:textId="7F3FCF68" w:rsidR="00DF6307" w:rsidRDefault="004C215D" w:rsidP="00DF6307">
      <w:pPr>
        <w:spacing w:before="0"/>
        <w:rPr>
          <w:sz w:val="20"/>
          <w:szCs w:val="20"/>
        </w:rPr>
      </w:pPr>
      <w:r w:rsidRPr="004C215D">
        <w:rPr>
          <w:noProof/>
        </w:rPr>
        <w:drawing>
          <wp:inline distT="0" distB="0" distL="0" distR="0" wp14:anchorId="1BF23DB4" wp14:editId="2C36C25A">
            <wp:extent cx="9777730" cy="4228465"/>
            <wp:effectExtent l="0" t="0" r="0" b="0"/>
            <wp:docPr id="16" name="Picture 16" descr="Figure 18. Example timeframes (min, median and max of different stag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8. Example timeframes (min, median and max of different stages)* tab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77730" cy="4228465"/>
                    </a:xfrm>
                    <a:prstGeom prst="rect">
                      <a:avLst/>
                    </a:prstGeom>
                    <a:solidFill>
                      <a:schemeClr val="bg1"/>
                    </a:solidFill>
                    <a:ln>
                      <a:noFill/>
                    </a:ln>
                  </pic:spPr>
                </pic:pic>
              </a:graphicData>
            </a:graphic>
          </wp:inline>
        </w:drawing>
      </w:r>
    </w:p>
    <w:p w14:paraId="5CFD267C" w14:textId="77777777" w:rsidR="004C215D" w:rsidRDefault="004C215D" w:rsidP="00DF6307">
      <w:pPr>
        <w:spacing w:before="0"/>
        <w:rPr>
          <w:sz w:val="20"/>
          <w:szCs w:val="20"/>
        </w:rPr>
      </w:pPr>
    </w:p>
    <w:p w14:paraId="6753FA98" w14:textId="189DCEB7" w:rsidR="004C215D" w:rsidRDefault="00A11050" w:rsidP="00DF6307">
      <w:pPr>
        <w:spacing w:before="0"/>
        <w:rPr>
          <w:sz w:val="20"/>
          <w:szCs w:val="20"/>
        </w:rPr>
      </w:pPr>
      <w:r>
        <w:object w:dxaOrig="15727" w:dyaOrig="310" w14:anchorId="3EF13B75">
          <v:shape id="_x0000_i1033" type="#_x0000_t75" alt="Figure 18. Example timeframes (min, median and max of different stages)* table key" style="width:787pt;height:15.5pt" o:ole="" filled="t" fillcolor="white [3212]">
            <v:imagedata r:id="rId53" o:title=""/>
          </v:shape>
          <o:OLEObject Type="Link" ProgID="Excel.Sheet.12" ShapeID="_x0000_i1033" DrawAspect="Content" r:id="rId54" UpdateMode="Always">
            <o:LinkType>EnhancedMetaFile</o:LinkType>
            <o:LockedField>false</o:LockedField>
          </o:OLEObject>
        </w:object>
      </w:r>
    </w:p>
    <w:p w14:paraId="2128CE6E" w14:textId="569FCB28" w:rsidR="00DF6307" w:rsidRPr="00335960" w:rsidRDefault="00DF6307" w:rsidP="00DF6307">
      <w:pPr>
        <w:spacing w:before="0"/>
        <w:rPr>
          <w:sz w:val="20"/>
          <w:szCs w:val="20"/>
        </w:rPr>
      </w:pPr>
      <w:r w:rsidRPr="00335960">
        <w:rPr>
          <w:sz w:val="20"/>
          <w:szCs w:val="20"/>
        </w:rPr>
        <w:t xml:space="preserve">* Reasons for </w:t>
      </w:r>
      <w:r w:rsidR="00125A5E">
        <w:rPr>
          <w:sz w:val="20"/>
          <w:szCs w:val="20"/>
        </w:rPr>
        <w:t xml:space="preserve">the </w:t>
      </w:r>
      <w:r w:rsidRPr="00335960">
        <w:rPr>
          <w:sz w:val="20"/>
          <w:szCs w:val="20"/>
        </w:rPr>
        <w:t>PBAC decisions are abbreviated and do not reflect the totality of the PBAC’s reasoning. For full reasons for PBAC recommendations see the relevant public summaries</w:t>
      </w:r>
      <w:r>
        <w:rPr>
          <w:sz w:val="20"/>
          <w:szCs w:val="20"/>
        </w:rPr>
        <w:t>.</w:t>
      </w:r>
    </w:p>
    <w:p w14:paraId="35841FAA" w14:textId="392C2EF4" w:rsidR="00DF6307" w:rsidRPr="00C53237" w:rsidRDefault="002C6536" w:rsidP="00DF6307">
      <w:pPr>
        <w:spacing w:before="0"/>
      </w:pPr>
      <w:r w:rsidRPr="002C6536">
        <w:rPr>
          <w:noProof/>
        </w:rPr>
        <w:lastRenderedPageBreak/>
        <w:drawing>
          <wp:inline distT="0" distB="0" distL="0" distR="0" wp14:anchorId="0F19334E" wp14:editId="5AA7B535">
            <wp:extent cx="9777730" cy="6337935"/>
            <wp:effectExtent l="0" t="0" r="0" b="0"/>
            <wp:docPr id="23" name="Picture 23" descr="Figure 18. Example timeframes (min, median and max of differen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8. Example timeframes (min, median and max of different stag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77730" cy="6337935"/>
                    </a:xfrm>
                    <a:prstGeom prst="rect">
                      <a:avLst/>
                    </a:prstGeom>
                    <a:solidFill>
                      <a:schemeClr val="bg1"/>
                    </a:solidFill>
                    <a:ln>
                      <a:noFill/>
                    </a:ln>
                  </pic:spPr>
                </pic:pic>
              </a:graphicData>
            </a:graphic>
          </wp:inline>
        </w:drawing>
      </w:r>
      <w:r w:rsidR="00DF6307" w:rsidRPr="00335960">
        <w:rPr>
          <w:sz w:val="20"/>
          <w:szCs w:val="20"/>
        </w:rPr>
        <w:t xml:space="preserve"> </w:t>
      </w:r>
    </w:p>
    <w:p w14:paraId="28BF7E19" w14:textId="3CDDE02B" w:rsidR="00DF6307" w:rsidRDefault="004C215D" w:rsidP="00DF6307">
      <w:r w:rsidRPr="004C215D">
        <w:rPr>
          <w:noProof/>
        </w:rPr>
        <w:lastRenderedPageBreak/>
        <w:drawing>
          <wp:inline distT="0" distB="0" distL="0" distR="0" wp14:anchorId="563ADF54" wp14:editId="15699437">
            <wp:extent cx="9777730" cy="3474720"/>
            <wp:effectExtent l="0" t="0" r="0" b="0"/>
            <wp:docPr id="21" name="Picture 21" descr="Figure 18. Example timeframes (min, median and max of differen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8. Example timeframes (min, median and max of different stag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77730" cy="3474720"/>
                    </a:xfrm>
                    <a:prstGeom prst="rect">
                      <a:avLst/>
                    </a:prstGeom>
                    <a:solidFill>
                      <a:schemeClr val="bg1"/>
                    </a:solidFill>
                    <a:ln>
                      <a:noFill/>
                    </a:ln>
                  </pic:spPr>
                </pic:pic>
              </a:graphicData>
            </a:graphic>
          </wp:inline>
        </w:drawing>
      </w:r>
    </w:p>
    <w:p w14:paraId="43A67DC2" w14:textId="4D4D53D3" w:rsidR="00DF6307" w:rsidRPr="0078345F" w:rsidRDefault="004C215D" w:rsidP="00DF6307">
      <w:pPr>
        <w:rPr>
          <w:sz w:val="20"/>
          <w:szCs w:val="20"/>
        </w:rPr>
      </w:pPr>
      <w:r w:rsidRPr="004C215D">
        <w:rPr>
          <w:noProof/>
        </w:rPr>
        <w:lastRenderedPageBreak/>
        <w:drawing>
          <wp:inline distT="0" distB="0" distL="0" distR="0" wp14:anchorId="0F1E42F3" wp14:editId="3D75067C">
            <wp:extent cx="9777730" cy="3022600"/>
            <wp:effectExtent l="0" t="0" r="0" b="0"/>
            <wp:docPr id="22" name="Picture 22" descr="Figure 18. Example timeframes (min, median and max of differen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8. Example timeframes (min, median and max of different stag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77730" cy="3022600"/>
                    </a:xfrm>
                    <a:prstGeom prst="rect">
                      <a:avLst/>
                    </a:prstGeom>
                    <a:solidFill>
                      <a:schemeClr val="bg1"/>
                    </a:solidFill>
                    <a:ln>
                      <a:noFill/>
                    </a:ln>
                  </pic:spPr>
                </pic:pic>
              </a:graphicData>
            </a:graphic>
          </wp:inline>
        </w:drawing>
      </w:r>
    </w:p>
    <w:p w14:paraId="5ED343F0" w14:textId="77777777" w:rsidR="00DF6307" w:rsidRPr="00DF6307" w:rsidRDefault="00DF6307" w:rsidP="00DF6307"/>
    <w:sectPr w:rsidR="00DF6307" w:rsidRPr="00DF6307" w:rsidSect="00DF6307">
      <w:pgSz w:w="16838" w:h="11906" w:orient="landscape"/>
      <w:pgMar w:top="720" w:right="720" w:bottom="720" w:left="720" w:header="708" w:footer="5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7137F" w14:textId="77777777" w:rsidR="002268E8" w:rsidRDefault="002268E8" w:rsidP="00AD6A80">
      <w:r>
        <w:separator/>
      </w:r>
    </w:p>
  </w:endnote>
  <w:endnote w:type="continuationSeparator" w:id="0">
    <w:p w14:paraId="1BAF0A8C" w14:textId="77777777" w:rsidR="002268E8" w:rsidRDefault="002268E8" w:rsidP="00AD6A80">
      <w:r>
        <w:continuationSeparator/>
      </w:r>
    </w:p>
  </w:endnote>
  <w:endnote w:type="continuationNotice" w:id="1">
    <w:p w14:paraId="665BFDFC" w14:textId="77777777" w:rsidR="002268E8" w:rsidRDefault="002268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CEACF" w14:textId="77777777" w:rsidR="00D62D18" w:rsidRDefault="00D62D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663064"/>
      <w:docPartObj>
        <w:docPartGallery w:val="Page Numbers (Bottom of Page)"/>
        <w:docPartUnique/>
      </w:docPartObj>
    </w:sdtPr>
    <w:sdtEndPr>
      <w:rPr>
        <w:noProof/>
      </w:rPr>
    </w:sdtEndPr>
    <w:sdtContent>
      <w:p w14:paraId="7FC88479" w14:textId="786F5150" w:rsidR="00D62D18" w:rsidRDefault="00D62D18" w:rsidP="008127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EA0C" w14:textId="77777777" w:rsidR="00D62D18" w:rsidRDefault="00D62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DFB2B" w14:textId="77777777" w:rsidR="002268E8" w:rsidRDefault="002268E8" w:rsidP="00AD6A80">
      <w:r>
        <w:separator/>
      </w:r>
    </w:p>
  </w:footnote>
  <w:footnote w:type="continuationSeparator" w:id="0">
    <w:p w14:paraId="4CF2D181" w14:textId="77777777" w:rsidR="002268E8" w:rsidRDefault="002268E8" w:rsidP="00AD6A80">
      <w:r>
        <w:continuationSeparator/>
      </w:r>
    </w:p>
  </w:footnote>
  <w:footnote w:type="continuationNotice" w:id="1">
    <w:p w14:paraId="5B5D5187" w14:textId="77777777" w:rsidR="002268E8" w:rsidRDefault="002268E8">
      <w:pPr>
        <w:spacing w:line="240" w:lineRule="auto"/>
      </w:pPr>
    </w:p>
  </w:footnote>
  <w:footnote w:id="2">
    <w:p w14:paraId="309BCED7" w14:textId="7E7A1CE8" w:rsidR="00730309" w:rsidRDefault="00730309" w:rsidP="00243A64">
      <w:pPr>
        <w:pStyle w:val="FootnoteText"/>
        <w:spacing w:before="0"/>
      </w:pPr>
      <w:r>
        <w:rPr>
          <w:rStyle w:val="FootnoteReference"/>
        </w:rPr>
        <w:footnoteRef/>
      </w:r>
      <w:r>
        <w:t xml:space="preserve"> </w:t>
      </w:r>
      <w:r w:rsidR="00354222">
        <w:t xml:space="preserve">Department of Health and Aged Care, </w:t>
      </w:r>
      <w:r>
        <w:t xml:space="preserve">HTA Review terms of reference, </w:t>
      </w:r>
      <w:hyperlink r:id="rId1" w:history="1">
        <w:r>
          <w:rPr>
            <w:rStyle w:val="Hyperlink"/>
          </w:rPr>
          <w:t>https://www.health.gov.au/resources/publications/health-technology-assessment-policy-and-methods-review-terms-of-reference</w:t>
        </w:r>
      </w:hyperlink>
      <w:r>
        <w:t xml:space="preserve"> </w:t>
      </w:r>
    </w:p>
  </w:footnote>
  <w:footnote w:id="3">
    <w:p w14:paraId="60471F15" w14:textId="77777777" w:rsidR="005973A7" w:rsidRDefault="005973A7" w:rsidP="005973A7">
      <w:pPr>
        <w:pStyle w:val="FootnoteText"/>
      </w:pPr>
      <w:r>
        <w:rPr>
          <w:rStyle w:val="FootnoteReference"/>
        </w:rPr>
        <w:footnoteRef/>
      </w:r>
      <w:r>
        <w:t xml:space="preserve"> TGA, Unapproved Therapeutic Goods, </w:t>
      </w:r>
      <w:hyperlink r:id="rId2" w:history="1">
        <w:r w:rsidRPr="006A6868">
          <w:rPr>
            <w:rStyle w:val="Hyperlink"/>
          </w:rPr>
          <w:t>https://www.tga.gov.au/products/unapproved-therapeutic-goods</w:t>
        </w:r>
      </w:hyperlink>
      <w:r>
        <w:t xml:space="preserve">. </w:t>
      </w:r>
    </w:p>
  </w:footnote>
  <w:footnote w:id="4">
    <w:p w14:paraId="6E6EE731" w14:textId="2FDE98A2" w:rsidR="00411DBF" w:rsidRDefault="00411DBF" w:rsidP="00411DBF">
      <w:pPr>
        <w:pStyle w:val="FootnoteText"/>
        <w:spacing w:before="0"/>
      </w:pPr>
      <w:r>
        <w:rPr>
          <w:rStyle w:val="FootnoteReference"/>
        </w:rPr>
        <w:footnoteRef/>
      </w:r>
      <w:r>
        <w:t xml:space="preserve"> </w:t>
      </w:r>
      <w:r w:rsidR="00014F4C">
        <w:t xml:space="preserve">Australian Institute of Health and Welfare, </w:t>
      </w:r>
      <w:hyperlink r:id="rId3" w:history="1">
        <w:r w:rsidR="009D0C63" w:rsidRPr="003526D7">
          <w:rPr>
            <w:rStyle w:val="Hyperlink"/>
          </w:rPr>
          <w:t>https://www.aihw.gov.au/getmedia/dfcb6ed2-dfcd-42e8-8c1e-75f5f7ccbfa7/AIHW-HWE-89-HEA-2020-21-data-tables.xls.aspx</w:t>
        </w:r>
      </w:hyperlink>
      <w:r w:rsidR="009D0C63">
        <w:t xml:space="preserve"> </w:t>
      </w:r>
    </w:p>
  </w:footnote>
  <w:footnote w:id="5">
    <w:p w14:paraId="25A41257" w14:textId="3D5B4282" w:rsidR="00E222FC" w:rsidRDefault="00E222FC">
      <w:pPr>
        <w:pStyle w:val="FootnoteText"/>
      </w:pPr>
      <w:r>
        <w:rPr>
          <w:rStyle w:val="FootnoteReference"/>
        </w:rPr>
        <w:footnoteRef/>
      </w:r>
      <w:r>
        <w:t xml:space="preserve"> Cheaper medicines, benefits and cost savings</w:t>
      </w:r>
      <w:r w:rsidR="00E6277E">
        <w:t>,</w:t>
      </w:r>
      <w:r>
        <w:t xml:space="preserve"> </w:t>
      </w:r>
      <w:hyperlink r:id="rId4" w:history="1">
        <w:r w:rsidR="004627D6" w:rsidRPr="009357CB">
          <w:rPr>
            <w:rStyle w:val="Hyperlink"/>
          </w:rPr>
          <w:t>https://www.health.gov.au/cheaper-medicines/benefits-and-cost-savings</w:t>
        </w:r>
      </w:hyperlink>
      <w:r>
        <w:t xml:space="preserve"> </w:t>
      </w:r>
    </w:p>
  </w:footnote>
  <w:footnote w:id="6">
    <w:p w14:paraId="6D4A9FE5" w14:textId="14430239" w:rsidR="004627D6" w:rsidRDefault="004627D6">
      <w:pPr>
        <w:pStyle w:val="FootnoteText"/>
      </w:pPr>
      <w:r>
        <w:rPr>
          <w:rStyle w:val="FootnoteReference"/>
        </w:rPr>
        <w:footnoteRef/>
      </w:r>
      <w:r>
        <w:t xml:space="preserve"> Life Saving Drugs Program medicine eligibility criteria</w:t>
      </w:r>
      <w:r w:rsidR="00E6277E">
        <w:t xml:space="preserve">, </w:t>
      </w:r>
      <w:hyperlink r:id="rId5" w:anchor="medicine-eligibility-criteria" w:history="1">
        <w:r w:rsidR="00E6277E" w:rsidRPr="009357CB">
          <w:rPr>
            <w:rStyle w:val="Hyperlink"/>
          </w:rPr>
          <w:t>https://www.health.gov.au/our-work/life-saving-drugs-program/for-medicine-sponsors#medicine-eligibility-criteria</w:t>
        </w:r>
      </w:hyperlink>
      <w:r w:rsidR="00E6277E">
        <w:t xml:space="preserve"> </w:t>
      </w:r>
    </w:p>
  </w:footnote>
  <w:footnote w:id="7">
    <w:p w14:paraId="1E8CA8D1" w14:textId="3A935772" w:rsidR="00E66FA5" w:rsidRDefault="00E66FA5">
      <w:pPr>
        <w:pStyle w:val="FootnoteText"/>
      </w:pPr>
      <w:r>
        <w:rPr>
          <w:rStyle w:val="FootnoteReference"/>
        </w:rPr>
        <w:footnoteRef/>
      </w:r>
      <w:r>
        <w:t xml:space="preserve"> National Health Reform Agreement </w:t>
      </w:r>
      <w:r w:rsidR="00004B20">
        <w:t xml:space="preserve">addendum </w:t>
      </w:r>
      <w:r>
        <w:t xml:space="preserve">2020-2025 </w:t>
      </w:r>
      <w:hyperlink r:id="rId6" w:history="1">
        <w:r w:rsidRPr="009357CB">
          <w:rPr>
            <w:rStyle w:val="Hyperlink"/>
          </w:rPr>
          <w:t>https://www.health.gov.au/our-work/2020-25-national-health-reform-agreement-nhra</w:t>
        </w:r>
      </w:hyperlink>
      <w:r>
        <w:t xml:space="preserve"> </w:t>
      </w:r>
    </w:p>
  </w:footnote>
  <w:footnote w:id="8">
    <w:p w14:paraId="15E89110" w14:textId="2AFBE48B" w:rsidR="00C05B6A" w:rsidRDefault="00C05B6A">
      <w:pPr>
        <w:pStyle w:val="FootnoteText"/>
      </w:pPr>
      <w:r>
        <w:rPr>
          <w:rStyle w:val="FootnoteReference"/>
        </w:rPr>
        <w:footnoteRef/>
      </w:r>
      <w:r>
        <w:t xml:space="preserve"> National Product Price List, </w:t>
      </w:r>
      <w:hyperlink r:id="rId7" w:history="1">
        <w:r w:rsidRPr="009357CB">
          <w:rPr>
            <w:rStyle w:val="Hyperlink"/>
          </w:rPr>
          <w:t>https://blood.gov.au/national-product-price-list</w:t>
        </w:r>
      </w:hyperlink>
      <w:r>
        <w:t xml:space="preserve"> </w:t>
      </w:r>
    </w:p>
  </w:footnote>
  <w:footnote w:id="9">
    <w:p w14:paraId="2823766F" w14:textId="747178FC" w:rsidR="00AD6A80" w:rsidRDefault="00AD6A80" w:rsidP="00B06225">
      <w:pPr>
        <w:pStyle w:val="FootnoteText"/>
        <w:spacing w:before="0"/>
      </w:pPr>
      <w:r>
        <w:rPr>
          <w:rStyle w:val="FootnoteReference"/>
        </w:rPr>
        <w:footnoteRef/>
      </w:r>
      <w:r>
        <w:t xml:space="preserve"> </w:t>
      </w:r>
      <w:r w:rsidR="00354222">
        <w:t xml:space="preserve">TGA, </w:t>
      </w:r>
      <w:r w:rsidR="00402AB4">
        <w:t xml:space="preserve">TGA legislation, </w:t>
      </w:r>
      <w:hyperlink r:id="rId8" w:history="1">
        <w:r w:rsidR="009D0C63" w:rsidRPr="003526D7">
          <w:rPr>
            <w:rStyle w:val="Hyperlink"/>
          </w:rPr>
          <w:t>https://www.tga.gov.au/about-tga/legislation</w:t>
        </w:r>
      </w:hyperlink>
      <w:r w:rsidR="009D0C63">
        <w:t xml:space="preserve"> </w:t>
      </w:r>
    </w:p>
  </w:footnote>
  <w:footnote w:id="10">
    <w:p w14:paraId="27FE0167" w14:textId="426C2F87" w:rsidR="0026200F" w:rsidRDefault="0026200F" w:rsidP="00B06225">
      <w:pPr>
        <w:pStyle w:val="FootnoteText"/>
        <w:spacing w:before="0"/>
      </w:pPr>
      <w:r>
        <w:rPr>
          <w:rStyle w:val="FootnoteReference"/>
        </w:rPr>
        <w:footnoteRef/>
      </w:r>
      <w:r>
        <w:t xml:space="preserve"> </w:t>
      </w:r>
      <w:r w:rsidR="00354222">
        <w:t xml:space="preserve">TGA, </w:t>
      </w:r>
      <w:r w:rsidR="00915958">
        <w:t xml:space="preserve">How TGA regulates, </w:t>
      </w:r>
      <w:hyperlink r:id="rId9" w:history="1">
        <w:r w:rsidR="009D0C63" w:rsidRPr="003526D7">
          <w:rPr>
            <w:rStyle w:val="Hyperlink"/>
          </w:rPr>
          <w:t>https://www.tga.gov.au/how-we-regulate/advertising/legal-framework/act-regulations-and-code-offences/how-tga-regulates</w:t>
        </w:r>
      </w:hyperlink>
      <w:r w:rsidR="009D0C63">
        <w:t xml:space="preserve"> </w:t>
      </w:r>
    </w:p>
  </w:footnote>
  <w:footnote w:id="11">
    <w:p w14:paraId="0C2D8FB4" w14:textId="2EC7125C" w:rsidR="00731541" w:rsidRDefault="00731541" w:rsidP="00B06225">
      <w:pPr>
        <w:pStyle w:val="FootnoteText"/>
        <w:spacing w:before="0"/>
      </w:pPr>
      <w:r>
        <w:rPr>
          <w:rStyle w:val="FootnoteReference"/>
        </w:rPr>
        <w:footnoteRef/>
      </w:r>
      <w:r>
        <w:t xml:space="preserve"> </w:t>
      </w:r>
      <w:r w:rsidR="00882E52">
        <w:t xml:space="preserve">TGA, </w:t>
      </w:r>
      <w:r w:rsidR="00915958">
        <w:t xml:space="preserve">Risk management approach, </w:t>
      </w:r>
      <w:hyperlink r:id="rId10" w:history="1">
        <w:r w:rsidR="009D0C63" w:rsidRPr="003526D7">
          <w:rPr>
            <w:rStyle w:val="Hyperlink"/>
          </w:rPr>
          <w:t>https://www.tga.gov.au/about-work-tga-risk-management-approach</w:t>
        </w:r>
      </w:hyperlink>
      <w:r w:rsidR="009D0C63">
        <w:t xml:space="preserve"> </w:t>
      </w:r>
    </w:p>
  </w:footnote>
  <w:footnote w:id="12">
    <w:p w14:paraId="524B7B52" w14:textId="64DF0D88" w:rsidR="00731541" w:rsidRDefault="00731541" w:rsidP="00B06225">
      <w:pPr>
        <w:pStyle w:val="FootnoteText"/>
        <w:spacing w:before="0"/>
      </w:pPr>
      <w:r>
        <w:rPr>
          <w:rStyle w:val="FootnoteReference"/>
        </w:rPr>
        <w:footnoteRef/>
      </w:r>
      <w:r>
        <w:t xml:space="preserve"> </w:t>
      </w:r>
      <w:r w:rsidR="00882E52">
        <w:t xml:space="preserve">TGA, </w:t>
      </w:r>
      <w:r w:rsidR="00915958">
        <w:t xml:space="preserve">TGA regulatory framework, </w:t>
      </w:r>
      <w:hyperlink r:id="rId11" w:history="1">
        <w:r w:rsidR="009D0C63" w:rsidRPr="003526D7">
          <w:rPr>
            <w:rStyle w:val="Hyperlink"/>
          </w:rPr>
          <w:t>https://www.tga.gov.au/tga-regulatory-framework</w:t>
        </w:r>
      </w:hyperlink>
      <w:r w:rsidR="009D0C63">
        <w:t xml:space="preserve"> </w:t>
      </w:r>
    </w:p>
  </w:footnote>
  <w:footnote w:id="13">
    <w:p w14:paraId="770A60ED" w14:textId="765A28DA" w:rsidR="00C17B0B" w:rsidRDefault="00C17B0B" w:rsidP="00C17B0B">
      <w:pPr>
        <w:pStyle w:val="FootnoteText"/>
        <w:spacing w:before="0"/>
      </w:pPr>
      <w:r>
        <w:rPr>
          <w:rStyle w:val="FootnoteReference"/>
        </w:rPr>
        <w:footnoteRef/>
      </w:r>
      <w:r>
        <w:t xml:space="preserve"> </w:t>
      </w:r>
      <w:r w:rsidR="00882E52">
        <w:t xml:space="preserve">TGA, </w:t>
      </w:r>
      <w:r>
        <w:t xml:space="preserve">Acronyms and glossary, </w:t>
      </w:r>
      <w:hyperlink r:id="rId12" w:history="1">
        <w:r>
          <w:rPr>
            <w:rStyle w:val="Hyperlink"/>
          </w:rPr>
          <w:t>https://www.tga.gov.au/resources/acronyms-and-glossary-terms</w:t>
        </w:r>
      </w:hyperlink>
      <w:r>
        <w:t xml:space="preserve"> </w:t>
      </w:r>
    </w:p>
  </w:footnote>
  <w:footnote w:id="14">
    <w:p w14:paraId="319528A1" w14:textId="149BF8C5" w:rsidR="00DB4DF1" w:rsidRDefault="00DB4DF1" w:rsidP="00591825">
      <w:pPr>
        <w:pStyle w:val="FootnoteText"/>
        <w:spacing w:before="0"/>
      </w:pPr>
      <w:r>
        <w:rPr>
          <w:rStyle w:val="FootnoteReference"/>
        </w:rPr>
        <w:footnoteRef/>
      </w:r>
      <w:r>
        <w:t xml:space="preserve"> </w:t>
      </w:r>
      <w:r w:rsidR="00553822">
        <w:t xml:space="preserve">TGA, </w:t>
      </w:r>
      <w:r w:rsidR="00915958">
        <w:t xml:space="preserve">Priority registration process, </w:t>
      </w:r>
      <w:hyperlink r:id="rId13" w:history="1">
        <w:r w:rsidR="009D0C63" w:rsidRPr="003526D7">
          <w:rPr>
            <w:rStyle w:val="Hyperlink"/>
          </w:rPr>
          <w:t>https://www.tga.gov.au/resources/publication/publications/priority-registration-process</w:t>
        </w:r>
      </w:hyperlink>
      <w:r w:rsidR="009D0C63">
        <w:t xml:space="preserve"> </w:t>
      </w:r>
    </w:p>
  </w:footnote>
  <w:footnote w:id="15">
    <w:p w14:paraId="09C32A84" w14:textId="20A27782" w:rsidR="00D8349F" w:rsidRDefault="00D8349F" w:rsidP="00591825">
      <w:pPr>
        <w:pStyle w:val="FootnoteText"/>
        <w:spacing w:before="0"/>
      </w:pPr>
      <w:r>
        <w:rPr>
          <w:rStyle w:val="FootnoteReference"/>
        </w:rPr>
        <w:footnoteRef/>
      </w:r>
      <w:r>
        <w:t xml:space="preserve"> </w:t>
      </w:r>
      <w:r w:rsidR="00553822">
        <w:t xml:space="preserve">TGA, </w:t>
      </w:r>
      <w:r w:rsidR="00915958">
        <w:t xml:space="preserve">Priority review pathway, </w:t>
      </w:r>
      <w:hyperlink r:id="rId14" w:history="1">
        <w:r w:rsidR="009D0C63" w:rsidRPr="003526D7">
          <w:rPr>
            <w:rStyle w:val="Hyperlink"/>
          </w:rPr>
          <w:t>https://www.tga.gov.au/priority-review-pathway-prescription-medicines</w:t>
        </w:r>
      </w:hyperlink>
      <w:r w:rsidR="009D0C63">
        <w:t xml:space="preserve"> </w:t>
      </w:r>
    </w:p>
  </w:footnote>
  <w:footnote w:id="16">
    <w:p w14:paraId="2C6F52D5" w14:textId="6E9E177E" w:rsidR="00B93922" w:rsidRDefault="00B93922" w:rsidP="00591825">
      <w:pPr>
        <w:pStyle w:val="FootnoteText"/>
        <w:spacing w:before="0"/>
      </w:pPr>
      <w:r>
        <w:rPr>
          <w:rStyle w:val="FootnoteReference"/>
        </w:rPr>
        <w:footnoteRef/>
      </w:r>
      <w:r w:rsidR="00882E52">
        <w:t xml:space="preserve"> TGA</w:t>
      </w:r>
      <w:r>
        <w:t xml:space="preserve"> </w:t>
      </w:r>
      <w:r w:rsidR="00915958">
        <w:t xml:space="preserve">Provisional approval pathway, </w:t>
      </w:r>
      <w:hyperlink r:id="rId15" w:history="1">
        <w:r w:rsidR="009D0C63" w:rsidRPr="003526D7">
          <w:rPr>
            <w:rStyle w:val="Hyperlink"/>
          </w:rPr>
          <w:t>https://www.tga.gov.au/provisional-approval-pathway-prescription-medicines</w:t>
        </w:r>
      </w:hyperlink>
      <w:r w:rsidR="009D0C63">
        <w:t xml:space="preserve"> </w:t>
      </w:r>
    </w:p>
  </w:footnote>
  <w:footnote w:id="17">
    <w:p w14:paraId="64646273" w14:textId="6ACCE5B6" w:rsidR="00D8349F" w:rsidRDefault="00D8349F" w:rsidP="00D8349F">
      <w:pPr>
        <w:pStyle w:val="FootnoteText"/>
        <w:spacing w:before="0"/>
      </w:pPr>
      <w:r>
        <w:rPr>
          <w:rStyle w:val="FootnoteReference"/>
        </w:rPr>
        <w:footnoteRef/>
      </w:r>
      <w:r>
        <w:t xml:space="preserve"> </w:t>
      </w:r>
      <w:r w:rsidR="00882E52">
        <w:t xml:space="preserve">TGA </w:t>
      </w:r>
      <w:r w:rsidR="00915958">
        <w:t xml:space="preserve">Provisional approval pathway, </w:t>
      </w:r>
      <w:hyperlink r:id="rId16" w:history="1">
        <w:r w:rsidR="009D0C63" w:rsidRPr="003526D7">
          <w:rPr>
            <w:rStyle w:val="Hyperlink"/>
          </w:rPr>
          <w:t>https://www.tga.gov.au/how-we-regulate/supply-therapeutic-good/supply-prescription-medicine/application-process/provisional-approval-pathway</w:t>
        </w:r>
      </w:hyperlink>
      <w:r w:rsidR="009D0C63">
        <w:t xml:space="preserve"> </w:t>
      </w:r>
    </w:p>
  </w:footnote>
  <w:footnote w:id="18">
    <w:p w14:paraId="6EBE7808" w14:textId="25BFE37D" w:rsidR="001D3147" w:rsidRDefault="001D3147" w:rsidP="00956C00">
      <w:pPr>
        <w:pStyle w:val="FootnoteText"/>
        <w:spacing w:before="0"/>
      </w:pPr>
      <w:r>
        <w:rPr>
          <w:rStyle w:val="FootnoteReference"/>
        </w:rPr>
        <w:footnoteRef/>
      </w:r>
      <w:r>
        <w:t xml:space="preserve"> </w:t>
      </w:r>
      <w:r w:rsidR="00882E52">
        <w:t xml:space="preserve">TGA, </w:t>
      </w:r>
      <w:r w:rsidR="00915958">
        <w:t xml:space="preserve">Regulated biological, </w:t>
      </w:r>
      <w:hyperlink r:id="rId17" w:history="1">
        <w:r w:rsidR="009D0C63" w:rsidRPr="003526D7">
          <w:rPr>
            <w:rStyle w:val="Hyperlink"/>
          </w:rPr>
          <w:t>https://www.tga.gov.au/resources/resource/guidance/what-regulated-biological</w:t>
        </w:r>
      </w:hyperlink>
      <w:r w:rsidR="009D0C63">
        <w:t xml:space="preserve"> </w:t>
      </w:r>
    </w:p>
  </w:footnote>
  <w:footnote w:id="19">
    <w:p w14:paraId="5E90F509" w14:textId="0A128360" w:rsidR="00550E44" w:rsidRDefault="00550E44" w:rsidP="00956C00">
      <w:pPr>
        <w:pStyle w:val="FootnoteText"/>
        <w:spacing w:before="0"/>
      </w:pPr>
      <w:r>
        <w:rPr>
          <w:rStyle w:val="FootnoteReference"/>
        </w:rPr>
        <w:footnoteRef/>
      </w:r>
      <w:r>
        <w:t xml:space="preserve"> </w:t>
      </w:r>
      <w:r w:rsidR="00882E52">
        <w:t xml:space="preserve">TGA, </w:t>
      </w:r>
      <w:r w:rsidR="00915958">
        <w:t xml:space="preserve">Regulatory framework biologicals, </w:t>
      </w:r>
      <w:hyperlink r:id="rId18" w:history="1">
        <w:r w:rsidR="009D0C63" w:rsidRPr="003526D7">
          <w:rPr>
            <w:rStyle w:val="Hyperlink"/>
          </w:rPr>
          <w:t>https://www.tga.gov.au/regulatory-framework-biologicals</w:t>
        </w:r>
      </w:hyperlink>
      <w:r w:rsidR="009D0C63">
        <w:t xml:space="preserve"> </w:t>
      </w:r>
    </w:p>
  </w:footnote>
  <w:footnote w:id="20">
    <w:p w14:paraId="631A8BEA" w14:textId="7DB8A41F" w:rsidR="001A3974" w:rsidRDefault="001A3974" w:rsidP="00956C00">
      <w:pPr>
        <w:pStyle w:val="FootnoteText"/>
        <w:spacing w:before="0"/>
      </w:pPr>
      <w:r>
        <w:rPr>
          <w:rStyle w:val="FootnoteReference"/>
        </w:rPr>
        <w:footnoteRef/>
      </w:r>
      <w:r>
        <w:t xml:space="preserve"> </w:t>
      </w:r>
      <w:r w:rsidR="00882E52">
        <w:t xml:space="preserve">TGA, </w:t>
      </w:r>
      <w:r w:rsidR="00915958">
        <w:t xml:space="preserve">Classification </w:t>
      </w:r>
      <w:r w:rsidR="009D0C63">
        <w:t xml:space="preserve">of biologicals, </w:t>
      </w:r>
      <w:hyperlink r:id="rId19" w:history="1">
        <w:r w:rsidR="009D0C63" w:rsidRPr="003526D7">
          <w:rPr>
            <w:rStyle w:val="Hyperlink"/>
          </w:rPr>
          <w:t>https://www.tga.gov.au/resources/resource/guidance/classification-biologicals</w:t>
        </w:r>
      </w:hyperlink>
      <w:r w:rsidR="009D0C63">
        <w:t xml:space="preserve"> </w:t>
      </w:r>
    </w:p>
  </w:footnote>
  <w:footnote w:id="21">
    <w:p w14:paraId="63164028" w14:textId="73BAFF84" w:rsidR="002A4E46" w:rsidRDefault="002A4E46" w:rsidP="002A4E46">
      <w:pPr>
        <w:pStyle w:val="FootnoteText"/>
        <w:spacing w:before="0"/>
      </w:pPr>
      <w:r>
        <w:rPr>
          <w:rStyle w:val="FootnoteReference"/>
        </w:rPr>
        <w:footnoteRef/>
      </w:r>
      <w:r>
        <w:t xml:space="preserve"> </w:t>
      </w:r>
      <w:r w:rsidR="00354222">
        <w:t xml:space="preserve">TGA, </w:t>
      </w:r>
      <w:r>
        <w:t xml:space="preserve">Biologicals priority applicant determination, </w:t>
      </w:r>
      <w:hyperlink r:id="rId20" w:history="1">
        <w:r w:rsidRPr="003526D7">
          <w:rPr>
            <w:rStyle w:val="Hyperlink"/>
          </w:rPr>
          <w:t>https://www.tga.gov.au/resources/resource/guidance/priority-inclusion-process-guidance-sponsors-biologicals-priority-applicant-determination</w:t>
        </w:r>
      </w:hyperlink>
      <w:r>
        <w:t xml:space="preserve"> </w:t>
      </w:r>
    </w:p>
  </w:footnote>
  <w:footnote w:id="22">
    <w:p w14:paraId="70A2C70F" w14:textId="4A5140C5" w:rsidR="00316895" w:rsidRDefault="00316895" w:rsidP="005929A6">
      <w:pPr>
        <w:pStyle w:val="FootnoteText"/>
        <w:spacing w:before="0"/>
      </w:pPr>
      <w:r>
        <w:rPr>
          <w:rStyle w:val="FootnoteReference"/>
        </w:rPr>
        <w:footnoteRef/>
      </w:r>
      <w:r>
        <w:t xml:space="preserve"> </w:t>
      </w:r>
      <w:r w:rsidR="00354222">
        <w:t xml:space="preserve">TGA, </w:t>
      </w:r>
      <w:r w:rsidR="009D0C63">
        <w:t xml:space="preserve">Priority Review Pathway Biologicals, </w:t>
      </w:r>
      <w:hyperlink r:id="rId21" w:history="1">
        <w:r w:rsidR="009D0C63" w:rsidRPr="003526D7">
          <w:rPr>
            <w:rStyle w:val="Hyperlink"/>
          </w:rPr>
          <w:t>https://www.tga.gov.au/how-we-regulate/supply-therapeutic-good/supply-biological/application-process-supplying-biological/priority-review-pathway-biologicals</w:t>
        </w:r>
      </w:hyperlink>
      <w:r w:rsidR="009D0C63">
        <w:t xml:space="preserve"> </w:t>
      </w:r>
    </w:p>
  </w:footnote>
  <w:footnote w:id="23">
    <w:p w14:paraId="651D5200" w14:textId="543AB40C" w:rsidR="00171412" w:rsidRDefault="00171412" w:rsidP="005929A6">
      <w:pPr>
        <w:pStyle w:val="FootnoteText"/>
        <w:spacing w:before="0"/>
      </w:pPr>
      <w:r>
        <w:rPr>
          <w:rStyle w:val="FootnoteReference"/>
        </w:rPr>
        <w:footnoteRef/>
      </w:r>
      <w:r>
        <w:t xml:space="preserve"> </w:t>
      </w:r>
      <w:r w:rsidR="00354222">
        <w:t xml:space="preserve">TGA, </w:t>
      </w:r>
      <w:r w:rsidR="009D0C63">
        <w:t xml:space="preserve">Medical devices and IVD, </w:t>
      </w:r>
      <w:hyperlink r:id="rId22" w:history="1">
        <w:r w:rsidR="009D0C63" w:rsidRPr="003526D7">
          <w:rPr>
            <w:rStyle w:val="Hyperlink"/>
          </w:rPr>
          <w:t>https://www.tga.gov.au/overview-medical-devices-and-ivd-regulation</w:t>
        </w:r>
      </w:hyperlink>
      <w:r w:rsidR="009D0C63">
        <w:t xml:space="preserve"> </w:t>
      </w:r>
    </w:p>
  </w:footnote>
  <w:footnote w:id="24">
    <w:p w14:paraId="08FE81D8" w14:textId="79A7456E" w:rsidR="000C13A8" w:rsidRDefault="000C13A8" w:rsidP="000C13A8">
      <w:pPr>
        <w:pStyle w:val="FootnoteText"/>
        <w:spacing w:before="0"/>
      </w:pPr>
      <w:r>
        <w:rPr>
          <w:rStyle w:val="FootnoteReference"/>
        </w:rPr>
        <w:footnoteRef/>
      </w:r>
      <w:r>
        <w:t xml:space="preserve"> </w:t>
      </w:r>
      <w:r w:rsidR="00354222">
        <w:t xml:space="preserve">TGA, </w:t>
      </w:r>
      <w:r>
        <w:t xml:space="preserve">Fast track approval pathways, </w:t>
      </w:r>
      <w:hyperlink r:id="rId23" w:history="1">
        <w:r>
          <w:rPr>
            <w:rStyle w:val="Hyperlink"/>
          </w:rPr>
          <w:t>https://www.tga.gov.au/fast-track-approval-pathways</w:t>
        </w:r>
      </w:hyperlink>
    </w:p>
  </w:footnote>
  <w:footnote w:id="25">
    <w:p w14:paraId="26C7F8D6" w14:textId="3D579C20" w:rsidR="000C13A8" w:rsidRDefault="000C13A8" w:rsidP="000C13A8">
      <w:pPr>
        <w:pStyle w:val="FootnoteText"/>
        <w:spacing w:before="0"/>
      </w:pPr>
      <w:r>
        <w:rPr>
          <w:rStyle w:val="FootnoteReference"/>
        </w:rPr>
        <w:footnoteRef/>
      </w:r>
      <w:r>
        <w:t xml:space="preserve"> </w:t>
      </w:r>
      <w:r w:rsidR="00354222">
        <w:t xml:space="preserve">TGA, </w:t>
      </w:r>
      <w:r>
        <w:t xml:space="preserve">Priority review pathway: prescription medicines, </w:t>
      </w:r>
      <w:hyperlink r:id="rId24" w:history="1">
        <w:r>
          <w:rPr>
            <w:rStyle w:val="Hyperlink"/>
          </w:rPr>
          <w:t>https://www.tga.gov.au/priority-review-pathway-prescription-medicines</w:t>
        </w:r>
      </w:hyperlink>
    </w:p>
  </w:footnote>
  <w:footnote w:id="26">
    <w:p w14:paraId="60A1FA83" w14:textId="169AC1CF" w:rsidR="000C13A8" w:rsidRDefault="000C13A8" w:rsidP="005929A6">
      <w:pPr>
        <w:pStyle w:val="FootnoteText"/>
        <w:spacing w:before="0"/>
      </w:pPr>
      <w:r>
        <w:rPr>
          <w:rStyle w:val="FootnoteReference"/>
        </w:rPr>
        <w:footnoteRef/>
      </w:r>
      <w:r>
        <w:t xml:space="preserve"> </w:t>
      </w:r>
      <w:r w:rsidR="00354222">
        <w:t xml:space="preserve">TGA, </w:t>
      </w:r>
      <w:r>
        <w:t xml:space="preserve">Provisional approval pathway: prescription medicines, </w:t>
      </w:r>
      <w:hyperlink r:id="rId25" w:history="1">
        <w:r>
          <w:rPr>
            <w:rStyle w:val="Hyperlink"/>
          </w:rPr>
          <w:t>https://www.tga.gov.au/provisional-approval-pathway-prescription-medicines</w:t>
        </w:r>
      </w:hyperlink>
    </w:p>
  </w:footnote>
  <w:footnote w:id="27">
    <w:p w14:paraId="41146C73" w14:textId="67BDC6E3" w:rsidR="000C13A8" w:rsidRDefault="000C13A8" w:rsidP="005929A6">
      <w:pPr>
        <w:pStyle w:val="FootnoteText"/>
        <w:spacing w:before="0"/>
      </w:pPr>
      <w:r>
        <w:rPr>
          <w:rStyle w:val="FootnoteReference"/>
        </w:rPr>
        <w:footnoteRef/>
      </w:r>
      <w:r>
        <w:t xml:space="preserve"> </w:t>
      </w:r>
      <w:r w:rsidR="00354222">
        <w:t xml:space="preserve">TGA, </w:t>
      </w:r>
      <w:r>
        <w:t xml:space="preserve">Standard pathway, </w:t>
      </w:r>
      <w:hyperlink r:id="rId26" w:history="1">
        <w:r w:rsidRPr="00B041EB">
          <w:rPr>
            <w:rStyle w:val="Hyperlink"/>
          </w:rPr>
          <w:t>https://www.tga.gov.au/how-we-regulate/supply-therapeutic-good-0/supply-biological/application-process-supplying-biological/standard-pathway</w:t>
        </w:r>
      </w:hyperlink>
    </w:p>
  </w:footnote>
  <w:footnote w:id="28">
    <w:p w14:paraId="47915117" w14:textId="073B7649" w:rsidR="000C13A8" w:rsidRDefault="000C13A8" w:rsidP="005929A6">
      <w:pPr>
        <w:pStyle w:val="FootnoteText"/>
        <w:spacing w:before="0"/>
      </w:pPr>
      <w:r>
        <w:rPr>
          <w:rStyle w:val="FootnoteReference"/>
        </w:rPr>
        <w:footnoteRef/>
      </w:r>
      <w:r>
        <w:t xml:space="preserve"> </w:t>
      </w:r>
      <w:r w:rsidR="00354222">
        <w:t xml:space="preserve">TGA, </w:t>
      </w:r>
      <w:r>
        <w:t xml:space="preserve">Priority review pathway for biologicals, </w:t>
      </w:r>
      <w:hyperlink r:id="rId27" w:history="1">
        <w:r>
          <w:rPr>
            <w:rStyle w:val="Hyperlink"/>
          </w:rPr>
          <w:t>https://www.tga.gov.au/how-we-regulate/supply-therapeutic-good-0/supply-biological/priority-review-pathway-biologicals</w:t>
        </w:r>
      </w:hyperlink>
    </w:p>
  </w:footnote>
  <w:footnote w:id="29">
    <w:p w14:paraId="4B44AC00" w14:textId="31715232" w:rsidR="009221AD" w:rsidRDefault="009221AD" w:rsidP="005929A6">
      <w:pPr>
        <w:pStyle w:val="FootnoteText"/>
        <w:spacing w:before="0"/>
      </w:pPr>
      <w:r>
        <w:rPr>
          <w:rStyle w:val="FootnoteReference"/>
        </w:rPr>
        <w:footnoteRef/>
      </w:r>
      <w:r w:rsidR="00354222">
        <w:t xml:space="preserve">Australian Parliament House, </w:t>
      </w:r>
      <w:r w:rsidR="009D0C63">
        <w:t xml:space="preserve">The Pharmaceutical Benefits Scheme, </w:t>
      </w:r>
      <w:hyperlink r:id="rId28" w:history="1">
        <w:r w:rsidR="009D0C63" w:rsidRPr="003526D7">
          <w:rPr>
            <w:rStyle w:val="Hyperlink"/>
          </w:rPr>
          <w:t>https://www.aph.gov.au/About_Parliament/Parliamentary_departments/Parliamentary_Library/pubs/rp/rp2122/Quick_Guides/ThePharmaceuticalBenefitsScheme</w:t>
        </w:r>
      </w:hyperlink>
      <w:r w:rsidR="009D0C63">
        <w:t xml:space="preserve"> </w:t>
      </w:r>
    </w:p>
  </w:footnote>
  <w:footnote w:id="30">
    <w:p w14:paraId="311950CD" w14:textId="240A2B20" w:rsidR="00354098" w:rsidRDefault="00354098">
      <w:pPr>
        <w:pStyle w:val="FootnoteText"/>
      </w:pPr>
      <w:r>
        <w:rPr>
          <w:rStyle w:val="FootnoteReference"/>
        </w:rPr>
        <w:footnoteRef/>
      </w:r>
      <w:r>
        <w:t xml:space="preserve"> </w:t>
      </w:r>
      <w:r w:rsidR="00354222">
        <w:t xml:space="preserve">PBS website, </w:t>
      </w:r>
      <w:r>
        <w:t>PBS Procedure guidance</w:t>
      </w:r>
      <w:r w:rsidR="00146216">
        <w:t xml:space="preserve">, </w:t>
      </w:r>
      <w:hyperlink r:id="rId29" w:history="1">
        <w:r w:rsidR="00354222" w:rsidRPr="00D10090">
          <w:rPr>
            <w:rStyle w:val="Hyperlink"/>
          </w:rPr>
          <w:t>https://www.pbs.gov.au/info/industry/listing/listing-steps</w:t>
        </w:r>
      </w:hyperlink>
      <w:r w:rsidR="00354222">
        <w:t xml:space="preserve"> </w:t>
      </w:r>
    </w:p>
  </w:footnote>
  <w:footnote w:id="31">
    <w:p w14:paraId="17B330B1" w14:textId="57CE49AC" w:rsidR="0082198A" w:rsidRDefault="0082198A" w:rsidP="005929A6">
      <w:pPr>
        <w:pStyle w:val="FootnoteText"/>
        <w:spacing w:before="0"/>
      </w:pPr>
      <w:r>
        <w:rPr>
          <w:rStyle w:val="FootnoteReference"/>
        </w:rPr>
        <w:footnoteRef/>
      </w:r>
      <w:r>
        <w:t xml:space="preserve"> </w:t>
      </w:r>
      <w:r w:rsidR="00354222">
        <w:t xml:space="preserve">PBS website, </w:t>
      </w:r>
      <w:r w:rsidR="00125A5E">
        <w:t xml:space="preserve">the </w:t>
      </w:r>
      <w:r w:rsidR="00146216">
        <w:t xml:space="preserve">PBAC Guidelines, </w:t>
      </w:r>
      <w:hyperlink r:id="rId30" w:history="1">
        <w:r w:rsidR="00146216" w:rsidRPr="003526D7">
          <w:rPr>
            <w:rStyle w:val="Hyperlink"/>
          </w:rPr>
          <w:t>https://pbac.pbs.gov.au/home.html</w:t>
        </w:r>
      </w:hyperlink>
      <w:r w:rsidR="00146216">
        <w:t xml:space="preserve"> </w:t>
      </w:r>
    </w:p>
  </w:footnote>
  <w:footnote w:id="32">
    <w:p w14:paraId="662396E0" w14:textId="6CE5F6BC" w:rsidR="00C43F68" w:rsidRDefault="00C43F68" w:rsidP="005929A6">
      <w:pPr>
        <w:pStyle w:val="FootnoteText"/>
        <w:spacing w:before="0"/>
      </w:pPr>
      <w:r>
        <w:rPr>
          <w:rStyle w:val="FootnoteReference"/>
        </w:rPr>
        <w:footnoteRef/>
      </w:r>
      <w:r>
        <w:t xml:space="preserve"> </w:t>
      </w:r>
      <w:r w:rsidR="00354222">
        <w:t xml:space="preserve">PBS website, </w:t>
      </w:r>
      <w:r w:rsidR="00125A5E">
        <w:t xml:space="preserve">the </w:t>
      </w:r>
      <w:r w:rsidR="00146216">
        <w:t xml:space="preserve">PBAC Guidelines, </w:t>
      </w:r>
      <w:hyperlink r:id="rId31" w:history="1">
        <w:r w:rsidR="00146216" w:rsidRPr="003526D7">
          <w:rPr>
            <w:rStyle w:val="Hyperlink"/>
          </w:rPr>
          <w:t>https://pbac.pbs.gov.au/content/information/files/pbac-guidelines-version-5.pdf</w:t>
        </w:r>
      </w:hyperlink>
      <w:r w:rsidR="00146216">
        <w:t xml:space="preserve"> </w:t>
      </w:r>
    </w:p>
  </w:footnote>
  <w:footnote w:id="33">
    <w:p w14:paraId="6088C0AA" w14:textId="5A41A2E0" w:rsidR="00362893" w:rsidRDefault="00362893" w:rsidP="00362893">
      <w:pPr>
        <w:pStyle w:val="FootnoteText"/>
        <w:spacing w:before="0"/>
      </w:pPr>
      <w:r>
        <w:rPr>
          <w:rStyle w:val="FootnoteReference"/>
        </w:rPr>
        <w:footnoteRef/>
      </w:r>
      <w:r>
        <w:t xml:space="preserve"> </w:t>
      </w:r>
      <w:r w:rsidR="00354222">
        <w:t>PBS website,</w:t>
      </w:r>
      <w:r w:rsidR="00125A5E">
        <w:t xml:space="preserve"> the</w:t>
      </w:r>
      <w:r w:rsidR="00354222">
        <w:t xml:space="preserve"> </w:t>
      </w:r>
      <w:r>
        <w:t>PBAC Meeting Agenda and Consumer Comments</w:t>
      </w:r>
      <w:r w:rsidRPr="00212AAE">
        <w:t xml:space="preserve">, </w:t>
      </w:r>
      <w:hyperlink r:id="rId32" w:history="1">
        <w:r>
          <w:rPr>
            <w:rStyle w:val="Hyperlink"/>
          </w:rPr>
          <w:t>https://www.pbs.gov.au/info/industry/listing/elements/pbac-meetings/pbac-consumer-comments</w:t>
        </w:r>
      </w:hyperlink>
    </w:p>
  </w:footnote>
  <w:footnote w:id="34">
    <w:p w14:paraId="09B3A615" w14:textId="010DC645" w:rsidR="0076025C" w:rsidRDefault="0076025C" w:rsidP="005929A6">
      <w:pPr>
        <w:pStyle w:val="FootnoteText"/>
        <w:spacing w:before="0"/>
      </w:pPr>
      <w:r>
        <w:rPr>
          <w:rStyle w:val="FootnoteReference"/>
        </w:rPr>
        <w:footnoteRef/>
      </w:r>
      <w:r>
        <w:t xml:space="preserve"> </w:t>
      </w:r>
      <w:r w:rsidR="00354222">
        <w:t xml:space="preserve">PBS website, </w:t>
      </w:r>
      <w:r>
        <w:t>PBS Procedure Guidance</w:t>
      </w:r>
      <w:r w:rsidR="00146216">
        <w:t xml:space="preserve">, </w:t>
      </w:r>
      <w:hyperlink r:id="rId33" w:history="1">
        <w:r w:rsidR="00354222" w:rsidRPr="00D10090">
          <w:rPr>
            <w:rStyle w:val="Hyperlink"/>
          </w:rPr>
          <w:t>https://www.pbs.gov.au/info/industry/listing/listing-steps</w:t>
        </w:r>
      </w:hyperlink>
      <w:r w:rsidR="00354222">
        <w:t xml:space="preserve"> </w:t>
      </w:r>
    </w:p>
  </w:footnote>
  <w:footnote w:id="35">
    <w:p w14:paraId="277E3C3C" w14:textId="55993A19" w:rsidR="00552B76" w:rsidRDefault="00552B76" w:rsidP="00552B76">
      <w:pPr>
        <w:pStyle w:val="FootnoteText"/>
        <w:spacing w:before="0"/>
      </w:pPr>
      <w:r>
        <w:rPr>
          <w:rStyle w:val="FootnoteReference"/>
        </w:rPr>
        <w:footnoteRef/>
      </w:r>
      <w:r>
        <w:t xml:space="preserve"> PBS website, PBS Process improvement, </w:t>
      </w:r>
      <w:hyperlink r:id="rId34" w:history="1">
        <w:r w:rsidRPr="00E71564">
          <w:rPr>
            <w:rStyle w:val="Hyperlink"/>
          </w:rPr>
          <w:t>https://www.pbs.gov.au/info/general/pbs-process-improvements</w:t>
        </w:r>
      </w:hyperlink>
      <w:r>
        <w:t xml:space="preserve"> </w:t>
      </w:r>
    </w:p>
  </w:footnote>
  <w:footnote w:id="36">
    <w:p w14:paraId="2746ECFE" w14:textId="0AC6AEA7" w:rsidR="007F3584" w:rsidRDefault="007F3584" w:rsidP="007F3584">
      <w:pPr>
        <w:pStyle w:val="FootnoteText"/>
        <w:spacing w:before="0"/>
      </w:pPr>
      <w:r>
        <w:rPr>
          <w:rStyle w:val="FootnoteReference"/>
        </w:rPr>
        <w:footnoteRef/>
      </w:r>
      <w:r>
        <w:t xml:space="preserve"> </w:t>
      </w:r>
      <w:r w:rsidR="00C31BF6">
        <w:t>CIRS</w:t>
      </w:r>
      <w:r w:rsidR="00FF6AD6">
        <w:t>, HTA Dock</w:t>
      </w:r>
      <w:r w:rsidR="00C31BF6">
        <w:t xml:space="preserve"> briefing, </w:t>
      </w:r>
      <w:hyperlink r:id="rId35" w:history="1">
        <w:r w:rsidR="006651ED" w:rsidRPr="005E31C1">
          <w:rPr>
            <w:rStyle w:val="Hyperlink"/>
          </w:rPr>
          <w:t>https://cirsci.org/publications/cirs-rd-briefing-89-review-of-hta-outcomes-and-timelines-in-australia-canada-europe-and-the-uk-2018-2022/</w:t>
        </w:r>
      </w:hyperlink>
      <w:r w:rsidR="006651ED">
        <w:t xml:space="preserve"> </w:t>
      </w:r>
    </w:p>
  </w:footnote>
  <w:footnote w:id="37">
    <w:p w14:paraId="13F0E35E" w14:textId="690D57E7" w:rsidR="007F3584" w:rsidRDefault="007F3584" w:rsidP="007F3584">
      <w:pPr>
        <w:pStyle w:val="FootnoteText"/>
        <w:spacing w:before="0"/>
      </w:pPr>
      <w:r>
        <w:rPr>
          <w:rStyle w:val="FootnoteReference"/>
        </w:rPr>
        <w:footnoteRef/>
      </w:r>
      <w:r>
        <w:t xml:space="preserve"> </w:t>
      </w:r>
      <w:r w:rsidR="00354222">
        <w:t xml:space="preserve">Medicines Australia, </w:t>
      </w:r>
      <w:r w:rsidR="00C31BF6">
        <w:t xml:space="preserve">Medicines Matter, </w:t>
      </w:r>
      <w:hyperlink r:id="rId36" w:history="1">
        <w:r w:rsidR="00C31BF6" w:rsidRPr="003526D7">
          <w:rPr>
            <w:rStyle w:val="Hyperlink"/>
          </w:rPr>
          <w:t>https://www.medicinesaustralia.com.au/publications/medicines-matter/</w:t>
        </w:r>
      </w:hyperlink>
      <w:r w:rsidR="00C31BF6">
        <w:t xml:space="preserve"> </w:t>
      </w:r>
    </w:p>
  </w:footnote>
  <w:footnote w:id="38">
    <w:p w14:paraId="08185CF5" w14:textId="77777777" w:rsidR="00DF6307" w:rsidRDefault="00DF6307" w:rsidP="00DF6307">
      <w:pPr>
        <w:pStyle w:val="FootnoteText"/>
        <w:spacing w:before="0"/>
      </w:pPr>
      <w:r>
        <w:rPr>
          <w:rStyle w:val="FootnoteReference"/>
        </w:rPr>
        <w:footnoteRef/>
      </w:r>
      <w:r>
        <w:t xml:space="preserve"> PhRMA, Global Access to New Medicines Final Report </w:t>
      </w:r>
      <w:hyperlink r:id="rId37" w:history="1">
        <w:r w:rsidRPr="00E71564">
          <w:rPr>
            <w:rStyle w:val="Hyperlink"/>
          </w:rPr>
          <w:t>https://phrma.org/-/media/Project/PhRMA/PhRMA-Org/PhRMA-Refresh/Report-PDFs/A-C/2023-04-20-PhRMA-Global-Access-to-New-Medicines-Report-FINAL-1.pdf</w:t>
        </w:r>
      </w:hyperlink>
      <w:r>
        <w:t xml:space="preserve"> </w:t>
      </w:r>
    </w:p>
  </w:footnote>
  <w:footnote w:id="39">
    <w:p w14:paraId="78D4F1F0" w14:textId="60F033DE" w:rsidR="007F3584" w:rsidRDefault="007F3584" w:rsidP="007F3584">
      <w:pPr>
        <w:pStyle w:val="FootnoteText"/>
        <w:spacing w:before="0"/>
      </w:pPr>
      <w:r>
        <w:rPr>
          <w:rStyle w:val="FootnoteReference"/>
        </w:rPr>
        <w:footnoteRef/>
      </w:r>
      <w:r w:rsidR="00C31BF6">
        <w:t xml:space="preserve"> </w:t>
      </w:r>
      <w:r w:rsidR="00882E52">
        <w:t xml:space="preserve">PBS website, </w:t>
      </w:r>
      <w:r w:rsidR="00C31BF6">
        <w:t>PBS process improvements,</w:t>
      </w:r>
      <w:r>
        <w:t xml:space="preserve"> </w:t>
      </w:r>
      <w:hyperlink r:id="rId38" w:history="1">
        <w:r w:rsidR="00C31BF6" w:rsidRPr="003526D7">
          <w:rPr>
            <w:rStyle w:val="Hyperlink"/>
          </w:rPr>
          <w:t>https://www.pbs.gov.au/info/general/pbs-process-improvements</w:t>
        </w:r>
      </w:hyperlink>
      <w:r w:rsidR="00C31BF6">
        <w:t xml:space="preserve"> </w:t>
      </w:r>
    </w:p>
  </w:footnote>
  <w:footnote w:id="40">
    <w:p w14:paraId="1CC0E5C9" w14:textId="0E879EC1" w:rsidR="00C54E90" w:rsidRDefault="00C54E90" w:rsidP="005929A6">
      <w:pPr>
        <w:autoSpaceDE w:val="0"/>
        <w:autoSpaceDN w:val="0"/>
        <w:adjustRightInd w:val="0"/>
        <w:spacing w:before="0" w:line="240" w:lineRule="auto"/>
      </w:pPr>
      <w:r>
        <w:rPr>
          <w:rStyle w:val="FootnoteReference"/>
        </w:rPr>
        <w:footnoteRef/>
      </w:r>
      <w:r>
        <w:t xml:space="preserve"> </w:t>
      </w:r>
      <w:r w:rsidR="00882E52" w:rsidRPr="00882E52">
        <w:rPr>
          <w:sz w:val="20"/>
          <w:szCs w:val="20"/>
        </w:rPr>
        <w:t>Department</w:t>
      </w:r>
      <w:r w:rsidR="00882E52">
        <w:rPr>
          <w:sz w:val="20"/>
          <w:szCs w:val="20"/>
        </w:rPr>
        <w:t xml:space="preserve"> of Health and Aged Care, </w:t>
      </w:r>
      <w:r w:rsidRPr="00956B05">
        <w:rPr>
          <w:sz w:val="20"/>
          <w:szCs w:val="20"/>
        </w:rPr>
        <w:t xml:space="preserve">National Immunisation Strategy for Australia 2019 to 2024, </w:t>
      </w:r>
      <w:hyperlink r:id="rId39" w:history="1">
        <w:r w:rsidRPr="00956B05">
          <w:rPr>
            <w:rStyle w:val="Hyperlink"/>
            <w:sz w:val="20"/>
            <w:szCs w:val="20"/>
          </w:rPr>
          <w:t>https://www.health.gov.au/resources/publications/national-immunisation-strategy-for-australia-2019-to-2024</w:t>
        </w:r>
      </w:hyperlink>
    </w:p>
  </w:footnote>
  <w:footnote w:id="41">
    <w:p w14:paraId="5FC24F55" w14:textId="076178D1" w:rsidR="0018618C" w:rsidRDefault="0018618C" w:rsidP="007F6196">
      <w:pPr>
        <w:pStyle w:val="FootnoteText"/>
        <w:spacing w:before="0"/>
      </w:pPr>
      <w:r>
        <w:rPr>
          <w:rStyle w:val="FootnoteReference"/>
        </w:rPr>
        <w:footnoteRef/>
      </w:r>
      <w:r>
        <w:t xml:space="preserve"> </w:t>
      </w:r>
      <w:r w:rsidR="00882E52" w:rsidRPr="00882E52">
        <w:t>Department</w:t>
      </w:r>
      <w:r w:rsidR="00882E52">
        <w:t xml:space="preserve"> of Health and Aged Care, </w:t>
      </w:r>
      <w:r w:rsidR="0073282F">
        <w:t>About the LSDP,</w:t>
      </w:r>
      <w:r>
        <w:t xml:space="preserve"> </w:t>
      </w:r>
      <w:hyperlink r:id="rId40" w:history="1">
        <w:r w:rsidRPr="00677659">
          <w:rPr>
            <w:rStyle w:val="Hyperlink"/>
          </w:rPr>
          <w:t>https://www.health.gov.au/our-work/life-saving-drugs-program/about-the-lsdp</w:t>
        </w:r>
      </w:hyperlink>
      <w:r>
        <w:t xml:space="preserve"> </w:t>
      </w:r>
    </w:p>
  </w:footnote>
  <w:footnote w:id="42">
    <w:p w14:paraId="6FB96A23" w14:textId="3338F6FE" w:rsidR="0073282F" w:rsidRDefault="0073282F" w:rsidP="007F6196">
      <w:pPr>
        <w:pStyle w:val="FootnoteText"/>
        <w:spacing w:before="0"/>
      </w:pPr>
      <w:r>
        <w:rPr>
          <w:rStyle w:val="FootnoteReference"/>
        </w:rPr>
        <w:footnoteRef/>
      </w:r>
      <w:r>
        <w:t xml:space="preserve"> </w:t>
      </w:r>
      <w:r w:rsidR="00882E52" w:rsidRPr="00882E52">
        <w:t>Department</w:t>
      </w:r>
      <w:r w:rsidR="00882E52">
        <w:t xml:space="preserve"> of Health and Aged Care, </w:t>
      </w:r>
      <w:r>
        <w:t xml:space="preserve">LSDP eligibility criteria, </w:t>
      </w:r>
      <w:hyperlink r:id="rId41" w:anchor="medicine-eligibility-criteria" w:history="1">
        <w:r w:rsidRPr="00677659">
          <w:rPr>
            <w:rStyle w:val="Hyperlink"/>
          </w:rPr>
          <w:t>https://www.health.gov.au/our-work/life-saving-drugs-program/for-medicine-sponsors#medicine-eligibility-criteria</w:t>
        </w:r>
      </w:hyperlink>
      <w:r>
        <w:t xml:space="preserve"> </w:t>
      </w:r>
    </w:p>
  </w:footnote>
  <w:footnote w:id="43">
    <w:p w14:paraId="0C17BA39" w14:textId="4F2A0DC1" w:rsidR="00EF3234" w:rsidRDefault="00EF3234" w:rsidP="007F6196">
      <w:pPr>
        <w:pStyle w:val="FootnoteText"/>
        <w:spacing w:before="0"/>
      </w:pPr>
      <w:r>
        <w:rPr>
          <w:rStyle w:val="FootnoteReference"/>
        </w:rPr>
        <w:footnoteRef/>
      </w:r>
      <w:r>
        <w:t xml:space="preserve"> </w:t>
      </w:r>
      <w:r w:rsidR="00882E52" w:rsidRPr="00882E52">
        <w:t>Department</w:t>
      </w:r>
      <w:r w:rsidR="00882E52">
        <w:t xml:space="preserve"> of Health and Aged Care, </w:t>
      </w:r>
      <w:r>
        <w:t xml:space="preserve">Life Saving Drugs Program Expert Panel, </w:t>
      </w:r>
      <w:hyperlink r:id="rId42" w:history="1">
        <w:r>
          <w:rPr>
            <w:rStyle w:val="Hyperlink"/>
          </w:rPr>
          <w:t>https://www.health.gov.au/committees-and-groups/life-saving-drugs-program-expert-panel</w:t>
        </w:r>
      </w:hyperlink>
    </w:p>
  </w:footnote>
  <w:footnote w:id="44">
    <w:p w14:paraId="68D93B87" w14:textId="2C5FBF08" w:rsidR="003235ED" w:rsidRDefault="003235ED" w:rsidP="006B33FE">
      <w:pPr>
        <w:pStyle w:val="FootnoteText"/>
        <w:spacing w:before="0"/>
      </w:pPr>
      <w:r>
        <w:rPr>
          <w:rStyle w:val="FootnoteReference"/>
        </w:rPr>
        <w:footnoteRef/>
      </w:r>
      <w:r>
        <w:t xml:space="preserve"> </w:t>
      </w:r>
      <w:r w:rsidR="00882E52" w:rsidRPr="00882E52">
        <w:t>Department</w:t>
      </w:r>
      <w:r w:rsidR="00882E52">
        <w:t xml:space="preserve"> of Health and Aged Care, </w:t>
      </w:r>
      <w:r>
        <w:t xml:space="preserve">Procedure guidance for medicines funded through the Life Saving Drugs Program (LSDP), </w:t>
      </w:r>
      <w:hyperlink r:id="rId43" w:history="1">
        <w:r>
          <w:rPr>
            <w:rStyle w:val="Hyperlink"/>
          </w:rPr>
          <w:t>https://www.health.gov.au/sites/default/files/documents/2020/10/procedure-guidance-for-medicines-funded-through-the-life-saving-drugs-program-lsdp.pdf</w:t>
        </w:r>
      </w:hyperlink>
    </w:p>
  </w:footnote>
  <w:footnote w:id="45">
    <w:p w14:paraId="056FA474" w14:textId="4FAAB4DF" w:rsidR="00560144" w:rsidRDefault="00560144" w:rsidP="005929A6">
      <w:pPr>
        <w:pStyle w:val="FootnoteText"/>
        <w:spacing w:before="0"/>
      </w:pPr>
      <w:r>
        <w:rPr>
          <w:rStyle w:val="FootnoteReference"/>
        </w:rPr>
        <w:footnoteRef/>
      </w:r>
      <w:r>
        <w:t xml:space="preserve"> </w:t>
      </w:r>
      <w:r w:rsidR="00882E52">
        <w:t xml:space="preserve">PBS website, </w:t>
      </w:r>
      <w:r w:rsidRPr="00560144">
        <w:t xml:space="preserve">Review of the Life Saving Drugs Program, </w:t>
      </w:r>
      <w:hyperlink r:id="rId44" w:history="1">
        <w:r w:rsidR="00D318BF" w:rsidRPr="003526D7">
          <w:rPr>
            <w:rStyle w:val="Hyperlink"/>
          </w:rPr>
          <w:t>https://www.pbs.gov.au/info/reviews/life-saving-drugs</w:t>
        </w:r>
      </w:hyperlink>
      <w:r w:rsidR="00D318BF">
        <w:t xml:space="preserve"> </w:t>
      </w:r>
    </w:p>
  </w:footnote>
  <w:footnote w:id="46">
    <w:p w14:paraId="7163D3C6" w14:textId="6070ACB8" w:rsidR="00560144" w:rsidRDefault="00560144" w:rsidP="005929A6">
      <w:pPr>
        <w:pStyle w:val="FootnoteText"/>
        <w:spacing w:before="0"/>
      </w:pPr>
      <w:r>
        <w:rPr>
          <w:rStyle w:val="FootnoteReference"/>
        </w:rPr>
        <w:footnoteRef/>
      </w:r>
      <w:r>
        <w:t xml:space="preserve"> </w:t>
      </w:r>
      <w:r w:rsidR="00882E52" w:rsidRPr="00882E52">
        <w:t>Department</w:t>
      </w:r>
      <w:r w:rsidR="00882E52">
        <w:t xml:space="preserve"> of Health and Aged Care,</w:t>
      </w:r>
      <w:r w:rsidR="00882E52" w:rsidRPr="000B5BBF">
        <w:t xml:space="preserve"> </w:t>
      </w:r>
      <w:r w:rsidRPr="000B5BBF">
        <w:t xml:space="preserve">Life Saving Drugs Program Medicines Reviews, </w:t>
      </w:r>
      <w:hyperlink r:id="rId45" w:history="1">
        <w:r w:rsidR="00D318BF" w:rsidRPr="003526D7">
          <w:rPr>
            <w:rStyle w:val="Hyperlink"/>
          </w:rPr>
          <w:t>https://www.health.gov.au/resources/publications/life-saving-drugs-program-lsdp-medicines-reviews-recommendations</w:t>
        </w:r>
      </w:hyperlink>
      <w:r w:rsidR="00D318BF">
        <w:t xml:space="preserve"> </w:t>
      </w:r>
    </w:p>
  </w:footnote>
  <w:footnote w:id="47">
    <w:p w14:paraId="03AE1EA3" w14:textId="03AD884A" w:rsidR="0065731D" w:rsidRDefault="0065731D" w:rsidP="0065731D">
      <w:pPr>
        <w:pStyle w:val="FootnoteText"/>
        <w:spacing w:before="0"/>
      </w:pPr>
      <w:r>
        <w:rPr>
          <w:rStyle w:val="FootnoteReference"/>
        </w:rPr>
        <w:footnoteRef/>
      </w:r>
      <w:r>
        <w:t xml:space="preserve"> </w:t>
      </w:r>
      <w:r w:rsidRPr="00FD2075">
        <w:rPr>
          <w:rFonts w:ascii="Calibri" w:eastAsia="Calibri" w:hAnsi="Calibri" w:cs="Calibri"/>
          <w:lang w:val="en-GB"/>
        </w:rPr>
        <w:t>MBS Online</w:t>
      </w:r>
      <w:r w:rsidR="00FD2075" w:rsidRPr="00FD2075">
        <w:rPr>
          <w:rFonts w:ascii="Calibri" w:eastAsia="Calibri" w:hAnsi="Calibri" w:cs="Calibri"/>
          <w:lang w:val="en-GB"/>
        </w:rPr>
        <w:t>,</w:t>
      </w:r>
      <w:r w:rsidRPr="00FD2075">
        <w:rPr>
          <w:rFonts w:ascii="Calibri" w:eastAsia="Calibri" w:hAnsi="Calibri" w:cs="Calibri"/>
          <w:lang w:val="en-GB"/>
        </w:rPr>
        <w:t xml:space="preserve"> What legislation covers the MBS</w:t>
      </w:r>
      <w:r>
        <w:rPr>
          <w:rFonts w:ascii="Calibri" w:eastAsia="Calibri" w:hAnsi="Calibri" w:cs="Calibri"/>
          <w:lang w:val="en-GB"/>
        </w:rPr>
        <w:t>,</w:t>
      </w:r>
      <w:r>
        <w:rPr>
          <w:rStyle w:val="Hyperlink"/>
          <w:lang w:val="en-GB"/>
        </w:rPr>
        <w:t xml:space="preserve"> </w:t>
      </w:r>
      <w:r>
        <w:rPr>
          <w:rStyle w:val="Hyperlink"/>
        </w:rPr>
        <w:t>http://www.mbsonline.gov.au/internet/mbsonline/publishing.nsf/Content/faq-legislation</w:t>
      </w:r>
    </w:p>
  </w:footnote>
  <w:footnote w:id="48">
    <w:p w14:paraId="6271F9D0" w14:textId="0C112C64" w:rsidR="008D6EE6" w:rsidRDefault="008D6EE6" w:rsidP="0038216E">
      <w:pPr>
        <w:pStyle w:val="FootnoteText"/>
        <w:spacing w:before="0"/>
      </w:pPr>
      <w:r>
        <w:rPr>
          <w:rStyle w:val="FootnoteReference"/>
        </w:rPr>
        <w:footnoteRef/>
      </w:r>
      <w:r>
        <w:t xml:space="preserve"> </w:t>
      </w:r>
      <w:hyperlink r:id="rId46" w:history="1">
        <w:r w:rsidRPr="007920B3">
          <w:rPr>
            <w:rFonts w:ascii="Calibri" w:eastAsia="Calibri" w:hAnsi="Calibri" w:cs="Calibri"/>
            <w:lang w:val="en-GB"/>
          </w:rPr>
          <w:t>MSAC</w:t>
        </w:r>
        <w:r w:rsidR="00FD2075">
          <w:rPr>
            <w:rFonts w:ascii="Calibri" w:eastAsia="Calibri" w:hAnsi="Calibri" w:cs="Calibri"/>
            <w:lang w:val="en-GB"/>
          </w:rPr>
          <w:t xml:space="preserve"> website,</w:t>
        </w:r>
        <w:r w:rsidRPr="007920B3">
          <w:rPr>
            <w:rFonts w:ascii="Calibri" w:eastAsia="Calibri" w:hAnsi="Calibri" w:cs="Calibri"/>
            <w:lang w:val="en-GB"/>
          </w:rPr>
          <w:t xml:space="preserve"> What is the MBS and Medicare?</w:t>
        </w:r>
      </w:hyperlink>
      <w:r w:rsidRPr="007920B3">
        <w:rPr>
          <w:rFonts w:ascii="Calibri" w:eastAsia="Calibri" w:hAnsi="Calibri" w:cs="Calibri"/>
          <w:lang w:val="en-GB"/>
        </w:rPr>
        <w:t>,</w:t>
      </w:r>
      <w:r>
        <w:rPr>
          <w:rStyle w:val="Hyperlink"/>
        </w:rPr>
        <w:t xml:space="preserve"> </w:t>
      </w:r>
      <w:r w:rsidRPr="003F70D2">
        <w:rPr>
          <w:rStyle w:val="Hyperlink"/>
        </w:rPr>
        <w:t>http://www.msac.gov.au/internet/msac/publishing.nsf/Content/factsheet-03</w:t>
      </w:r>
    </w:p>
  </w:footnote>
  <w:footnote w:id="49">
    <w:p w14:paraId="530E8535" w14:textId="2A4E6888" w:rsidR="00B27844" w:rsidRPr="007920B3" w:rsidRDefault="00B27844" w:rsidP="0038216E">
      <w:pPr>
        <w:autoSpaceDE w:val="0"/>
        <w:autoSpaceDN w:val="0"/>
        <w:adjustRightInd w:val="0"/>
        <w:spacing w:before="0"/>
        <w:rPr>
          <w:sz w:val="20"/>
          <w:szCs w:val="20"/>
        </w:rPr>
      </w:pPr>
      <w:r>
        <w:rPr>
          <w:rStyle w:val="FootnoteReference"/>
        </w:rPr>
        <w:footnoteRef/>
      </w:r>
      <w:r>
        <w:t xml:space="preserve"> </w:t>
      </w:r>
      <w:r w:rsidR="00FD2075">
        <w:rPr>
          <w:sz w:val="20"/>
          <w:szCs w:val="20"/>
        </w:rPr>
        <w:t>MSAC Website, T</w:t>
      </w:r>
      <w:r w:rsidR="00EE43CD" w:rsidRPr="00FD2075">
        <w:rPr>
          <w:sz w:val="20"/>
          <w:szCs w:val="20"/>
        </w:rPr>
        <w:t>he</w:t>
      </w:r>
      <w:r w:rsidR="00EE43CD">
        <w:t xml:space="preserve"> </w:t>
      </w:r>
      <w:r w:rsidRPr="007920B3">
        <w:rPr>
          <w:sz w:val="20"/>
          <w:szCs w:val="20"/>
        </w:rPr>
        <w:t xml:space="preserve">MSAC Guidelines, </w:t>
      </w:r>
      <w:hyperlink r:id="rId47" w:history="1">
        <w:r w:rsidRPr="007920B3">
          <w:rPr>
            <w:rStyle w:val="Hyperlink"/>
            <w:sz w:val="20"/>
            <w:szCs w:val="20"/>
          </w:rPr>
          <w:t>http://www.msac.gov.au/internet/msac/publishing.nsf/Content/MSAC-Guidelines</w:t>
        </w:r>
      </w:hyperlink>
    </w:p>
  </w:footnote>
  <w:footnote w:id="50">
    <w:p w14:paraId="70F7D534" w14:textId="38EE5974" w:rsidR="00C31CAE" w:rsidRPr="00C31CAE" w:rsidRDefault="00560144" w:rsidP="005929A6">
      <w:pPr>
        <w:pStyle w:val="FootnoteText"/>
        <w:spacing w:before="0"/>
      </w:pPr>
      <w:r>
        <w:rPr>
          <w:rStyle w:val="FootnoteReference"/>
        </w:rPr>
        <w:footnoteRef/>
      </w:r>
      <w:r>
        <w:t xml:space="preserve"> </w:t>
      </w:r>
      <w:r w:rsidR="00FD2075">
        <w:t xml:space="preserve">MSAC Website, </w:t>
      </w:r>
      <w:r w:rsidR="00C31CAE" w:rsidRPr="00C31CAE">
        <w:t xml:space="preserve">Guidelines for preparing assessments for the MSAC, </w:t>
      </w:r>
      <w:hyperlink r:id="rId48" w:history="1">
        <w:r w:rsidR="00C31CAE" w:rsidRPr="00C31CAE">
          <w:rPr>
            <w:rStyle w:val="Hyperlink"/>
          </w:rPr>
          <w:t>http://www.msac.gov.au/internet/msac/publishing.nsf/Content/MSAC-Guidelines</w:t>
        </w:r>
      </w:hyperlink>
      <w:r w:rsidR="00C31CAE" w:rsidRPr="00C31CAE">
        <w:t xml:space="preserve"> </w:t>
      </w:r>
    </w:p>
    <w:p w14:paraId="346C6BD0" w14:textId="6EBB30D0" w:rsidR="00560144" w:rsidRDefault="00560144">
      <w:pPr>
        <w:pStyle w:val="FootnoteText"/>
      </w:pPr>
    </w:p>
  </w:footnote>
  <w:footnote w:id="51">
    <w:p w14:paraId="769FC09A" w14:textId="6751FE98" w:rsidR="00A65F27" w:rsidRDefault="00A65F27" w:rsidP="00E747D1">
      <w:pPr>
        <w:pStyle w:val="FootnoteText"/>
        <w:spacing w:before="0"/>
      </w:pPr>
      <w:r>
        <w:rPr>
          <w:rStyle w:val="FootnoteReference"/>
        </w:rPr>
        <w:footnoteRef/>
      </w:r>
      <w:r>
        <w:t xml:space="preserve"> </w:t>
      </w:r>
      <w:r w:rsidR="00591825">
        <w:t>MSAC</w:t>
      </w:r>
      <w:r w:rsidR="00FD2075">
        <w:t xml:space="preserve"> Website</w:t>
      </w:r>
      <w:r w:rsidR="00591825">
        <w:t xml:space="preserve">, </w:t>
      </w:r>
      <w:r>
        <w:t xml:space="preserve">What is co-dependent technology, </w:t>
      </w:r>
      <w:hyperlink r:id="rId49" w:history="1">
        <w:r w:rsidRPr="003C030E">
          <w:rPr>
            <w:rStyle w:val="Hyperlink"/>
          </w:rPr>
          <w:t>http://www.msac.gov.au/internet/msac/publishing.nsf/Content/factsheet-09</w:t>
        </w:r>
      </w:hyperlink>
    </w:p>
  </w:footnote>
  <w:footnote w:id="52">
    <w:p w14:paraId="73A4DB25" w14:textId="6B3A3734" w:rsidR="00AA7625" w:rsidRDefault="00AA7625" w:rsidP="00E747D1">
      <w:pPr>
        <w:pStyle w:val="FootnoteText"/>
        <w:spacing w:before="0"/>
      </w:pPr>
      <w:r>
        <w:rPr>
          <w:rStyle w:val="FootnoteReference"/>
        </w:rPr>
        <w:footnoteRef/>
      </w:r>
      <w:r>
        <w:t xml:space="preserve"> </w:t>
      </w:r>
      <w:r w:rsidR="00591825">
        <w:t>PBAC</w:t>
      </w:r>
      <w:r w:rsidR="00FD2075">
        <w:t xml:space="preserve"> Website</w:t>
      </w:r>
      <w:r w:rsidR="00591825">
        <w:t xml:space="preserve">, </w:t>
      </w:r>
      <w:r>
        <w:t xml:space="preserve">Product type 4 – Codependent technologies, </w:t>
      </w:r>
      <w:hyperlink r:id="rId50" w:history="1">
        <w:r w:rsidRPr="003C030E">
          <w:rPr>
            <w:rStyle w:val="Hyperlink"/>
          </w:rPr>
          <w:t>https://pbac.pbs.gov.au/product-type-4-codependent-technologies.html</w:t>
        </w:r>
      </w:hyperlink>
    </w:p>
  </w:footnote>
  <w:footnote w:id="53">
    <w:p w14:paraId="3398B7FE" w14:textId="7FD10928" w:rsidR="0038216E" w:rsidRDefault="0038216E" w:rsidP="00E747D1">
      <w:pPr>
        <w:pStyle w:val="FootnoteText"/>
        <w:spacing w:before="0"/>
      </w:pPr>
      <w:r>
        <w:rPr>
          <w:rStyle w:val="FootnoteReference"/>
        </w:rPr>
        <w:footnoteRef/>
      </w:r>
      <w:r>
        <w:t xml:space="preserve"> </w:t>
      </w:r>
      <w:r w:rsidR="00591825">
        <w:t xml:space="preserve">PBS Website, </w:t>
      </w:r>
      <w:r>
        <w:t xml:space="preserve">Codependent submission processes, </w:t>
      </w:r>
      <w:hyperlink r:id="rId51" w:history="1">
        <w:r w:rsidRPr="003C030E">
          <w:rPr>
            <w:rStyle w:val="Hyperlink"/>
          </w:rPr>
          <w:t>https://www.pbs.gov.au/pbs/industry/listing/procedure-guidance/6-consideration-submissions/6-11-codependent-submission-processes</w:t>
        </w:r>
      </w:hyperlink>
    </w:p>
  </w:footnote>
  <w:footnote w:id="54">
    <w:p w14:paraId="04D748B8" w14:textId="6F6DA8DB" w:rsidR="0038216E" w:rsidRDefault="0038216E" w:rsidP="00E747D1">
      <w:pPr>
        <w:pStyle w:val="FootnoteText"/>
        <w:spacing w:before="0"/>
      </w:pPr>
      <w:r>
        <w:rPr>
          <w:rStyle w:val="FootnoteReference"/>
        </w:rPr>
        <w:footnoteRef/>
      </w:r>
      <w:r>
        <w:t xml:space="preserve"> </w:t>
      </w:r>
      <w:r w:rsidR="00591825">
        <w:t>PBS Website,</w:t>
      </w:r>
      <w:r w:rsidRPr="005C02B7">
        <w:t xml:space="preserve"> Public Summary Documents</w:t>
      </w:r>
      <w:r>
        <w:t xml:space="preserve">, </w:t>
      </w:r>
      <w:hyperlink r:id="rId52" w:history="1">
        <w:r w:rsidRPr="00184105">
          <w:rPr>
            <w:rStyle w:val="Hyperlink"/>
          </w:rPr>
          <w:t>https://www.pbs.gov.au/info/industry/listing/elements/pbac-meetings/psd/public-summary-documents-by-product</w:t>
        </w:r>
      </w:hyperlink>
      <w:r>
        <w:t xml:space="preserve"> </w:t>
      </w:r>
    </w:p>
  </w:footnote>
  <w:footnote w:id="55">
    <w:p w14:paraId="23C1723A" w14:textId="2209AB7C" w:rsidR="00D318BF" w:rsidRPr="00D318BF" w:rsidRDefault="00D318BF" w:rsidP="00D318BF">
      <w:pPr>
        <w:autoSpaceDE w:val="0"/>
        <w:autoSpaceDN w:val="0"/>
        <w:adjustRightInd w:val="0"/>
        <w:spacing w:before="0" w:line="240" w:lineRule="auto"/>
        <w:rPr>
          <w:rFonts w:ascii="CIDFont+F1" w:hAnsi="CIDFont+F1" w:cs="CIDFont+F1"/>
        </w:rPr>
      </w:pPr>
      <w:r>
        <w:rPr>
          <w:rStyle w:val="FootnoteReference"/>
        </w:rPr>
        <w:footnoteRef/>
      </w:r>
      <w:r>
        <w:t xml:space="preserve"> </w:t>
      </w:r>
      <w:r w:rsidR="00FD2075" w:rsidRPr="00FD2075">
        <w:rPr>
          <w:sz w:val="20"/>
          <w:szCs w:val="20"/>
        </w:rPr>
        <w:t xml:space="preserve">Federal Financial Relations, </w:t>
      </w:r>
      <w:r w:rsidRPr="005F14D8">
        <w:rPr>
          <w:sz w:val="20"/>
          <w:szCs w:val="20"/>
        </w:rPr>
        <w:t>National Health Reform Agreement</w:t>
      </w:r>
      <w:r w:rsidR="00591825">
        <w:rPr>
          <w:sz w:val="20"/>
          <w:szCs w:val="20"/>
        </w:rPr>
        <w:t>,</w:t>
      </w:r>
      <w:r w:rsidRPr="005F14D8">
        <w:rPr>
          <w:sz w:val="20"/>
          <w:szCs w:val="20"/>
        </w:rPr>
        <w:t xml:space="preserve"> Appendices A and B,</w:t>
      </w:r>
      <w:r>
        <w:rPr>
          <w:sz w:val="20"/>
          <w:szCs w:val="20"/>
        </w:rPr>
        <w:t xml:space="preserve"> </w:t>
      </w:r>
      <w:hyperlink r:id="rId53" w:history="1">
        <w:r w:rsidRPr="00D318BF">
          <w:rPr>
            <w:rStyle w:val="Hyperlink"/>
            <w:sz w:val="20"/>
            <w:szCs w:val="20"/>
          </w:rPr>
          <w:t>https://federalfinancialrelations.gov.au/sites/federalfinancialrelations.gov.au/files/2021-07/NHRA_2020-25_Addendum_consolidated.pdf</w:t>
        </w:r>
      </w:hyperlink>
      <w:r>
        <w:t xml:space="preserve">   </w:t>
      </w:r>
    </w:p>
  </w:footnote>
  <w:footnote w:id="56">
    <w:p w14:paraId="427CF812" w14:textId="2054EE49" w:rsidR="00DA2E80" w:rsidRDefault="00DA2E80" w:rsidP="002E5FE4">
      <w:pPr>
        <w:autoSpaceDE w:val="0"/>
        <w:autoSpaceDN w:val="0"/>
        <w:adjustRightInd w:val="0"/>
        <w:spacing w:before="0" w:line="240" w:lineRule="auto"/>
        <w:rPr>
          <w:rFonts w:ascii="CIDFont+F1" w:hAnsi="CIDFont+F1" w:cs="CIDFont+F1"/>
        </w:rPr>
      </w:pPr>
      <w:r>
        <w:rPr>
          <w:rStyle w:val="FootnoteReference"/>
        </w:rPr>
        <w:footnoteRef/>
      </w:r>
      <w:r>
        <w:t xml:space="preserve"> </w:t>
      </w:r>
      <w:r w:rsidR="00FD2075" w:rsidRPr="00FD2075">
        <w:rPr>
          <w:sz w:val="20"/>
          <w:szCs w:val="20"/>
        </w:rPr>
        <w:t xml:space="preserve">Federal Financial Relations, </w:t>
      </w:r>
      <w:r w:rsidRPr="005F14D8">
        <w:rPr>
          <w:sz w:val="20"/>
          <w:szCs w:val="20"/>
        </w:rPr>
        <w:t>National Health Reform Agreement</w:t>
      </w:r>
      <w:r w:rsidR="00591825">
        <w:rPr>
          <w:sz w:val="20"/>
          <w:szCs w:val="20"/>
        </w:rPr>
        <w:t>,</w:t>
      </w:r>
      <w:r w:rsidRPr="005F14D8">
        <w:rPr>
          <w:sz w:val="20"/>
          <w:szCs w:val="20"/>
        </w:rPr>
        <w:t xml:space="preserve"> Appendices A and B,</w:t>
      </w:r>
    </w:p>
    <w:p w14:paraId="4F4591CC" w14:textId="77777777" w:rsidR="00DA2E80" w:rsidRDefault="003A333F" w:rsidP="002E5FE4">
      <w:pPr>
        <w:pStyle w:val="FootnoteText"/>
        <w:spacing w:before="0"/>
      </w:pPr>
      <w:hyperlink r:id="rId54" w:history="1">
        <w:r w:rsidR="00DA2E80" w:rsidRPr="00614C25">
          <w:rPr>
            <w:rStyle w:val="Hyperlink"/>
          </w:rPr>
          <w:t>https://federalfinancialrelations.gov.au/sites/federalfinancialrelations.gov.au/files/2021-07/NHRA_2020-25_Addendum_consolidated.pdf</w:t>
        </w:r>
      </w:hyperlink>
      <w:r w:rsidR="00DA2E80">
        <w:t xml:space="preserve">   </w:t>
      </w:r>
    </w:p>
  </w:footnote>
  <w:footnote w:id="57">
    <w:p w14:paraId="71CD22FF" w14:textId="4586362D" w:rsidR="00A45278" w:rsidRDefault="00A45278" w:rsidP="00A45278">
      <w:pPr>
        <w:pStyle w:val="FootnoteText"/>
        <w:spacing w:before="0"/>
      </w:pPr>
      <w:r>
        <w:rPr>
          <w:rStyle w:val="FootnoteReference"/>
        </w:rPr>
        <w:footnoteRef/>
      </w:r>
      <w:r>
        <w:t xml:space="preserve"> </w:t>
      </w:r>
      <w:r w:rsidR="000A6D7F">
        <w:t xml:space="preserve">TGA, </w:t>
      </w:r>
      <w:r>
        <w:t xml:space="preserve">Blood and blood components, </w:t>
      </w:r>
      <w:hyperlink r:id="rId55" w:history="1">
        <w:r>
          <w:rPr>
            <w:rStyle w:val="Hyperlink"/>
          </w:rPr>
          <w:t>https://www.tga.gov.au/blood-and-blood-components</w:t>
        </w:r>
      </w:hyperlink>
    </w:p>
  </w:footnote>
  <w:footnote w:id="58">
    <w:p w14:paraId="3DA28022" w14:textId="63BE27CA" w:rsidR="00A45278" w:rsidRPr="000A1DC6" w:rsidRDefault="00A45278" w:rsidP="00A45278">
      <w:pPr>
        <w:autoSpaceDE w:val="0"/>
        <w:autoSpaceDN w:val="0"/>
        <w:adjustRightInd w:val="0"/>
        <w:spacing w:before="0" w:line="240" w:lineRule="auto"/>
        <w:rPr>
          <w:sz w:val="20"/>
          <w:szCs w:val="20"/>
        </w:rPr>
      </w:pPr>
      <w:r w:rsidRPr="000A1DC6">
        <w:rPr>
          <w:rStyle w:val="FootnoteReference"/>
          <w:sz w:val="20"/>
          <w:szCs w:val="20"/>
        </w:rPr>
        <w:footnoteRef/>
      </w:r>
      <w:r w:rsidRPr="000A1DC6">
        <w:rPr>
          <w:sz w:val="20"/>
          <w:szCs w:val="20"/>
        </w:rPr>
        <w:t xml:space="preserve"> </w:t>
      </w:r>
      <w:r w:rsidRPr="00B55061">
        <w:rPr>
          <w:sz w:val="20"/>
          <w:szCs w:val="20"/>
        </w:rPr>
        <w:t xml:space="preserve">National Blood Authority, </w:t>
      </w:r>
      <w:r w:rsidR="000A6D7F">
        <w:rPr>
          <w:sz w:val="20"/>
          <w:szCs w:val="20"/>
        </w:rPr>
        <w:t xml:space="preserve">About the NBA, </w:t>
      </w:r>
      <w:hyperlink r:id="rId56" w:history="1">
        <w:r w:rsidR="000A6D7F" w:rsidRPr="00D10090">
          <w:rPr>
            <w:rStyle w:val="Hyperlink"/>
            <w:sz w:val="20"/>
            <w:szCs w:val="20"/>
          </w:rPr>
          <w:t>https://www.blood.gov.au/about-nba</w:t>
        </w:r>
      </w:hyperlink>
      <w:r w:rsidRPr="00DE02D6">
        <w:rPr>
          <w:rStyle w:val="Hyperlink"/>
        </w:rPr>
        <w:t>.</w:t>
      </w:r>
      <w:r w:rsidRPr="00B55061">
        <w:rPr>
          <w:sz w:val="20"/>
          <w:szCs w:val="20"/>
        </w:rPr>
        <w:t xml:space="preserve"> </w:t>
      </w:r>
      <w:r w:rsidRPr="00B55061" w:rsidDel="00CB3E2B">
        <w:rPr>
          <w:sz w:val="20"/>
          <w:szCs w:val="20"/>
        </w:rPr>
        <w:t xml:space="preserve"> </w:t>
      </w:r>
      <w:r w:rsidRPr="00B55061">
        <w:rPr>
          <w:sz w:val="20"/>
          <w:szCs w:val="20"/>
        </w:rPr>
        <w:t xml:space="preserve"> </w:t>
      </w:r>
    </w:p>
  </w:footnote>
  <w:footnote w:id="59">
    <w:p w14:paraId="46EA838C" w14:textId="73897483" w:rsidR="00CD388B" w:rsidRPr="00B55061" w:rsidRDefault="00CD388B" w:rsidP="00CD388B">
      <w:pPr>
        <w:pStyle w:val="FootnoteText"/>
        <w:spacing w:before="0"/>
      </w:pPr>
      <w:r w:rsidRPr="00B55061">
        <w:rPr>
          <w:rStyle w:val="FootnoteReference"/>
        </w:rPr>
        <w:footnoteRef/>
      </w:r>
      <w:r w:rsidRPr="00B55061">
        <w:t xml:space="preserve"> </w:t>
      </w:r>
      <w:r>
        <w:t xml:space="preserve">National Blood Authority, </w:t>
      </w:r>
      <w:hyperlink r:id="rId57" w:history="1">
        <w:r w:rsidRPr="00D10090">
          <w:rPr>
            <w:rStyle w:val="Hyperlink"/>
            <w:lang w:val="en-GB"/>
          </w:rPr>
          <w:t>National Blood Agreement</w:t>
        </w:r>
      </w:hyperlink>
      <w:r w:rsidRPr="00B55061">
        <w:rPr>
          <w:lang w:val="en-GB"/>
        </w:rPr>
        <w:t>,</w:t>
      </w:r>
      <w:r w:rsidRPr="00B55061">
        <w:t xml:space="preserve"> </w:t>
      </w:r>
      <w:hyperlink r:id="rId58" w:history="1">
        <w:r w:rsidRPr="00B55061">
          <w:rPr>
            <w:rStyle w:val="Hyperlink"/>
          </w:rPr>
          <w:t>https://www.blood.gov.au/system/files/documents/nba-national-blood-agreement.pdf</w:t>
        </w:r>
      </w:hyperlink>
      <w:r w:rsidRPr="00B55061">
        <w:t xml:space="preserve"> </w:t>
      </w:r>
    </w:p>
  </w:footnote>
  <w:footnote w:id="60">
    <w:p w14:paraId="776AB5AB" w14:textId="1259BF45" w:rsidR="00A45278" w:rsidRDefault="00A45278" w:rsidP="00A45278">
      <w:pPr>
        <w:pStyle w:val="FootnoteText"/>
        <w:spacing w:before="0"/>
      </w:pPr>
      <w:r w:rsidRPr="00B55061">
        <w:rPr>
          <w:rStyle w:val="FootnoteReference"/>
        </w:rPr>
        <w:footnoteRef/>
      </w:r>
      <w:r w:rsidRPr="00B55061">
        <w:t xml:space="preserve"> </w:t>
      </w:r>
      <w:r w:rsidR="000A6D7F">
        <w:t xml:space="preserve">National Blood Authority, </w:t>
      </w:r>
      <w:r>
        <w:t xml:space="preserve">What blood products are supplied – National Product Price List, </w:t>
      </w:r>
      <w:hyperlink r:id="rId59" w:history="1">
        <w:r w:rsidRPr="00B041EB">
          <w:rPr>
            <w:rStyle w:val="Hyperlink"/>
          </w:rPr>
          <w:t>https://www.blood.gov.au/national-product-price-list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EE3F" w14:textId="77777777" w:rsidR="00D62D18" w:rsidRDefault="00D62D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5FA8" w14:textId="0915B142" w:rsidR="00D62D18" w:rsidRPr="00F546A8" w:rsidRDefault="00D62D18" w:rsidP="00F546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F4047" w14:textId="77777777" w:rsidR="00D62D18" w:rsidRDefault="00D62D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7E5"/>
    <w:multiLevelType w:val="hybridMultilevel"/>
    <w:tmpl w:val="1C02E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F0573"/>
    <w:multiLevelType w:val="hybridMultilevel"/>
    <w:tmpl w:val="79A66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7F1215"/>
    <w:multiLevelType w:val="hybridMultilevel"/>
    <w:tmpl w:val="078498A0"/>
    <w:lvl w:ilvl="0" w:tplc="0C090001">
      <w:start w:val="1"/>
      <w:numFmt w:val="bullet"/>
      <w:lvlText w:val=""/>
      <w:lvlJc w:val="left"/>
      <w:pPr>
        <w:ind w:left="720" w:hanging="360"/>
      </w:pPr>
      <w:rPr>
        <w:rFonts w:ascii="Symbol" w:hAnsi="Symbol" w:hint="default"/>
      </w:rPr>
    </w:lvl>
    <w:lvl w:ilvl="1" w:tplc="990CC5F0">
      <w:numFmt w:val="bullet"/>
      <w:lvlText w:val="•"/>
      <w:lvlJc w:val="left"/>
      <w:pPr>
        <w:ind w:left="1800" w:hanging="720"/>
      </w:pPr>
      <w:rPr>
        <w:rFonts w:ascii="Calibri Light" w:eastAsiaTheme="minorHAnsi" w:hAnsi="Calibri Light" w:cs="Calibri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661A0D"/>
    <w:multiLevelType w:val="hybridMultilevel"/>
    <w:tmpl w:val="83BE8BF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9D7823"/>
    <w:multiLevelType w:val="hybridMultilevel"/>
    <w:tmpl w:val="51F20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871BC"/>
    <w:multiLevelType w:val="hybridMultilevel"/>
    <w:tmpl w:val="83BE8BF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32226E"/>
    <w:multiLevelType w:val="hybridMultilevel"/>
    <w:tmpl w:val="0D361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646335"/>
    <w:multiLevelType w:val="hybridMultilevel"/>
    <w:tmpl w:val="5ACE02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E91EFB"/>
    <w:multiLevelType w:val="hybridMultilevel"/>
    <w:tmpl w:val="83BE8BF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B17251"/>
    <w:multiLevelType w:val="multilevel"/>
    <w:tmpl w:val="8E54D1F8"/>
    <w:lvl w:ilvl="0">
      <w:start w:val="1"/>
      <w:numFmt w:val="decimal"/>
      <w:lvlText w:val="%1."/>
      <w:lvlJc w:val="left"/>
      <w:pPr>
        <w:tabs>
          <w:tab w:val="num" w:pos="720"/>
        </w:tabs>
        <w:ind w:left="720" w:hanging="360"/>
      </w:pPr>
      <w:rPr>
        <w:rFonts w:hint="default"/>
        <w:sz w:val="21"/>
        <w:szCs w:val="24"/>
      </w:rPr>
    </w:lvl>
    <w:lvl w:ilvl="1">
      <w:start w:val="5"/>
      <w:numFmt w:val="bullet"/>
      <w:lvlText w:val="-"/>
      <w:lvlJc w:val="left"/>
      <w:pPr>
        <w:ind w:left="1440" w:hanging="360"/>
      </w:pPr>
      <w:rPr>
        <w:rFonts w:ascii="Segoe UI" w:eastAsiaTheme="minorHAnsi" w:hAnsi="Segoe UI" w:cs="Segoe U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AD1E4C"/>
    <w:multiLevelType w:val="hybridMultilevel"/>
    <w:tmpl w:val="0C84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BC52C6"/>
    <w:multiLevelType w:val="hybridMultilevel"/>
    <w:tmpl w:val="66D2F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615795"/>
    <w:multiLevelType w:val="hybridMultilevel"/>
    <w:tmpl w:val="5DEED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B20948"/>
    <w:multiLevelType w:val="multilevel"/>
    <w:tmpl w:val="644E8912"/>
    <w:lvl w:ilvl="0">
      <w:start w:val="1"/>
      <w:numFmt w:val="decimal"/>
      <w:pStyle w:val="Heading1"/>
      <w:lvlText w:val="%1"/>
      <w:lvlJc w:val="left"/>
      <w:pPr>
        <w:ind w:left="432" w:hanging="432"/>
      </w:pPr>
    </w:lvl>
    <w:lvl w:ilvl="1">
      <w:start w:val="1"/>
      <w:numFmt w:val="decimal"/>
      <w:pStyle w:val="Heading2"/>
      <w:lvlText w:val="%1.%2"/>
      <w:lvlJc w:val="left"/>
      <w:pPr>
        <w:ind w:left="5254" w:hanging="576"/>
      </w:pPr>
      <w:rPr>
        <w:vertAlign w:val="baseline"/>
      </w:rPr>
    </w:lvl>
    <w:lvl w:ilvl="2">
      <w:start w:val="1"/>
      <w:numFmt w:val="decimal"/>
      <w:pStyle w:val="Heading3"/>
      <w:lvlText w:val="%1.%2.%3"/>
      <w:lvlJc w:val="left"/>
      <w:pPr>
        <w:ind w:left="2704" w:hanging="720"/>
      </w:pPr>
      <w:rPr>
        <w:vertAlign w:val="base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CA15B6C"/>
    <w:multiLevelType w:val="hybridMultilevel"/>
    <w:tmpl w:val="731A4C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6409F6"/>
    <w:multiLevelType w:val="hybridMultilevel"/>
    <w:tmpl w:val="A5A682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EB17C4"/>
    <w:multiLevelType w:val="hybridMultilevel"/>
    <w:tmpl w:val="E8A0D8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0F261FC"/>
    <w:multiLevelType w:val="hybridMultilevel"/>
    <w:tmpl w:val="7494BD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32261A94"/>
    <w:multiLevelType w:val="hybridMultilevel"/>
    <w:tmpl w:val="0E86923C"/>
    <w:lvl w:ilvl="0" w:tplc="0C09000F">
      <w:start w:val="1"/>
      <w:numFmt w:val="decimal"/>
      <w:lvlText w:val="%1."/>
      <w:lvlJc w:val="left"/>
      <w:pPr>
        <w:ind w:left="720" w:hanging="360"/>
      </w:pPr>
      <w:rPr>
        <w:rFonts w:hint="default"/>
      </w:rPr>
    </w:lvl>
    <w:lvl w:ilvl="1" w:tplc="7EA4014C">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B2240B"/>
    <w:multiLevelType w:val="hybridMultilevel"/>
    <w:tmpl w:val="EDCE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603A51"/>
    <w:multiLevelType w:val="multilevel"/>
    <w:tmpl w:val="E83E5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DF1B0C"/>
    <w:multiLevelType w:val="hybridMultilevel"/>
    <w:tmpl w:val="C8482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297E6A"/>
    <w:multiLevelType w:val="multilevel"/>
    <w:tmpl w:val="18DA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6C7C11"/>
    <w:multiLevelType w:val="hybridMultilevel"/>
    <w:tmpl w:val="D5BE8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7B2DB2"/>
    <w:multiLevelType w:val="hybridMultilevel"/>
    <w:tmpl w:val="87C4D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3F1752"/>
    <w:multiLevelType w:val="hybridMultilevel"/>
    <w:tmpl w:val="CF404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ED6D3C"/>
    <w:multiLevelType w:val="hybridMultilevel"/>
    <w:tmpl w:val="4B3460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F2D5EF7"/>
    <w:multiLevelType w:val="multilevel"/>
    <w:tmpl w:val="8E54D1F8"/>
    <w:lvl w:ilvl="0">
      <w:start w:val="1"/>
      <w:numFmt w:val="decimal"/>
      <w:lvlText w:val="%1."/>
      <w:lvlJc w:val="left"/>
      <w:pPr>
        <w:tabs>
          <w:tab w:val="num" w:pos="720"/>
        </w:tabs>
        <w:ind w:left="720" w:hanging="360"/>
      </w:pPr>
      <w:rPr>
        <w:rFonts w:hint="default"/>
        <w:sz w:val="21"/>
        <w:szCs w:val="24"/>
      </w:rPr>
    </w:lvl>
    <w:lvl w:ilvl="1">
      <w:start w:val="5"/>
      <w:numFmt w:val="bullet"/>
      <w:lvlText w:val="-"/>
      <w:lvlJc w:val="left"/>
      <w:pPr>
        <w:ind w:left="1440" w:hanging="360"/>
      </w:pPr>
      <w:rPr>
        <w:rFonts w:ascii="Segoe UI" w:eastAsiaTheme="minorHAnsi" w:hAnsi="Segoe UI" w:cs="Segoe U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A6405C"/>
    <w:multiLevelType w:val="hybridMultilevel"/>
    <w:tmpl w:val="93362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18648A"/>
    <w:multiLevelType w:val="hybridMultilevel"/>
    <w:tmpl w:val="C420B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0871E6"/>
    <w:multiLevelType w:val="hybridMultilevel"/>
    <w:tmpl w:val="4F9EC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C22DBD"/>
    <w:multiLevelType w:val="hybridMultilevel"/>
    <w:tmpl w:val="C3761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C520DA"/>
    <w:multiLevelType w:val="hybridMultilevel"/>
    <w:tmpl w:val="E702C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884E30"/>
    <w:multiLevelType w:val="hybridMultilevel"/>
    <w:tmpl w:val="96FA90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E597E1D"/>
    <w:multiLevelType w:val="multilevel"/>
    <w:tmpl w:val="C58AD26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5" w15:restartNumberingAfterBreak="0">
    <w:nsid w:val="508A7219"/>
    <w:multiLevelType w:val="hybridMultilevel"/>
    <w:tmpl w:val="DD3AA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A2296C"/>
    <w:multiLevelType w:val="multilevel"/>
    <w:tmpl w:val="8E54D1F8"/>
    <w:lvl w:ilvl="0">
      <w:start w:val="1"/>
      <w:numFmt w:val="decimal"/>
      <w:lvlText w:val="%1."/>
      <w:lvlJc w:val="left"/>
      <w:pPr>
        <w:tabs>
          <w:tab w:val="num" w:pos="720"/>
        </w:tabs>
        <w:ind w:left="720" w:hanging="360"/>
      </w:pPr>
      <w:rPr>
        <w:rFonts w:hint="default"/>
        <w:sz w:val="21"/>
        <w:szCs w:val="24"/>
      </w:rPr>
    </w:lvl>
    <w:lvl w:ilvl="1">
      <w:start w:val="5"/>
      <w:numFmt w:val="bullet"/>
      <w:lvlText w:val="-"/>
      <w:lvlJc w:val="left"/>
      <w:pPr>
        <w:ind w:left="1440" w:hanging="360"/>
      </w:pPr>
      <w:rPr>
        <w:rFonts w:ascii="Segoe UI" w:eastAsiaTheme="minorHAnsi" w:hAnsi="Segoe UI" w:cs="Segoe U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160FC2"/>
    <w:multiLevelType w:val="hybridMultilevel"/>
    <w:tmpl w:val="5D6EE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315F1F"/>
    <w:multiLevelType w:val="hybridMultilevel"/>
    <w:tmpl w:val="FA58C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64392B"/>
    <w:multiLevelType w:val="hybridMultilevel"/>
    <w:tmpl w:val="BB482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710E70"/>
    <w:multiLevelType w:val="hybridMultilevel"/>
    <w:tmpl w:val="27B26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AA6000"/>
    <w:multiLevelType w:val="hybridMultilevel"/>
    <w:tmpl w:val="535C4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E34E53"/>
    <w:multiLevelType w:val="hybridMultilevel"/>
    <w:tmpl w:val="15DE5A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0A5A1E"/>
    <w:multiLevelType w:val="multilevel"/>
    <w:tmpl w:val="0DF85318"/>
    <w:lvl w:ilvl="0">
      <w:start w:val="1"/>
      <w:numFmt w:val="decimal"/>
      <w:lvlText w:val="%1."/>
      <w:lvlJc w:val="left"/>
      <w:pPr>
        <w:ind w:left="720" w:hanging="360"/>
      </w:pPr>
      <w:rPr>
        <w:sz w:val="22"/>
        <w:szCs w:val="22"/>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4" w15:restartNumberingAfterBreak="0">
    <w:nsid w:val="64073B25"/>
    <w:multiLevelType w:val="multilevel"/>
    <w:tmpl w:val="6708077C"/>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5" w15:restartNumberingAfterBreak="0">
    <w:nsid w:val="65C92C10"/>
    <w:multiLevelType w:val="multilevel"/>
    <w:tmpl w:val="8E54D1F8"/>
    <w:lvl w:ilvl="0">
      <w:start w:val="1"/>
      <w:numFmt w:val="decimal"/>
      <w:lvlText w:val="%1."/>
      <w:lvlJc w:val="left"/>
      <w:pPr>
        <w:tabs>
          <w:tab w:val="num" w:pos="720"/>
        </w:tabs>
        <w:ind w:left="720" w:hanging="360"/>
      </w:pPr>
      <w:rPr>
        <w:rFonts w:hint="default"/>
        <w:sz w:val="21"/>
        <w:szCs w:val="24"/>
      </w:rPr>
    </w:lvl>
    <w:lvl w:ilvl="1">
      <w:start w:val="5"/>
      <w:numFmt w:val="bullet"/>
      <w:lvlText w:val="-"/>
      <w:lvlJc w:val="left"/>
      <w:pPr>
        <w:ind w:left="1440" w:hanging="360"/>
      </w:pPr>
      <w:rPr>
        <w:rFonts w:ascii="Segoe UI" w:eastAsiaTheme="minorHAnsi" w:hAnsi="Segoe UI" w:cs="Segoe U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343C15"/>
    <w:multiLevelType w:val="hybridMultilevel"/>
    <w:tmpl w:val="743C9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9B2D35"/>
    <w:multiLevelType w:val="hybridMultilevel"/>
    <w:tmpl w:val="F5BA9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0602547">
    <w:abstractNumId w:val="0"/>
  </w:num>
  <w:num w:numId="2" w16cid:durableId="1438060377">
    <w:abstractNumId w:val="20"/>
  </w:num>
  <w:num w:numId="3" w16cid:durableId="1696006261">
    <w:abstractNumId w:val="19"/>
  </w:num>
  <w:num w:numId="4" w16cid:durableId="485904559">
    <w:abstractNumId w:val="39"/>
  </w:num>
  <w:num w:numId="5" w16cid:durableId="690646398">
    <w:abstractNumId w:val="25"/>
  </w:num>
  <w:num w:numId="6" w16cid:durableId="215825302">
    <w:abstractNumId w:val="22"/>
  </w:num>
  <w:num w:numId="7" w16cid:durableId="1318724772">
    <w:abstractNumId w:val="47"/>
  </w:num>
  <w:num w:numId="8" w16cid:durableId="1125347478">
    <w:abstractNumId w:val="8"/>
  </w:num>
  <w:num w:numId="9" w16cid:durableId="1218975244">
    <w:abstractNumId w:val="18"/>
  </w:num>
  <w:num w:numId="10" w16cid:durableId="1299648479">
    <w:abstractNumId w:val="37"/>
  </w:num>
  <w:num w:numId="11" w16cid:durableId="1326204430">
    <w:abstractNumId w:val="15"/>
  </w:num>
  <w:num w:numId="12" w16cid:durableId="1130051996">
    <w:abstractNumId w:val="2"/>
  </w:num>
  <w:num w:numId="13" w16cid:durableId="1686205213">
    <w:abstractNumId w:val="28"/>
  </w:num>
  <w:num w:numId="14" w16cid:durableId="4420700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6950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3771137">
    <w:abstractNumId w:val="43"/>
  </w:num>
  <w:num w:numId="17" w16cid:durableId="1661543517">
    <w:abstractNumId w:val="44"/>
  </w:num>
  <w:num w:numId="18" w16cid:durableId="1734156902">
    <w:abstractNumId w:val="9"/>
  </w:num>
  <w:num w:numId="19" w16cid:durableId="1857309269">
    <w:abstractNumId w:val="45"/>
  </w:num>
  <w:num w:numId="20" w16cid:durableId="1487670850">
    <w:abstractNumId w:val="29"/>
  </w:num>
  <w:num w:numId="21" w16cid:durableId="975915352">
    <w:abstractNumId w:val="12"/>
  </w:num>
  <w:num w:numId="22" w16cid:durableId="527178491">
    <w:abstractNumId w:val="42"/>
  </w:num>
  <w:num w:numId="23" w16cid:durableId="597182093">
    <w:abstractNumId w:val="23"/>
  </w:num>
  <w:num w:numId="24" w16cid:durableId="1174303473">
    <w:abstractNumId w:val="24"/>
  </w:num>
  <w:num w:numId="25" w16cid:durableId="2052151110">
    <w:abstractNumId w:val="21"/>
  </w:num>
  <w:num w:numId="26" w16cid:durableId="36322446">
    <w:abstractNumId w:val="27"/>
  </w:num>
  <w:num w:numId="27" w16cid:durableId="2044014955">
    <w:abstractNumId w:val="40"/>
  </w:num>
  <w:num w:numId="28" w16cid:durableId="1252664074">
    <w:abstractNumId w:val="36"/>
  </w:num>
  <w:num w:numId="29" w16cid:durableId="978457241">
    <w:abstractNumId w:val="4"/>
  </w:num>
  <w:num w:numId="30" w16cid:durableId="19048769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97738038">
    <w:abstractNumId w:val="31"/>
  </w:num>
  <w:num w:numId="32" w16cid:durableId="846600348">
    <w:abstractNumId w:val="26"/>
  </w:num>
  <w:num w:numId="33" w16cid:durableId="736979159">
    <w:abstractNumId w:val="35"/>
  </w:num>
  <w:num w:numId="34" w16cid:durableId="1795171444">
    <w:abstractNumId w:val="5"/>
  </w:num>
  <w:num w:numId="35" w16cid:durableId="1015303256">
    <w:abstractNumId w:val="3"/>
  </w:num>
  <w:num w:numId="36" w16cid:durableId="1638607651">
    <w:abstractNumId w:val="14"/>
  </w:num>
  <w:num w:numId="37" w16cid:durableId="501702665">
    <w:abstractNumId w:val="46"/>
  </w:num>
  <w:num w:numId="38" w16cid:durableId="876815096">
    <w:abstractNumId w:val="1"/>
  </w:num>
  <w:num w:numId="39" w16cid:durableId="8164534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55156684">
    <w:abstractNumId w:val="7"/>
  </w:num>
  <w:num w:numId="41" w16cid:durableId="9063779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180530">
    <w:abstractNumId w:val="38"/>
  </w:num>
  <w:num w:numId="43" w16cid:durableId="1753504595">
    <w:abstractNumId w:val="33"/>
  </w:num>
  <w:num w:numId="44" w16cid:durableId="1640107663">
    <w:abstractNumId w:val="32"/>
  </w:num>
  <w:num w:numId="45" w16cid:durableId="633022715">
    <w:abstractNumId w:val="41"/>
  </w:num>
  <w:num w:numId="46" w16cid:durableId="2051107280">
    <w:abstractNumId w:val="6"/>
  </w:num>
  <w:num w:numId="47" w16cid:durableId="502358383">
    <w:abstractNumId w:val="11"/>
  </w:num>
  <w:num w:numId="48" w16cid:durableId="192497289">
    <w:abstractNumId w:val="10"/>
  </w:num>
  <w:num w:numId="49" w16cid:durableId="981928890">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126"/>
    <w:rsid w:val="00000227"/>
    <w:rsid w:val="000002CC"/>
    <w:rsid w:val="00000A87"/>
    <w:rsid w:val="00002741"/>
    <w:rsid w:val="000031FE"/>
    <w:rsid w:val="0000389A"/>
    <w:rsid w:val="00003E13"/>
    <w:rsid w:val="00004770"/>
    <w:rsid w:val="00004B20"/>
    <w:rsid w:val="00005779"/>
    <w:rsid w:val="00005C92"/>
    <w:rsid w:val="0000615C"/>
    <w:rsid w:val="00007561"/>
    <w:rsid w:val="0000762D"/>
    <w:rsid w:val="00007F59"/>
    <w:rsid w:val="000107AE"/>
    <w:rsid w:val="00010A89"/>
    <w:rsid w:val="00014278"/>
    <w:rsid w:val="00014F4C"/>
    <w:rsid w:val="00016678"/>
    <w:rsid w:val="0001673A"/>
    <w:rsid w:val="00020323"/>
    <w:rsid w:val="0002073E"/>
    <w:rsid w:val="00020A34"/>
    <w:rsid w:val="00022801"/>
    <w:rsid w:val="00022966"/>
    <w:rsid w:val="00022A4E"/>
    <w:rsid w:val="00023BC6"/>
    <w:rsid w:val="00024DC1"/>
    <w:rsid w:val="00025FB9"/>
    <w:rsid w:val="000262E2"/>
    <w:rsid w:val="00026D7F"/>
    <w:rsid w:val="00027615"/>
    <w:rsid w:val="00030128"/>
    <w:rsid w:val="000301C9"/>
    <w:rsid w:val="0003291B"/>
    <w:rsid w:val="00033E05"/>
    <w:rsid w:val="00034408"/>
    <w:rsid w:val="000344F8"/>
    <w:rsid w:val="000346A5"/>
    <w:rsid w:val="00035825"/>
    <w:rsid w:val="0004251B"/>
    <w:rsid w:val="00044FF6"/>
    <w:rsid w:val="00045B53"/>
    <w:rsid w:val="000472DB"/>
    <w:rsid w:val="00047D20"/>
    <w:rsid w:val="000518CE"/>
    <w:rsid w:val="00051ECB"/>
    <w:rsid w:val="000535EE"/>
    <w:rsid w:val="00054093"/>
    <w:rsid w:val="00054330"/>
    <w:rsid w:val="0005461C"/>
    <w:rsid w:val="00055074"/>
    <w:rsid w:val="00055834"/>
    <w:rsid w:val="000565AE"/>
    <w:rsid w:val="00057DDD"/>
    <w:rsid w:val="0006084C"/>
    <w:rsid w:val="00060FFB"/>
    <w:rsid w:val="00061ACF"/>
    <w:rsid w:val="00062A7C"/>
    <w:rsid w:val="00062D1B"/>
    <w:rsid w:val="000632C3"/>
    <w:rsid w:val="00063311"/>
    <w:rsid w:val="00064EB3"/>
    <w:rsid w:val="000655E2"/>
    <w:rsid w:val="0006562E"/>
    <w:rsid w:val="00066325"/>
    <w:rsid w:val="00067DDE"/>
    <w:rsid w:val="000704FA"/>
    <w:rsid w:val="00071235"/>
    <w:rsid w:val="000715F2"/>
    <w:rsid w:val="00071662"/>
    <w:rsid w:val="00071C76"/>
    <w:rsid w:val="00072830"/>
    <w:rsid w:val="00072A6B"/>
    <w:rsid w:val="000754FB"/>
    <w:rsid w:val="0007555A"/>
    <w:rsid w:val="0007594C"/>
    <w:rsid w:val="00075A72"/>
    <w:rsid w:val="00076EE4"/>
    <w:rsid w:val="0008049B"/>
    <w:rsid w:val="000812A7"/>
    <w:rsid w:val="00081EFB"/>
    <w:rsid w:val="00082B12"/>
    <w:rsid w:val="00082D5C"/>
    <w:rsid w:val="00083C7C"/>
    <w:rsid w:val="00084E96"/>
    <w:rsid w:val="0008550B"/>
    <w:rsid w:val="000868EE"/>
    <w:rsid w:val="00087C5D"/>
    <w:rsid w:val="00090CAB"/>
    <w:rsid w:val="000921B8"/>
    <w:rsid w:val="0009223D"/>
    <w:rsid w:val="00093CF2"/>
    <w:rsid w:val="00094079"/>
    <w:rsid w:val="00095A3F"/>
    <w:rsid w:val="00095B6F"/>
    <w:rsid w:val="00095E27"/>
    <w:rsid w:val="000966B3"/>
    <w:rsid w:val="0009735A"/>
    <w:rsid w:val="00097D92"/>
    <w:rsid w:val="00097EE5"/>
    <w:rsid w:val="000A006E"/>
    <w:rsid w:val="000A0193"/>
    <w:rsid w:val="000A2806"/>
    <w:rsid w:val="000A2F65"/>
    <w:rsid w:val="000A3BF5"/>
    <w:rsid w:val="000A4362"/>
    <w:rsid w:val="000A500C"/>
    <w:rsid w:val="000A5271"/>
    <w:rsid w:val="000A5664"/>
    <w:rsid w:val="000A6A73"/>
    <w:rsid w:val="000A6D7F"/>
    <w:rsid w:val="000A7661"/>
    <w:rsid w:val="000B0725"/>
    <w:rsid w:val="000B0BE5"/>
    <w:rsid w:val="000B1CC2"/>
    <w:rsid w:val="000B2632"/>
    <w:rsid w:val="000B31CF"/>
    <w:rsid w:val="000B3883"/>
    <w:rsid w:val="000B41BA"/>
    <w:rsid w:val="000B42CF"/>
    <w:rsid w:val="000B4872"/>
    <w:rsid w:val="000B5BBF"/>
    <w:rsid w:val="000B5D56"/>
    <w:rsid w:val="000B693A"/>
    <w:rsid w:val="000B6E07"/>
    <w:rsid w:val="000B7DB8"/>
    <w:rsid w:val="000C0080"/>
    <w:rsid w:val="000C09ED"/>
    <w:rsid w:val="000C0B79"/>
    <w:rsid w:val="000C13A8"/>
    <w:rsid w:val="000C246B"/>
    <w:rsid w:val="000C333F"/>
    <w:rsid w:val="000C4537"/>
    <w:rsid w:val="000C5303"/>
    <w:rsid w:val="000C5571"/>
    <w:rsid w:val="000C573D"/>
    <w:rsid w:val="000C5C51"/>
    <w:rsid w:val="000D009D"/>
    <w:rsid w:val="000D06EE"/>
    <w:rsid w:val="000D15DD"/>
    <w:rsid w:val="000D16F4"/>
    <w:rsid w:val="000D1AB4"/>
    <w:rsid w:val="000D3131"/>
    <w:rsid w:val="000D3DEA"/>
    <w:rsid w:val="000D575A"/>
    <w:rsid w:val="000D5C3D"/>
    <w:rsid w:val="000E2EB3"/>
    <w:rsid w:val="000E3483"/>
    <w:rsid w:val="000E43AC"/>
    <w:rsid w:val="000E49F2"/>
    <w:rsid w:val="000E4A0F"/>
    <w:rsid w:val="000E4D61"/>
    <w:rsid w:val="000E5CE3"/>
    <w:rsid w:val="000E6DB3"/>
    <w:rsid w:val="000F03C3"/>
    <w:rsid w:val="000F03DA"/>
    <w:rsid w:val="000F37CA"/>
    <w:rsid w:val="000F4424"/>
    <w:rsid w:val="000F5157"/>
    <w:rsid w:val="000F55B0"/>
    <w:rsid w:val="000F6DCB"/>
    <w:rsid w:val="0010232D"/>
    <w:rsid w:val="00103407"/>
    <w:rsid w:val="00105CC6"/>
    <w:rsid w:val="00106ED4"/>
    <w:rsid w:val="0010798D"/>
    <w:rsid w:val="00110550"/>
    <w:rsid w:val="00111A12"/>
    <w:rsid w:val="00114133"/>
    <w:rsid w:val="0011432E"/>
    <w:rsid w:val="00115D17"/>
    <w:rsid w:val="00116E40"/>
    <w:rsid w:val="00117597"/>
    <w:rsid w:val="00120365"/>
    <w:rsid w:val="0012082C"/>
    <w:rsid w:val="0012298D"/>
    <w:rsid w:val="00122D53"/>
    <w:rsid w:val="001241D5"/>
    <w:rsid w:val="00124E9B"/>
    <w:rsid w:val="00124EEE"/>
    <w:rsid w:val="00125A5E"/>
    <w:rsid w:val="00125E11"/>
    <w:rsid w:val="00126F37"/>
    <w:rsid w:val="001273D7"/>
    <w:rsid w:val="001309C3"/>
    <w:rsid w:val="00132620"/>
    <w:rsid w:val="00133790"/>
    <w:rsid w:val="00134059"/>
    <w:rsid w:val="00135340"/>
    <w:rsid w:val="001356CF"/>
    <w:rsid w:val="00136D75"/>
    <w:rsid w:val="0013708E"/>
    <w:rsid w:val="001406C0"/>
    <w:rsid w:val="00141D26"/>
    <w:rsid w:val="00142C9F"/>
    <w:rsid w:val="0014335B"/>
    <w:rsid w:val="001433D4"/>
    <w:rsid w:val="001436BB"/>
    <w:rsid w:val="0014404F"/>
    <w:rsid w:val="00145691"/>
    <w:rsid w:val="00145851"/>
    <w:rsid w:val="00145E0F"/>
    <w:rsid w:val="00146216"/>
    <w:rsid w:val="00146DCE"/>
    <w:rsid w:val="00147A17"/>
    <w:rsid w:val="00147EA0"/>
    <w:rsid w:val="00151053"/>
    <w:rsid w:val="001512EC"/>
    <w:rsid w:val="0015179D"/>
    <w:rsid w:val="00151E39"/>
    <w:rsid w:val="00152C79"/>
    <w:rsid w:val="00152D1D"/>
    <w:rsid w:val="001534A9"/>
    <w:rsid w:val="001543ED"/>
    <w:rsid w:val="00154A8B"/>
    <w:rsid w:val="001552BA"/>
    <w:rsid w:val="001559B9"/>
    <w:rsid w:val="00155D44"/>
    <w:rsid w:val="00155F06"/>
    <w:rsid w:val="0015684D"/>
    <w:rsid w:val="00156EF3"/>
    <w:rsid w:val="00157F7C"/>
    <w:rsid w:val="00161F37"/>
    <w:rsid w:val="00164229"/>
    <w:rsid w:val="0016597D"/>
    <w:rsid w:val="00166328"/>
    <w:rsid w:val="00166846"/>
    <w:rsid w:val="00166AF6"/>
    <w:rsid w:val="00167323"/>
    <w:rsid w:val="001711AD"/>
    <w:rsid w:val="00171412"/>
    <w:rsid w:val="00175F50"/>
    <w:rsid w:val="00175FFD"/>
    <w:rsid w:val="001765A0"/>
    <w:rsid w:val="00176725"/>
    <w:rsid w:val="001767B8"/>
    <w:rsid w:val="0017689B"/>
    <w:rsid w:val="00176A5E"/>
    <w:rsid w:val="00176AC0"/>
    <w:rsid w:val="001774C6"/>
    <w:rsid w:val="00177565"/>
    <w:rsid w:val="00177D5D"/>
    <w:rsid w:val="00180D8E"/>
    <w:rsid w:val="00182742"/>
    <w:rsid w:val="00184837"/>
    <w:rsid w:val="001853B7"/>
    <w:rsid w:val="00185959"/>
    <w:rsid w:val="00185ACA"/>
    <w:rsid w:val="0018618C"/>
    <w:rsid w:val="001873C1"/>
    <w:rsid w:val="0019040F"/>
    <w:rsid w:val="001907DE"/>
    <w:rsid w:val="00190924"/>
    <w:rsid w:val="001910F3"/>
    <w:rsid w:val="0019121A"/>
    <w:rsid w:val="0019225F"/>
    <w:rsid w:val="00192A58"/>
    <w:rsid w:val="00192D44"/>
    <w:rsid w:val="00193A37"/>
    <w:rsid w:val="00194CEE"/>
    <w:rsid w:val="001967F6"/>
    <w:rsid w:val="001975F5"/>
    <w:rsid w:val="00197770"/>
    <w:rsid w:val="001A0B13"/>
    <w:rsid w:val="001A1BD0"/>
    <w:rsid w:val="001A21F1"/>
    <w:rsid w:val="001A26AC"/>
    <w:rsid w:val="001A3087"/>
    <w:rsid w:val="001A3974"/>
    <w:rsid w:val="001A4356"/>
    <w:rsid w:val="001A4F8B"/>
    <w:rsid w:val="001A54F6"/>
    <w:rsid w:val="001A55E0"/>
    <w:rsid w:val="001A6992"/>
    <w:rsid w:val="001A790F"/>
    <w:rsid w:val="001A798A"/>
    <w:rsid w:val="001A7BBA"/>
    <w:rsid w:val="001B028E"/>
    <w:rsid w:val="001B0A12"/>
    <w:rsid w:val="001B165A"/>
    <w:rsid w:val="001B1A66"/>
    <w:rsid w:val="001B26E2"/>
    <w:rsid w:val="001B2E4D"/>
    <w:rsid w:val="001B40CB"/>
    <w:rsid w:val="001B5692"/>
    <w:rsid w:val="001B5B95"/>
    <w:rsid w:val="001B62FD"/>
    <w:rsid w:val="001B669F"/>
    <w:rsid w:val="001B6DF5"/>
    <w:rsid w:val="001B7141"/>
    <w:rsid w:val="001B7CA2"/>
    <w:rsid w:val="001C0601"/>
    <w:rsid w:val="001C10B1"/>
    <w:rsid w:val="001C388E"/>
    <w:rsid w:val="001C5870"/>
    <w:rsid w:val="001C5888"/>
    <w:rsid w:val="001C59CA"/>
    <w:rsid w:val="001C6420"/>
    <w:rsid w:val="001C6F1A"/>
    <w:rsid w:val="001C7EAA"/>
    <w:rsid w:val="001D023A"/>
    <w:rsid w:val="001D02E5"/>
    <w:rsid w:val="001D085A"/>
    <w:rsid w:val="001D0FA0"/>
    <w:rsid w:val="001D1072"/>
    <w:rsid w:val="001D116F"/>
    <w:rsid w:val="001D1424"/>
    <w:rsid w:val="001D193D"/>
    <w:rsid w:val="001D19D1"/>
    <w:rsid w:val="001D1B75"/>
    <w:rsid w:val="001D3147"/>
    <w:rsid w:val="001D36AF"/>
    <w:rsid w:val="001D3ECC"/>
    <w:rsid w:val="001D4E9E"/>
    <w:rsid w:val="001D598F"/>
    <w:rsid w:val="001E0727"/>
    <w:rsid w:val="001E201B"/>
    <w:rsid w:val="001E3A27"/>
    <w:rsid w:val="001E3CF5"/>
    <w:rsid w:val="001E4F1F"/>
    <w:rsid w:val="001E70F1"/>
    <w:rsid w:val="001F0C14"/>
    <w:rsid w:val="001F0E41"/>
    <w:rsid w:val="001F1BC6"/>
    <w:rsid w:val="001F3BBC"/>
    <w:rsid w:val="001F4053"/>
    <w:rsid w:val="001F4248"/>
    <w:rsid w:val="001F485B"/>
    <w:rsid w:val="001F4ED2"/>
    <w:rsid w:val="001F5E9C"/>
    <w:rsid w:val="001F75B9"/>
    <w:rsid w:val="001F7667"/>
    <w:rsid w:val="002000DA"/>
    <w:rsid w:val="00201F41"/>
    <w:rsid w:val="002027EC"/>
    <w:rsid w:val="0020314A"/>
    <w:rsid w:val="00203BAC"/>
    <w:rsid w:val="00203F95"/>
    <w:rsid w:val="002042A6"/>
    <w:rsid w:val="00204E75"/>
    <w:rsid w:val="0020521E"/>
    <w:rsid w:val="00205F39"/>
    <w:rsid w:val="00207CC1"/>
    <w:rsid w:val="00212C6C"/>
    <w:rsid w:val="00213278"/>
    <w:rsid w:val="0021547D"/>
    <w:rsid w:val="00215C34"/>
    <w:rsid w:val="00216DF2"/>
    <w:rsid w:val="002172FB"/>
    <w:rsid w:val="002174A2"/>
    <w:rsid w:val="00220038"/>
    <w:rsid w:val="0022033B"/>
    <w:rsid w:val="0022094D"/>
    <w:rsid w:val="00220A39"/>
    <w:rsid w:val="00220C78"/>
    <w:rsid w:val="002210B9"/>
    <w:rsid w:val="00221D99"/>
    <w:rsid w:val="00223B36"/>
    <w:rsid w:val="00223CCA"/>
    <w:rsid w:val="0022460E"/>
    <w:rsid w:val="00224ECC"/>
    <w:rsid w:val="0022608B"/>
    <w:rsid w:val="002268E8"/>
    <w:rsid w:val="0022764F"/>
    <w:rsid w:val="0023065A"/>
    <w:rsid w:val="00231AE5"/>
    <w:rsid w:val="00231B81"/>
    <w:rsid w:val="00232994"/>
    <w:rsid w:val="00233207"/>
    <w:rsid w:val="00233A46"/>
    <w:rsid w:val="00234BE0"/>
    <w:rsid w:val="00237B80"/>
    <w:rsid w:val="0024210C"/>
    <w:rsid w:val="002425EE"/>
    <w:rsid w:val="00242B95"/>
    <w:rsid w:val="00242F5C"/>
    <w:rsid w:val="002431A7"/>
    <w:rsid w:val="00243A64"/>
    <w:rsid w:val="00243C05"/>
    <w:rsid w:val="00244451"/>
    <w:rsid w:val="002445F9"/>
    <w:rsid w:val="002455FB"/>
    <w:rsid w:val="00246042"/>
    <w:rsid w:val="00246A89"/>
    <w:rsid w:val="0025060D"/>
    <w:rsid w:val="00251126"/>
    <w:rsid w:val="002516E5"/>
    <w:rsid w:val="00252744"/>
    <w:rsid w:val="00253CF3"/>
    <w:rsid w:val="00255B25"/>
    <w:rsid w:val="00255D05"/>
    <w:rsid w:val="00255D1D"/>
    <w:rsid w:val="00255ED1"/>
    <w:rsid w:val="002560DC"/>
    <w:rsid w:val="00256333"/>
    <w:rsid w:val="00256B1C"/>
    <w:rsid w:val="002570B2"/>
    <w:rsid w:val="00257BB1"/>
    <w:rsid w:val="002603BE"/>
    <w:rsid w:val="002607B0"/>
    <w:rsid w:val="002608F3"/>
    <w:rsid w:val="00260AF4"/>
    <w:rsid w:val="00260CBC"/>
    <w:rsid w:val="00261071"/>
    <w:rsid w:val="00261182"/>
    <w:rsid w:val="00261F63"/>
    <w:rsid w:val="0026200F"/>
    <w:rsid w:val="00263A9B"/>
    <w:rsid w:val="00263F04"/>
    <w:rsid w:val="0026427E"/>
    <w:rsid w:val="00264742"/>
    <w:rsid w:val="00264788"/>
    <w:rsid w:val="002647E0"/>
    <w:rsid w:val="00264F63"/>
    <w:rsid w:val="00265FD2"/>
    <w:rsid w:val="002661D7"/>
    <w:rsid w:val="00266318"/>
    <w:rsid w:val="00266BE5"/>
    <w:rsid w:val="00266CAD"/>
    <w:rsid w:val="00267014"/>
    <w:rsid w:val="00270AAB"/>
    <w:rsid w:val="00271215"/>
    <w:rsid w:val="00271E57"/>
    <w:rsid w:val="00272776"/>
    <w:rsid w:val="0027430F"/>
    <w:rsid w:val="0027474F"/>
    <w:rsid w:val="00274F28"/>
    <w:rsid w:val="00280050"/>
    <w:rsid w:val="002805E6"/>
    <w:rsid w:val="002820CD"/>
    <w:rsid w:val="00283D05"/>
    <w:rsid w:val="00283EE9"/>
    <w:rsid w:val="002845D2"/>
    <w:rsid w:val="0028468A"/>
    <w:rsid w:val="002858B3"/>
    <w:rsid w:val="002858D9"/>
    <w:rsid w:val="002865BA"/>
    <w:rsid w:val="0028661B"/>
    <w:rsid w:val="00286DAA"/>
    <w:rsid w:val="00287499"/>
    <w:rsid w:val="00290496"/>
    <w:rsid w:val="00290862"/>
    <w:rsid w:val="00290BB3"/>
    <w:rsid w:val="00291E4A"/>
    <w:rsid w:val="002924F5"/>
    <w:rsid w:val="00293766"/>
    <w:rsid w:val="00293C32"/>
    <w:rsid w:val="00294F9E"/>
    <w:rsid w:val="00295A3E"/>
    <w:rsid w:val="00295D2D"/>
    <w:rsid w:val="00295D4C"/>
    <w:rsid w:val="00296375"/>
    <w:rsid w:val="0029642C"/>
    <w:rsid w:val="0029697C"/>
    <w:rsid w:val="002974CD"/>
    <w:rsid w:val="002A0035"/>
    <w:rsid w:val="002A0FB3"/>
    <w:rsid w:val="002A3043"/>
    <w:rsid w:val="002A3DBA"/>
    <w:rsid w:val="002A4644"/>
    <w:rsid w:val="002A4E46"/>
    <w:rsid w:val="002A5C2F"/>
    <w:rsid w:val="002A6BDF"/>
    <w:rsid w:val="002B0A3F"/>
    <w:rsid w:val="002B13EA"/>
    <w:rsid w:val="002B17A0"/>
    <w:rsid w:val="002B2FB2"/>
    <w:rsid w:val="002B3263"/>
    <w:rsid w:val="002B3C7F"/>
    <w:rsid w:val="002B5778"/>
    <w:rsid w:val="002B65AB"/>
    <w:rsid w:val="002B75A8"/>
    <w:rsid w:val="002B7A0D"/>
    <w:rsid w:val="002B7C3B"/>
    <w:rsid w:val="002C05B4"/>
    <w:rsid w:val="002C0E6D"/>
    <w:rsid w:val="002C2019"/>
    <w:rsid w:val="002C3553"/>
    <w:rsid w:val="002C4A09"/>
    <w:rsid w:val="002C4EBC"/>
    <w:rsid w:val="002C6536"/>
    <w:rsid w:val="002C6898"/>
    <w:rsid w:val="002C7098"/>
    <w:rsid w:val="002C7227"/>
    <w:rsid w:val="002C75FF"/>
    <w:rsid w:val="002D538B"/>
    <w:rsid w:val="002D5750"/>
    <w:rsid w:val="002D5B6F"/>
    <w:rsid w:val="002D6E01"/>
    <w:rsid w:val="002D7AEA"/>
    <w:rsid w:val="002D7D5F"/>
    <w:rsid w:val="002E0C36"/>
    <w:rsid w:val="002E1041"/>
    <w:rsid w:val="002E11F6"/>
    <w:rsid w:val="002E2598"/>
    <w:rsid w:val="002E2B12"/>
    <w:rsid w:val="002E5FE4"/>
    <w:rsid w:val="002E6334"/>
    <w:rsid w:val="002E7404"/>
    <w:rsid w:val="002E756E"/>
    <w:rsid w:val="002F0330"/>
    <w:rsid w:val="002F0514"/>
    <w:rsid w:val="002F1A3C"/>
    <w:rsid w:val="002F38C7"/>
    <w:rsid w:val="002F4A42"/>
    <w:rsid w:val="002F52E2"/>
    <w:rsid w:val="002F584C"/>
    <w:rsid w:val="002F75E0"/>
    <w:rsid w:val="00300748"/>
    <w:rsid w:val="00301296"/>
    <w:rsid w:val="0030147B"/>
    <w:rsid w:val="003022AC"/>
    <w:rsid w:val="00302357"/>
    <w:rsid w:val="0030275A"/>
    <w:rsid w:val="003029F0"/>
    <w:rsid w:val="00302D36"/>
    <w:rsid w:val="00302EE7"/>
    <w:rsid w:val="003051FE"/>
    <w:rsid w:val="00307FFC"/>
    <w:rsid w:val="00310154"/>
    <w:rsid w:val="00311917"/>
    <w:rsid w:val="0031196F"/>
    <w:rsid w:val="00311F64"/>
    <w:rsid w:val="00313EA8"/>
    <w:rsid w:val="00314916"/>
    <w:rsid w:val="00314A36"/>
    <w:rsid w:val="00316895"/>
    <w:rsid w:val="003171EF"/>
    <w:rsid w:val="003172F4"/>
    <w:rsid w:val="00317671"/>
    <w:rsid w:val="00321704"/>
    <w:rsid w:val="00323515"/>
    <w:rsid w:val="003235ED"/>
    <w:rsid w:val="00323780"/>
    <w:rsid w:val="0032577B"/>
    <w:rsid w:val="003258A6"/>
    <w:rsid w:val="00326AD5"/>
    <w:rsid w:val="003275FC"/>
    <w:rsid w:val="00331395"/>
    <w:rsid w:val="00334D1D"/>
    <w:rsid w:val="00335960"/>
    <w:rsid w:val="00336D8A"/>
    <w:rsid w:val="00336FED"/>
    <w:rsid w:val="003377BE"/>
    <w:rsid w:val="00337DC2"/>
    <w:rsid w:val="00340959"/>
    <w:rsid w:val="0034330C"/>
    <w:rsid w:val="00343C8C"/>
    <w:rsid w:val="00344137"/>
    <w:rsid w:val="00346BD1"/>
    <w:rsid w:val="00347DA5"/>
    <w:rsid w:val="00350934"/>
    <w:rsid w:val="003525F5"/>
    <w:rsid w:val="00352BE8"/>
    <w:rsid w:val="00354098"/>
    <w:rsid w:val="00354222"/>
    <w:rsid w:val="00354688"/>
    <w:rsid w:val="00354E7B"/>
    <w:rsid w:val="00361557"/>
    <w:rsid w:val="00362893"/>
    <w:rsid w:val="00365962"/>
    <w:rsid w:val="00365EEE"/>
    <w:rsid w:val="003669DC"/>
    <w:rsid w:val="0036708B"/>
    <w:rsid w:val="003674F5"/>
    <w:rsid w:val="00371603"/>
    <w:rsid w:val="0037170C"/>
    <w:rsid w:val="00371C99"/>
    <w:rsid w:val="00371D42"/>
    <w:rsid w:val="00371FDB"/>
    <w:rsid w:val="00372734"/>
    <w:rsid w:val="00372A90"/>
    <w:rsid w:val="00372AAB"/>
    <w:rsid w:val="00373A25"/>
    <w:rsid w:val="00374D92"/>
    <w:rsid w:val="0037537B"/>
    <w:rsid w:val="003770F7"/>
    <w:rsid w:val="0037711B"/>
    <w:rsid w:val="00381083"/>
    <w:rsid w:val="0038216E"/>
    <w:rsid w:val="00383037"/>
    <w:rsid w:val="003837DC"/>
    <w:rsid w:val="00383B58"/>
    <w:rsid w:val="003846AA"/>
    <w:rsid w:val="003854FE"/>
    <w:rsid w:val="00387B02"/>
    <w:rsid w:val="00387E1C"/>
    <w:rsid w:val="00390DC5"/>
    <w:rsid w:val="00391C3F"/>
    <w:rsid w:val="00391DA3"/>
    <w:rsid w:val="00392AEA"/>
    <w:rsid w:val="00394062"/>
    <w:rsid w:val="00394F58"/>
    <w:rsid w:val="00395A99"/>
    <w:rsid w:val="0039662B"/>
    <w:rsid w:val="0039707F"/>
    <w:rsid w:val="003A1376"/>
    <w:rsid w:val="003A1F3F"/>
    <w:rsid w:val="003A279C"/>
    <w:rsid w:val="003A2844"/>
    <w:rsid w:val="003A2C1C"/>
    <w:rsid w:val="003A333F"/>
    <w:rsid w:val="003A3446"/>
    <w:rsid w:val="003A3AC1"/>
    <w:rsid w:val="003A3AC3"/>
    <w:rsid w:val="003A4EC8"/>
    <w:rsid w:val="003A5753"/>
    <w:rsid w:val="003A736D"/>
    <w:rsid w:val="003A7ADF"/>
    <w:rsid w:val="003B003D"/>
    <w:rsid w:val="003B131E"/>
    <w:rsid w:val="003B17E3"/>
    <w:rsid w:val="003B1FDC"/>
    <w:rsid w:val="003B2200"/>
    <w:rsid w:val="003B3D1F"/>
    <w:rsid w:val="003B46CC"/>
    <w:rsid w:val="003B4F50"/>
    <w:rsid w:val="003B589A"/>
    <w:rsid w:val="003B5A0A"/>
    <w:rsid w:val="003B5ABE"/>
    <w:rsid w:val="003B63DB"/>
    <w:rsid w:val="003B6C6B"/>
    <w:rsid w:val="003B708B"/>
    <w:rsid w:val="003C0426"/>
    <w:rsid w:val="003C0861"/>
    <w:rsid w:val="003C13E8"/>
    <w:rsid w:val="003C1EE5"/>
    <w:rsid w:val="003C3BBD"/>
    <w:rsid w:val="003C3EEE"/>
    <w:rsid w:val="003C5452"/>
    <w:rsid w:val="003C59FF"/>
    <w:rsid w:val="003C74BF"/>
    <w:rsid w:val="003C7914"/>
    <w:rsid w:val="003D0132"/>
    <w:rsid w:val="003D08F5"/>
    <w:rsid w:val="003D0F18"/>
    <w:rsid w:val="003D3BCD"/>
    <w:rsid w:val="003D3CA3"/>
    <w:rsid w:val="003D429A"/>
    <w:rsid w:val="003D4AD4"/>
    <w:rsid w:val="003D72CF"/>
    <w:rsid w:val="003E2345"/>
    <w:rsid w:val="003E288A"/>
    <w:rsid w:val="003E3415"/>
    <w:rsid w:val="003E3F2F"/>
    <w:rsid w:val="003E4235"/>
    <w:rsid w:val="003E44A7"/>
    <w:rsid w:val="003E5703"/>
    <w:rsid w:val="003E7175"/>
    <w:rsid w:val="003F0D52"/>
    <w:rsid w:val="003F0ED7"/>
    <w:rsid w:val="003F3CD7"/>
    <w:rsid w:val="003F4790"/>
    <w:rsid w:val="003F4B03"/>
    <w:rsid w:val="003F5415"/>
    <w:rsid w:val="003F5959"/>
    <w:rsid w:val="003F645D"/>
    <w:rsid w:val="003F76E1"/>
    <w:rsid w:val="00400457"/>
    <w:rsid w:val="004007F3"/>
    <w:rsid w:val="00401E72"/>
    <w:rsid w:val="00401F7D"/>
    <w:rsid w:val="00402A33"/>
    <w:rsid w:val="00402AB4"/>
    <w:rsid w:val="00404055"/>
    <w:rsid w:val="004061F1"/>
    <w:rsid w:val="00406C8E"/>
    <w:rsid w:val="00407DC8"/>
    <w:rsid w:val="00407E29"/>
    <w:rsid w:val="0041032A"/>
    <w:rsid w:val="00410602"/>
    <w:rsid w:val="00411AD6"/>
    <w:rsid w:val="00411DBF"/>
    <w:rsid w:val="0041200B"/>
    <w:rsid w:val="0041455B"/>
    <w:rsid w:val="00416632"/>
    <w:rsid w:val="00417171"/>
    <w:rsid w:val="00417E0C"/>
    <w:rsid w:val="0042089D"/>
    <w:rsid w:val="00420FAF"/>
    <w:rsid w:val="004211F4"/>
    <w:rsid w:val="004212B6"/>
    <w:rsid w:val="0042156B"/>
    <w:rsid w:val="004215AE"/>
    <w:rsid w:val="004216E6"/>
    <w:rsid w:val="00424353"/>
    <w:rsid w:val="00424A34"/>
    <w:rsid w:val="0042554B"/>
    <w:rsid w:val="00426CDB"/>
    <w:rsid w:val="00427069"/>
    <w:rsid w:val="00427F2D"/>
    <w:rsid w:val="0043091E"/>
    <w:rsid w:val="00430C0C"/>
    <w:rsid w:val="00432F50"/>
    <w:rsid w:val="00433BE2"/>
    <w:rsid w:val="00433CF1"/>
    <w:rsid w:val="00435A29"/>
    <w:rsid w:val="004361FC"/>
    <w:rsid w:val="00436CC2"/>
    <w:rsid w:val="004379D2"/>
    <w:rsid w:val="004407B1"/>
    <w:rsid w:val="00440A25"/>
    <w:rsid w:val="00440B2E"/>
    <w:rsid w:val="00441BE2"/>
    <w:rsid w:val="00441FE2"/>
    <w:rsid w:val="00443DA4"/>
    <w:rsid w:val="00444256"/>
    <w:rsid w:val="004449E9"/>
    <w:rsid w:val="004455F6"/>
    <w:rsid w:val="00445A0A"/>
    <w:rsid w:val="00450021"/>
    <w:rsid w:val="0045041D"/>
    <w:rsid w:val="00450509"/>
    <w:rsid w:val="0045065D"/>
    <w:rsid w:val="004508CB"/>
    <w:rsid w:val="00450DDF"/>
    <w:rsid w:val="00451041"/>
    <w:rsid w:val="004510A5"/>
    <w:rsid w:val="00451B1E"/>
    <w:rsid w:val="00452374"/>
    <w:rsid w:val="00453018"/>
    <w:rsid w:val="00453396"/>
    <w:rsid w:val="00453D22"/>
    <w:rsid w:val="00454165"/>
    <w:rsid w:val="00454A3C"/>
    <w:rsid w:val="00454ECF"/>
    <w:rsid w:val="00455E5A"/>
    <w:rsid w:val="00457116"/>
    <w:rsid w:val="00457D87"/>
    <w:rsid w:val="00457E65"/>
    <w:rsid w:val="00457F01"/>
    <w:rsid w:val="00462225"/>
    <w:rsid w:val="004624CE"/>
    <w:rsid w:val="004627D6"/>
    <w:rsid w:val="004629DC"/>
    <w:rsid w:val="00462E6D"/>
    <w:rsid w:val="00463DA1"/>
    <w:rsid w:val="0046428C"/>
    <w:rsid w:val="0046568D"/>
    <w:rsid w:val="00465A34"/>
    <w:rsid w:val="00465AA3"/>
    <w:rsid w:val="004713D0"/>
    <w:rsid w:val="00473876"/>
    <w:rsid w:val="004743B8"/>
    <w:rsid w:val="00475318"/>
    <w:rsid w:val="004760D1"/>
    <w:rsid w:val="004766E4"/>
    <w:rsid w:val="00476A08"/>
    <w:rsid w:val="0048160D"/>
    <w:rsid w:val="00482552"/>
    <w:rsid w:val="00484C80"/>
    <w:rsid w:val="00484EFE"/>
    <w:rsid w:val="0048737D"/>
    <w:rsid w:val="00487717"/>
    <w:rsid w:val="00491861"/>
    <w:rsid w:val="00491BF9"/>
    <w:rsid w:val="00492458"/>
    <w:rsid w:val="00492CAC"/>
    <w:rsid w:val="004939C6"/>
    <w:rsid w:val="00493B49"/>
    <w:rsid w:val="004941CD"/>
    <w:rsid w:val="00496D4C"/>
    <w:rsid w:val="00496F3B"/>
    <w:rsid w:val="004A19E6"/>
    <w:rsid w:val="004A1B93"/>
    <w:rsid w:val="004A325B"/>
    <w:rsid w:val="004A46FE"/>
    <w:rsid w:val="004A498E"/>
    <w:rsid w:val="004A4F20"/>
    <w:rsid w:val="004A62E9"/>
    <w:rsid w:val="004A635D"/>
    <w:rsid w:val="004A6394"/>
    <w:rsid w:val="004A782E"/>
    <w:rsid w:val="004A7DAF"/>
    <w:rsid w:val="004B09A6"/>
    <w:rsid w:val="004B12CE"/>
    <w:rsid w:val="004B2765"/>
    <w:rsid w:val="004B2C43"/>
    <w:rsid w:val="004B2D22"/>
    <w:rsid w:val="004B31ED"/>
    <w:rsid w:val="004B38C1"/>
    <w:rsid w:val="004B3DC4"/>
    <w:rsid w:val="004B48AC"/>
    <w:rsid w:val="004B557D"/>
    <w:rsid w:val="004B585F"/>
    <w:rsid w:val="004B62FD"/>
    <w:rsid w:val="004B689E"/>
    <w:rsid w:val="004C0B89"/>
    <w:rsid w:val="004C1072"/>
    <w:rsid w:val="004C1126"/>
    <w:rsid w:val="004C1D0D"/>
    <w:rsid w:val="004C215D"/>
    <w:rsid w:val="004C2434"/>
    <w:rsid w:val="004C30D5"/>
    <w:rsid w:val="004C44DD"/>
    <w:rsid w:val="004C4BAE"/>
    <w:rsid w:val="004C4BC2"/>
    <w:rsid w:val="004C5BC1"/>
    <w:rsid w:val="004C60FC"/>
    <w:rsid w:val="004D0726"/>
    <w:rsid w:val="004D1AC2"/>
    <w:rsid w:val="004D35AC"/>
    <w:rsid w:val="004D3C83"/>
    <w:rsid w:val="004D406C"/>
    <w:rsid w:val="004D5428"/>
    <w:rsid w:val="004D5641"/>
    <w:rsid w:val="004D57FE"/>
    <w:rsid w:val="004D6EB9"/>
    <w:rsid w:val="004D73D3"/>
    <w:rsid w:val="004D7664"/>
    <w:rsid w:val="004E0016"/>
    <w:rsid w:val="004E078C"/>
    <w:rsid w:val="004E10F2"/>
    <w:rsid w:val="004E23D3"/>
    <w:rsid w:val="004E2980"/>
    <w:rsid w:val="004E2E49"/>
    <w:rsid w:val="004E43C9"/>
    <w:rsid w:val="004E4BE1"/>
    <w:rsid w:val="004E512A"/>
    <w:rsid w:val="004E6A7D"/>
    <w:rsid w:val="004E6B07"/>
    <w:rsid w:val="004E6D6F"/>
    <w:rsid w:val="004E753D"/>
    <w:rsid w:val="004F20C0"/>
    <w:rsid w:val="004F2A07"/>
    <w:rsid w:val="004F32BE"/>
    <w:rsid w:val="004F3D99"/>
    <w:rsid w:val="004F53E0"/>
    <w:rsid w:val="004F65E6"/>
    <w:rsid w:val="004F74FD"/>
    <w:rsid w:val="004F7518"/>
    <w:rsid w:val="00500302"/>
    <w:rsid w:val="00500F34"/>
    <w:rsid w:val="0050248D"/>
    <w:rsid w:val="00504FAF"/>
    <w:rsid w:val="00505F8F"/>
    <w:rsid w:val="00506A98"/>
    <w:rsid w:val="00506CC8"/>
    <w:rsid w:val="00510135"/>
    <w:rsid w:val="00510C30"/>
    <w:rsid w:val="00510C85"/>
    <w:rsid w:val="005111C2"/>
    <w:rsid w:val="00513920"/>
    <w:rsid w:val="00513938"/>
    <w:rsid w:val="00513C52"/>
    <w:rsid w:val="00513EF4"/>
    <w:rsid w:val="005144E8"/>
    <w:rsid w:val="00514669"/>
    <w:rsid w:val="0051507D"/>
    <w:rsid w:val="00515428"/>
    <w:rsid w:val="00515F68"/>
    <w:rsid w:val="005167C1"/>
    <w:rsid w:val="00517111"/>
    <w:rsid w:val="00517BE9"/>
    <w:rsid w:val="005217EC"/>
    <w:rsid w:val="00521A26"/>
    <w:rsid w:val="00521EDD"/>
    <w:rsid w:val="00522D09"/>
    <w:rsid w:val="00523B48"/>
    <w:rsid w:val="00523EDA"/>
    <w:rsid w:val="00526503"/>
    <w:rsid w:val="005265A3"/>
    <w:rsid w:val="005269E8"/>
    <w:rsid w:val="0052762C"/>
    <w:rsid w:val="005279CD"/>
    <w:rsid w:val="0053088D"/>
    <w:rsid w:val="00530899"/>
    <w:rsid w:val="00531838"/>
    <w:rsid w:val="005329D9"/>
    <w:rsid w:val="00532FCC"/>
    <w:rsid w:val="00533D91"/>
    <w:rsid w:val="005343E6"/>
    <w:rsid w:val="00534C25"/>
    <w:rsid w:val="00534CED"/>
    <w:rsid w:val="005350FF"/>
    <w:rsid w:val="005351BF"/>
    <w:rsid w:val="005368B1"/>
    <w:rsid w:val="005369D5"/>
    <w:rsid w:val="00540121"/>
    <w:rsid w:val="005406EE"/>
    <w:rsid w:val="0054249B"/>
    <w:rsid w:val="00542F05"/>
    <w:rsid w:val="00542F59"/>
    <w:rsid w:val="00543BCC"/>
    <w:rsid w:val="0054422A"/>
    <w:rsid w:val="0054429E"/>
    <w:rsid w:val="00544362"/>
    <w:rsid w:val="00544F48"/>
    <w:rsid w:val="0054555B"/>
    <w:rsid w:val="005462DA"/>
    <w:rsid w:val="00550E44"/>
    <w:rsid w:val="00551A56"/>
    <w:rsid w:val="00552B76"/>
    <w:rsid w:val="005534AA"/>
    <w:rsid w:val="00553822"/>
    <w:rsid w:val="00553CED"/>
    <w:rsid w:val="00554E31"/>
    <w:rsid w:val="00555273"/>
    <w:rsid w:val="00555C95"/>
    <w:rsid w:val="00556A1A"/>
    <w:rsid w:val="00560144"/>
    <w:rsid w:val="0056064D"/>
    <w:rsid w:val="00560AAB"/>
    <w:rsid w:val="00560D0A"/>
    <w:rsid w:val="00561058"/>
    <w:rsid w:val="00561641"/>
    <w:rsid w:val="00561C95"/>
    <w:rsid w:val="00563052"/>
    <w:rsid w:val="005644BB"/>
    <w:rsid w:val="005649EC"/>
    <w:rsid w:val="00565546"/>
    <w:rsid w:val="005701B3"/>
    <w:rsid w:val="00571EBB"/>
    <w:rsid w:val="00572A48"/>
    <w:rsid w:val="00573167"/>
    <w:rsid w:val="00573DD8"/>
    <w:rsid w:val="00573E4B"/>
    <w:rsid w:val="005743E8"/>
    <w:rsid w:val="00574D00"/>
    <w:rsid w:val="005751E5"/>
    <w:rsid w:val="00575318"/>
    <w:rsid w:val="005764E8"/>
    <w:rsid w:val="00577AA0"/>
    <w:rsid w:val="00580462"/>
    <w:rsid w:val="00580D59"/>
    <w:rsid w:val="00581758"/>
    <w:rsid w:val="00581B4E"/>
    <w:rsid w:val="005820B5"/>
    <w:rsid w:val="00582C00"/>
    <w:rsid w:val="00584C0E"/>
    <w:rsid w:val="005850E0"/>
    <w:rsid w:val="0058563E"/>
    <w:rsid w:val="00591825"/>
    <w:rsid w:val="00592149"/>
    <w:rsid w:val="00592640"/>
    <w:rsid w:val="005929A6"/>
    <w:rsid w:val="00593BBE"/>
    <w:rsid w:val="00594AA3"/>
    <w:rsid w:val="0059515E"/>
    <w:rsid w:val="005973A7"/>
    <w:rsid w:val="005A0297"/>
    <w:rsid w:val="005A1618"/>
    <w:rsid w:val="005A204A"/>
    <w:rsid w:val="005A2478"/>
    <w:rsid w:val="005A2662"/>
    <w:rsid w:val="005A2DDD"/>
    <w:rsid w:val="005A35D1"/>
    <w:rsid w:val="005A3B39"/>
    <w:rsid w:val="005A4F7E"/>
    <w:rsid w:val="005A5347"/>
    <w:rsid w:val="005A5DB1"/>
    <w:rsid w:val="005A64A7"/>
    <w:rsid w:val="005A66D3"/>
    <w:rsid w:val="005A6820"/>
    <w:rsid w:val="005A6A5A"/>
    <w:rsid w:val="005B18E8"/>
    <w:rsid w:val="005B3888"/>
    <w:rsid w:val="005B5477"/>
    <w:rsid w:val="005B5893"/>
    <w:rsid w:val="005B5E31"/>
    <w:rsid w:val="005B6453"/>
    <w:rsid w:val="005B7CE8"/>
    <w:rsid w:val="005C0A30"/>
    <w:rsid w:val="005C0D53"/>
    <w:rsid w:val="005C2198"/>
    <w:rsid w:val="005C25E8"/>
    <w:rsid w:val="005C26C6"/>
    <w:rsid w:val="005C4EE9"/>
    <w:rsid w:val="005C593E"/>
    <w:rsid w:val="005C5FFB"/>
    <w:rsid w:val="005C6C35"/>
    <w:rsid w:val="005C781B"/>
    <w:rsid w:val="005C78FC"/>
    <w:rsid w:val="005C7E47"/>
    <w:rsid w:val="005D02C9"/>
    <w:rsid w:val="005D0EEE"/>
    <w:rsid w:val="005D2AD4"/>
    <w:rsid w:val="005D2ECB"/>
    <w:rsid w:val="005D2F79"/>
    <w:rsid w:val="005D3E6C"/>
    <w:rsid w:val="005D5701"/>
    <w:rsid w:val="005D5C4D"/>
    <w:rsid w:val="005D5C74"/>
    <w:rsid w:val="005D6C36"/>
    <w:rsid w:val="005D7C71"/>
    <w:rsid w:val="005D7E57"/>
    <w:rsid w:val="005D7E75"/>
    <w:rsid w:val="005E07E7"/>
    <w:rsid w:val="005E374F"/>
    <w:rsid w:val="005E5502"/>
    <w:rsid w:val="005E5C25"/>
    <w:rsid w:val="005E5F15"/>
    <w:rsid w:val="005E63CD"/>
    <w:rsid w:val="005E646D"/>
    <w:rsid w:val="005E72FB"/>
    <w:rsid w:val="005F05C8"/>
    <w:rsid w:val="005F1D10"/>
    <w:rsid w:val="005F2FAA"/>
    <w:rsid w:val="005F33AE"/>
    <w:rsid w:val="005F4206"/>
    <w:rsid w:val="005F4ADA"/>
    <w:rsid w:val="005F6BA8"/>
    <w:rsid w:val="005F6E07"/>
    <w:rsid w:val="00600DC8"/>
    <w:rsid w:val="00602B36"/>
    <w:rsid w:val="00603754"/>
    <w:rsid w:val="00604073"/>
    <w:rsid w:val="006044E8"/>
    <w:rsid w:val="006054AC"/>
    <w:rsid w:val="00605A35"/>
    <w:rsid w:val="00605BD6"/>
    <w:rsid w:val="00606DB4"/>
    <w:rsid w:val="006107DB"/>
    <w:rsid w:val="0061089E"/>
    <w:rsid w:val="00610A74"/>
    <w:rsid w:val="00610DA8"/>
    <w:rsid w:val="00611C45"/>
    <w:rsid w:val="00611CD2"/>
    <w:rsid w:val="00613378"/>
    <w:rsid w:val="00613A36"/>
    <w:rsid w:val="00613BE7"/>
    <w:rsid w:val="00614057"/>
    <w:rsid w:val="006147E9"/>
    <w:rsid w:val="00615CB0"/>
    <w:rsid w:val="00617335"/>
    <w:rsid w:val="00621456"/>
    <w:rsid w:val="006229C5"/>
    <w:rsid w:val="0062363D"/>
    <w:rsid w:val="00624D51"/>
    <w:rsid w:val="006252CA"/>
    <w:rsid w:val="0063384E"/>
    <w:rsid w:val="0063494C"/>
    <w:rsid w:val="00636BD5"/>
    <w:rsid w:val="0063785C"/>
    <w:rsid w:val="0064262E"/>
    <w:rsid w:val="00642B86"/>
    <w:rsid w:val="00644F00"/>
    <w:rsid w:val="00645303"/>
    <w:rsid w:val="00645FD0"/>
    <w:rsid w:val="006469A8"/>
    <w:rsid w:val="00650543"/>
    <w:rsid w:val="00651D54"/>
    <w:rsid w:val="006521E8"/>
    <w:rsid w:val="00652264"/>
    <w:rsid w:val="00653258"/>
    <w:rsid w:val="00654075"/>
    <w:rsid w:val="006541BF"/>
    <w:rsid w:val="00655C10"/>
    <w:rsid w:val="00655F3E"/>
    <w:rsid w:val="00656A35"/>
    <w:rsid w:val="00656BF8"/>
    <w:rsid w:val="00657022"/>
    <w:rsid w:val="0065731D"/>
    <w:rsid w:val="0066085A"/>
    <w:rsid w:val="00661A89"/>
    <w:rsid w:val="00661DF1"/>
    <w:rsid w:val="0066275B"/>
    <w:rsid w:val="006630FB"/>
    <w:rsid w:val="00663B1C"/>
    <w:rsid w:val="0066463A"/>
    <w:rsid w:val="00664B70"/>
    <w:rsid w:val="00664CC1"/>
    <w:rsid w:val="00664DE3"/>
    <w:rsid w:val="006651ED"/>
    <w:rsid w:val="006654DE"/>
    <w:rsid w:val="0066580D"/>
    <w:rsid w:val="00666891"/>
    <w:rsid w:val="00667079"/>
    <w:rsid w:val="006704C3"/>
    <w:rsid w:val="00670AB5"/>
    <w:rsid w:val="00670EA4"/>
    <w:rsid w:val="0067160A"/>
    <w:rsid w:val="00671C5C"/>
    <w:rsid w:val="00671C5D"/>
    <w:rsid w:val="00673125"/>
    <w:rsid w:val="006749EB"/>
    <w:rsid w:val="0067617A"/>
    <w:rsid w:val="0067656D"/>
    <w:rsid w:val="0067739B"/>
    <w:rsid w:val="006777C9"/>
    <w:rsid w:val="006813D5"/>
    <w:rsid w:val="00682296"/>
    <w:rsid w:val="00682702"/>
    <w:rsid w:val="00682BDB"/>
    <w:rsid w:val="00682EBF"/>
    <w:rsid w:val="00683299"/>
    <w:rsid w:val="006835F5"/>
    <w:rsid w:val="00684767"/>
    <w:rsid w:val="00684EAD"/>
    <w:rsid w:val="00685409"/>
    <w:rsid w:val="006854C4"/>
    <w:rsid w:val="0068582E"/>
    <w:rsid w:val="00685A4C"/>
    <w:rsid w:val="00686435"/>
    <w:rsid w:val="00686742"/>
    <w:rsid w:val="00687503"/>
    <w:rsid w:val="00687CC5"/>
    <w:rsid w:val="00690009"/>
    <w:rsid w:val="00690751"/>
    <w:rsid w:val="00691916"/>
    <w:rsid w:val="00691F5C"/>
    <w:rsid w:val="00692965"/>
    <w:rsid w:val="00692BBF"/>
    <w:rsid w:val="00693EE6"/>
    <w:rsid w:val="0069539A"/>
    <w:rsid w:val="0069588A"/>
    <w:rsid w:val="00695A42"/>
    <w:rsid w:val="00696257"/>
    <w:rsid w:val="0069700E"/>
    <w:rsid w:val="00697858"/>
    <w:rsid w:val="006979AE"/>
    <w:rsid w:val="006A0574"/>
    <w:rsid w:val="006A08B5"/>
    <w:rsid w:val="006A08FC"/>
    <w:rsid w:val="006A095B"/>
    <w:rsid w:val="006A1C5E"/>
    <w:rsid w:val="006A1DB3"/>
    <w:rsid w:val="006A1F3A"/>
    <w:rsid w:val="006A2102"/>
    <w:rsid w:val="006A2408"/>
    <w:rsid w:val="006A3212"/>
    <w:rsid w:val="006A33AC"/>
    <w:rsid w:val="006A39B9"/>
    <w:rsid w:val="006A4B1B"/>
    <w:rsid w:val="006A4D32"/>
    <w:rsid w:val="006A4EBC"/>
    <w:rsid w:val="006A534F"/>
    <w:rsid w:val="006A5887"/>
    <w:rsid w:val="006A68CE"/>
    <w:rsid w:val="006A7823"/>
    <w:rsid w:val="006A7984"/>
    <w:rsid w:val="006B0C27"/>
    <w:rsid w:val="006B1336"/>
    <w:rsid w:val="006B1961"/>
    <w:rsid w:val="006B214F"/>
    <w:rsid w:val="006B2C45"/>
    <w:rsid w:val="006B3284"/>
    <w:rsid w:val="006B33FE"/>
    <w:rsid w:val="006B3B9E"/>
    <w:rsid w:val="006B3F83"/>
    <w:rsid w:val="006B540F"/>
    <w:rsid w:val="006B5A88"/>
    <w:rsid w:val="006B6540"/>
    <w:rsid w:val="006B6AE6"/>
    <w:rsid w:val="006C056A"/>
    <w:rsid w:val="006C09B3"/>
    <w:rsid w:val="006C0DF4"/>
    <w:rsid w:val="006C1205"/>
    <w:rsid w:val="006C15E4"/>
    <w:rsid w:val="006C2D81"/>
    <w:rsid w:val="006C2F6C"/>
    <w:rsid w:val="006C44C4"/>
    <w:rsid w:val="006C4651"/>
    <w:rsid w:val="006C4F90"/>
    <w:rsid w:val="006C7F3F"/>
    <w:rsid w:val="006D01A6"/>
    <w:rsid w:val="006D024D"/>
    <w:rsid w:val="006D0368"/>
    <w:rsid w:val="006D0CFB"/>
    <w:rsid w:val="006D123F"/>
    <w:rsid w:val="006D3704"/>
    <w:rsid w:val="006D3941"/>
    <w:rsid w:val="006D3DB9"/>
    <w:rsid w:val="006D536F"/>
    <w:rsid w:val="006D5564"/>
    <w:rsid w:val="006D6505"/>
    <w:rsid w:val="006D6B33"/>
    <w:rsid w:val="006D75D7"/>
    <w:rsid w:val="006E1F02"/>
    <w:rsid w:val="006E2806"/>
    <w:rsid w:val="006E2CF9"/>
    <w:rsid w:val="006E3CE5"/>
    <w:rsid w:val="006E42C8"/>
    <w:rsid w:val="006E6123"/>
    <w:rsid w:val="006E7F4B"/>
    <w:rsid w:val="006F0228"/>
    <w:rsid w:val="006F0E14"/>
    <w:rsid w:val="006F19CD"/>
    <w:rsid w:val="006F1B02"/>
    <w:rsid w:val="006F3885"/>
    <w:rsid w:val="006F3D43"/>
    <w:rsid w:val="006F49CD"/>
    <w:rsid w:val="006F54F9"/>
    <w:rsid w:val="006F63D5"/>
    <w:rsid w:val="006F6DB8"/>
    <w:rsid w:val="006F71A7"/>
    <w:rsid w:val="006F71F6"/>
    <w:rsid w:val="0070043C"/>
    <w:rsid w:val="007009B3"/>
    <w:rsid w:val="00701C10"/>
    <w:rsid w:val="0070203C"/>
    <w:rsid w:val="00702C8C"/>
    <w:rsid w:val="0070309C"/>
    <w:rsid w:val="00703804"/>
    <w:rsid w:val="0070420B"/>
    <w:rsid w:val="0070474A"/>
    <w:rsid w:val="00705254"/>
    <w:rsid w:val="007057DF"/>
    <w:rsid w:val="00705B35"/>
    <w:rsid w:val="00706102"/>
    <w:rsid w:val="0070798D"/>
    <w:rsid w:val="00707C1E"/>
    <w:rsid w:val="00710EFC"/>
    <w:rsid w:val="00710F97"/>
    <w:rsid w:val="0071164A"/>
    <w:rsid w:val="007123C0"/>
    <w:rsid w:val="00714A38"/>
    <w:rsid w:val="00715236"/>
    <w:rsid w:val="0071536C"/>
    <w:rsid w:val="00715982"/>
    <w:rsid w:val="00715D57"/>
    <w:rsid w:val="00716E62"/>
    <w:rsid w:val="007222EB"/>
    <w:rsid w:val="0072261D"/>
    <w:rsid w:val="007228D1"/>
    <w:rsid w:val="00722E43"/>
    <w:rsid w:val="00724C27"/>
    <w:rsid w:val="00725759"/>
    <w:rsid w:val="0072631F"/>
    <w:rsid w:val="00726876"/>
    <w:rsid w:val="00726B93"/>
    <w:rsid w:val="00726C68"/>
    <w:rsid w:val="00730309"/>
    <w:rsid w:val="007306F9"/>
    <w:rsid w:val="007307D2"/>
    <w:rsid w:val="00731541"/>
    <w:rsid w:val="0073282F"/>
    <w:rsid w:val="007330B2"/>
    <w:rsid w:val="0073424A"/>
    <w:rsid w:val="00734E3F"/>
    <w:rsid w:val="00735ACE"/>
    <w:rsid w:val="00740070"/>
    <w:rsid w:val="00741D13"/>
    <w:rsid w:val="00742BEC"/>
    <w:rsid w:val="00742D48"/>
    <w:rsid w:val="00743A3E"/>
    <w:rsid w:val="00744316"/>
    <w:rsid w:val="00744D75"/>
    <w:rsid w:val="00745A79"/>
    <w:rsid w:val="00745AA6"/>
    <w:rsid w:val="00745CDB"/>
    <w:rsid w:val="00752D3D"/>
    <w:rsid w:val="00752E83"/>
    <w:rsid w:val="007537B1"/>
    <w:rsid w:val="0075400D"/>
    <w:rsid w:val="007540A2"/>
    <w:rsid w:val="00754C80"/>
    <w:rsid w:val="007562C2"/>
    <w:rsid w:val="0076025C"/>
    <w:rsid w:val="007606A3"/>
    <w:rsid w:val="007616D4"/>
    <w:rsid w:val="0076347B"/>
    <w:rsid w:val="007637A4"/>
    <w:rsid w:val="00765197"/>
    <w:rsid w:val="007661A8"/>
    <w:rsid w:val="0077022E"/>
    <w:rsid w:val="00771B4F"/>
    <w:rsid w:val="00772CF2"/>
    <w:rsid w:val="00775757"/>
    <w:rsid w:val="00776CEB"/>
    <w:rsid w:val="00780257"/>
    <w:rsid w:val="0078076D"/>
    <w:rsid w:val="00781CBC"/>
    <w:rsid w:val="00781EDD"/>
    <w:rsid w:val="00782844"/>
    <w:rsid w:val="007830FE"/>
    <w:rsid w:val="0078345F"/>
    <w:rsid w:val="00783722"/>
    <w:rsid w:val="00783CA5"/>
    <w:rsid w:val="00785273"/>
    <w:rsid w:val="007857B5"/>
    <w:rsid w:val="00786D0E"/>
    <w:rsid w:val="007900ED"/>
    <w:rsid w:val="00790790"/>
    <w:rsid w:val="00790914"/>
    <w:rsid w:val="00790C68"/>
    <w:rsid w:val="007926CB"/>
    <w:rsid w:val="0079335F"/>
    <w:rsid w:val="00795643"/>
    <w:rsid w:val="007968D8"/>
    <w:rsid w:val="00796F48"/>
    <w:rsid w:val="007970C3"/>
    <w:rsid w:val="007A0020"/>
    <w:rsid w:val="007A0A35"/>
    <w:rsid w:val="007A11CC"/>
    <w:rsid w:val="007A1C6D"/>
    <w:rsid w:val="007A26E7"/>
    <w:rsid w:val="007A4A55"/>
    <w:rsid w:val="007A7656"/>
    <w:rsid w:val="007A7C79"/>
    <w:rsid w:val="007B0A3C"/>
    <w:rsid w:val="007B1097"/>
    <w:rsid w:val="007B113A"/>
    <w:rsid w:val="007B12FA"/>
    <w:rsid w:val="007B1B39"/>
    <w:rsid w:val="007B1BBD"/>
    <w:rsid w:val="007B262D"/>
    <w:rsid w:val="007B2E7A"/>
    <w:rsid w:val="007B4F20"/>
    <w:rsid w:val="007B5DB9"/>
    <w:rsid w:val="007B6A75"/>
    <w:rsid w:val="007C1F5C"/>
    <w:rsid w:val="007C1FB1"/>
    <w:rsid w:val="007C22EB"/>
    <w:rsid w:val="007C2BFB"/>
    <w:rsid w:val="007C302C"/>
    <w:rsid w:val="007C34E3"/>
    <w:rsid w:val="007C6385"/>
    <w:rsid w:val="007C6F23"/>
    <w:rsid w:val="007C6FB1"/>
    <w:rsid w:val="007C79F1"/>
    <w:rsid w:val="007D105F"/>
    <w:rsid w:val="007D1961"/>
    <w:rsid w:val="007D26E8"/>
    <w:rsid w:val="007D4A3C"/>
    <w:rsid w:val="007D510D"/>
    <w:rsid w:val="007D698A"/>
    <w:rsid w:val="007D7471"/>
    <w:rsid w:val="007D7ABD"/>
    <w:rsid w:val="007E0057"/>
    <w:rsid w:val="007E05DB"/>
    <w:rsid w:val="007E0E2E"/>
    <w:rsid w:val="007E13B5"/>
    <w:rsid w:val="007E1ADB"/>
    <w:rsid w:val="007E25FB"/>
    <w:rsid w:val="007E26FB"/>
    <w:rsid w:val="007E281B"/>
    <w:rsid w:val="007E2C23"/>
    <w:rsid w:val="007E2FFA"/>
    <w:rsid w:val="007E4BEB"/>
    <w:rsid w:val="007E60E6"/>
    <w:rsid w:val="007E6244"/>
    <w:rsid w:val="007E74B7"/>
    <w:rsid w:val="007E7610"/>
    <w:rsid w:val="007E7B3F"/>
    <w:rsid w:val="007F3584"/>
    <w:rsid w:val="007F469E"/>
    <w:rsid w:val="007F498A"/>
    <w:rsid w:val="007F5A54"/>
    <w:rsid w:val="007F6196"/>
    <w:rsid w:val="007F668D"/>
    <w:rsid w:val="007F69C7"/>
    <w:rsid w:val="007F7762"/>
    <w:rsid w:val="007F7FB3"/>
    <w:rsid w:val="008002E3"/>
    <w:rsid w:val="00802242"/>
    <w:rsid w:val="00804CDC"/>
    <w:rsid w:val="00805763"/>
    <w:rsid w:val="00805C9D"/>
    <w:rsid w:val="00807D4A"/>
    <w:rsid w:val="00810719"/>
    <w:rsid w:val="0081243D"/>
    <w:rsid w:val="00812781"/>
    <w:rsid w:val="0081464B"/>
    <w:rsid w:val="008149DE"/>
    <w:rsid w:val="00815599"/>
    <w:rsid w:val="00815F9B"/>
    <w:rsid w:val="00816960"/>
    <w:rsid w:val="00817868"/>
    <w:rsid w:val="0082041B"/>
    <w:rsid w:val="008209D5"/>
    <w:rsid w:val="0082147B"/>
    <w:rsid w:val="0082198A"/>
    <w:rsid w:val="00822AC8"/>
    <w:rsid w:val="0082383A"/>
    <w:rsid w:val="00823C18"/>
    <w:rsid w:val="008244C3"/>
    <w:rsid w:val="00824B1E"/>
    <w:rsid w:val="00825146"/>
    <w:rsid w:val="00825456"/>
    <w:rsid w:val="00825517"/>
    <w:rsid w:val="00825F1E"/>
    <w:rsid w:val="0082639B"/>
    <w:rsid w:val="00827290"/>
    <w:rsid w:val="0082780D"/>
    <w:rsid w:val="0082786B"/>
    <w:rsid w:val="00827C8B"/>
    <w:rsid w:val="00831544"/>
    <w:rsid w:val="008327FC"/>
    <w:rsid w:val="008336B1"/>
    <w:rsid w:val="00833E14"/>
    <w:rsid w:val="00834D90"/>
    <w:rsid w:val="00834E3B"/>
    <w:rsid w:val="008351D8"/>
    <w:rsid w:val="0083558B"/>
    <w:rsid w:val="008356B0"/>
    <w:rsid w:val="008360F1"/>
    <w:rsid w:val="008411A1"/>
    <w:rsid w:val="00843398"/>
    <w:rsid w:val="00843707"/>
    <w:rsid w:val="00843DA7"/>
    <w:rsid w:val="00845CB0"/>
    <w:rsid w:val="008461E2"/>
    <w:rsid w:val="0084717B"/>
    <w:rsid w:val="008473F1"/>
    <w:rsid w:val="008512E9"/>
    <w:rsid w:val="00851755"/>
    <w:rsid w:val="00851B55"/>
    <w:rsid w:val="00852B7E"/>
    <w:rsid w:val="00852BDB"/>
    <w:rsid w:val="008534E1"/>
    <w:rsid w:val="0085392E"/>
    <w:rsid w:val="008548C6"/>
    <w:rsid w:val="00854CB2"/>
    <w:rsid w:val="00854E6D"/>
    <w:rsid w:val="00855260"/>
    <w:rsid w:val="00857091"/>
    <w:rsid w:val="00860F5D"/>
    <w:rsid w:val="00861593"/>
    <w:rsid w:val="00861D58"/>
    <w:rsid w:val="00864E59"/>
    <w:rsid w:val="008654D5"/>
    <w:rsid w:val="00865FD0"/>
    <w:rsid w:val="008716E7"/>
    <w:rsid w:val="00872DDA"/>
    <w:rsid w:val="00873B4F"/>
    <w:rsid w:val="00873C39"/>
    <w:rsid w:val="00873F6D"/>
    <w:rsid w:val="00873FB8"/>
    <w:rsid w:val="00874169"/>
    <w:rsid w:val="00874DBB"/>
    <w:rsid w:val="0087630B"/>
    <w:rsid w:val="00876D84"/>
    <w:rsid w:val="00876EB7"/>
    <w:rsid w:val="00880026"/>
    <w:rsid w:val="008806C5"/>
    <w:rsid w:val="00880D2D"/>
    <w:rsid w:val="00882E52"/>
    <w:rsid w:val="00883CE7"/>
    <w:rsid w:val="00884431"/>
    <w:rsid w:val="00884475"/>
    <w:rsid w:val="00884984"/>
    <w:rsid w:val="00884B4F"/>
    <w:rsid w:val="00884FA7"/>
    <w:rsid w:val="008853BD"/>
    <w:rsid w:val="00890317"/>
    <w:rsid w:val="00891A07"/>
    <w:rsid w:val="00891EC1"/>
    <w:rsid w:val="008929AE"/>
    <w:rsid w:val="00892E58"/>
    <w:rsid w:val="008939A1"/>
    <w:rsid w:val="00893CE3"/>
    <w:rsid w:val="00894132"/>
    <w:rsid w:val="00894E23"/>
    <w:rsid w:val="00895F66"/>
    <w:rsid w:val="0089668F"/>
    <w:rsid w:val="008A04B1"/>
    <w:rsid w:val="008A084B"/>
    <w:rsid w:val="008A0A1E"/>
    <w:rsid w:val="008A0B7B"/>
    <w:rsid w:val="008A10FD"/>
    <w:rsid w:val="008A1B05"/>
    <w:rsid w:val="008A1BD1"/>
    <w:rsid w:val="008A1EF5"/>
    <w:rsid w:val="008A2E4E"/>
    <w:rsid w:val="008A3315"/>
    <w:rsid w:val="008A3386"/>
    <w:rsid w:val="008A41DC"/>
    <w:rsid w:val="008A51D3"/>
    <w:rsid w:val="008A5745"/>
    <w:rsid w:val="008B0691"/>
    <w:rsid w:val="008B1E88"/>
    <w:rsid w:val="008B305E"/>
    <w:rsid w:val="008B720D"/>
    <w:rsid w:val="008B7F6D"/>
    <w:rsid w:val="008C2D5A"/>
    <w:rsid w:val="008C46C2"/>
    <w:rsid w:val="008C4A49"/>
    <w:rsid w:val="008C4B54"/>
    <w:rsid w:val="008C6438"/>
    <w:rsid w:val="008C6EE3"/>
    <w:rsid w:val="008C72FC"/>
    <w:rsid w:val="008D02FC"/>
    <w:rsid w:val="008D06E0"/>
    <w:rsid w:val="008D07FE"/>
    <w:rsid w:val="008D081E"/>
    <w:rsid w:val="008D1325"/>
    <w:rsid w:val="008D1332"/>
    <w:rsid w:val="008D25C3"/>
    <w:rsid w:val="008D3337"/>
    <w:rsid w:val="008D3750"/>
    <w:rsid w:val="008D5C57"/>
    <w:rsid w:val="008D635F"/>
    <w:rsid w:val="008D67AF"/>
    <w:rsid w:val="008D6EE6"/>
    <w:rsid w:val="008D712B"/>
    <w:rsid w:val="008D73C5"/>
    <w:rsid w:val="008D7EA1"/>
    <w:rsid w:val="008E038E"/>
    <w:rsid w:val="008E0E7A"/>
    <w:rsid w:val="008E174C"/>
    <w:rsid w:val="008E4292"/>
    <w:rsid w:val="008E5F3C"/>
    <w:rsid w:val="008E695B"/>
    <w:rsid w:val="008E6B76"/>
    <w:rsid w:val="008E78DD"/>
    <w:rsid w:val="008F00CD"/>
    <w:rsid w:val="008F03A4"/>
    <w:rsid w:val="008F0C22"/>
    <w:rsid w:val="008F16E7"/>
    <w:rsid w:val="008F2775"/>
    <w:rsid w:val="008F2C8F"/>
    <w:rsid w:val="008F2F98"/>
    <w:rsid w:val="008F42AE"/>
    <w:rsid w:val="008F4345"/>
    <w:rsid w:val="008F55EE"/>
    <w:rsid w:val="008F5670"/>
    <w:rsid w:val="008F5B01"/>
    <w:rsid w:val="008F6D2B"/>
    <w:rsid w:val="008F75B8"/>
    <w:rsid w:val="00900BDC"/>
    <w:rsid w:val="00900C8A"/>
    <w:rsid w:val="00901060"/>
    <w:rsid w:val="00901AC8"/>
    <w:rsid w:val="0090221B"/>
    <w:rsid w:val="00904232"/>
    <w:rsid w:val="00904842"/>
    <w:rsid w:val="00904B59"/>
    <w:rsid w:val="00904B8D"/>
    <w:rsid w:val="009055B6"/>
    <w:rsid w:val="009069F7"/>
    <w:rsid w:val="00906EDB"/>
    <w:rsid w:val="0090705A"/>
    <w:rsid w:val="0091171C"/>
    <w:rsid w:val="00911AB6"/>
    <w:rsid w:val="00911DB6"/>
    <w:rsid w:val="0091279A"/>
    <w:rsid w:val="00912EF7"/>
    <w:rsid w:val="00913199"/>
    <w:rsid w:val="009142FC"/>
    <w:rsid w:val="00915958"/>
    <w:rsid w:val="00916951"/>
    <w:rsid w:val="009200AE"/>
    <w:rsid w:val="009215A0"/>
    <w:rsid w:val="009221AD"/>
    <w:rsid w:val="009265B0"/>
    <w:rsid w:val="009303AB"/>
    <w:rsid w:val="00930EE0"/>
    <w:rsid w:val="009313D1"/>
    <w:rsid w:val="009324A6"/>
    <w:rsid w:val="00932E9B"/>
    <w:rsid w:val="00933E94"/>
    <w:rsid w:val="0093421E"/>
    <w:rsid w:val="00934252"/>
    <w:rsid w:val="00934AEF"/>
    <w:rsid w:val="00934B2B"/>
    <w:rsid w:val="00935318"/>
    <w:rsid w:val="0093562A"/>
    <w:rsid w:val="00937F5E"/>
    <w:rsid w:val="00940028"/>
    <w:rsid w:val="00940DF8"/>
    <w:rsid w:val="00941506"/>
    <w:rsid w:val="00942347"/>
    <w:rsid w:val="00942564"/>
    <w:rsid w:val="0094698B"/>
    <w:rsid w:val="00946EBE"/>
    <w:rsid w:val="00947BDF"/>
    <w:rsid w:val="00952336"/>
    <w:rsid w:val="0095315A"/>
    <w:rsid w:val="0095394A"/>
    <w:rsid w:val="00954904"/>
    <w:rsid w:val="00956B05"/>
    <w:rsid w:val="00956C00"/>
    <w:rsid w:val="00956D3E"/>
    <w:rsid w:val="0096033C"/>
    <w:rsid w:val="009609B0"/>
    <w:rsid w:val="0096254C"/>
    <w:rsid w:val="00964AE2"/>
    <w:rsid w:val="00964F33"/>
    <w:rsid w:val="009663F5"/>
    <w:rsid w:val="00970E70"/>
    <w:rsid w:val="009715BD"/>
    <w:rsid w:val="00974346"/>
    <w:rsid w:val="00974804"/>
    <w:rsid w:val="00974D47"/>
    <w:rsid w:val="009757F0"/>
    <w:rsid w:val="0097688E"/>
    <w:rsid w:val="00977B24"/>
    <w:rsid w:val="009800CC"/>
    <w:rsid w:val="009803D7"/>
    <w:rsid w:val="00980B59"/>
    <w:rsid w:val="00981E69"/>
    <w:rsid w:val="0098235C"/>
    <w:rsid w:val="009827DE"/>
    <w:rsid w:val="00983841"/>
    <w:rsid w:val="00983EAA"/>
    <w:rsid w:val="009846E2"/>
    <w:rsid w:val="00984ADD"/>
    <w:rsid w:val="00985475"/>
    <w:rsid w:val="00986896"/>
    <w:rsid w:val="009878F1"/>
    <w:rsid w:val="009903E5"/>
    <w:rsid w:val="00991A07"/>
    <w:rsid w:val="00991B23"/>
    <w:rsid w:val="00991F78"/>
    <w:rsid w:val="009934F6"/>
    <w:rsid w:val="00993522"/>
    <w:rsid w:val="009939D1"/>
    <w:rsid w:val="00995036"/>
    <w:rsid w:val="0099585F"/>
    <w:rsid w:val="00996053"/>
    <w:rsid w:val="009964C9"/>
    <w:rsid w:val="009967E8"/>
    <w:rsid w:val="009976FD"/>
    <w:rsid w:val="009978FA"/>
    <w:rsid w:val="009A0EFB"/>
    <w:rsid w:val="009A1026"/>
    <w:rsid w:val="009A14A1"/>
    <w:rsid w:val="009A195A"/>
    <w:rsid w:val="009A2D41"/>
    <w:rsid w:val="009A5482"/>
    <w:rsid w:val="009A6663"/>
    <w:rsid w:val="009A6F0D"/>
    <w:rsid w:val="009A6FA6"/>
    <w:rsid w:val="009A786C"/>
    <w:rsid w:val="009A7EA5"/>
    <w:rsid w:val="009B18FB"/>
    <w:rsid w:val="009B1957"/>
    <w:rsid w:val="009B3A3F"/>
    <w:rsid w:val="009B3B10"/>
    <w:rsid w:val="009B3FB9"/>
    <w:rsid w:val="009B4836"/>
    <w:rsid w:val="009B4F31"/>
    <w:rsid w:val="009B5426"/>
    <w:rsid w:val="009B586D"/>
    <w:rsid w:val="009B58D8"/>
    <w:rsid w:val="009B6126"/>
    <w:rsid w:val="009B6B65"/>
    <w:rsid w:val="009C0048"/>
    <w:rsid w:val="009C103B"/>
    <w:rsid w:val="009C14A5"/>
    <w:rsid w:val="009C2F13"/>
    <w:rsid w:val="009C30F6"/>
    <w:rsid w:val="009C6E22"/>
    <w:rsid w:val="009C6FB1"/>
    <w:rsid w:val="009D08F2"/>
    <w:rsid w:val="009D0C63"/>
    <w:rsid w:val="009D20D0"/>
    <w:rsid w:val="009D3F6F"/>
    <w:rsid w:val="009D40FD"/>
    <w:rsid w:val="009D4400"/>
    <w:rsid w:val="009D46AE"/>
    <w:rsid w:val="009D5C3B"/>
    <w:rsid w:val="009D626C"/>
    <w:rsid w:val="009D70E1"/>
    <w:rsid w:val="009E1292"/>
    <w:rsid w:val="009E35B8"/>
    <w:rsid w:val="009E4422"/>
    <w:rsid w:val="009E5A50"/>
    <w:rsid w:val="009F06A5"/>
    <w:rsid w:val="009F06DD"/>
    <w:rsid w:val="009F2549"/>
    <w:rsid w:val="009F2E06"/>
    <w:rsid w:val="009F2E91"/>
    <w:rsid w:val="009F3037"/>
    <w:rsid w:val="00A00B08"/>
    <w:rsid w:val="00A0239D"/>
    <w:rsid w:val="00A03534"/>
    <w:rsid w:val="00A03A6F"/>
    <w:rsid w:val="00A04ABF"/>
    <w:rsid w:val="00A06818"/>
    <w:rsid w:val="00A103F0"/>
    <w:rsid w:val="00A11050"/>
    <w:rsid w:val="00A11245"/>
    <w:rsid w:val="00A120E9"/>
    <w:rsid w:val="00A126B7"/>
    <w:rsid w:val="00A12FCD"/>
    <w:rsid w:val="00A13CA8"/>
    <w:rsid w:val="00A13DF4"/>
    <w:rsid w:val="00A14C96"/>
    <w:rsid w:val="00A14E9E"/>
    <w:rsid w:val="00A15AD1"/>
    <w:rsid w:val="00A161D0"/>
    <w:rsid w:val="00A16FA4"/>
    <w:rsid w:val="00A17189"/>
    <w:rsid w:val="00A17485"/>
    <w:rsid w:val="00A214DE"/>
    <w:rsid w:val="00A21D78"/>
    <w:rsid w:val="00A22612"/>
    <w:rsid w:val="00A24483"/>
    <w:rsid w:val="00A24862"/>
    <w:rsid w:val="00A26FE1"/>
    <w:rsid w:val="00A276B0"/>
    <w:rsid w:val="00A309EC"/>
    <w:rsid w:val="00A31E15"/>
    <w:rsid w:val="00A31FA8"/>
    <w:rsid w:val="00A33A13"/>
    <w:rsid w:val="00A342B6"/>
    <w:rsid w:val="00A3449D"/>
    <w:rsid w:val="00A34F2F"/>
    <w:rsid w:val="00A35B20"/>
    <w:rsid w:val="00A362C3"/>
    <w:rsid w:val="00A3638F"/>
    <w:rsid w:val="00A368A3"/>
    <w:rsid w:val="00A40192"/>
    <w:rsid w:val="00A41B3F"/>
    <w:rsid w:val="00A41CF3"/>
    <w:rsid w:val="00A442EF"/>
    <w:rsid w:val="00A44CA9"/>
    <w:rsid w:val="00A4515E"/>
    <w:rsid w:val="00A45278"/>
    <w:rsid w:val="00A45D39"/>
    <w:rsid w:val="00A46DD7"/>
    <w:rsid w:val="00A50406"/>
    <w:rsid w:val="00A504D2"/>
    <w:rsid w:val="00A50898"/>
    <w:rsid w:val="00A50EE4"/>
    <w:rsid w:val="00A519C4"/>
    <w:rsid w:val="00A54127"/>
    <w:rsid w:val="00A54875"/>
    <w:rsid w:val="00A54AF6"/>
    <w:rsid w:val="00A62982"/>
    <w:rsid w:val="00A635DF"/>
    <w:rsid w:val="00A6537F"/>
    <w:rsid w:val="00A65B27"/>
    <w:rsid w:val="00A65F27"/>
    <w:rsid w:val="00A66212"/>
    <w:rsid w:val="00A663A3"/>
    <w:rsid w:val="00A67053"/>
    <w:rsid w:val="00A67123"/>
    <w:rsid w:val="00A71271"/>
    <w:rsid w:val="00A7151A"/>
    <w:rsid w:val="00A72450"/>
    <w:rsid w:val="00A73856"/>
    <w:rsid w:val="00A74C05"/>
    <w:rsid w:val="00A74CFD"/>
    <w:rsid w:val="00A75041"/>
    <w:rsid w:val="00A75434"/>
    <w:rsid w:val="00A75B90"/>
    <w:rsid w:val="00A75F0E"/>
    <w:rsid w:val="00A77272"/>
    <w:rsid w:val="00A81426"/>
    <w:rsid w:val="00A8179F"/>
    <w:rsid w:val="00A82A3E"/>
    <w:rsid w:val="00A82D57"/>
    <w:rsid w:val="00A82DF4"/>
    <w:rsid w:val="00A83729"/>
    <w:rsid w:val="00A83E73"/>
    <w:rsid w:val="00A84600"/>
    <w:rsid w:val="00A84A6E"/>
    <w:rsid w:val="00A8688D"/>
    <w:rsid w:val="00A8779C"/>
    <w:rsid w:val="00A91660"/>
    <w:rsid w:val="00A91FAE"/>
    <w:rsid w:val="00A92C59"/>
    <w:rsid w:val="00A93F63"/>
    <w:rsid w:val="00A93FF8"/>
    <w:rsid w:val="00A94A5A"/>
    <w:rsid w:val="00A94E87"/>
    <w:rsid w:val="00A96E83"/>
    <w:rsid w:val="00AA1B04"/>
    <w:rsid w:val="00AA1F89"/>
    <w:rsid w:val="00AA33DA"/>
    <w:rsid w:val="00AA394B"/>
    <w:rsid w:val="00AA50BA"/>
    <w:rsid w:val="00AA51B3"/>
    <w:rsid w:val="00AA6164"/>
    <w:rsid w:val="00AA7625"/>
    <w:rsid w:val="00AA7C49"/>
    <w:rsid w:val="00AA7E4D"/>
    <w:rsid w:val="00AB18E6"/>
    <w:rsid w:val="00AB195D"/>
    <w:rsid w:val="00AB1D0E"/>
    <w:rsid w:val="00AB22F3"/>
    <w:rsid w:val="00AB2B1A"/>
    <w:rsid w:val="00AB3EF3"/>
    <w:rsid w:val="00AB61B8"/>
    <w:rsid w:val="00AB7174"/>
    <w:rsid w:val="00AB7E41"/>
    <w:rsid w:val="00AC07FB"/>
    <w:rsid w:val="00AC0EE6"/>
    <w:rsid w:val="00AC17C0"/>
    <w:rsid w:val="00AC3025"/>
    <w:rsid w:val="00AC4205"/>
    <w:rsid w:val="00AC5B78"/>
    <w:rsid w:val="00AC5DA9"/>
    <w:rsid w:val="00AC66F0"/>
    <w:rsid w:val="00AD23A9"/>
    <w:rsid w:val="00AD33A2"/>
    <w:rsid w:val="00AD340B"/>
    <w:rsid w:val="00AD6A80"/>
    <w:rsid w:val="00AD6C98"/>
    <w:rsid w:val="00AD72DB"/>
    <w:rsid w:val="00AE064E"/>
    <w:rsid w:val="00AE185E"/>
    <w:rsid w:val="00AE24DA"/>
    <w:rsid w:val="00AE3515"/>
    <w:rsid w:val="00AE380F"/>
    <w:rsid w:val="00AE3FAB"/>
    <w:rsid w:val="00AE4525"/>
    <w:rsid w:val="00AE4EB9"/>
    <w:rsid w:val="00AE59CA"/>
    <w:rsid w:val="00AE5BE6"/>
    <w:rsid w:val="00AE5C8B"/>
    <w:rsid w:val="00AE5D88"/>
    <w:rsid w:val="00AE662B"/>
    <w:rsid w:val="00AE6778"/>
    <w:rsid w:val="00AE6BB7"/>
    <w:rsid w:val="00AE77C1"/>
    <w:rsid w:val="00AF0200"/>
    <w:rsid w:val="00AF0313"/>
    <w:rsid w:val="00AF08FF"/>
    <w:rsid w:val="00AF0DD4"/>
    <w:rsid w:val="00AF1052"/>
    <w:rsid w:val="00AF147E"/>
    <w:rsid w:val="00AF1863"/>
    <w:rsid w:val="00AF1B6E"/>
    <w:rsid w:val="00AF1D12"/>
    <w:rsid w:val="00AF2706"/>
    <w:rsid w:val="00AF2F52"/>
    <w:rsid w:val="00AF3607"/>
    <w:rsid w:val="00AF3C8B"/>
    <w:rsid w:val="00AF409F"/>
    <w:rsid w:val="00AF5143"/>
    <w:rsid w:val="00AF546E"/>
    <w:rsid w:val="00AF5F07"/>
    <w:rsid w:val="00AF7EF8"/>
    <w:rsid w:val="00B016A5"/>
    <w:rsid w:val="00B01750"/>
    <w:rsid w:val="00B022F7"/>
    <w:rsid w:val="00B02F4E"/>
    <w:rsid w:val="00B0428C"/>
    <w:rsid w:val="00B047BB"/>
    <w:rsid w:val="00B04CFA"/>
    <w:rsid w:val="00B061B1"/>
    <w:rsid w:val="00B06225"/>
    <w:rsid w:val="00B06EC6"/>
    <w:rsid w:val="00B07066"/>
    <w:rsid w:val="00B078E4"/>
    <w:rsid w:val="00B07F51"/>
    <w:rsid w:val="00B110A5"/>
    <w:rsid w:val="00B1196A"/>
    <w:rsid w:val="00B123C1"/>
    <w:rsid w:val="00B13699"/>
    <w:rsid w:val="00B144DB"/>
    <w:rsid w:val="00B15894"/>
    <w:rsid w:val="00B177FB"/>
    <w:rsid w:val="00B2012D"/>
    <w:rsid w:val="00B209EA"/>
    <w:rsid w:val="00B2122B"/>
    <w:rsid w:val="00B217E3"/>
    <w:rsid w:val="00B2196C"/>
    <w:rsid w:val="00B22243"/>
    <w:rsid w:val="00B22A46"/>
    <w:rsid w:val="00B23305"/>
    <w:rsid w:val="00B23B9E"/>
    <w:rsid w:val="00B24F02"/>
    <w:rsid w:val="00B25892"/>
    <w:rsid w:val="00B267AE"/>
    <w:rsid w:val="00B271A1"/>
    <w:rsid w:val="00B275E7"/>
    <w:rsid w:val="00B27844"/>
    <w:rsid w:val="00B31FD9"/>
    <w:rsid w:val="00B336F4"/>
    <w:rsid w:val="00B33931"/>
    <w:rsid w:val="00B33F1D"/>
    <w:rsid w:val="00B34407"/>
    <w:rsid w:val="00B34DBE"/>
    <w:rsid w:val="00B3536A"/>
    <w:rsid w:val="00B3685F"/>
    <w:rsid w:val="00B368F3"/>
    <w:rsid w:val="00B36AD9"/>
    <w:rsid w:val="00B36B7D"/>
    <w:rsid w:val="00B37099"/>
    <w:rsid w:val="00B37709"/>
    <w:rsid w:val="00B37D2D"/>
    <w:rsid w:val="00B40B97"/>
    <w:rsid w:val="00B4110A"/>
    <w:rsid w:val="00B42206"/>
    <w:rsid w:val="00B42E5C"/>
    <w:rsid w:val="00B432B5"/>
    <w:rsid w:val="00B43C6D"/>
    <w:rsid w:val="00B44186"/>
    <w:rsid w:val="00B45BA1"/>
    <w:rsid w:val="00B45C27"/>
    <w:rsid w:val="00B512BC"/>
    <w:rsid w:val="00B51E57"/>
    <w:rsid w:val="00B54F20"/>
    <w:rsid w:val="00B551C1"/>
    <w:rsid w:val="00B568D2"/>
    <w:rsid w:val="00B57044"/>
    <w:rsid w:val="00B5748A"/>
    <w:rsid w:val="00B576CB"/>
    <w:rsid w:val="00B61491"/>
    <w:rsid w:val="00B61749"/>
    <w:rsid w:val="00B61AE6"/>
    <w:rsid w:val="00B6204A"/>
    <w:rsid w:val="00B622E1"/>
    <w:rsid w:val="00B6239F"/>
    <w:rsid w:val="00B639CB"/>
    <w:rsid w:val="00B63A32"/>
    <w:rsid w:val="00B64861"/>
    <w:rsid w:val="00B656BB"/>
    <w:rsid w:val="00B660C5"/>
    <w:rsid w:val="00B6656A"/>
    <w:rsid w:val="00B66FDB"/>
    <w:rsid w:val="00B708CF"/>
    <w:rsid w:val="00B70D07"/>
    <w:rsid w:val="00B72B03"/>
    <w:rsid w:val="00B739FA"/>
    <w:rsid w:val="00B74988"/>
    <w:rsid w:val="00B74C1E"/>
    <w:rsid w:val="00B758BC"/>
    <w:rsid w:val="00B76288"/>
    <w:rsid w:val="00B778E3"/>
    <w:rsid w:val="00B77B74"/>
    <w:rsid w:val="00B77F0F"/>
    <w:rsid w:val="00B80D0A"/>
    <w:rsid w:val="00B8465E"/>
    <w:rsid w:val="00B8525B"/>
    <w:rsid w:val="00B85439"/>
    <w:rsid w:val="00B86C92"/>
    <w:rsid w:val="00B878D6"/>
    <w:rsid w:val="00B878F5"/>
    <w:rsid w:val="00B905BC"/>
    <w:rsid w:val="00B913AF"/>
    <w:rsid w:val="00B915AA"/>
    <w:rsid w:val="00B91DF8"/>
    <w:rsid w:val="00B922D9"/>
    <w:rsid w:val="00B92733"/>
    <w:rsid w:val="00B93922"/>
    <w:rsid w:val="00B9661C"/>
    <w:rsid w:val="00B9700C"/>
    <w:rsid w:val="00B97232"/>
    <w:rsid w:val="00B977C8"/>
    <w:rsid w:val="00B97D53"/>
    <w:rsid w:val="00BA0702"/>
    <w:rsid w:val="00BA10FA"/>
    <w:rsid w:val="00BA1174"/>
    <w:rsid w:val="00BA14A2"/>
    <w:rsid w:val="00BA4765"/>
    <w:rsid w:val="00BA48C7"/>
    <w:rsid w:val="00BA5BE3"/>
    <w:rsid w:val="00BA5F05"/>
    <w:rsid w:val="00BA7BB8"/>
    <w:rsid w:val="00BB040D"/>
    <w:rsid w:val="00BB19F0"/>
    <w:rsid w:val="00BB2127"/>
    <w:rsid w:val="00BB24A7"/>
    <w:rsid w:val="00BB2A54"/>
    <w:rsid w:val="00BB2CD0"/>
    <w:rsid w:val="00BB2DA9"/>
    <w:rsid w:val="00BB32F1"/>
    <w:rsid w:val="00BB430A"/>
    <w:rsid w:val="00BB4959"/>
    <w:rsid w:val="00BB4EBE"/>
    <w:rsid w:val="00BB6127"/>
    <w:rsid w:val="00BB67E0"/>
    <w:rsid w:val="00BB747C"/>
    <w:rsid w:val="00BC05E5"/>
    <w:rsid w:val="00BC1A01"/>
    <w:rsid w:val="00BC1E8E"/>
    <w:rsid w:val="00BC27D0"/>
    <w:rsid w:val="00BC3853"/>
    <w:rsid w:val="00BC6F18"/>
    <w:rsid w:val="00BD0DDF"/>
    <w:rsid w:val="00BD1814"/>
    <w:rsid w:val="00BD2AB6"/>
    <w:rsid w:val="00BD2AE3"/>
    <w:rsid w:val="00BD2BFB"/>
    <w:rsid w:val="00BD46F6"/>
    <w:rsid w:val="00BD5144"/>
    <w:rsid w:val="00BD51A4"/>
    <w:rsid w:val="00BD5201"/>
    <w:rsid w:val="00BD5B68"/>
    <w:rsid w:val="00BD6BB4"/>
    <w:rsid w:val="00BD7DC2"/>
    <w:rsid w:val="00BD7F76"/>
    <w:rsid w:val="00BE0467"/>
    <w:rsid w:val="00BE0D78"/>
    <w:rsid w:val="00BE118E"/>
    <w:rsid w:val="00BE463A"/>
    <w:rsid w:val="00BE4B49"/>
    <w:rsid w:val="00BE4E28"/>
    <w:rsid w:val="00BE5282"/>
    <w:rsid w:val="00BE6AD3"/>
    <w:rsid w:val="00BE7B92"/>
    <w:rsid w:val="00BF0FC1"/>
    <w:rsid w:val="00BF12EA"/>
    <w:rsid w:val="00BF3103"/>
    <w:rsid w:val="00BF3AE4"/>
    <w:rsid w:val="00BF3C00"/>
    <w:rsid w:val="00BF5581"/>
    <w:rsid w:val="00BF6C6D"/>
    <w:rsid w:val="00BF76FE"/>
    <w:rsid w:val="00C00315"/>
    <w:rsid w:val="00C0097F"/>
    <w:rsid w:val="00C009F3"/>
    <w:rsid w:val="00C013BE"/>
    <w:rsid w:val="00C02EFD"/>
    <w:rsid w:val="00C03241"/>
    <w:rsid w:val="00C0342A"/>
    <w:rsid w:val="00C03F21"/>
    <w:rsid w:val="00C0491E"/>
    <w:rsid w:val="00C04F77"/>
    <w:rsid w:val="00C052C5"/>
    <w:rsid w:val="00C059ED"/>
    <w:rsid w:val="00C05B6A"/>
    <w:rsid w:val="00C05BCD"/>
    <w:rsid w:val="00C06C72"/>
    <w:rsid w:val="00C074D6"/>
    <w:rsid w:val="00C07DF1"/>
    <w:rsid w:val="00C128A9"/>
    <w:rsid w:val="00C1347B"/>
    <w:rsid w:val="00C139F7"/>
    <w:rsid w:val="00C14EBC"/>
    <w:rsid w:val="00C164CF"/>
    <w:rsid w:val="00C17B0B"/>
    <w:rsid w:val="00C20337"/>
    <w:rsid w:val="00C216EA"/>
    <w:rsid w:val="00C2202B"/>
    <w:rsid w:val="00C23CB7"/>
    <w:rsid w:val="00C23D01"/>
    <w:rsid w:val="00C23F92"/>
    <w:rsid w:val="00C24DE5"/>
    <w:rsid w:val="00C2691C"/>
    <w:rsid w:val="00C26B78"/>
    <w:rsid w:val="00C30544"/>
    <w:rsid w:val="00C30A49"/>
    <w:rsid w:val="00C31BE3"/>
    <w:rsid w:val="00C31BF6"/>
    <w:rsid w:val="00C31CAE"/>
    <w:rsid w:val="00C327BA"/>
    <w:rsid w:val="00C32C2F"/>
    <w:rsid w:val="00C32F9E"/>
    <w:rsid w:val="00C33B1F"/>
    <w:rsid w:val="00C3468B"/>
    <w:rsid w:val="00C34BD9"/>
    <w:rsid w:val="00C35150"/>
    <w:rsid w:val="00C36044"/>
    <w:rsid w:val="00C379E7"/>
    <w:rsid w:val="00C4118E"/>
    <w:rsid w:val="00C41690"/>
    <w:rsid w:val="00C42438"/>
    <w:rsid w:val="00C42EFB"/>
    <w:rsid w:val="00C43F68"/>
    <w:rsid w:val="00C45C0D"/>
    <w:rsid w:val="00C46092"/>
    <w:rsid w:val="00C468F4"/>
    <w:rsid w:val="00C46C18"/>
    <w:rsid w:val="00C46FB4"/>
    <w:rsid w:val="00C474F1"/>
    <w:rsid w:val="00C47896"/>
    <w:rsid w:val="00C47B25"/>
    <w:rsid w:val="00C47BA5"/>
    <w:rsid w:val="00C51D22"/>
    <w:rsid w:val="00C52E7F"/>
    <w:rsid w:val="00C52F74"/>
    <w:rsid w:val="00C53237"/>
    <w:rsid w:val="00C53392"/>
    <w:rsid w:val="00C548DC"/>
    <w:rsid w:val="00C54E90"/>
    <w:rsid w:val="00C5665F"/>
    <w:rsid w:val="00C5670D"/>
    <w:rsid w:val="00C6021C"/>
    <w:rsid w:val="00C60E56"/>
    <w:rsid w:val="00C61638"/>
    <w:rsid w:val="00C61686"/>
    <w:rsid w:val="00C61735"/>
    <w:rsid w:val="00C61975"/>
    <w:rsid w:val="00C61D3F"/>
    <w:rsid w:val="00C626B6"/>
    <w:rsid w:val="00C64033"/>
    <w:rsid w:val="00C64FE6"/>
    <w:rsid w:val="00C65B17"/>
    <w:rsid w:val="00C65CBB"/>
    <w:rsid w:val="00C66A30"/>
    <w:rsid w:val="00C671A3"/>
    <w:rsid w:val="00C67F00"/>
    <w:rsid w:val="00C72107"/>
    <w:rsid w:val="00C72303"/>
    <w:rsid w:val="00C731F4"/>
    <w:rsid w:val="00C73C8C"/>
    <w:rsid w:val="00C73E41"/>
    <w:rsid w:val="00C75135"/>
    <w:rsid w:val="00C767DA"/>
    <w:rsid w:val="00C76B9D"/>
    <w:rsid w:val="00C813A4"/>
    <w:rsid w:val="00C820B0"/>
    <w:rsid w:val="00C82734"/>
    <w:rsid w:val="00C83D03"/>
    <w:rsid w:val="00C84E6D"/>
    <w:rsid w:val="00C8543C"/>
    <w:rsid w:val="00C901D1"/>
    <w:rsid w:val="00C90FFB"/>
    <w:rsid w:val="00C910B3"/>
    <w:rsid w:val="00C91154"/>
    <w:rsid w:val="00C91850"/>
    <w:rsid w:val="00C920A4"/>
    <w:rsid w:val="00C93564"/>
    <w:rsid w:val="00C9371D"/>
    <w:rsid w:val="00C93FC8"/>
    <w:rsid w:val="00C9553E"/>
    <w:rsid w:val="00C95B22"/>
    <w:rsid w:val="00C9616E"/>
    <w:rsid w:val="00C969AE"/>
    <w:rsid w:val="00C97769"/>
    <w:rsid w:val="00CA08BB"/>
    <w:rsid w:val="00CA1991"/>
    <w:rsid w:val="00CA1F2B"/>
    <w:rsid w:val="00CA3310"/>
    <w:rsid w:val="00CA3A68"/>
    <w:rsid w:val="00CA4A09"/>
    <w:rsid w:val="00CA706B"/>
    <w:rsid w:val="00CA7639"/>
    <w:rsid w:val="00CB008B"/>
    <w:rsid w:val="00CB00B8"/>
    <w:rsid w:val="00CB0DD3"/>
    <w:rsid w:val="00CB14B2"/>
    <w:rsid w:val="00CB1B2E"/>
    <w:rsid w:val="00CB1CAB"/>
    <w:rsid w:val="00CB1EFE"/>
    <w:rsid w:val="00CB20D0"/>
    <w:rsid w:val="00CB2DE8"/>
    <w:rsid w:val="00CB2E15"/>
    <w:rsid w:val="00CB36C2"/>
    <w:rsid w:val="00CB408F"/>
    <w:rsid w:val="00CB50F8"/>
    <w:rsid w:val="00CB5C43"/>
    <w:rsid w:val="00CB6B4F"/>
    <w:rsid w:val="00CC1230"/>
    <w:rsid w:val="00CC23D9"/>
    <w:rsid w:val="00CC282E"/>
    <w:rsid w:val="00CC3D6C"/>
    <w:rsid w:val="00CC59BC"/>
    <w:rsid w:val="00CC7714"/>
    <w:rsid w:val="00CC7B0F"/>
    <w:rsid w:val="00CD020D"/>
    <w:rsid w:val="00CD068D"/>
    <w:rsid w:val="00CD1672"/>
    <w:rsid w:val="00CD24BB"/>
    <w:rsid w:val="00CD2EA0"/>
    <w:rsid w:val="00CD344F"/>
    <w:rsid w:val="00CD388B"/>
    <w:rsid w:val="00CD496A"/>
    <w:rsid w:val="00CD505B"/>
    <w:rsid w:val="00CD61B4"/>
    <w:rsid w:val="00CD61F2"/>
    <w:rsid w:val="00CD7306"/>
    <w:rsid w:val="00CD7DCA"/>
    <w:rsid w:val="00CD7DD1"/>
    <w:rsid w:val="00CE0AFC"/>
    <w:rsid w:val="00CE1478"/>
    <w:rsid w:val="00CE2B4E"/>
    <w:rsid w:val="00CE316A"/>
    <w:rsid w:val="00CE39DB"/>
    <w:rsid w:val="00CE41F9"/>
    <w:rsid w:val="00CE4550"/>
    <w:rsid w:val="00CE49EF"/>
    <w:rsid w:val="00CE60E9"/>
    <w:rsid w:val="00CE6843"/>
    <w:rsid w:val="00CE6EDD"/>
    <w:rsid w:val="00CF0130"/>
    <w:rsid w:val="00CF09B1"/>
    <w:rsid w:val="00CF0A6D"/>
    <w:rsid w:val="00CF1882"/>
    <w:rsid w:val="00CF1B8A"/>
    <w:rsid w:val="00CF1CB8"/>
    <w:rsid w:val="00CF1CC7"/>
    <w:rsid w:val="00CF3BDA"/>
    <w:rsid w:val="00CF4D02"/>
    <w:rsid w:val="00CF4F2E"/>
    <w:rsid w:val="00CF5F83"/>
    <w:rsid w:val="00CF647C"/>
    <w:rsid w:val="00D00670"/>
    <w:rsid w:val="00D02082"/>
    <w:rsid w:val="00D023E3"/>
    <w:rsid w:val="00D03305"/>
    <w:rsid w:val="00D05DAA"/>
    <w:rsid w:val="00D062CA"/>
    <w:rsid w:val="00D07E32"/>
    <w:rsid w:val="00D10BA7"/>
    <w:rsid w:val="00D11E50"/>
    <w:rsid w:val="00D12CB8"/>
    <w:rsid w:val="00D13084"/>
    <w:rsid w:val="00D135FB"/>
    <w:rsid w:val="00D13C92"/>
    <w:rsid w:val="00D141BF"/>
    <w:rsid w:val="00D14832"/>
    <w:rsid w:val="00D16294"/>
    <w:rsid w:val="00D16BE8"/>
    <w:rsid w:val="00D17620"/>
    <w:rsid w:val="00D20DDD"/>
    <w:rsid w:val="00D215DC"/>
    <w:rsid w:val="00D246B9"/>
    <w:rsid w:val="00D253FD"/>
    <w:rsid w:val="00D267C2"/>
    <w:rsid w:val="00D26A35"/>
    <w:rsid w:val="00D272D7"/>
    <w:rsid w:val="00D279D0"/>
    <w:rsid w:val="00D318BF"/>
    <w:rsid w:val="00D34BED"/>
    <w:rsid w:val="00D34FA1"/>
    <w:rsid w:val="00D36F61"/>
    <w:rsid w:val="00D403CC"/>
    <w:rsid w:val="00D40858"/>
    <w:rsid w:val="00D420CA"/>
    <w:rsid w:val="00D42434"/>
    <w:rsid w:val="00D42F42"/>
    <w:rsid w:val="00D45B12"/>
    <w:rsid w:val="00D46081"/>
    <w:rsid w:val="00D475FB"/>
    <w:rsid w:val="00D47EFB"/>
    <w:rsid w:val="00D51D69"/>
    <w:rsid w:val="00D51FB8"/>
    <w:rsid w:val="00D52311"/>
    <w:rsid w:val="00D53C15"/>
    <w:rsid w:val="00D55A21"/>
    <w:rsid w:val="00D56622"/>
    <w:rsid w:val="00D571B2"/>
    <w:rsid w:val="00D605E8"/>
    <w:rsid w:val="00D60AB0"/>
    <w:rsid w:val="00D60FB4"/>
    <w:rsid w:val="00D61915"/>
    <w:rsid w:val="00D61BF4"/>
    <w:rsid w:val="00D61D01"/>
    <w:rsid w:val="00D62007"/>
    <w:rsid w:val="00D62167"/>
    <w:rsid w:val="00D62D18"/>
    <w:rsid w:val="00D64732"/>
    <w:rsid w:val="00D64977"/>
    <w:rsid w:val="00D64A1A"/>
    <w:rsid w:val="00D65410"/>
    <w:rsid w:val="00D65A0C"/>
    <w:rsid w:val="00D65E37"/>
    <w:rsid w:val="00D66F63"/>
    <w:rsid w:val="00D67600"/>
    <w:rsid w:val="00D70CFF"/>
    <w:rsid w:val="00D710CA"/>
    <w:rsid w:val="00D71C94"/>
    <w:rsid w:val="00D73BDE"/>
    <w:rsid w:val="00D74250"/>
    <w:rsid w:val="00D7527A"/>
    <w:rsid w:val="00D75BD6"/>
    <w:rsid w:val="00D77119"/>
    <w:rsid w:val="00D77621"/>
    <w:rsid w:val="00D81F9F"/>
    <w:rsid w:val="00D829D5"/>
    <w:rsid w:val="00D8349F"/>
    <w:rsid w:val="00D84B20"/>
    <w:rsid w:val="00D856E5"/>
    <w:rsid w:val="00D86721"/>
    <w:rsid w:val="00D87FBC"/>
    <w:rsid w:val="00D900B4"/>
    <w:rsid w:val="00D90219"/>
    <w:rsid w:val="00D90B2B"/>
    <w:rsid w:val="00D90F11"/>
    <w:rsid w:val="00D91E45"/>
    <w:rsid w:val="00D93E27"/>
    <w:rsid w:val="00D967B5"/>
    <w:rsid w:val="00D96CC9"/>
    <w:rsid w:val="00D96EF5"/>
    <w:rsid w:val="00DA1D17"/>
    <w:rsid w:val="00DA28D0"/>
    <w:rsid w:val="00DA2E80"/>
    <w:rsid w:val="00DA3556"/>
    <w:rsid w:val="00DA5284"/>
    <w:rsid w:val="00DA5A33"/>
    <w:rsid w:val="00DA6026"/>
    <w:rsid w:val="00DA7776"/>
    <w:rsid w:val="00DA7A1B"/>
    <w:rsid w:val="00DB0147"/>
    <w:rsid w:val="00DB0AA3"/>
    <w:rsid w:val="00DB150E"/>
    <w:rsid w:val="00DB16B4"/>
    <w:rsid w:val="00DB1C19"/>
    <w:rsid w:val="00DB2DA7"/>
    <w:rsid w:val="00DB38DA"/>
    <w:rsid w:val="00DB4DF1"/>
    <w:rsid w:val="00DB52A0"/>
    <w:rsid w:val="00DB54DC"/>
    <w:rsid w:val="00DB56E5"/>
    <w:rsid w:val="00DB584C"/>
    <w:rsid w:val="00DB595A"/>
    <w:rsid w:val="00DB5EF9"/>
    <w:rsid w:val="00DB644F"/>
    <w:rsid w:val="00DB693D"/>
    <w:rsid w:val="00DC127F"/>
    <w:rsid w:val="00DC1364"/>
    <w:rsid w:val="00DC20A8"/>
    <w:rsid w:val="00DC22B9"/>
    <w:rsid w:val="00DC23E0"/>
    <w:rsid w:val="00DC311B"/>
    <w:rsid w:val="00DC37F1"/>
    <w:rsid w:val="00DC3A8E"/>
    <w:rsid w:val="00DC4586"/>
    <w:rsid w:val="00DC4845"/>
    <w:rsid w:val="00DC544F"/>
    <w:rsid w:val="00DC6BFB"/>
    <w:rsid w:val="00DD0478"/>
    <w:rsid w:val="00DD1926"/>
    <w:rsid w:val="00DD28F0"/>
    <w:rsid w:val="00DD3CF2"/>
    <w:rsid w:val="00DD689D"/>
    <w:rsid w:val="00DD7136"/>
    <w:rsid w:val="00DD73D0"/>
    <w:rsid w:val="00DD7ABB"/>
    <w:rsid w:val="00DE0AF9"/>
    <w:rsid w:val="00DE0EB4"/>
    <w:rsid w:val="00DE1FFB"/>
    <w:rsid w:val="00DE23E3"/>
    <w:rsid w:val="00DE5AED"/>
    <w:rsid w:val="00DE7861"/>
    <w:rsid w:val="00DE7D4E"/>
    <w:rsid w:val="00DF0327"/>
    <w:rsid w:val="00DF18C1"/>
    <w:rsid w:val="00DF22F0"/>
    <w:rsid w:val="00DF2321"/>
    <w:rsid w:val="00DF2D03"/>
    <w:rsid w:val="00DF4E1A"/>
    <w:rsid w:val="00DF51C0"/>
    <w:rsid w:val="00DF6307"/>
    <w:rsid w:val="00E00174"/>
    <w:rsid w:val="00E01ECD"/>
    <w:rsid w:val="00E02CCB"/>
    <w:rsid w:val="00E035B3"/>
    <w:rsid w:val="00E04B9F"/>
    <w:rsid w:val="00E06CEC"/>
    <w:rsid w:val="00E108C0"/>
    <w:rsid w:val="00E1151F"/>
    <w:rsid w:val="00E12438"/>
    <w:rsid w:val="00E1250E"/>
    <w:rsid w:val="00E14B23"/>
    <w:rsid w:val="00E16BA6"/>
    <w:rsid w:val="00E16EF2"/>
    <w:rsid w:val="00E17353"/>
    <w:rsid w:val="00E17747"/>
    <w:rsid w:val="00E20B69"/>
    <w:rsid w:val="00E21F0B"/>
    <w:rsid w:val="00E21FE8"/>
    <w:rsid w:val="00E222FC"/>
    <w:rsid w:val="00E22438"/>
    <w:rsid w:val="00E24663"/>
    <w:rsid w:val="00E25C63"/>
    <w:rsid w:val="00E26113"/>
    <w:rsid w:val="00E2660D"/>
    <w:rsid w:val="00E32887"/>
    <w:rsid w:val="00E35CD5"/>
    <w:rsid w:val="00E375DA"/>
    <w:rsid w:val="00E37AE6"/>
    <w:rsid w:val="00E41AB8"/>
    <w:rsid w:val="00E4573D"/>
    <w:rsid w:val="00E45AB7"/>
    <w:rsid w:val="00E45AF6"/>
    <w:rsid w:val="00E45B2D"/>
    <w:rsid w:val="00E463C2"/>
    <w:rsid w:val="00E46DAD"/>
    <w:rsid w:val="00E473FB"/>
    <w:rsid w:val="00E47E7B"/>
    <w:rsid w:val="00E50D7D"/>
    <w:rsid w:val="00E50ED4"/>
    <w:rsid w:val="00E52751"/>
    <w:rsid w:val="00E528C1"/>
    <w:rsid w:val="00E5384A"/>
    <w:rsid w:val="00E5403F"/>
    <w:rsid w:val="00E54573"/>
    <w:rsid w:val="00E54C2D"/>
    <w:rsid w:val="00E55C5B"/>
    <w:rsid w:val="00E55E8F"/>
    <w:rsid w:val="00E56096"/>
    <w:rsid w:val="00E56DC8"/>
    <w:rsid w:val="00E57391"/>
    <w:rsid w:val="00E57DDE"/>
    <w:rsid w:val="00E6058F"/>
    <w:rsid w:val="00E60BAC"/>
    <w:rsid w:val="00E6277E"/>
    <w:rsid w:val="00E62F9A"/>
    <w:rsid w:val="00E63188"/>
    <w:rsid w:val="00E65130"/>
    <w:rsid w:val="00E65888"/>
    <w:rsid w:val="00E65F4E"/>
    <w:rsid w:val="00E662FE"/>
    <w:rsid w:val="00E66607"/>
    <w:rsid w:val="00E66AFC"/>
    <w:rsid w:val="00E66FA5"/>
    <w:rsid w:val="00E6704D"/>
    <w:rsid w:val="00E711E5"/>
    <w:rsid w:val="00E71A7F"/>
    <w:rsid w:val="00E71F59"/>
    <w:rsid w:val="00E71FC1"/>
    <w:rsid w:val="00E7314C"/>
    <w:rsid w:val="00E73380"/>
    <w:rsid w:val="00E747D1"/>
    <w:rsid w:val="00E76A26"/>
    <w:rsid w:val="00E7722A"/>
    <w:rsid w:val="00E772F1"/>
    <w:rsid w:val="00E80068"/>
    <w:rsid w:val="00E80CDF"/>
    <w:rsid w:val="00E8117A"/>
    <w:rsid w:val="00E8182F"/>
    <w:rsid w:val="00E82F51"/>
    <w:rsid w:val="00E8506E"/>
    <w:rsid w:val="00E865B3"/>
    <w:rsid w:val="00E86EA1"/>
    <w:rsid w:val="00E87001"/>
    <w:rsid w:val="00E87A0B"/>
    <w:rsid w:val="00E901F8"/>
    <w:rsid w:val="00E90927"/>
    <w:rsid w:val="00E91CC3"/>
    <w:rsid w:val="00E921F3"/>
    <w:rsid w:val="00E9253D"/>
    <w:rsid w:val="00E94240"/>
    <w:rsid w:val="00E950A5"/>
    <w:rsid w:val="00E95F0F"/>
    <w:rsid w:val="00E97140"/>
    <w:rsid w:val="00E975DB"/>
    <w:rsid w:val="00E97BFE"/>
    <w:rsid w:val="00EA0223"/>
    <w:rsid w:val="00EA2876"/>
    <w:rsid w:val="00EA28F8"/>
    <w:rsid w:val="00EA2A2A"/>
    <w:rsid w:val="00EA3305"/>
    <w:rsid w:val="00EA3768"/>
    <w:rsid w:val="00EA406C"/>
    <w:rsid w:val="00EA59AC"/>
    <w:rsid w:val="00EA5C0E"/>
    <w:rsid w:val="00EA5C41"/>
    <w:rsid w:val="00EA65C2"/>
    <w:rsid w:val="00EA74FB"/>
    <w:rsid w:val="00EB0A84"/>
    <w:rsid w:val="00EB15AD"/>
    <w:rsid w:val="00EB25B9"/>
    <w:rsid w:val="00EB26A3"/>
    <w:rsid w:val="00EB48CD"/>
    <w:rsid w:val="00EB52FE"/>
    <w:rsid w:val="00EB5FCE"/>
    <w:rsid w:val="00EC0DD7"/>
    <w:rsid w:val="00EC1775"/>
    <w:rsid w:val="00EC27B9"/>
    <w:rsid w:val="00EC3361"/>
    <w:rsid w:val="00EC3904"/>
    <w:rsid w:val="00EC6590"/>
    <w:rsid w:val="00EC6C56"/>
    <w:rsid w:val="00EC7969"/>
    <w:rsid w:val="00ED2DDD"/>
    <w:rsid w:val="00ED3C65"/>
    <w:rsid w:val="00ED417C"/>
    <w:rsid w:val="00ED448A"/>
    <w:rsid w:val="00ED6992"/>
    <w:rsid w:val="00ED7091"/>
    <w:rsid w:val="00ED7578"/>
    <w:rsid w:val="00EE2D99"/>
    <w:rsid w:val="00EE30E8"/>
    <w:rsid w:val="00EE43CD"/>
    <w:rsid w:val="00EE4C70"/>
    <w:rsid w:val="00EE6AB1"/>
    <w:rsid w:val="00EE6F6A"/>
    <w:rsid w:val="00EF0944"/>
    <w:rsid w:val="00EF1CA4"/>
    <w:rsid w:val="00EF3234"/>
    <w:rsid w:val="00EF3FD3"/>
    <w:rsid w:val="00EF4D9B"/>
    <w:rsid w:val="00EF63E1"/>
    <w:rsid w:val="00EF6BB2"/>
    <w:rsid w:val="00EF6D62"/>
    <w:rsid w:val="00EF708A"/>
    <w:rsid w:val="00F02D13"/>
    <w:rsid w:val="00F03B1B"/>
    <w:rsid w:val="00F03C61"/>
    <w:rsid w:val="00F048A4"/>
    <w:rsid w:val="00F05501"/>
    <w:rsid w:val="00F06DE6"/>
    <w:rsid w:val="00F1030D"/>
    <w:rsid w:val="00F105D5"/>
    <w:rsid w:val="00F1073D"/>
    <w:rsid w:val="00F121D1"/>
    <w:rsid w:val="00F12643"/>
    <w:rsid w:val="00F12A56"/>
    <w:rsid w:val="00F132FE"/>
    <w:rsid w:val="00F134DE"/>
    <w:rsid w:val="00F13FA5"/>
    <w:rsid w:val="00F14387"/>
    <w:rsid w:val="00F1485B"/>
    <w:rsid w:val="00F14BF7"/>
    <w:rsid w:val="00F14D6C"/>
    <w:rsid w:val="00F15BE0"/>
    <w:rsid w:val="00F15CE6"/>
    <w:rsid w:val="00F17229"/>
    <w:rsid w:val="00F17967"/>
    <w:rsid w:val="00F17C44"/>
    <w:rsid w:val="00F17C55"/>
    <w:rsid w:val="00F17FF4"/>
    <w:rsid w:val="00F2052D"/>
    <w:rsid w:val="00F21F8C"/>
    <w:rsid w:val="00F224B0"/>
    <w:rsid w:val="00F243D4"/>
    <w:rsid w:val="00F25238"/>
    <w:rsid w:val="00F26917"/>
    <w:rsid w:val="00F26924"/>
    <w:rsid w:val="00F270D3"/>
    <w:rsid w:val="00F27555"/>
    <w:rsid w:val="00F2756C"/>
    <w:rsid w:val="00F279C9"/>
    <w:rsid w:val="00F30742"/>
    <w:rsid w:val="00F313CC"/>
    <w:rsid w:val="00F31B45"/>
    <w:rsid w:val="00F31CE0"/>
    <w:rsid w:val="00F31DBF"/>
    <w:rsid w:val="00F33362"/>
    <w:rsid w:val="00F349CA"/>
    <w:rsid w:val="00F35A52"/>
    <w:rsid w:val="00F35DB8"/>
    <w:rsid w:val="00F36A7D"/>
    <w:rsid w:val="00F37295"/>
    <w:rsid w:val="00F3741A"/>
    <w:rsid w:val="00F37843"/>
    <w:rsid w:val="00F40BF4"/>
    <w:rsid w:val="00F42E75"/>
    <w:rsid w:val="00F44FE7"/>
    <w:rsid w:val="00F45AB1"/>
    <w:rsid w:val="00F45EF8"/>
    <w:rsid w:val="00F4682B"/>
    <w:rsid w:val="00F5030B"/>
    <w:rsid w:val="00F52FA5"/>
    <w:rsid w:val="00F531DC"/>
    <w:rsid w:val="00F532C9"/>
    <w:rsid w:val="00F53870"/>
    <w:rsid w:val="00F546A8"/>
    <w:rsid w:val="00F54F92"/>
    <w:rsid w:val="00F55126"/>
    <w:rsid w:val="00F561FA"/>
    <w:rsid w:val="00F56FE6"/>
    <w:rsid w:val="00F61A02"/>
    <w:rsid w:val="00F624F5"/>
    <w:rsid w:val="00F62874"/>
    <w:rsid w:val="00F62B7B"/>
    <w:rsid w:val="00F63A6E"/>
    <w:rsid w:val="00F645BC"/>
    <w:rsid w:val="00F6601B"/>
    <w:rsid w:val="00F663DE"/>
    <w:rsid w:val="00F664FD"/>
    <w:rsid w:val="00F66A50"/>
    <w:rsid w:val="00F677D5"/>
    <w:rsid w:val="00F70603"/>
    <w:rsid w:val="00F71422"/>
    <w:rsid w:val="00F7209B"/>
    <w:rsid w:val="00F727C4"/>
    <w:rsid w:val="00F7284A"/>
    <w:rsid w:val="00F73560"/>
    <w:rsid w:val="00F75212"/>
    <w:rsid w:val="00F752B4"/>
    <w:rsid w:val="00F7538D"/>
    <w:rsid w:val="00F757CA"/>
    <w:rsid w:val="00F75B47"/>
    <w:rsid w:val="00F76D44"/>
    <w:rsid w:val="00F805AB"/>
    <w:rsid w:val="00F80FB0"/>
    <w:rsid w:val="00F81D87"/>
    <w:rsid w:val="00F824ED"/>
    <w:rsid w:val="00F83894"/>
    <w:rsid w:val="00F841A4"/>
    <w:rsid w:val="00F84A63"/>
    <w:rsid w:val="00F84E1F"/>
    <w:rsid w:val="00F85C50"/>
    <w:rsid w:val="00F90DE4"/>
    <w:rsid w:val="00F91458"/>
    <w:rsid w:val="00F9168C"/>
    <w:rsid w:val="00F91A4D"/>
    <w:rsid w:val="00F91B93"/>
    <w:rsid w:val="00F9216A"/>
    <w:rsid w:val="00F92762"/>
    <w:rsid w:val="00F933DE"/>
    <w:rsid w:val="00F93BAE"/>
    <w:rsid w:val="00F95C8B"/>
    <w:rsid w:val="00FA0508"/>
    <w:rsid w:val="00FA0BCB"/>
    <w:rsid w:val="00FA17A9"/>
    <w:rsid w:val="00FA21EE"/>
    <w:rsid w:val="00FA2AA8"/>
    <w:rsid w:val="00FA2B06"/>
    <w:rsid w:val="00FA2EDA"/>
    <w:rsid w:val="00FA3380"/>
    <w:rsid w:val="00FA39BA"/>
    <w:rsid w:val="00FA476C"/>
    <w:rsid w:val="00FA5DDF"/>
    <w:rsid w:val="00FA5ED7"/>
    <w:rsid w:val="00FA6A9C"/>
    <w:rsid w:val="00FA71A0"/>
    <w:rsid w:val="00FB3378"/>
    <w:rsid w:val="00FB403A"/>
    <w:rsid w:val="00FB4AEB"/>
    <w:rsid w:val="00FB6FEC"/>
    <w:rsid w:val="00FB75E2"/>
    <w:rsid w:val="00FC03B4"/>
    <w:rsid w:val="00FC10C1"/>
    <w:rsid w:val="00FC5BAB"/>
    <w:rsid w:val="00FC5D2C"/>
    <w:rsid w:val="00FD0046"/>
    <w:rsid w:val="00FD0F50"/>
    <w:rsid w:val="00FD1255"/>
    <w:rsid w:val="00FD1266"/>
    <w:rsid w:val="00FD2075"/>
    <w:rsid w:val="00FD4D15"/>
    <w:rsid w:val="00FD5ECD"/>
    <w:rsid w:val="00FD6CA7"/>
    <w:rsid w:val="00FD7929"/>
    <w:rsid w:val="00FD7962"/>
    <w:rsid w:val="00FE03F4"/>
    <w:rsid w:val="00FE0680"/>
    <w:rsid w:val="00FE07BC"/>
    <w:rsid w:val="00FE0B4E"/>
    <w:rsid w:val="00FE152D"/>
    <w:rsid w:val="00FE1663"/>
    <w:rsid w:val="00FE24A7"/>
    <w:rsid w:val="00FE31F3"/>
    <w:rsid w:val="00FE4F4C"/>
    <w:rsid w:val="00FE5433"/>
    <w:rsid w:val="00FE56B6"/>
    <w:rsid w:val="00FE7AAA"/>
    <w:rsid w:val="00FE7E07"/>
    <w:rsid w:val="00FF04B7"/>
    <w:rsid w:val="00FF1574"/>
    <w:rsid w:val="00FF17F9"/>
    <w:rsid w:val="00FF187C"/>
    <w:rsid w:val="00FF2258"/>
    <w:rsid w:val="00FF2DE7"/>
    <w:rsid w:val="00FF310B"/>
    <w:rsid w:val="00FF3118"/>
    <w:rsid w:val="00FF43DA"/>
    <w:rsid w:val="00FF55DA"/>
    <w:rsid w:val="00FF617D"/>
    <w:rsid w:val="00FF67CF"/>
    <w:rsid w:val="00FF6AD6"/>
    <w:rsid w:val="00FF7AE2"/>
    <w:rsid w:val="0680BB57"/>
    <w:rsid w:val="08BE7448"/>
    <w:rsid w:val="0E54E9F6"/>
    <w:rsid w:val="1259122F"/>
    <w:rsid w:val="1677B015"/>
    <w:rsid w:val="1A50803B"/>
    <w:rsid w:val="269F3A30"/>
    <w:rsid w:val="2D74B90E"/>
    <w:rsid w:val="3470695F"/>
    <w:rsid w:val="3BC588B5"/>
    <w:rsid w:val="3CEA4F99"/>
    <w:rsid w:val="3F55D4B9"/>
    <w:rsid w:val="45D3B53D"/>
    <w:rsid w:val="545CB3C7"/>
    <w:rsid w:val="65930DBF"/>
    <w:rsid w:val="660CE18A"/>
    <w:rsid w:val="666C6900"/>
    <w:rsid w:val="670849A2"/>
    <w:rsid w:val="67B9BD54"/>
    <w:rsid w:val="6A3357A9"/>
    <w:rsid w:val="6B066AC5"/>
    <w:rsid w:val="70ED1395"/>
    <w:rsid w:val="75696900"/>
    <w:rsid w:val="762C5E38"/>
    <w:rsid w:val="774993BE"/>
    <w:rsid w:val="7E3FB7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7DD26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C8F"/>
    <w:pPr>
      <w:spacing w:before="120" w:after="0"/>
    </w:pPr>
  </w:style>
  <w:style w:type="paragraph" w:styleId="Heading1">
    <w:name w:val="heading 1"/>
    <w:basedOn w:val="Normal"/>
    <w:next w:val="Normal"/>
    <w:link w:val="Heading1Char"/>
    <w:uiPriority w:val="9"/>
    <w:qFormat/>
    <w:rsid w:val="00F71422"/>
    <w:pPr>
      <w:keepNext/>
      <w:keepLines/>
      <w:numPr>
        <w:numId w:val="14"/>
      </w:numPr>
      <w:spacing w:before="240"/>
      <w:ind w:left="431" w:hanging="431"/>
      <w:outlineLvl w:val="0"/>
    </w:pPr>
    <w:rPr>
      <w:rFonts w:asciiTheme="majorHAnsi" w:eastAsiaTheme="majorEastAsia" w:hAnsiTheme="majorHAnsi" w:cstheme="majorBidi"/>
      <w:sz w:val="52"/>
      <w:szCs w:val="32"/>
    </w:rPr>
  </w:style>
  <w:style w:type="paragraph" w:styleId="Heading2">
    <w:name w:val="heading 2"/>
    <w:basedOn w:val="Normal"/>
    <w:next w:val="Normal"/>
    <w:link w:val="Heading2Char"/>
    <w:uiPriority w:val="9"/>
    <w:unhideWhenUsed/>
    <w:qFormat/>
    <w:rsid w:val="004E6B07"/>
    <w:pPr>
      <w:keepNext/>
      <w:keepLines/>
      <w:numPr>
        <w:ilvl w:val="1"/>
        <w:numId w:val="15"/>
      </w:numPr>
      <w:ind w:left="578" w:hanging="578"/>
      <w:outlineLvl w:val="1"/>
    </w:pPr>
    <w:rPr>
      <w:rFonts w:asciiTheme="majorHAnsi" w:eastAsiaTheme="majorEastAsia" w:hAnsiTheme="majorHAnsi" w:cstheme="majorBidi"/>
      <w:color w:val="008A96"/>
      <w:sz w:val="32"/>
      <w:szCs w:val="26"/>
    </w:rPr>
  </w:style>
  <w:style w:type="paragraph" w:styleId="Heading3">
    <w:name w:val="heading 3"/>
    <w:basedOn w:val="Normal"/>
    <w:next w:val="Normal"/>
    <w:link w:val="Heading3Char"/>
    <w:uiPriority w:val="9"/>
    <w:unhideWhenUsed/>
    <w:qFormat/>
    <w:rsid w:val="004E6B07"/>
    <w:pPr>
      <w:keepNext/>
      <w:keepLines/>
      <w:numPr>
        <w:ilvl w:val="2"/>
        <w:numId w:val="15"/>
      </w:numPr>
      <w:ind w:left="408" w:hanging="408"/>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F5157"/>
    <w:pPr>
      <w:keepNext/>
      <w:keepLines/>
      <w:outlineLvl w:val="3"/>
    </w:pPr>
    <w:rPr>
      <w:rFonts w:eastAsiaTheme="majorEastAsia" w:cstheme="majorBidi"/>
      <w:iCs/>
      <w:color w:val="1F3864" w:themeColor="accent1" w:themeShade="80"/>
    </w:rPr>
  </w:style>
  <w:style w:type="paragraph" w:styleId="Heading5">
    <w:name w:val="heading 5"/>
    <w:basedOn w:val="Normal"/>
    <w:next w:val="Normal"/>
    <w:link w:val="Heading5Char"/>
    <w:uiPriority w:val="9"/>
    <w:unhideWhenUsed/>
    <w:qFormat/>
    <w:rsid w:val="008F2C8F"/>
    <w:pPr>
      <w:keepNext/>
      <w:keepLines/>
      <w:spacing w:before="40"/>
      <w:outlineLvl w:val="4"/>
    </w:pPr>
    <w:rPr>
      <w:rFonts w:asciiTheme="majorHAnsi" w:eastAsiaTheme="majorEastAsia" w:hAnsiTheme="majorHAnsi" w:cstheme="majorBidi"/>
      <w:i/>
      <w:color w:val="2F5496" w:themeColor="accent1" w:themeShade="BF"/>
    </w:rPr>
  </w:style>
  <w:style w:type="paragraph" w:styleId="Heading6">
    <w:name w:val="heading 6"/>
    <w:basedOn w:val="Normal"/>
    <w:next w:val="Normal"/>
    <w:link w:val="Heading6Char"/>
    <w:uiPriority w:val="9"/>
    <w:unhideWhenUsed/>
    <w:qFormat/>
    <w:rsid w:val="005E07E7"/>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E07E7"/>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E07E7"/>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07E7"/>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7E7"/>
    <w:pPr>
      <w:spacing w:after="1200" w:line="240" w:lineRule="auto"/>
      <w:contextualSpacing/>
    </w:pPr>
    <w:rPr>
      <w:rFonts w:asciiTheme="majorHAnsi" w:eastAsiaTheme="majorEastAsia" w:hAnsiTheme="majorHAnsi" w:cstheme="majorBidi"/>
      <w:color w:val="44546A" w:themeColor="text2"/>
      <w:spacing w:val="-10"/>
      <w:kern w:val="28"/>
      <w:sz w:val="96"/>
      <w:szCs w:val="56"/>
    </w:rPr>
  </w:style>
  <w:style w:type="character" w:customStyle="1" w:styleId="TitleChar">
    <w:name w:val="Title Char"/>
    <w:basedOn w:val="DefaultParagraphFont"/>
    <w:link w:val="Title"/>
    <w:uiPriority w:val="10"/>
    <w:rsid w:val="005E07E7"/>
    <w:rPr>
      <w:rFonts w:asciiTheme="majorHAnsi" w:eastAsiaTheme="majorEastAsia" w:hAnsiTheme="majorHAnsi" w:cstheme="majorBidi"/>
      <w:color w:val="44546A" w:themeColor="text2"/>
      <w:spacing w:val="-10"/>
      <w:kern w:val="28"/>
      <w:sz w:val="96"/>
      <w:szCs w:val="56"/>
    </w:rPr>
  </w:style>
  <w:style w:type="character" w:customStyle="1" w:styleId="Heading1Char">
    <w:name w:val="Heading 1 Char"/>
    <w:basedOn w:val="DefaultParagraphFont"/>
    <w:link w:val="Heading1"/>
    <w:uiPriority w:val="9"/>
    <w:rsid w:val="00F71422"/>
    <w:rPr>
      <w:rFonts w:asciiTheme="majorHAnsi" w:eastAsiaTheme="majorEastAsia" w:hAnsiTheme="majorHAnsi" w:cstheme="majorBidi"/>
      <w:sz w:val="52"/>
      <w:szCs w:val="32"/>
    </w:rPr>
  </w:style>
  <w:style w:type="character" w:customStyle="1" w:styleId="Heading2Char">
    <w:name w:val="Heading 2 Char"/>
    <w:basedOn w:val="DefaultParagraphFont"/>
    <w:link w:val="Heading2"/>
    <w:uiPriority w:val="9"/>
    <w:rsid w:val="004E6B07"/>
    <w:rPr>
      <w:rFonts w:asciiTheme="majorHAnsi" w:eastAsiaTheme="majorEastAsia" w:hAnsiTheme="majorHAnsi" w:cstheme="majorBidi"/>
      <w:color w:val="008A96"/>
      <w:sz w:val="32"/>
      <w:szCs w:val="26"/>
    </w:rPr>
  </w:style>
  <w:style w:type="paragraph" w:styleId="ListParagraph">
    <w:name w:val="List Paragraph"/>
    <w:aliases w:val="OBC Bullet,F5 List Paragraph,Colorful List - Accent 11,Normal numbered,Bullet 1,Bullet Style,Dot pt,No Spacing1,Indicator Text,Numbered Para 1,List Paragraph1,Bullet Points,MAIN CONTENT,List Paragraph12,L"/>
    <w:basedOn w:val="Normal"/>
    <w:link w:val="ListParagraphChar"/>
    <w:uiPriority w:val="34"/>
    <w:qFormat/>
    <w:rsid w:val="005E07E7"/>
    <w:pPr>
      <w:ind w:left="720"/>
      <w:contextualSpacing/>
    </w:pPr>
  </w:style>
  <w:style w:type="paragraph" w:styleId="FootnoteText">
    <w:name w:val="footnote text"/>
    <w:basedOn w:val="Normal"/>
    <w:link w:val="FootnoteTextChar"/>
    <w:uiPriority w:val="99"/>
    <w:unhideWhenUsed/>
    <w:rsid w:val="00AD6C98"/>
    <w:pPr>
      <w:spacing w:line="240" w:lineRule="auto"/>
    </w:pPr>
    <w:rPr>
      <w:sz w:val="20"/>
      <w:szCs w:val="20"/>
    </w:rPr>
  </w:style>
  <w:style w:type="character" w:customStyle="1" w:styleId="FootnoteTextChar">
    <w:name w:val="Footnote Text Char"/>
    <w:basedOn w:val="DefaultParagraphFont"/>
    <w:link w:val="FootnoteText"/>
    <w:uiPriority w:val="99"/>
    <w:rsid w:val="00AD6C98"/>
    <w:rPr>
      <w:sz w:val="20"/>
      <w:szCs w:val="20"/>
    </w:rPr>
  </w:style>
  <w:style w:type="character" w:styleId="FootnoteReference">
    <w:name w:val="footnote reference"/>
    <w:basedOn w:val="DefaultParagraphFont"/>
    <w:uiPriority w:val="99"/>
    <w:semiHidden/>
    <w:unhideWhenUsed/>
    <w:rsid w:val="00AD6C98"/>
    <w:rPr>
      <w:vertAlign w:val="superscript"/>
    </w:rPr>
  </w:style>
  <w:style w:type="paragraph" w:styleId="NormalWeb">
    <w:name w:val="Normal (Web)"/>
    <w:basedOn w:val="Normal"/>
    <w:uiPriority w:val="99"/>
    <w:unhideWhenUsed/>
    <w:rsid w:val="00B25892"/>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hovertext">
    <w:name w:val="hovertext"/>
    <w:basedOn w:val="DefaultParagraphFont"/>
    <w:rsid w:val="00B25892"/>
  </w:style>
  <w:style w:type="character" w:styleId="Hyperlink">
    <w:name w:val="Hyperlink"/>
    <w:basedOn w:val="DefaultParagraphFont"/>
    <w:uiPriority w:val="99"/>
    <w:unhideWhenUsed/>
    <w:rsid w:val="003E3F2F"/>
    <w:rPr>
      <w:color w:val="0000FF"/>
      <w:u w:val="single"/>
    </w:rPr>
  </w:style>
  <w:style w:type="character" w:customStyle="1" w:styleId="Heading3Char">
    <w:name w:val="Heading 3 Char"/>
    <w:basedOn w:val="DefaultParagraphFont"/>
    <w:link w:val="Heading3"/>
    <w:uiPriority w:val="9"/>
    <w:rsid w:val="004E6B07"/>
    <w:rPr>
      <w:rFonts w:asciiTheme="majorHAnsi" w:eastAsiaTheme="majorEastAsia" w:hAnsiTheme="majorHAnsi" w:cstheme="majorBidi"/>
      <w:color w:val="1F3763" w:themeColor="accent1" w:themeShade="7F"/>
      <w:sz w:val="24"/>
      <w:szCs w:val="24"/>
    </w:rPr>
  </w:style>
  <w:style w:type="paragraph" w:customStyle="1" w:styleId="acthead5">
    <w:name w:val="acthead5"/>
    <w:basedOn w:val="Normal"/>
    <w:rsid w:val="00A91660"/>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charsectno">
    <w:name w:val="charsectno"/>
    <w:basedOn w:val="DefaultParagraphFont"/>
    <w:rsid w:val="00A91660"/>
  </w:style>
  <w:style w:type="paragraph" w:customStyle="1" w:styleId="subsection">
    <w:name w:val="subsection"/>
    <w:basedOn w:val="Normal"/>
    <w:rsid w:val="00A91660"/>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ListParagraphChar">
    <w:name w:val="List Paragraph Char"/>
    <w:aliases w:val="OBC Bullet Char,F5 List Paragraph Char,Colorful List - Accent 11 Char,Normal numbered Char,Bullet 1 Char,Bullet Style Char,Dot pt Char,No Spacing1 Char,Indicator Text Char,Numbered Para 1 Char,List Paragraph1 Char,Bullet Points Char"/>
    <w:basedOn w:val="DefaultParagraphFont"/>
    <w:link w:val="ListParagraph"/>
    <w:uiPriority w:val="34"/>
    <w:locked/>
    <w:rsid w:val="005E07E7"/>
  </w:style>
  <w:style w:type="paragraph" w:customStyle="1" w:styleId="Tabletextleft">
    <w:name w:val="Table text left"/>
    <w:autoRedefine/>
    <w:qFormat/>
    <w:locked/>
    <w:rsid w:val="00B739FA"/>
    <w:pPr>
      <w:spacing w:before="60" w:after="60" w:line="240" w:lineRule="auto"/>
    </w:pPr>
    <w:rPr>
      <w:rFonts w:ascii="Arial" w:eastAsia="Times New Roman" w:hAnsi="Arial"/>
      <w:color w:val="000000" w:themeColor="text1"/>
      <w:sz w:val="21"/>
    </w:rPr>
  </w:style>
  <w:style w:type="paragraph" w:customStyle="1" w:styleId="TableHeaderWhite">
    <w:name w:val="Table Header White"/>
    <w:basedOn w:val="Normal"/>
    <w:next w:val="Tabletextleft"/>
    <w:qFormat/>
    <w:rsid w:val="0028468A"/>
    <w:pPr>
      <w:spacing w:before="80" w:after="80" w:line="276" w:lineRule="auto"/>
    </w:pPr>
    <w:rPr>
      <w:rFonts w:ascii="Arial" w:eastAsia="Cambria" w:hAnsi="Arial" w:cs="Times New Roman"/>
      <w:b/>
      <w:color w:val="FFFFFF" w:themeColor="background1"/>
      <w:lang w:val="en-US"/>
    </w:rPr>
  </w:style>
  <w:style w:type="paragraph" w:customStyle="1" w:styleId="TableHeader">
    <w:name w:val="Table Header"/>
    <w:basedOn w:val="Normal"/>
    <w:next w:val="Tabletextleft"/>
    <w:qFormat/>
    <w:rsid w:val="0028468A"/>
    <w:pPr>
      <w:spacing w:before="80" w:after="80" w:line="276" w:lineRule="auto"/>
    </w:pPr>
    <w:rPr>
      <w:rFonts w:ascii="Arial" w:eastAsia="Cambria" w:hAnsi="Arial" w:cs="Times New Roman"/>
      <w:b/>
      <w:color w:val="FFFFFF" w:themeColor="background1"/>
      <w:lang w:val="en-US"/>
    </w:rPr>
  </w:style>
  <w:style w:type="table" w:customStyle="1" w:styleId="DepartmentofHealthtable">
    <w:name w:val="Department of Health table"/>
    <w:basedOn w:val="TableNormal"/>
    <w:uiPriority w:val="99"/>
    <w:rsid w:val="0028468A"/>
    <w:pPr>
      <w:spacing w:after="0" w:line="240" w:lineRule="auto"/>
    </w:pPr>
    <w:rPr>
      <w:rFonts w:ascii="Arial" w:eastAsia="Times New Roman" w:hAnsi="Arial"/>
      <w:color w:val="000000"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extcentre">
    <w:name w:val="Table text centre"/>
    <w:basedOn w:val="Tabletextleft"/>
    <w:rsid w:val="0028468A"/>
    <w:pPr>
      <w:jc w:val="center"/>
    </w:pPr>
  </w:style>
  <w:style w:type="character" w:styleId="UnresolvedMention">
    <w:name w:val="Unresolved Mention"/>
    <w:basedOn w:val="DefaultParagraphFont"/>
    <w:uiPriority w:val="99"/>
    <w:semiHidden/>
    <w:unhideWhenUsed/>
    <w:rsid w:val="000E6DB3"/>
    <w:rPr>
      <w:color w:val="605E5C"/>
      <w:shd w:val="clear" w:color="auto" w:fill="E1DFDD"/>
    </w:rPr>
  </w:style>
  <w:style w:type="character" w:styleId="FollowedHyperlink">
    <w:name w:val="FollowedHyperlink"/>
    <w:basedOn w:val="DefaultParagraphFont"/>
    <w:uiPriority w:val="99"/>
    <w:semiHidden/>
    <w:unhideWhenUsed/>
    <w:rsid w:val="00890317"/>
    <w:rPr>
      <w:color w:val="954F72" w:themeColor="followedHyperlink"/>
      <w:u w:val="single"/>
    </w:rPr>
  </w:style>
  <w:style w:type="character" w:styleId="HTMLCite">
    <w:name w:val="HTML Cite"/>
    <w:basedOn w:val="DefaultParagraphFont"/>
    <w:uiPriority w:val="99"/>
    <w:semiHidden/>
    <w:unhideWhenUsed/>
    <w:rsid w:val="001C5870"/>
    <w:rPr>
      <w:i/>
      <w:iCs/>
    </w:rPr>
  </w:style>
  <w:style w:type="character" w:customStyle="1" w:styleId="sr-only">
    <w:name w:val="sr-only"/>
    <w:basedOn w:val="DefaultParagraphFont"/>
    <w:rsid w:val="001C5870"/>
  </w:style>
  <w:style w:type="paragraph" w:styleId="Header">
    <w:name w:val="header"/>
    <w:basedOn w:val="Normal"/>
    <w:link w:val="HeaderChar"/>
    <w:uiPriority w:val="99"/>
    <w:unhideWhenUsed/>
    <w:rsid w:val="00190924"/>
    <w:pPr>
      <w:tabs>
        <w:tab w:val="center" w:pos="4513"/>
        <w:tab w:val="right" w:pos="9026"/>
      </w:tabs>
      <w:spacing w:line="240" w:lineRule="auto"/>
    </w:pPr>
  </w:style>
  <w:style w:type="character" w:customStyle="1" w:styleId="HeaderChar">
    <w:name w:val="Header Char"/>
    <w:basedOn w:val="DefaultParagraphFont"/>
    <w:link w:val="Header"/>
    <w:uiPriority w:val="99"/>
    <w:rsid w:val="00190924"/>
  </w:style>
  <w:style w:type="paragraph" w:styleId="Footer">
    <w:name w:val="footer"/>
    <w:basedOn w:val="Normal"/>
    <w:link w:val="FooterChar"/>
    <w:uiPriority w:val="99"/>
    <w:unhideWhenUsed/>
    <w:rsid w:val="00190924"/>
    <w:pPr>
      <w:tabs>
        <w:tab w:val="center" w:pos="4513"/>
        <w:tab w:val="right" w:pos="9026"/>
      </w:tabs>
      <w:spacing w:line="240" w:lineRule="auto"/>
    </w:pPr>
  </w:style>
  <w:style w:type="character" w:customStyle="1" w:styleId="FooterChar">
    <w:name w:val="Footer Char"/>
    <w:basedOn w:val="DefaultParagraphFont"/>
    <w:link w:val="Footer"/>
    <w:uiPriority w:val="99"/>
    <w:rsid w:val="00190924"/>
  </w:style>
  <w:style w:type="paragraph" w:customStyle="1" w:styleId="5Bodytext">
    <w:name w:val="5. Body text"/>
    <w:basedOn w:val="ListParagraph"/>
    <w:link w:val="5BodytextChar"/>
    <w:qFormat/>
    <w:rsid w:val="005E07E7"/>
    <w:pPr>
      <w:autoSpaceDE w:val="0"/>
      <w:autoSpaceDN w:val="0"/>
      <w:adjustRightInd w:val="0"/>
      <w:spacing w:after="240" w:line="240" w:lineRule="auto"/>
      <w:ind w:left="0"/>
      <w:contextualSpacing w:val="0"/>
    </w:pPr>
    <w:rPr>
      <w:rFonts w:ascii="Tms Rmn" w:eastAsia="Times New Roman" w:hAnsi="Tms Rmn" w:cs="Times New Roman"/>
      <w:sz w:val="24"/>
      <w:szCs w:val="24"/>
      <w:lang w:eastAsia="en-AU"/>
    </w:rPr>
  </w:style>
  <w:style w:type="character" w:customStyle="1" w:styleId="5BodytextChar">
    <w:name w:val="5. Body text Char"/>
    <w:basedOn w:val="DefaultParagraphFont"/>
    <w:link w:val="5Bodytext"/>
    <w:rsid w:val="005E07E7"/>
    <w:rPr>
      <w:rFonts w:ascii="Tms Rmn" w:eastAsia="Times New Roman" w:hAnsi="Tms Rmn" w:cs="Times New Roman"/>
      <w:sz w:val="24"/>
      <w:szCs w:val="24"/>
      <w:lang w:eastAsia="en-AU"/>
    </w:rPr>
  </w:style>
  <w:style w:type="character" w:customStyle="1" w:styleId="CaptionLabel">
    <w:name w:val="Caption Label"/>
    <w:basedOn w:val="DefaultParagraphFont"/>
    <w:uiPriority w:val="1"/>
    <w:qFormat/>
    <w:rsid w:val="005E07E7"/>
    <w:rPr>
      <w:b/>
      <w:color w:val="000100"/>
    </w:rPr>
  </w:style>
  <w:style w:type="character" w:customStyle="1" w:styleId="Heading4Char">
    <w:name w:val="Heading 4 Char"/>
    <w:basedOn w:val="DefaultParagraphFont"/>
    <w:link w:val="Heading4"/>
    <w:uiPriority w:val="9"/>
    <w:rsid w:val="000F5157"/>
    <w:rPr>
      <w:rFonts w:eastAsiaTheme="majorEastAsia" w:cstheme="majorBidi"/>
      <w:iCs/>
      <w:color w:val="1F3864" w:themeColor="accent1" w:themeShade="80"/>
    </w:rPr>
  </w:style>
  <w:style w:type="character" w:customStyle="1" w:styleId="Heading5Char">
    <w:name w:val="Heading 5 Char"/>
    <w:basedOn w:val="DefaultParagraphFont"/>
    <w:link w:val="Heading5"/>
    <w:uiPriority w:val="9"/>
    <w:rsid w:val="008F2C8F"/>
    <w:rPr>
      <w:rFonts w:asciiTheme="majorHAnsi" w:eastAsiaTheme="majorEastAsia" w:hAnsiTheme="majorHAnsi" w:cstheme="majorBidi"/>
      <w:i/>
      <w:color w:val="2F5496" w:themeColor="accent1" w:themeShade="BF"/>
    </w:rPr>
  </w:style>
  <w:style w:type="character" w:customStyle="1" w:styleId="Heading6Char">
    <w:name w:val="Heading 6 Char"/>
    <w:basedOn w:val="DefaultParagraphFont"/>
    <w:link w:val="Heading6"/>
    <w:uiPriority w:val="9"/>
    <w:rsid w:val="005E07E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E07E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E07E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E07E7"/>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semiHidden/>
    <w:unhideWhenUsed/>
    <w:qFormat/>
    <w:rsid w:val="005E07E7"/>
    <w:pPr>
      <w:spacing w:line="240" w:lineRule="auto"/>
    </w:pPr>
    <w:rPr>
      <w:i/>
      <w:iCs/>
      <w:color w:val="44546A" w:themeColor="text2"/>
      <w:sz w:val="18"/>
      <w:szCs w:val="18"/>
    </w:rPr>
  </w:style>
  <w:style w:type="character" w:styleId="Strong">
    <w:name w:val="Strong"/>
    <w:basedOn w:val="DefaultParagraphFont"/>
    <w:uiPriority w:val="22"/>
    <w:qFormat/>
    <w:rsid w:val="005E07E7"/>
    <w:rPr>
      <w:b/>
      <w:bCs/>
    </w:rPr>
  </w:style>
  <w:style w:type="character" w:styleId="Emphasis">
    <w:name w:val="Emphasis"/>
    <w:basedOn w:val="DefaultParagraphFont"/>
    <w:uiPriority w:val="20"/>
    <w:qFormat/>
    <w:rsid w:val="005E07E7"/>
    <w:rPr>
      <w:i/>
      <w:iCs/>
    </w:rPr>
  </w:style>
  <w:style w:type="paragraph" w:styleId="NoSpacing">
    <w:name w:val="No Spacing"/>
    <w:uiPriority w:val="1"/>
    <w:qFormat/>
    <w:rsid w:val="005E07E7"/>
    <w:pPr>
      <w:spacing w:after="0" w:line="240" w:lineRule="auto"/>
    </w:pPr>
  </w:style>
  <w:style w:type="character" w:styleId="IntenseEmphasis">
    <w:name w:val="Intense Emphasis"/>
    <w:basedOn w:val="DefaultParagraphFont"/>
    <w:uiPriority w:val="21"/>
    <w:qFormat/>
    <w:rsid w:val="005E07E7"/>
    <w:rPr>
      <w:i/>
      <w:iCs/>
      <w:color w:val="4472C4" w:themeColor="accent1"/>
    </w:rPr>
  </w:style>
  <w:style w:type="paragraph" w:styleId="TOCHeading">
    <w:name w:val="TOC Heading"/>
    <w:basedOn w:val="Heading1"/>
    <w:next w:val="Normal"/>
    <w:uiPriority w:val="39"/>
    <w:unhideWhenUsed/>
    <w:qFormat/>
    <w:rsid w:val="005E07E7"/>
    <w:pPr>
      <w:outlineLvl w:val="9"/>
    </w:pPr>
    <w:rPr>
      <w:sz w:val="32"/>
      <w:lang w:val="en-US"/>
    </w:rPr>
  </w:style>
  <w:style w:type="character" w:styleId="CommentReference">
    <w:name w:val="annotation reference"/>
    <w:basedOn w:val="DefaultParagraphFont"/>
    <w:uiPriority w:val="99"/>
    <w:semiHidden/>
    <w:unhideWhenUsed/>
    <w:rsid w:val="00176AC0"/>
    <w:rPr>
      <w:sz w:val="16"/>
      <w:szCs w:val="16"/>
    </w:rPr>
  </w:style>
  <w:style w:type="paragraph" w:styleId="CommentText">
    <w:name w:val="annotation text"/>
    <w:basedOn w:val="Normal"/>
    <w:link w:val="CommentTextChar"/>
    <w:uiPriority w:val="99"/>
    <w:unhideWhenUsed/>
    <w:rsid w:val="00176AC0"/>
    <w:pPr>
      <w:spacing w:line="240" w:lineRule="auto"/>
    </w:pPr>
    <w:rPr>
      <w:sz w:val="20"/>
      <w:szCs w:val="20"/>
    </w:rPr>
  </w:style>
  <w:style w:type="character" w:customStyle="1" w:styleId="CommentTextChar">
    <w:name w:val="Comment Text Char"/>
    <w:basedOn w:val="DefaultParagraphFont"/>
    <w:link w:val="CommentText"/>
    <w:uiPriority w:val="99"/>
    <w:rsid w:val="00176AC0"/>
    <w:rPr>
      <w:sz w:val="20"/>
      <w:szCs w:val="20"/>
    </w:rPr>
  </w:style>
  <w:style w:type="paragraph" w:styleId="CommentSubject">
    <w:name w:val="annotation subject"/>
    <w:basedOn w:val="CommentText"/>
    <w:next w:val="CommentText"/>
    <w:link w:val="CommentSubjectChar"/>
    <w:uiPriority w:val="99"/>
    <w:semiHidden/>
    <w:unhideWhenUsed/>
    <w:rsid w:val="00176AC0"/>
    <w:rPr>
      <w:b/>
      <w:bCs/>
    </w:rPr>
  </w:style>
  <w:style w:type="character" w:customStyle="1" w:styleId="CommentSubjectChar">
    <w:name w:val="Comment Subject Char"/>
    <w:basedOn w:val="CommentTextChar"/>
    <w:link w:val="CommentSubject"/>
    <w:uiPriority w:val="99"/>
    <w:semiHidden/>
    <w:rsid w:val="00176AC0"/>
    <w:rPr>
      <w:b/>
      <w:bCs/>
      <w:sz w:val="20"/>
      <w:szCs w:val="20"/>
    </w:rPr>
  </w:style>
  <w:style w:type="table" w:styleId="TableGrid">
    <w:name w:val="Table Grid"/>
    <w:basedOn w:val="TableNormal"/>
    <w:uiPriority w:val="39"/>
    <w:rsid w:val="00114133"/>
    <w:pPr>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DepartmentofHealthtable1">
    <w:name w:val="Department of Health table1"/>
    <w:basedOn w:val="TableNormal"/>
    <w:uiPriority w:val="99"/>
    <w:rsid w:val="004C5BC1"/>
    <w:pPr>
      <w:spacing w:after="0" w:line="240" w:lineRule="auto"/>
    </w:pPr>
    <w:rPr>
      <w:rFonts w:ascii="Arial" w:eastAsia="Times New Roman" w:hAnsi="Arial"/>
      <w:color w:val="000000"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NormalBeforeBullet">
    <w:name w:val="NormalBeforeBullet"/>
    <w:basedOn w:val="Normal"/>
    <w:qFormat/>
    <w:rsid w:val="00C60E56"/>
    <w:pPr>
      <w:keepNext/>
      <w:spacing w:before="0" w:after="120" w:line="240" w:lineRule="auto"/>
    </w:pPr>
    <w:rPr>
      <w:iCs/>
    </w:rPr>
  </w:style>
  <w:style w:type="paragraph" w:customStyle="1" w:styleId="TableTitle">
    <w:name w:val="Table Title"/>
    <w:link w:val="TableTitleChar"/>
    <w:qFormat/>
    <w:locked/>
    <w:rsid w:val="0038216E"/>
    <w:pPr>
      <w:spacing w:before="120" w:after="120" w:line="240" w:lineRule="auto"/>
    </w:pPr>
    <w:rPr>
      <w:rFonts w:ascii="Arial" w:eastAsia="Times New Roman" w:hAnsi="Arial" w:cs="Times New Roman"/>
      <w:b/>
      <w:color w:val="000000" w:themeColor="text1"/>
      <w:szCs w:val="24"/>
      <w:lang w:val="en-US"/>
    </w:rPr>
  </w:style>
  <w:style w:type="character" w:customStyle="1" w:styleId="TableTitleChar">
    <w:name w:val="Table Title Char"/>
    <w:basedOn w:val="DefaultParagraphFont"/>
    <w:link w:val="TableTitle"/>
    <w:rsid w:val="0038216E"/>
    <w:rPr>
      <w:rFonts w:ascii="Arial" w:eastAsia="Times New Roman" w:hAnsi="Arial" w:cs="Times New Roman"/>
      <w:b/>
      <w:color w:val="000000" w:themeColor="text1"/>
      <w:szCs w:val="24"/>
      <w:lang w:val="en-US"/>
    </w:rPr>
  </w:style>
  <w:style w:type="table" w:styleId="ListTable3-Accent1">
    <w:name w:val="List Table 3 Accent 1"/>
    <w:basedOn w:val="TableNormal"/>
    <w:uiPriority w:val="48"/>
    <w:rsid w:val="0038216E"/>
    <w:pPr>
      <w:spacing w:after="0" w:line="240" w:lineRule="auto"/>
    </w:pPr>
    <w:rPr>
      <w:lang w:val="en-GB"/>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OC1">
    <w:name w:val="toc 1"/>
    <w:basedOn w:val="Normal"/>
    <w:next w:val="Normal"/>
    <w:autoRedefine/>
    <w:uiPriority w:val="39"/>
    <w:unhideWhenUsed/>
    <w:rsid w:val="000031FE"/>
    <w:pPr>
      <w:tabs>
        <w:tab w:val="left" w:pos="454"/>
        <w:tab w:val="right" w:leader="dot" w:pos="9016"/>
      </w:tabs>
      <w:spacing w:after="100"/>
    </w:pPr>
  </w:style>
  <w:style w:type="paragraph" w:styleId="TOC2">
    <w:name w:val="toc 2"/>
    <w:basedOn w:val="Normal"/>
    <w:next w:val="Normal"/>
    <w:autoRedefine/>
    <w:uiPriority w:val="39"/>
    <w:unhideWhenUsed/>
    <w:rsid w:val="000031FE"/>
    <w:pPr>
      <w:tabs>
        <w:tab w:val="left" w:pos="1100"/>
        <w:tab w:val="right" w:leader="dot" w:pos="9016"/>
      </w:tabs>
      <w:spacing w:after="100"/>
      <w:ind w:left="454"/>
    </w:pPr>
  </w:style>
  <w:style w:type="paragraph" w:styleId="TOC3">
    <w:name w:val="toc 3"/>
    <w:basedOn w:val="Normal"/>
    <w:next w:val="Normal"/>
    <w:autoRedefine/>
    <w:uiPriority w:val="39"/>
    <w:unhideWhenUsed/>
    <w:rsid w:val="00CD61B4"/>
    <w:pPr>
      <w:spacing w:after="100"/>
      <w:ind w:left="440"/>
    </w:pPr>
  </w:style>
  <w:style w:type="paragraph" w:styleId="Revision">
    <w:name w:val="Revision"/>
    <w:hidden/>
    <w:uiPriority w:val="99"/>
    <w:semiHidden/>
    <w:rsid w:val="00E975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3066">
      <w:bodyDiv w:val="1"/>
      <w:marLeft w:val="0"/>
      <w:marRight w:val="0"/>
      <w:marTop w:val="0"/>
      <w:marBottom w:val="0"/>
      <w:divBdr>
        <w:top w:val="none" w:sz="0" w:space="0" w:color="auto"/>
        <w:left w:val="none" w:sz="0" w:space="0" w:color="auto"/>
        <w:bottom w:val="none" w:sz="0" w:space="0" w:color="auto"/>
        <w:right w:val="none" w:sz="0" w:space="0" w:color="auto"/>
      </w:divBdr>
    </w:div>
    <w:div w:id="39332078">
      <w:bodyDiv w:val="1"/>
      <w:marLeft w:val="0"/>
      <w:marRight w:val="0"/>
      <w:marTop w:val="0"/>
      <w:marBottom w:val="0"/>
      <w:divBdr>
        <w:top w:val="none" w:sz="0" w:space="0" w:color="auto"/>
        <w:left w:val="none" w:sz="0" w:space="0" w:color="auto"/>
        <w:bottom w:val="none" w:sz="0" w:space="0" w:color="auto"/>
        <w:right w:val="none" w:sz="0" w:space="0" w:color="auto"/>
      </w:divBdr>
    </w:div>
    <w:div w:id="86001918">
      <w:bodyDiv w:val="1"/>
      <w:marLeft w:val="0"/>
      <w:marRight w:val="0"/>
      <w:marTop w:val="0"/>
      <w:marBottom w:val="0"/>
      <w:divBdr>
        <w:top w:val="none" w:sz="0" w:space="0" w:color="auto"/>
        <w:left w:val="none" w:sz="0" w:space="0" w:color="auto"/>
        <w:bottom w:val="none" w:sz="0" w:space="0" w:color="auto"/>
        <w:right w:val="none" w:sz="0" w:space="0" w:color="auto"/>
      </w:divBdr>
    </w:div>
    <w:div w:id="95101309">
      <w:bodyDiv w:val="1"/>
      <w:marLeft w:val="0"/>
      <w:marRight w:val="0"/>
      <w:marTop w:val="0"/>
      <w:marBottom w:val="0"/>
      <w:divBdr>
        <w:top w:val="none" w:sz="0" w:space="0" w:color="auto"/>
        <w:left w:val="none" w:sz="0" w:space="0" w:color="auto"/>
        <w:bottom w:val="none" w:sz="0" w:space="0" w:color="auto"/>
        <w:right w:val="none" w:sz="0" w:space="0" w:color="auto"/>
      </w:divBdr>
    </w:div>
    <w:div w:id="121508169">
      <w:bodyDiv w:val="1"/>
      <w:marLeft w:val="0"/>
      <w:marRight w:val="0"/>
      <w:marTop w:val="0"/>
      <w:marBottom w:val="0"/>
      <w:divBdr>
        <w:top w:val="none" w:sz="0" w:space="0" w:color="auto"/>
        <w:left w:val="none" w:sz="0" w:space="0" w:color="auto"/>
        <w:bottom w:val="none" w:sz="0" w:space="0" w:color="auto"/>
        <w:right w:val="none" w:sz="0" w:space="0" w:color="auto"/>
      </w:divBdr>
    </w:div>
    <w:div w:id="124006977">
      <w:bodyDiv w:val="1"/>
      <w:marLeft w:val="0"/>
      <w:marRight w:val="0"/>
      <w:marTop w:val="0"/>
      <w:marBottom w:val="0"/>
      <w:divBdr>
        <w:top w:val="none" w:sz="0" w:space="0" w:color="auto"/>
        <w:left w:val="none" w:sz="0" w:space="0" w:color="auto"/>
        <w:bottom w:val="none" w:sz="0" w:space="0" w:color="auto"/>
        <w:right w:val="none" w:sz="0" w:space="0" w:color="auto"/>
      </w:divBdr>
    </w:div>
    <w:div w:id="125858023">
      <w:bodyDiv w:val="1"/>
      <w:marLeft w:val="0"/>
      <w:marRight w:val="0"/>
      <w:marTop w:val="0"/>
      <w:marBottom w:val="0"/>
      <w:divBdr>
        <w:top w:val="none" w:sz="0" w:space="0" w:color="auto"/>
        <w:left w:val="none" w:sz="0" w:space="0" w:color="auto"/>
        <w:bottom w:val="none" w:sz="0" w:space="0" w:color="auto"/>
        <w:right w:val="none" w:sz="0" w:space="0" w:color="auto"/>
      </w:divBdr>
    </w:div>
    <w:div w:id="150995674">
      <w:bodyDiv w:val="1"/>
      <w:marLeft w:val="0"/>
      <w:marRight w:val="0"/>
      <w:marTop w:val="0"/>
      <w:marBottom w:val="0"/>
      <w:divBdr>
        <w:top w:val="none" w:sz="0" w:space="0" w:color="auto"/>
        <w:left w:val="none" w:sz="0" w:space="0" w:color="auto"/>
        <w:bottom w:val="none" w:sz="0" w:space="0" w:color="auto"/>
        <w:right w:val="none" w:sz="0" w:space="0" w:color="auto"/>
      </w:divBdr>
    </w:div>
    <w:div w:id="153231177">
      <w:bodyDiv w:val="1"/>
      <w:marLeft w:val="0"/>
      <w:marRight w:val="0"/>
      <w:marTop w:val="0"/>
      <w:marBottom w:val="0"/>
      <w:divBdr>
        <w:top w:val="none" w:sz="0" w:space="0" w:color="auto"/>
        <w:left w:val="none" w:sz="0" w:space="0" w:color="auto"/>
        <w:bottom w:val="none" w:sz="0" w:space="0" w:color="auto"/>
        <w:right w:val="none" w:sz="0" w:space="0" w:color="auto"/>
      </w:divBdr>
    </w:div>
    <w:div w:id="158276765">
      <w:bodyDiv w:val="1"/>
      <w:marLeft w:val="0"/>
      <w:marRight w:val="0"/>
      <w:marTop w:val="0"/>
      <w:marBottom w:val="0"/>
      <w:divBdr>
        <w:top w:val="none" w:sz="0" w:space="0" w:color="auto"/>
        <w:left w:val="none" w:sz="0" w:space="0" w:color="auto"/>
        <w:bottom w:val="none" w:sz="0" w:space="0" w:color="auto"/>
        <w:right w:val="none" w:sz="0" w:space="0" w:color="auto"/>
      </w:divBdr>
    </w:div>
    <w:div w:id="190994471">
      <w:bodyDiv w:val="1"/>
      <w:marLeft w:val="0"/>
      <w:marRight w:val="0"/>
      <w:marTop w:val="0"/>
      <w:marBottom w:val="0"/>
      <w:divBdr>
        <w:top w:val="none" w:sz="0" w:space="0" w:color="auto"/>
        <w:left w:val="none" w:sz="0" w:space="0" w:color="auto"/>
        <w:bottom w:val="none" w:sz="0" w:space="0" w:color="auto"/>
        <w:right w:val="none" w:sz="0" w:space="0" w:color="auto"/>
      </w:divBdr>
    </w:div>
    <w:div w:id="206332897">
      <w:bodyDiv w:val="1"/>
      <w:marLeft w:val="0"/>
      <w:marRight w:val="0"/>
      <w:marTop w:val="0"/>
      <w:marBottom w:val="0"/>
      <w:divBdr>
        <w:top w:val="none" w:sz="0" w:space="0" w:color="auto"/>
        <w:left w:val="none" w:sz="0" w:space="0" w:color="auto"/>
        <w:bottom w:val="none" w:sz="0" w:space="0" w:color="auto"/>
        <w:right w:val="none" w:sz="0" w:space="0" w:color="auto"/>
      </w:divBdr>
    </w:div>
    <w:div w:id="215090586">
      <w:bodyDiv w:val="1"/>
      <w:marLeft w:val="0"/>
      <w:marRight w:val="0"/>
      <w:marTop w:val="0"/>
      <w:marBottom w:val="0"/>
      <w:divBdr>
        <w:top w:val="none" w:sz="0" w:space="0" w:color="auto"/>
        <w:left w:val="none" w:sz="0" w:space="0" w:color="auto"/>
        <w:bottom w:val="none" w:sz="0" w:space="0" w:color="auto"/>
        <w:right w:val="none" w:sz="0" w:space="0" w:color="auto"/>
      </w:divBdr>
    </w:div>
    <w:div w:id="262955918">
      <w:bodyDiv w:val="1"/>
      <w:marLeft w:val="0"/>
      <w:marRight w:val="0"/>
      <w:marTop w:val="0"/>
      <w:marBottom w:val="0"/>
      <w:divBdr>
        <w:top w:val="none" w:sz="0" w:space="0" w:color="auto"/>
        <w:left w:val="none" w:sz="0" w:space="0" w:color="auto"/>
        <w:bottom w:val="none" w:sz="0" w:space="0" w:color="auto"/>
        <w:right w:val="none" w:sz="0" w:space="0" w:color="auto"/>
      </w:divBdr>
    </w:div>
    <w:div w:id="272175494">
      <w:bodyDiv w:val="1"/>
      <w:marLeft w:val="0"/>
      <w:marRight w:val="0"/>
      <w:marTop w:val="0"/>
      <w:marBottom w:val="0"/>
      <w:divBdr>
        <w:top w:val="none" w:sz="0" w:space="0" w:color="auto"/>
        <w:left w:val="none" w:sz="0" w:space="0" w:color="auto"/>
        <w:bottom w:val="none" w:sz="0" w:space="0" w:color="auto"/>
        <w:right w:val="none" w:sz="0" w:space="0" w:color="auto"/>
      </w:divBdr>
    </w:div>
    <w:div w:id="292949075">
      <w:bodyDiv w:val="1"/>
      <w:marLeft w:val="0"/>
      <w:marRight w:val="0"/>
      <w:marTop w:val="0"/>
      <w:marBottom w:val="0"/>
      <w:divBdr>
        <w:top w:val="none" w:sz="0" w:space="0" w:color="auto"/>
        <w:left w:val="none" w:sz="0" w:space="0" w:color="auto"/>
        <w:bottom w:val="none" w:sz="0" w:space="0" w:color="auto"/>
        <w:right w:val="none" w:sz="0" w:space="0" w:color="auto"/>
      </w:divBdr>
    </w:div>
    <w:div w:id="308436727">
      <w:bodyDiv w:val="1"/>
      <w:marLeft w:val="0"/>
      <w:marRight w:val="0"/>
      <w:marTop w:val="0"/>
      <w:marBottom w:val="0"/>
      <w:divBdr>
        <w:top w:val="none" w:sz="0" w:space="0" w:color="auto"/>
        <w:left w:val="none" w:sz="0" w:space="0" w:color="auto"/>
        <w:bottom w:val="none" w:sz="0" w:space="0" w:color="auto"/>
        <w:right w:val="none" w:sz="0" w:space="0" w:color="auto"/>
      </w:divBdr>
    </w:div>
    <w:div w:id="318267103">
      <w:bodyDiv w:val="1"/>
      <w:marLeft w:val="0"/>
      <w:marRight w:val="0"/>
      <w:marTop w:val="0"/>
      <w:marBottom w:val="0"/>
      <w:divBdr>
        <w:top w:val="none" w:sz="0" w:space="0" w:color="auto"/>
        <w:left w:val="none" w:sz="0" w:space="0" w:color="auto"/>
        <w:bottom w:val="none" w:sz="0" w:space="0" w:color="auto"/>
        <w:right w:val="none" w:sz="0" w:space="0" w:color="auto"/>
      </w:divBdr>
    </w:div>
    <w:div w:id="327441291">
      <w:bodyDiv w:val="1"/>
      <w:marLeft w:val="0"/>
      <w:marRight w:val="0"/>
      <w:marTop w:val="0"/>
      <w:marBottom w:val="0"/>
      <w:divBdr>
        <w:top w:val="none" w:sz="0" w:space="0" w:color="auto"/>
        <w:left w:val="none" w:sz="0" w:space="0" w:color="auto"/>
        <w:bottom w:val="none" w:sz="0" w:space="0" w:color="auto"/>
        <w:right w:val="none" w:sz="0" w:space="0" w:color="auto"/>
      </w:divBdr>
    </w:div>
    <w:div w:id="335811196">
      <w:bodyDiv w:val="1"/>
      <w:marLeft w:val="0"/>
      <w:marRight w:val="0"/>
      <w:marTop w:val="0"/>
      <w:marBottom w:val="0"/>
      <w:divBdr>
        <w:top w:val="none" w:sz="0" w:space="0" w:color="auto"/>
        <w:left w:val="none" w:sz="0" w:space="0" w:color="auto"/>
        <w:bottom w:val="none" w:sz="0" w:space="0" w:color="auto"/>
        <w:right w:val="none" w:sz="0" w:space="0" w:color="auto"/>
      </w:divBdr>
    </w:div>
    <w:div w:id="369767817">
      <w:bodyDiv w:val="1"/>
      <w:marLeft w:val="0"/>
      <w:marRight w:val="0"/>
      <w:marTop w:val="0"/>
      <w:marBottom w:val="0"/>
      <w:divBdr>
        <w:top w:val="none" w:sz="0" w:space="0" w:color="auto"/>
        <w:left w:val="none" w:sz="0" w:space="0" w:color="auto"/>
        <w:bottom w:val="none" w:sz="0" w:space="0" w:color="auto"/>
        <w:right w:val="none" w:sz="0" w:space="0" w:color="auto"/>
      </w:divBdr>
    </w:div>
    <w:div w:id="372465319">
      <w:bodyDiv w:val="1"/>
      <w:marLeft w:val="0"/>
      <w:marRight w:val="0"/>
      <w:marTop w:val="0"/>
      <w:marBottom w:val="0"/>
      <w:divBdr>
        <w:top w:val="none" w:sz="0" w:space="0" w:color="auto"/>
        <w:left w:val="none" w:sz="0" w:space="0" w:color="auto"/>
        <w:bottom w:val="none" w:sz="0" w:space="0" w:color="auto"/>
        <w:right w:val="none" w:sz="0" w:space="0" w:color="auto"/>
      </w:divBdr>
    </w:div>
    <w:div w:id="385881508">
      <w:bodyDiv w:val="1"/>
      <w:marLeft w:val="0"/>
      <w:marRight w:val="0"/>
      <w:marTop w:val="0"/>
      <w:marBottom w:val="0"/>
      <w:divBdr>
        <w:top w:val="none" w:sz="0" w:space="0" w:color="auto"/>
        <w:left w:val="none" w:sz="0" w:space="0" w:color="auto"/>
        <w:bottom w:val="none" w:sz="0" w:space="0" w:color="auto"/>
        <w:right w:val="none" w:sz="0" w:space="0" w:color="auto"/>
      </w:divBdr>
    </w:div>
    <w:div w:id="397215099">
      <w:bodyDiv w:val="1"/>
      <w:marLeft w:val="0"/>
      <w:marRight w:val="0"/>
      <w:marTop w:val="0"/>
      <w:marBottom w:val="0"/>
      <w:divBdr>
        <w:top w:val="none" w:sz="0" w:space="0" w:color="auto"/>
        <w:left w:val="none" w:sz="0" w:space="0" w:color="auto"/>
        <w:bottom w:val="none" w:sz="0" w:space="0" w:color="auto"/>
        <w:right w:val="none" w:sz="0" w:space="0" w:color="auto"/>
      </w:divBdr>
    </w:div>
    <w:div w:id="416634309">
      <w:bodyDiv w:val="1"/>
      <w:marLeft w:val="0"/>
      <w:marRight w:val="0"/>
      <w:marTop w:val="0"/>
      <w:marBottom w:val="0"/>
      <w:divBdr>
        <w:top w:val="none" w:sz="0" w:space="0" w:color="auto"/>
        <w:left w:val="none" w:sz="0" w:space="0" w:color="auto"/>
        <w:bottom w:val="none" w:sz="0" w:space="0" w:color="auto"/>
        <w:right w:val="none" w:sz="0" w:space="0" w:color="auto"/>
      </w:divBdr>
    </w:div>
    <w:div w:id="421805802">
      <w:bodyDiv w:val="1"/>
      <w:marLeft w:val="0"/>
      <w:marRight w:val="0"/>
      <w:marTop w:val="0"/>
      <w:marBottom w:val="0"/>
      <w:divBdr>
        <w:top w:val="none" w:sz="0" w:space="0" w:color="auto"/>
        <w:left w:val="none" w:sz="0" w:space="0" w:color="auto"/>
        <w:bottom w:val="none" w:sz="0" w:space="0" w:color="auto"/>
        <w:right w:val="none" w:sz="0" w:space="0" w:color="auto"/>
      </w:divBdr>
    </w:div>
    <w:div w:id="432669713">
      <w:bodyDiv w:val="1"/>
      <w:marLeft w:val="0"/>
      <w:marRight w:val="0"/>
      <w:marTop w:val="0"/>
      <w:marBottom w:val="0"/>
      <w:divBdr>
        <w:top w:val="none" w:sz="0" w:space="0" w:color="auto"/>
        <w:left w:val="none" w:sz="0" w:space="0" w:color="auto"/>
        <w:bottom w:val="none" w:sz="0" w:space="0" w:color="auto"/>
        <w:right w:val="none" w:sz="0" w:space="0" w:color="auto"/>
      </w:divBdr>
    </w:div>
    <w:div w:id="435754678">
      <w:bodyDiv w:val="1"/>
      <w:marLeft w:val="0"/>
      <w:marRight w:val="0"/>
      <w:marTop w:val="0"/>
      <w:marBottom w:val="0"/>
      <w:divBdr>
        <w:top w:val="none" w:sz="0" w:space="0" w:color="auto"/>
        <w:left w:val="none" w:sz="0" w:space="0" w:color="auto"/>
        <w:bottom w:val="none" w:sz="0" w:space="0" w:color="auto"/>
        <w:right w:val="none" w:sz="0" w:space="0" w:color="auto"/>
      </w:divBdr>
    </w:div>
    <w:div w:id="437259795">
      <w:bodyDiv w:val="1"/>
      <w:marLeft w:val="0"/>
      <w:marRight w:val="0"/>
      <w:marTop w:val="0"/>
      <w:marBottom w:val="0"/>
      <w:divBdr>
        <w:top w:val="none" w:sz="0" w:space="0" w:color="auto"/>
        <w:left w:val="none" w:sz="0" w:space="0" w:color="auto"/>
        <w:bottom w:val="none" w:sz="0" w:space="0" w:color="auto"/>
        <w:right w:val="none" w:sz="0" w:space="0" w:color="auto"/>
      </w:divBdr>
    </w:div>
    <w:div w:id="451635662">
      <w:bodyDiv w:val="1"/>
      <w:marLeft w:val="0"/>
      <w:marRight w:val="0"/>
      <w:marTop w:val="0"/>
      <w:marBottom w:val="0"/>
      <w:divBdr>
        <w:top w:val="none" w:sz="0" w:space="0" w:color="auto"/>
        <w:left w:val="none" w:sz="0" w:space="0" w:color="auto"/>
        <w:bottom w:val="none" w:sz="0" w:space="0" w:color="auto"/>
        <w:right w:val="none" w:sz="0" w:space="0" w:color="auto"/>
      </w:divBdr>
    </w:div>
    <w:div w:id="452480039">
      <w:bodyDiv w:val="1"/>
      <w:marLeft w:val="0"/>
      <w:marRight w:val="0"/>
      <w:marTop w:val="0"/>
      <w:marBottom w:val="0"/>
      <w:divBdr>
        <w:top w:val="none" w:sz="0" w:space="0" w:color="auto"/>
        <w:left w:val="none" w:sz="0" w:space="0" w:color="auto"/>
        <w:bottom w:val="none" w:sz="0" w:space="0" w:color="auto"/>
        <w:right w:val="none" w:sz="0" w:space="0" w:color="auto"/>
      </w:divBdr>
    </w:div>
    <w:div w:id="452672602">
      <w:bodyDiv w:val="1"/>
      <w:marLeft w:val="0"/>
      <w:marRight w:val="0"/>
      <w:marTop w:val="0"/>
      <w:marBottom w:val="0"/>
      <w:divBdr>
        <w:top w:val="none" w:sz="0" w:space="0" w:color="auto"/>
        <w:left w:val="none" w:sz="0" w:space="0" w:color="auto"/>
        <w:bottom w:val="none" w:sz="0" w:space="0" w:color="auto"/>
        <w:right w:val="none" w:sz="0" w:space="0" w:color="auto"/>
      </w:divBdr>
    </w:div>
    <w:div w:id="474295063">
      <w:bodyDiv w:val="1"/>
      <w:marLeft w:val="0"/>
      <w:marRight w:val="0"/>
      <w:marTop w:val="0"/>
      <w:marBottom w:val="0"/>
      <w:divBdr>
        <w:top w:val="none" w:sz="0" w:space="0" w:color="auto"/>
        <w:left w:val="none" w:sz="0" w:space="0" w:color="auto"/>
        <w:bottom w:val="none" w:sz="0" w:space="0" w:color="auto"/>
        <w:right w:val="none" w:sz="0" w:space="0" w:color="auto"/>
      </w:divBdr>
    </w:div>
    <w:div w:id="499321002">
      <w:bodyDiv w:val="1"/>
      <w:marLeft w:val="0"/>
      <w:marRight w:val="0"/>
      <w:marTop w:val="0"/>
      <w:marBottom w:val="0"/>
      <w:divBdr>
        <w:top w:val="none" w:sz="0" w:space="0" w:color="auto"/>
        <w:left w:val="none" w:sz="0" w:space="0" w:color="auto"/>
        <w:bottom w:val="none" w:sz="0" w:space="0" w:color="auto"/>
        <w:right w:val="none" w:sz="0" w:space="0" w:color="auto"/>
      </w:divBdr>
    </w:div>
    <w:div w:id="511187192">
      <w:bodyDiv w:val="1"/>
      <w:marLeft w:val="0"/>
      <w:marRight w:val="0"/>
      <w:marTop w:val="0"/>
      <w:marBottom w:val="0"/>
      <w:divBdr>
        <w:top w:val="none" w:sz="0" w:space="0" w:color="auto"/>
        <w:left w:val="none" w:sz="0" w:space="0" w:color="auto"/>
        <w:bottom w:val="none" w:sz="0" w:space="0" w:color="auto"/>
        <w:right w:val="none" w:sz="0" w:space="0" w:color="auto"/>
      </w:divBdr>
    </w:div>
    <w:div w:id="556014137">
      <w:bodyDiv w:val="1"/>
      <w:marLeft w:val="0"/>
      <w:marRight w:val="0"/>
      <w:marTop w:val="0"/>
      <w:marBottom w:val="0"/>
      <w:divBdr>
        <w:top w:val="none" w:sz="0" w:space="0" w:color="auto"/>
        <w:left w:val="none" w:sz="0" w:space="0" w:color="auto"/>
        <w:bottom w:val="none" w:sz="0" w:space="0" w:color="auto"/>
        <w:right w:val="none" w:sz="0" w:space="0" w:color="auto"/>
      </w:divBdr>
    </w:div>
    <w:div w:id="567811654">
      <w:bodyDiv w:val="1"/>
      <w:marLeft w:val="0"/>
      <w:marRight w:val="0"/>
      <w:marTop w:val="0"/>
      <w:marBottom w:val="0"/>
      <w:divBdr>
        <w:top w:val="none" w:sz="0" w:space="0" w:color="auto"/>
        <w:left w:val="none" w:sz="0" w:space="0" w:color="auto"/>
        <w:bottom w:val="none" w:sz="0" w:space="0" w:color="auto"/>
        <w:right w:val="none" w:sz="0" w:space="0" w:color="auto"/>
      </w:divBdr>
    </w:div>
    <w:div w:id="578370801">
      <w:bodyDiv w:val="1"/>
      <w:marLeft w:val="0"/>
      <w:marRight w:val="0"/>
      <w:marTop w:val="0"/>
      <w:marBottom w:val="0"/>
      <w:divBdr>
        <w:top w:val="none" w:sz="0" w:space="0" w:color="auto"/>
        <w:left w:val="none" w:sz="0" w:space="0" w:color="auto"/>
        <w:bottom w:val="none" w:sz="0" w:space="0" w:color="auto"/>
        <w:right w:val="none" w:sz="0" w:space="0" w:color="auto"/>
      </w:divBdr>
    </w:div>
    <w:div w:id="582377527">
      <w:bodyDiv w:val="1"/>
      <w:marLeft w:val="0"/>
      <w:marRight w:val="0"/>
      <w:marTop w:val="0"/>
      <w:marBottom w:val="0"/>
      <w:divBdr>
        <w:top w:val="none" w:sz="0" w:space="0" w:color="auto"/>
        <w:left w:val="none" w:sz="0" w:space="0" w:color="auto"/>
        <w:bottom w:val="none" w:sz="0" w:space="0" w:color="auto"/>
        <w:right w:val="none" w:sz="0" w:space="0" w:color="auto"/>
      </w:divBdr>
    </w:div>
    <w:div w:id="593049551">
      <w:bodyDiv w:val="1"/>
      <w:marLeft w:val="0"/>
      <w:marRight w:val="0"/>
      <w:marTop w:val="0"/>
      <w:marBottom w:val="0"/>
      <w:divBdr>
        <w:top w:val="none" w:sz="0" w:space="0" w:color="auto"/>
        <w:left w:val="none" w:sz="0" w:space="0" w:color="auto"/>
        <w:bottom w:val="none" w:sz="0" w:space="0" w:color="auto"/>
        <w:right w:val="none" w:sz="0" w:space="0" w:color="auto"/>
      </w:divBdr>
    </w:div>
    <w:div w:id="633683708">
      <w:bodyDiv w:val="1"/>
      <w:marLeft w:val="0"/>
      <w:marRight w:val="0"/>
      <w:marTop w:val="0"/>
      <w:marBottom w:val="0"/>
      <w:divBdr>
        <w:top w:val="none" w:sz="0" w:space="0" w:color="auto"/>
        <w:left w:val="none" w:sz="0" w:space="0" w:color="auto"/>
        <w:bottom w:val="none" w:sz="0" w:space="0" w:color="auto"/>
        <w:right w:val="none" w:sz="0" w:space="0" w:color="auto"/>
      </w:divBdr>
    </w:div>
    <w:div w:id="661129388">
      <w:bodyDiv w:val="1"/>
      <w:marLeft w:val="0"/>
      <w:marRight w:val="0"/>
      <w:marTop w:val="0"/>
      <w:marBottom w:val="0"/>
      <w:divBdr>
        <w:top w:val="none" w:sz="0" w:space="0" w:color="auto"/>
        <w:left w:val="none" w:sz="0" w:space="0" w:color="auto"/>
        <w:bottom w:val="none" w:sz="0" w:space="0" w:color="auto"/>
        <w:right w:val="none" w:sz="0" w:space="0" w:color="auto"/>
      </w:divBdr>
    </w:div>
    <w:div w:id="666791794">
      <w:bodyDiv w:val="1"/>
      <w:marLeft w:val="0"/>
      <w:marRight w:val="0"/>
      <w:marTop w:val="0"/>
      <w:marBottom w:val="0"/>
      <w:divBdr>
        <w:top w:val="none" w:sz="0" w:space="0" w:color="auto"/>
        <w:left w:val="none" w:sz="0" w:space="0" w:color="auto"/>
        <w:bottom w:val="none" w:sz="0" w:space="0" w:color="auto"/>
        <w:right w:val="none" w:sz="0" w:space="0" w:color="auto"/>
      </w:divBdr>
    </w:div>
    <w:div w:id="685179393">
      <w:bodyDiv w:val="1"/>
      <w:marLeft w:val="0"/>
      <w:marRight w:val="0"/>
      <w:marTop w:val="0"/>
      <w:marBottom w:val="0"/>
      <w:divBdr>
        <w:top w:val="none" w:sz="0" w:space="0" w:color="auto"/>
        <w:left w:val="none" w:sz="0" w:space="0" w:color="auto"/>
        <w:bottom w:val="none" w:sz="0" w:space="0" w:color="auto"/>
        <w:right w:val="none" w:sz="0" w:space="0" w:color="auto"/>
      </w:divBdr>
    </w:div>
    <w:div w:id="691880199">
      <w:bodyDiv w:val="1"/>
      <w:marLeft w:val="0"/>
      <w:marRight w:val="0"/>
      <w:marTop w:val="0"/>
      <w:marBottom w:val="0"/>
      <w:divBdr>
        <w:top w:val="none" w:sz="0" w:space="0" w:color="auto"/>
        <w:left w:val="none" w:sz="0" w:space="0" w:color="auto"/>
        <w:bottom w:val="none" w:sz="0" w:space="0" w:color="auto"/>
        <w:right w:val="none" w:sz="0" w:space="0" w:color="auto"/>
      </w:divBdr>
    </w:div>
    <w:div w:id="708722919">
      <w:bodyDiv w:val="1"/>
      <w:marLeft w:val="0"/>
      <w:marRight w:val="0"/>
      <w:marTop w:val="0"/>
      <w:marBottom w:val="0"/>
      <w:divBdr>
        <w:top w:val="none" w:sz="0" w:space="0" w:color="auto"/>
        <w:left w:val="none" w:sz="0" w:space="0" w:color="auto"/>
        <w:bottom w:val="none" w:sz="0" w:space="0" w:color="auto"/>
        <w:right w:val="none" w:sz="0" w:space="0" w:color="auto"/>
      </w:divBdr>
    </w:div>
    <w:div w:id="764501682">
      <w:bodyDiv w:val="1"/>
      <w:marLeft w:val="0"/>
      <w:marRight w:val="0"/>
      <w:marTop w:val="0"/>
      <w:marBottom w:val="0"/>
      <w:divBdr>
        <w:top w:val="none" w:sz="0" w:space="0" w:color="auto"/>
        <w:left w:val="none" w:sz="0" w:space="0" w:color="auto"/>
        <w:bottom w:val="none" w:sz="0" w:space="0" w:color="auto"/>
        <w:right w:val="none" w:sz="0" w:space="0" w:color="auto"/>
      </w:divBdr>
    </w:div>
    <w:div w:id="774594918">
      <w:bodyDiv w:val="1"/>
      <w:marLeft w:val="0"/>
      <w:marRight w:val="0"/>
      <w:marTop w:val="0"/>
      <w:marBottom w:val="0"/>
      <w:divBdr>
        <w:top w:val="none" w:sz="0" w:space="0" w:color="auto"/>
        <w:left w:val="none" w:sz="0" w:space="0" w:color="auto"/>
        <w:bottom w:val="none" w:sz="0" w:space="0" w:color="auto"/>
        <w:right w:val="none" w:sz="0" w:space="0" w:color="auto"/>
      </w:divBdr>
    </w:div>
    <w:div w:id="801070671">
      <w:bodyDiv w:val="1"/>
      <w:marLeft w:val="0"/>
      <w:marRight w:val="0"/>
      <w:marTop w:val="0"/>
      <w:marBottom w:val="0"/>
      <w:divBdr>
        <w:top w:val="none" w:sz="0" w:space="0" w:color="auto"/>
        <w:left w:val="none" w:sz="0" w:space="0" w:color="auto"/>
        <w:bottom w:val="none" w:sz="0" w:space="0" w:color="auto"/>
        <w:right w:val="none" w:sz="0" w:space="0" w:color="auto"/>
      </w:divBdr>
    </w:div>
    <w:div w:id="811480076">
      <w:bodyDiv w:val="1"/>
      <w:marLeft w:val="0"/>
      <w:marRight w:val="0"/>
      <w:marTop w:val="0"/>
      <w:marBottom w:val="0"/>
      <w:divBdr>
        <w:top w:val="none" w:sz="0" w:space="0" w:color="auto"/>
        <w:left w:val="none" w:sz="0" w:space="0" w:color="auto"/>
        <w:bottom w:val="none" w:sz="0" w:space="0" w:color="auto"/>
        <w:right w:val="none" w:sz="0" w:space="0" w:color="auto"/>
      </w:divBdr>
    </w:div>
    <w:div w:id="843130304">
      <w:bodyDiv w:val="1"/>
      <w:marLeft w:val="0"/>
      <w:marRight w:val="0"/>
      <w:marTop w:val="0"/>
      <w:marBottom w:val="0"/>
      <w:divBdr>
        <w:top w:val="none" w:sz="0" w:space="0" w:color="auto"/>
        <w:left w:val="none" w:sz="0" w:space="0" w:color="auto"/>
        <w:bottom w:val="none" w:sz="0" w:space="0" w:color="auto"/>
        <w:right w:val="none" w:sz="0" w:space="0" w:color="auto"/>
      </w:divBdr>
    </w:div>
    <w:div w:id="844977080">
      <w:bodyDiv w:val="1"/>
      <w:marLeft w:val="0"/>
      <w:marRight w:val="0"/>
      <w:marTop w:val="0"/>
      <w:marBottom w:val="0"/>
      <w:divBdr>
        <w:top w:val="none" w:sz="0" w:space="0" w:color="auto"/>
        <w:left w:val="none" w:sz="0" w:space="0" w:color="auto"/>
        <w:bottom w:val="none" w:sz="0" w:space="0" w:color="auto"/>
        <w:right w:val="none" w:sz="0" w:space="0" w:color="auto"/>
      </w:divBdr>
    </w:div>
    <w:div w:id="849569309">
      <w:bodyDiv w:val="1"/>
      <w:marLeft w:val="0"/>
      <w:marRight w:val="0"/>
      <w:marTop w:val="0"/>
      <w:marBottom w:val="0"/>
      <w:divBdr>
        <w:top w:val="none" w:sz="0" w:space="0" w:color="auto"/>
        <w:left w:val="none" w:sz="0" w:space="0" w:color="auto"/>
        <w:bottom w:val="none" w:sz="0" w:space="0" w:color="auto"/>
        <w:right w:val="none" w:sz="0" w:space="0" w:color="auto"/>
      </w:divBdr>
    </w:div>
    <w:div w:id="857503840">
      <w:bodyDiv w:val="1"/>
      <w:marLeft w:val="0"/>
      <w:marRight w:val="0"/>
      <w:marTop w:val="0"/>
      <w:marBottom w:val="0"/>
      <w:divBdr>
        <w:top w:val="none" w:sz="0" w:space="0" w:color="auto"/>
        <w:left w:val="none" w:sz="0" w:space="0" w:color="auto"/>
        <w:bottom w:val="none" w:sz="0" w:space="0" w:color="auto"/>
        <w:right w:val="none" w:sz="0" w:space="0" w:color="auto"/>
      </w:divBdr>
    </w:div>
    <w:div w:id="865410458">
      <w:bodyDiv w:val="1"/>
      <w:marLeft w:val="0"/>
      <w:marRight w:val="0"/>
      <w:marTop w:val="0"/>
      <w:marBottom w:val="0"/>
      <w:divBdr>
        <w:top w:val="none" w:sz="0" w:space="0" w:color="auto"/>
        <w:left w:val="none" w:sz="0" w:space="0" w:color="auto"/>
        <w:bottom w:val="none" w:sz="0" w:space="0" w:color="auto"/>
        <w:right w:val="none" w:sz="0" w:space="0" w:color="auto"/>
      </w:divBdr>
    </w:div>
    <w:div w:id="868445717">
      <w:bodyDiv w:val="1"/>
      <w:marLeft w:val="0"/>
      <w:marRight w:val="0"/>
      <w:marTop w:val="0"/>
      <w:marBottom w:val="0"/>
      <w:divBdr>
        <w:top w:val="none" w:sz="0" w:space="0" w:color="auto"/>
        <w:left w:val="none" w:sz="0" w:space="0" w:color="auto"/>
        <w:bottom w:val="none" w:sz="0" w:space="0" w:color="auto"/>
        <w:right w:val="none" w:sz="0" w:space="0" w:color="auto"/>
      </w:divBdr>
    </w:div>
    <w:div w:id="880820997">
      <w:bodyDiv w:val="1"/>
      <w:marLeft w:val="0"/>
      <w:marRight w:val="0"/>
      <w:marTop w:val="0"/>
      <w:marBottom w:val="0"/>
      <w:divBdr>
        <w:top w:val="none" w:sz="0" w:space="0" w:color="auto"/>
        <w:left w:val="none" w:sz="0" w:space="0" w:color="auto"/>
        <w:bottom w:val="none" w:sz="0" w:space="0" w:color="auto"/>
        <w:right w:val="none" w:sz="0" w:space="0" w:color="auto"/>
      </w:divBdr>
    </w:div>
    <w:div w:id="891231754">
      <w:bodyDiv w:val="1"/>
      <w:marLeft w:val="0"/>
      <w:marRight w:val="0"/>
      <w:marTop w:val="0"/>
      <w:marBottom w:val="0"/>
      <w:divBdr>
        <w:top w:val="none" w:sz="0" w:space="0" w:color="auto"/>
        <w:left w:val="none" w:sz="0" w:space="0" w:color="auto"/>
        <w:bottom w:val="none" w:sz="0" w:space="0" w:color="auto"/>
        <w:right w:val="none" w:sz="0" w:space="0" w:color="auto"/>
      </w:divBdr>
    </w:div>
    <w:div w:id="898248064">
      <w:bodyDiv w:val="1"/>
      <w:marLeft w:val="0"/>
      <w:marRight w:val="0"/>
      <w:marTop w:val="0"/>
      <w:marBottom w:val="0"/>
      <w:divBdr>
        <w:top w:val="none" w:sz="0" w:space="0" w:color="auto"/>
        <w:left w:val="none" w:sz="0" w:space="0" w:color="auto"/>
        <w:bottom w:val="none" w:sz="0" w:space="0" w:color="auto"/>
        <w:right w:val="none" w:sz="0" w:space="0" w:color="auto"/>
      </w:divBdr>
    </w:div>
    <w:div w:id="902132281">
      <w:bodyDiv w:val="1"/>
      <w:marLeft w:val="0"/>
      <w:marRight w:val="0"/>
      <w:marTop w:val="0"/>
      <w:marBottom w:val="0"/>
      <w:divBdr>
        <w:top w:val="none" w:sz="0" w:space="0" w:color="auto"/>
        <w:left w:val="none" w:sz="0" w:space="0" w:color="auto"/>
        <w:bottom w:val="none" w:sz="0" w:space="0" w:color="auto"/>
        <w:right w:val="none" w:sz="0" w:space="0" w:color="auto"/>
      </w:divBdr>
    </w:div>
    <w:div w:id="911425063">
      <w:bodyDiv w:val="1"/>
      <w:marLeft w:val="0"/>
      <w:marRight w:val="0"/>
      <w:marTop w:val="0"/>
      <w:marBottom w:val="0"/>
      <w:divBdr>
        <w:top w:val="none" w:sz="0" w:space="0" w:color="auto"/>
        <w:left w:val="none" w:sz="0" w:space="0" w:color="auto"/>
        <w:bottom w:val="none" w:sz="0" w:space="0" w:color="auto"/>
        <w:right w:val="none" w:sz="0" w:space="0" w:color="auto"/>
      </w:divBdr>
    </w:div>
    <w:div w:id="929436993">
      <w:bodyDiv w:val="1"/>
      <w:marLeft w:val="0"/>
      <w:marRight w:val="0"/>
      <w:marTop w:val="0"/>
      <w:marBottom w:val="0"/>
      <w:divBdr>
        <w:top w:val="none" w:sz="0" w:space="0" w:color="auto"/>
        <w:left w:val="none" w:sz="0" w:space="0" w:color="auto"/>
        <w:bottom w:val="none" w:sz="0" w:space="0" w:color="auto"/>
        <w:right w:val="none" w:sz="0" w:space="0" w:color="auto"/>
      </w:divBdr>
    </w:div>
    <w:div w:id="933168409">
      <w:bodyDiv w:val="1"/>
      <w:marLeft w:val="0"/>
      <w:marRight w:val="0"/>
      <w:marTop w:val="0"/>
      <w:marBottom w:val="0"/>
      <w:divBdr>
        <w:top w:val="none" w:sz="0" w:space="0" w:color="auto"/>
        <w:left w:val="none" w:sz="0" w:space="0" w:color="auto"/>
        <w:bottom w:val="none" w:sz="0" w:space="0" w:color="auto"/>
        <w:right w:val="none" w:sz="0" w:space="0" w:color="auto"/>
      </w:divBdr>
    </w:div>
    <w:div w:id="941450921">
      <w:bodyDiv w:val="1"/>
      <w:marLeft w:val="0"/>
      <w:marRight w:val="0"/>
      <w:marTop w:val="0"/>
      <w:marBottom w:val="0"/>
      <w:divBdr>
        <w:top w:val="none" w:sz="0" w:space="0" w:color="auto"/>
        <w:left w:val="none" w:sz="0" w:space="0" w:color="auto"/>
        <w:bottom w:val="none" w:sz="0" w:space="0" w:color="auto"/>
        <w:right w:val="none" w:sz="0" w:space="0" w:color="auto"/>
      </w:divBdr>
    </w:div>
    <w:div w:id="947345733">
      <w:bodyDiv w:val="1"/>
      <w:marLeft w:val="0"/>
      <w:marRight w:val="0"/>
      <w:marTop w:val="0"/>
      <w:marBottom w:val="0"/>
      <w:divBdr>
        <w:top w:val="none" w:sz="0" w:space="0" w:color="auto"/>
        <w:left w:val="none" w:sz="0" w:space="0" w:color="auto"/>
        <w:bottom w:val="none" w:sz="0" w:space="0" w:color="auto"/>
        <w:right w:val="none" w:sz="0" w:space="0" w:color="auto"/>
      </w:divBdr>
    </w:div>
    <w:div w:id="952398785">
      <w:bodyDiv w:val="1"/>
      <w:marLeft w:val="0"/>
      <w:marRight w:val="0"/>
      <w:marTop w:val="0"/>
      <w:marBottom w:val="0"/>
      <w:divBdr>
        <w:top w:val="none" w:sz="0" w:space="0" w:color="auto"/>
        <w:left w:val="none" w:sz="0" w:space="0" w:color="auto"/>
        <w:bottom w:val="none" w:sz="0" w:space="0" w:color="auto"/>
        <w:right w:val="none" w:sz="0" w:space="0" w:color="auto"/>
      </w:divBdr>
    </w:div>
    <w:div w:id="954139695">
      <w:bodyDiv w:val="1"/>
      <w:marLeft w:val="0"/>
      <w:marRight w:val="0"/>
      <w:marTop w:val="0"/>
      <w:marBottom w:val="0"/>
      <w:divBdr>
        <w:top w:val="none" w:sz="0" w:space="0" w:color="auto"/>
        <w:left w:val="none" w:sz="0" w:space="0" w:color="auto"/>
        <w:bottom w:val="none" w:sz="0" w:space="0" w:color="auto"/>
        <w:right w:val="none" w:sz="0" w:space="0" w:color="auto"/>
      </w:divBdr>
    </w:div>
    <w:div w:id="956521589">
      <w:bodyDiv w:val="1"/>
      <w:marLeft w:val="0"/>
      <w:marRight w:val="0"/>
      <w:marTop w:val="0"/>
      <w:marBottom w:val="0"/>
      <w:divBdr>
        <w:top w:val="none" w:sz="0" w:space="0" w:color="auto"/>
        <w:left w:val="none" w:sz="0" w:space="0" w:color="auto"/>
        <w:bottom w:val="none" w:sz="0" w:space="0" w:color="auto"/>
        <w:right w:val="none" w:sz="0" w:space="0" w:color="auto"/>
      </w:divBdr>
    </w:div>
    <w:div w:id="958730130">
      <w:bodyDiv w:val="1"/>
      <w:marLeft w:val="0"/>
      <w:marRight w:val="0"/>
      <w:marTop w:val="0"/>
      <w:marBottom w:val="0"/>
      <w:divBdr>
        <w:top w:val="none" w:sz="0" w:space="0" w:color="auto"/>
        <w:left w:val="none" w:sz="0" w:space="0" w:color="auto"/>
        <w:bottom w:val="none" w:sz="0" w:space="0" w:color="auto"/>
        <w:right w:val="none" w:sz="0" w:space="0" w:color="auto"/>
      </w:divBdr>
    </w:div>
    <w:div w:id="973170456">
      <w:bodyDiv w:val="1"/>
      <w:marLeft w:val="0"/>
      <w:marRight w:val="0"/>
      <w:marTop w:val="0"/>
      <w:marBottom w:val="0"/>
      <w:divBdr>
        <w:top w:val="none" w:sz="0" w:space="0" w:color="auto"/>
        <w:left w:val="none" w:sz="0" w:space="0" w:color="auto"/>
        <w:bottom w:val="none" w:sz="0" w:space="0" w:color="auto"/>
        <w:right w:val="none" w:sz="0" w:space="0" w:color="auto"/>
      </w:divBdr>
    </w:div>
    <w:div w:id="989868202">
      <w:bodyDiv w:val="1"/>
      <w:marLeft w:val="0"/>
      <w:marRight w:val="0"/>
      <w:marTop w:val="0"/>
      <w:marBottom w:val="0"/>
      <w:divBdr>
        <w:top w:val="none" w:sz="0" w:space="0" w:color="auto"/>
        <w:left w:val="none" w:sz="0" w:space="0" w:color="auto"/>
        <w:bottom w:val="none" w:sz="0" w:space="0" w:color="auto"/>
        <w:right w:val="none" w:sz="0" w:space="0" w:color="auto"/>
      </w:divBdr>
    </w:div>
    <w:div w:id="1051926718">
      <w:bodyDiv w:val="1"/>
      <w:marLeft w:val="0"/>
      <w:marRight w:val="0"/>
      <w:marTop w:val="0"/>
      <w:marBottom w:val="0"/>
      <w:divBdr>
        <w:top w:val="none" w:sz="0" w:space="0" w:color="auto"/>
        <w:left w:val="none" w:sz="0" w:space="0" w:color="auto"/>
        <w:bottom w:val="none" w:sz="0" w:space="0" w:color="auto"/>
        <w:right w:val="none" w:sz="0" w:space="0" w:color="auto"/>
      </w:divBdr>
    </w:div>
    <w:div w:id="1053626465">
      <w:bodyDiv w:val="1"/>
      <w:marLeft w:val="0"/>
      <w:marRight w:val="0"/>
      <w:marTop w:val="0"/>
      <w:marBottom w:val="0"/>
      <w:divBdr>
        <w:top w:val="none" w:sz="0" w:space="0" w:color="auto"/>
        <w:left w:val="none" w:sz="0" w:space="0" w:color="auto"/>
        <w:bottom w:val="none" w:sz="0" w:space="0" w:color="auto"/>
        <w:right w:val="none" w:sz="0" w:space="0" w:color="auto"/>
      </w:divBdr>
    </w:div>
    <w:div w:id="1066563792">
      <w:bodyDiv w:val="1"/>
      <w:marLeft w:val="0"/>
      <w:marRight w:val="0"/>
      <w:marTop w:val="0"/>
      <w:marBottom w:val="0"/>
      <w:divBdr>
        <w:top w:val="none" w:sz="0" w:space="0" w:color="auto"/>
        <w:left w:val="none" w:sz="0" w:space="0" w:color="auto"/>
        <w:bottom w:val="none" w:sz="0" w:space="0" w:color="auto"/>
        <w:right w:val="none" w:sz="0" w:space="0" w:color="auto"/>
      </w:divBdr>
    </w:div>
    <w:div w:id="1078407901">
      <w:bodyDiv w:val="1"/>
      <w:marLeft w:val="0"/>
      <w:marRight w:val="0"/>
      <w:marTop w:val="0"/>
      <w:marBottom w:val="0"/>
      <w:divBdr>
        <w:top w:val="none" w:sz="0" w:space="0" w:color="auto"/>
        <w:left w:val="none" w:sz="0" w:space="0" w:color="auto"/>
        <w:bottom w:val="none" w:sz="0" w:space="0" w:color="auto"/>
        <w:right w:val="none" w:sz="0" w:space="0" w:color="auto"/>
      </w:divBdr>
    </w:div>
    <w:div w:id="1080562210">
      <w:bodyDiv w:val="1"/>
      <w:marLeft w:val="0"/>
      <w:marRight w:val="0"/>
      <w:marTop w:val="0"/>
      <w:marBottom w:val="0"/>
      <w:divBdr>
        <w:top w:val="none" w:sz="0" w:space="0" w:color="auto"/>
        <w:left w:val="none" w:sz="0" w:space="0" w:color="auto"/>
        <w:bottom w:val="none" w:sz="0" w:space="0" w:color="auto"/>
        <w:right w:val="none" w:sz="0" w:space="0" w:color="auto"/>
      </w:divBdr>
    </w:div>
    <w:div w:id="1085764807">
      <w:bodyDiv w:val="1"/>
      <w:marLeft w:val="0"/>
      <w:marRight w:val="0"/>
      <w:marTop w:val="0"/>
      <w:marBottom w:val="0"/>
      <w:divBdr>
        <w:top w:val="none" w:sz="0" w:space="0" w:color="auto"/>
        <w:left w:val="none" w:sz="0" w:space="0" w:color="auto"/>
        <w:bottom w:val="none" w:sz="0" w:space="0" w:color="auto"/>
        <w:right w:val="none" w:sz="0" w:space="0" w:color="auto"/>
      </w:divBdr>
    </w:div>
    <w:div w:id="1109474253">
      <w:bodyDiv w:val="1"/>
      <w:marLeft w:val="0"/>
      <w:marRight w:val="0"/>
      <w:marTop w:val="0"/>
      <w:marBottom w:val="0"/>
      <w:divBdr>
        <w:top w:val="none" w:sz="0" w:space="0" w:color="auto"/>
        <w:left w:val="none" w:sz="0" w:space="0" w:color="auto"/>
        <w:bottom w:val="none" w:sz="0" w:space="0" w:color="auto"/>
        <w:right w:val="none" w:sz="0" w:space="0" w:color="auto"/>
      </w:divBdr>
    </w:div>
    <w:div w:id="1126701779">
      <w:bodyDiv w:val="1"/>
      <w:marLeft w:val="0"/>
      <w:marRight w:val="0"/>
      <w:marTop w:val="0"/>
      <w:marBottom w:val="0"/>
      <w:divBdr>
        <w:top w:val="none" w:sz="0" w:space="0" w:color="auto"/>
        <w:left w:val="none" w:sz="0" w:space="0" w:color="auto"/>
        <w:bottom w:val="none" w:sz="0" w:space="0" w:color="auto"/>
        <w:right w:val="none" w:sz="0" w:space="0" w:color="auto"/>
      </w:divBdr>
    </w:div>
    <w:div w:id="1138761503">
      <w:bodyDiv w:val="1"/>
      <w:marLeft w:val="0"/>
      <w:marRight w:val="0"/>
      <w:marTop w:val="0"/>
      <w:marBottom w:val="0"/>
      <w:divBdr>
        <w:top w:val="none" w:sz="0" w:space="0" w:color="auto"/>
        <w:left w:val="none" w:sz="0" w:space="0" w:color="auto"/>
        <w:bottom w:val="none" w:sz="0" w:space="0" w:color="auto"/>
        <w:right w:val="none" w:sz="0" w:space="0" w:color="auto"/>
      </w:divBdr>
    </w:div>
    <w:div w:id="1142039046">
      <w:bodyDiv w:val="1"/>
      <w:marLeft w:val="0"/>
      <w:marRight w:val="0"/>
      <w:marTop w:val="0"/>
      <w:marBottom w:val="0"/>
      <w:divBdr>
        <w:top w:val="none" w:sz="0" w:space="0" w:color="auto"/>
        <w:left w:val="none" w:sz="0" w:space="0" w:color="auto"/>
        <w:bottom w:val="none" w:sz="0" w:space="0" w:color="auto"/>
        <w:right w:val="none" w:sz="0" w:space="0" w:color="auto"/>
      </w:divBdr>
    </w:div>
    <w:div w:id="1200817854">
      <w:bodyDiv w:val="1"/>
      <w:marLeft w:val="0"/>
      <w:marRight w:val="0"/>
      <w:marTop w:val="0"/>
      <w:marBottom w:val="0"/>
      <w:divBdr>
        <w:top w:val="none" w:sz="0" w:space="0" w:color="auto"/>
        <w:left w:val="none" w:sz="0" w:space="0" w:color="auto"/>
        <w:bottom w:val="none" w:sz="0" w:space="0" w:color="auto"/>
        <w:right w:val="none" w:sz="0" w:space="0" w:color="auto"/>
      </w:divBdr>
    </w:div>
    <w:div w:id="1207765730">
      <w:bodyDiv w:val="1"/>
      <w:marLeft w:val="0"/>
      <w:marRight w:val="0"/>
      <w:marTop w:val="0"/>
      <w:marBottom w:val="0"/>
      <w:divBdr>
        <w:top w:val="none" w:sz="0" w:space="0" w:color="auto"/>
        <w:left w:val="none" w:sz="0" w:space="0" w:color="auto"/>
        <w:bottom w:val="none" w:sz="0" w:space="0" w:color="auto"/>
        <w:right w:val="none" w:sz="0" w:space="0" w:color="auto"/>
      </w:divBdr>
    </w:div>
    <w:div w:id="1212038533">
      <w:bodyDiv w:val="1"/>
      <w:marLeft w:val="0"/>
      <w:marRight w:val="0"/>
      <w:marTop w:val="0"/>
      <w:marBottom w:val="0"/>
      <w:divBdr>
        <w:top w:val="none" w:sz="0" w:space="0" w:color="auto"/>
        <w:left w:val="none" w:sz="0" w:space="0" w:color="auto"/>
        <w:bottom w:val="none" w:sz="0" w:space="0" w:color="auto"/>
        <w:right w:val="none" w:sz="0" w:space="0" w:color="auto"/>
      </w:divBdr>
    </w:div>
    <w:div w:id="1231039313">
      <w:bodyDiv w:val="1"/>
      <w:marLeft w:val="0"/>
      <w:marRight w:val="0"/>
      <w:marTop w:val="0"/>
      <w:marBottom w:val="0"/>
      <w:divBdr>
        <w:top w:val="none" w:sz="0" w:space="0" w:color="auto"/>
        <w:left w:val="none" w:sz="0" w:space="0" w:color="auto"/>
        <w:bottom w:val="none" w:sz="0" w:space="0" w:color="auto"/>
        <w:right w:val="none" w:sz="0" w:space="0" w:color="auto"/>
      </w:divBdr>
    </w:div>
    <w:div w:id="1233856088">
      <w:bodyDiv w:val="1"/>
      <w:marLeft w:val="0"/>
      <w:marRight w:val="0"/>
      <w:marTop w:val="0"/>
      <w:marBottom w:val="0"/>
      <w:divBdr>
        <w:top w:val="none" w:sz="0" w:space="0" w:color="auto"/>
        <w:left w:val="none" w:sz="0" w:space="0" w:color="auto"/>
        <w:bottom w:val="none" w:sz="0" w:space="0" w:color="auto"/>
        <w:right w:val="none" w:sz="0" w:space="0" w:color="auto"/>
      </w:divBdr>
    </w:div>
    <w:div w:id="1239949228">
      <w:bodyDiv w:val="1"/>
      <w:marLeft w:val="0"/>
      <w:marRight w:val="0"/>
      <w:marTop w:val="0"/>
      <w:marBottom w:val="0"/>
      <w:divBdr>
        <w:top w:val="none" w:sz="0" w:space="0" w:color="auto"/>
        <w:left w:val="none" w:sz="0" w:space="0" w:color="auto"/>
        <w:bottom w:val="none" w:sz="0" w:space="0" w:color="auto"/>
        <w:right w:val="none" w:sz="0" w:space="0" w:color="auto"/>
      </w:divBdr>
    </w:div>
    <w:div w:id="1257011336">
      <w:bodyDiv w:val="1"/>
      <w:marLeft w:val="0"/>
      <w:marRight w:val="0"/>
      <w:marTop w:val="0"/>
      <w:marBottom w:val="0"/>
      <w:divBdr>
        <w:top w:val="none" w:sz="0" w:space="0" w:color="auto"/>
        <w:left w:val="none" w:sz="0" w:space="0" w:color="auto"/>
        <w:bottom w:val="none" w:sz="0" w:space="0" w:color="auto"/>
        <w:right w:val="none" w:sz="0" w:space="0" w:color="auto"/>
      </w:divBdr>
    </w:div>
    <w:div w:id="1260330548">
      <w:bodyDiv w:val="1"/>
      <w:marLeft w:val="0"/>
      <w:marRight w:val="0"/>
      <w:marTop w:val="0"/>
      <w:marBottom w:val="0"/>
      <w:divBdr>
        <w:top w:val="none" w:sz="0" w:space="0" w:color="auto"/>
        <w:left w:val="none" w:sz="0" w:space="0" w:color="auto"/>
        <w:bottom w:val="none" w:sz="0" w:space="0" w:color="auto"/>
        <w:right w:val="none" w:sz="0" w:space="0" w:color="auto"/>
      </w:divBdr>
    </w:div>
    <w:div w:id="1272467838">
      <w:bodyDiv w:val="1"/>
      <w:marLeft w:val="0"/>
      <w:marRight w:val="0"/>
      <w:marTop w:val="0"/>
      <w:marBottom w:val="0"/>
      <w:divBdr>
        <w:top w:val="none" w:sz="0" w:space="0" w:color="auto"/>
        <w:left w:val="none" w:sz="0" w:space="0" w:color="auto"/>
        <w:bottom w:val="none" w:sz="0" w:space="0" w:color="auto"/>
        <w:right w:val="none" w:sz="0" w:space="0" w:color="auto"/>
      </w:divBdr>
    </w:div>
    <w:div w:id="1273245977">
      <w:bodyDiv w:val="1"/>
      <w:marLeft w:val="0"/>
      <w:marRight w:val="0"/>
      <w:marTop w:val="0"/>
      <w:marBottom w:val="0"/>
      <w:divBdr>
        <w:top w:val="none" w:sz="0" w:space="0" w:color="auto"/>
        <w:left w:val="none" w:sz="0" w:space="0" w:color="auto"/>
        <w:bottom w:val="none" w:sz="0" w:space="0" w:color="auto"/>
        <w:right w:val="none" w:sz="0" w:space="0" w:color="auto"/>
      </w:divBdr>
    </w:div>
    <w:div w:id="1275670438">
      <w:bodyDiv w:val="1"/>
      <w:marLeft w:val="0"/>
      <w:marRight w:val="0"/>
      <w:marTop w:val="0"/>
      <w:marBottom w:val="0"/>
      <w:divBdr>
        <w:top w:val="none" w:sz="0" w:space="0" w:color="auto"/>
        <w:left w:val="none" w:sz="0" w:space="0" w:color="auto"/>
        <w:bottom w:val="none" w:sz="0" w:space="0" w:color="auto"/>
        <w:right w:val="none" w:sz="0" w:space="0" w:color="auto"/>
      </w:divBdr>
    </w:div>
    <w:div w:id="1282541458">
      <w:bodyDiv w:val="1"/>
      <w:marLeft w:val="0"/>
      <w:marRight w:val="0"/>
      <w:marTop w:val="0"/>
      <w:marBottom w:val="0"/>
      <w:divBdr>
        <w:top w:val="none" w:sz="0" w:space="0" w:color="auto"/>
        <w:left w:val="none" w:sz="0" w:space="0" w:color="auto"/>
        <w:bottom w:val="none" w:sz="0" w:space="0" w:color="auto"/>
        <w:right w:val="none" w:sz="0" w:space="0" w:color="auto"/>
      </w:divBdr>
    </w:div>
    <w:div w:id="1300770391">
      <w:bodyDiv w:val="1"/>
      <w:marLeft w:val="0"/>
      <w:marRight w:val="0"/>
      <w:marTop w:val="0"/>
      <w:marBottom w:val="0"/>
      <w:divBdr>
        <w:top w:val="none" w:sz="0" w:space="0" w:color="auto"/>
        <w:left w:val="none" w:sz="0" w:space="0" w:color="auto"/>
        <w:bottom w:val="none" w:sz="0" w:space="0" w:color="auto"/>
        <w:right w:val="none" w:sz="0" w:space="0" w:color="auto"/>
      </w:divBdr>
    </w:div>
    <w:div w:id="1301380111">
      <w:bodyDiv w:val="1"/>
      <w:marLeft w:val="0"/>
      <w:marRight w:val="0"/>
      <w:marTop w:val="0"/>
      <w:marBottom w:val="0"/>
      <w:divBdr>
        <w:top w:val="none" w:sz="0" w:space="0" w:color="auto"/>
        <w:left w:val="none" w:sz="0" w:space="0" w:color="auto"/>
        <w:bottom w:val="none" w:sz="0" w:space="0" w:color="auto"/>
        <w:right w:val="none" w:sz="0" w:space="0" w:color="auto"/>
      </w:divBdr>
    </w:div>
    <w:div w:id="1304777785">
      <w:bodyDiv w:val="1"/>
      <w:marLeft w:val="0"/>
      <w:marRight w:val="0"/>
      <w:marTop w:val="0"/>
      <w:marBottom w:val="0"/>
      <w:divBdr>
        <w:top w:val="none" w:sz="0" w:space="0" w:color="auto"/>
        <w:left w:val="none" w:sz="0" w:space="0" w:color="auto"/>
        <w:bottom w:val="none" w:sz="0" w:space="0" w:color="auto"/>
        <w:right w:val="none" w:sz="0" w:space="0" w:color="auto"/>
      </w:divBdr>
    </w:div>
    <w:div w:id="1311908364">
      <w:bodyDiv w:val="1"/>
      <w:marLeft w:val="0"/>
      <w:marRight w:val="0"/>
      <w:marTop w:val="0"/>
      <w:marBottom w:val="0"/>
      <w:divBdr>
        <w:top w:val="none" w:sz="0" w:space="0" w:color="auto"/>
        <w:left w:val="none" w:sz="0" w:space="0" w:color="auto"/>
        <w:bottom w:val="none" w:sz="0" w:space="0" w:color="auto"/>
        <w:right w:val="none" w:sz="0" w:space="0" w:color="auto"/>
      </w:divBdr>
    </w:div>
    <w:div w:id="1326203888">
      <w:bodyDiv w:val="1"/>
      <w:marLeft w:val="0"/>
      <w:marRight w:val="0"/>
      <w:marTop w:val="0"/>
      <w:marBottom w:val="0"/>
      <w:divBdr>
        <w:top w:val="none" w:sz="0" w:space="0" w:color="auto"/>
        <w:left w:val="none" w:sz="0" w:space="0" w:color="auto"/>
        <w:bottom w:val="none" w:sz="0" w:space="0" w:color="auto"/>
        <w:right w:val="none" w:sz="0" w:space="0" w:color="auto"/>
      </w:divBdr>
    </w:div>
    <w:div w:id="1339767898">
      <w:bodyDiv w:val="1"/>
      <w:marLeft w:val="0"/>
      <w:marRight w:val="0"/>
      <w:marTop w:val="0"/>
      <w:marBottom w:val="0"/>
      <w:divBdr>
        <w:top w:val="none" w:sz="0" w:space="0" w:color="auto"/>
        <w:left w:val="none" w:sz="0" w:space="0" w:color="auto"/>
        <w:bottom w:val="none" w:sz="0" w:space="0" w:color="auto"/>
        <w:right w:val="none" w:sz="0" w:space="0" w:color="auto"/>
      </w:divBdr>
    </w:div>
    <w:div w:id="1348756618">
      <w:bodyDiv w:val="1"/>
      <w:marLeft w:val="0"/>
      <w:marRight w:val="0"/>
      <w:marTop w:val="0"/>
      <w:marBottom w:val="0"/>
      <w:divBdr>
        <w:top w:val="none" w:sz="0" w:space="0" w:color="auto"/>
        <w:left w:val="none" w:sz="0" w:space="0" w:color="auto"/>
        <w:bottom w:val="none" w:sz="0" w:space="0" w:color="auto"/>
        <w:right w:val="none" w:sz="0" w:space="0" w:color="auto"/>
      </w:divBdr>
    </w:div>
    <w:div w:id="1400834175">
      <w:bodyDiv w:val="1"/>
      <w:marLeft w:val="0"/>
      <w:marRight w:val="0"/>
      <w:marTop w:val="0"/>
      <w:marBottom w:val="0"/>
      <w:divBdr>
        <w:top w:val="none" w:sz="0" w:space="0" w:color="auto"/>
        <w:left w:val="none" w:sz="0" w:space="0" w:color="auto"/>
        <w:bottom w:val="none" w:sz="0" w:space="0" w:color="auto"/>
        <w:right w:val="none" w:sz="0" w:space="0" w:color="auto"/>
      </w:divBdr>
    </w:div>
    <w:div w:id="1413888410">
      <w:bodyDiv w:val="1"/>
      <w:marLeft w:val="0"/>
      <w:marRight w:val="0"/>
      <w:marTop w:val="0"/>
      <w:marBottom w:val="0"/>
      <w:divBdr>
        <w:top w:val="none" w:sz="0" w:space="0" w:color="auto"/>
        <w:left w:val="none" w:sz="0" w:space="0" w:color="auto"/>
        <w:bottom w:val="none" w:sz="0" w:space="0" w:color="auto"/>
        <w:right w:val="none" w:sz="0" w:space="0" w:color="auto"/>
      </w:divBdr>
    </w:div>
    <w:div w:id="1414814059">
      <w:bodyDiv w:val="1"/>
      <w:marLeft w:val="0"/>
      <w:marRight w:val="0"/>
      <w:marTop w:val="0"/>
      <w:marBottom w:val="0"/>
      <w:divBdr>
        <w:top w:val="none" w:sz="0" w:space="0" w:color="auto"/>
        <w:left w:val="none" w:sz="0" w:space="0" w:color="auto"/>
        <w:bottom w:val="none" w:sz="0" w:space="0" w:color="auto"/>
        <w:right w:val="none" w:sz="0" w:space="0" w:color="auto"/>
      </w:divBdr>
    </w:div>
    <w:div w:id="1418332019">
      <w:bodyDiv w:val="1"/>
      <w:marLeft w:val="0"/>
      <w:marRight w:val="0"/>
      <w:marTop w:val="0"/>
      <w:marBottom w:val="0"/>
      <w:divBdr>
        <w:top w:val="none" w:sz="0" w:space="0" w:color="auto"/>
        <w:left w:val="none" w:sz="0" w:space="0" w:color="auto"/>
        <w:bottom w:val="none" w:sz="0" w:space="0" w:color="auto"/>
        <w:right w:val="none" w:sz="0" w:space="0" w:color="auto"/>
      </w:divBdr>
    </w:div>
    <w:div w:id="1437751065">
      <w:bodyDiv w:val="1"/>
      <w:marLeft w:val="0"/>
      <w:marRight w:val="0"/>
      <w:marTop w:val="0"/>
      <w:marBottom w:val="0"/>
      <w:divBdr>
        <w:top w:val="none" w:sz="0" w:space="0" w:color="auto"/>
        <w:left w:val="none" w:sz="0" w:space="0" w:color="auto"/>
        <w:bottom w:val="none" w:sz="0" w:space="0" w:color="auto"/>
        <w:right w:val="none" w:sz="0" w:space="0" w:color="auto"/>
      </w:divBdr>
    </w:div>
    <w:div w:id="1440905387">
      <w:bodyDiv w:val="1"/>
      <w:marLeft w:val="0"/>
      <w:marRight w:val="0"/>
      <w:marTop w:val="0"/>
      <w:marBottom w:val="0"/>
      <w:divBdr>
        <w:top w:val="none" w:sz="0" w:space="0" w:color="auto"/>
        <w:left w:val="none" w:sz="0" w:space="0" w:color="auto"/>
        <w:bottom w:val="none" w:sz="0" w:space="0" w:color="auto"/>
        <w:right w:val="none" w:sz="0" w:space="0" w:color="auto"/>
      </w:divBdr>
    </w:div>
    <w:div w:id="1467746522">
      <w:bodyDiv w:val="1"/>
      <w:marLeft w:val="0"/>
      <w:marRight w:val="0"/>
      <w:marTop w:val="0"/>
      <w:marBottom w:val="0"/>
      <w:divBdr>
        <w:top w:val="none" w:sz="0" w:space="0" w:color="auto"/>
        <w:left w:val="none" w:sz="0" w:space="0" w:color="auto"/>
        <w:bottom w:val="none" w:sz="0" w:space="0" w:color="auto"/>
        <w:right w:val="none" w:sz="0" w:space="0" w:color="auto"/>
      </w:divBdr>
    </w:div>
    <w:div w:id="1468742304">
      <w:bodyDiv w:val="1"/>
      <w:marLeft w:val="0"/>
      <w:marRight w:val="0"/>
      <w:marTop w:val="0"/>
      <w:marBottom w:val="0"/>
      <w:divBdr>
        <w:top w:val="none" w:sz="0" w:space="0" w:color="auto"/>
        <w:left w:val="none" w:sz="0" w:space="0" w:color="auto"/>
        <w:bottom w:val="none" w:sz="0" w:space="0" w:color="auto"/>
        <w:right w:val="none" w:sz="0" w:space="0" w:color="auto"/>
      </w:divBdr>
    </w:div>
    <w:div w:id="1475443505">
      <w:bodyDiv w:val="1"/>
      <w:marLeft w:val="0"/>
      <w:marRight w:val="0"/>
      <w:marTop w:val="0"/>
      <w:marBottom w:val="0"/>
      <w:divBdr>
        <w:top w:val="none" w:sz="0" w:space="0" w:color="auto"/>
        <w:left w:val="none" w:sz="0" w:space="0" w:color="auto"/>
        <w:bottom w:val="none" w:sz="0" w:space="0" w:color="auto"/>
        <w:right w:val="none" w:sz="0" w:space="0" w:color="auto"/>
      </w:divBdr>
    </w:div>
    <w:div w:id="1512064796">
      <w:bodyDiv w:val="1"/>
      <w:marLeft w:val="0"/>
      <w:marRight w:val="0"/>
      <w:marTop w:val="0"/>
      <w:marBottom w:val="0"/>
      <w:divBdr>
        <w:top w:val="none" w:sz="0" w:space="0" w:color="auto"/>
        <w:left w:val="none" w:sz="0" w:space="0" w:color="auto"/>
        <w:bottom w:val="none" w:sz="0" w:space="0" w:color="auto"/>
        <w:right w:val="none" w:sz="0" w:space="0" w:color="auto"/>
      </w:divBdr>
    </w:div>
    <w:div w:id="1535726939">
      <w:bodyDiv w:val="1"/>
      <w:marLeft w:val="0"/>
      <w:marRight w:val="0"/>
      <w:marTop w:val="0"/>
      <w:marBottom w:val="0"/>
      <w:divBdr>
        <w:top w:val="none" w:sz="0" w:space="0" w:color="auto"/>
        <w:left w:val="none" w:sz="0" w:space="0" w:color="auto"/>
        <w:bottom w:val="none" w:sz="0" w:space="0" w:color="auto"/>
        <w:right w:val="none" w:sz="0" w:space="0" w:color="auto"/>
      </w:divBdr>
    </w:div>
    <w:div w:id="1537228904">
      <w:bodyDiv w:val="1"/>
      <w:marLeft w:val="0"/>
      <w:marRight w:val="0"/>
      <w:marTop w:val="0"/>
      <w:marBottom w:val="0"/>
      <w:divBdr>
        <w:top w:val="none" w:sz="0" w:space="0" w:color="auto"/>
        <w:left w:val="none" w:sz="0" w:space="0" w:color="auto"/>
        <w:bottom w:val="none" w:sz="0" w:space="0" w:color="auto"/>
        <w:right w:val="none" w:sz="0" w:space="0" w:color="auto"/>
      </w:divBdr>
    </w:div>
    <w:div w:id="1543861591">
      <w:bodyDiv w:val="1"/>
      <w:marLeft w:val="0"/>
      <w:marRight w:val="0"/>
      <w:marTop w:val="0"/>
      <w:marBottom w:val="0"/>
      <w:divBdr>
        <w:top w:val="none" w:sz="0" w:space="0" w:color="auto"/>
        <w:left w:val="none" w:sz="0" w:space="0" w:color="auto"/>
        <w:bottom w:val="none" w:sz="0" w:space="0" w:color="auto"/>
        <w:right w:val="none" w:sz="0" w:space="0" w:color="auto"/>
      </w:divBdr>
    </w:div>
    <w:div w:id="1543903738">
      <w:bodyDiv w:val="1"/>
      <w:marLeft w:val="0"/>
      <w:marRight w:val="0"/>
      <w:marTop w:val="0"/>
      <w:marBottom w:val="0"/>
      <w:divBdr>
        <w:top w:val="none" w:sz="0" w:space="0" w:color="auto"/>
        <w:left w:val="none" w:sz="0" w:space="0" w:color="auto"/>
        <w:bottom w:val="none" w:sz="0" w:space="0" w:color="auto"/>
        <w:right w:val="none" w:sz="0" w:space="0" w:color="auto"/>
      </w:divBdr>
    </w:div>
    <w:div w:id="1558317615">
      <w:bodyDiv w:val="1"/>
      <w:marLeft w:val="0"/>
      <w:marRight w:val="0"/>
      <w:marTop w:val="0"/>
      <w:marBottom w:val="0"/>
      <w:divBdr>
        <w:top w:val="none" w:sz="0" w:space="0" w:color="auto"/>
        <w:left w:val="none" w:sz="0" w:space="0" w:color="auto"/>
        <w:bottom w:val="none" w:sz="0" w:space="0" w:color="auto"/>
        <w:right w:val="none" w:sz="0" w:space="0" w:color="auto"/>
      </w:divBdr>
    </w:div>
    <w:div w:id="1564828427">
      <w:bodyDiv w:val="1"/>
      <w:marLeft w:val="0"/>
      <w:marRight w:val="0"/>
      <w:marTop w:val="0"/>
      <w:marBottom w:val="0"/>
      <w:divBdr>
        <w:top w:val="none" w:sz="0" w:space="0" w:color="auto"/>
        <w:left w:val="none" w:sz="0" w:space="0" w:color="auto"/>
        <w:bottom w:val="none" w:sz="0" w:space="0" w:color="auto"/>
        <w:right w:val="none" w:sz="0" w:space="0" w:color="auto"/>
      </w:divBdr>
    </w:div>
    <w:div w:id="1590458030">
      <w:bodyDiv w:val="1"/>
      <w:marLeft w:val="0"/>
      <w:marRight w:val="0"/>
      <w:marTop w:val="0"/>
      <w:marBottom w:val="0"/>
      <w:divBdr>
        <w:top w:val="none" w:sz="0" w:space="0" w:color="auto"/>
        <w:left w:val="none" w:sz="0" w:space="0" w:color="auto"/>
        <w:bottom w:val="none" w:sz="0" w:space="0" w:color="auto"/>
        <w:right w:val="none" w:sz="0" w:space="0" w:color="auto"/>
      </w:divBdr>
    </w:div>
    <w:div w:id="1597325637">
      <w:bodyDiv w:val="1"/>
      <w:marLeft w:val="0"/>
      <w:marRight w:val="0"/>
      <w:marTop w:val="0"/>
      <w:marBottom w:val="0"/>
      <w:divBdr>
        <w:top w:val="none" w:sz="0" w:space="0" w:color="auto"/>
        <w:left w:val="none" w:sz="0" w:space="0" w:color="auto"/>
        <w:bottom w:val="none" w:sz="0" w:space="0" w:color="auto"/>
        <w:right w:val="none" w:sz="0" w:space="0" w:color="auto"/>
      </w:divBdr>
    </w:div>
    <w:div w:id="1597471300">
      <w:bodyDiv w:val="1"/>
      <w:marLeft w:val="0"/>
      <w:marRight w:val="0"/>
      <w:marTop w:val="0"/>
      <w:marBottom w:val="0"/>
      <w:divBdr>
        <w:top w:val="none" w:sz="0" w:space="0" w:color="auto"/>
        <w:left w:val="none" w:sz="0" w:space="0" w:color="auto"/>
        <w:bottom w:val="none" w:sz="0" w:space="0" w:color="auto"/>
        <w:right w:val="none" w:sz="0" w:space="0" w:color="auto"/>
      </w:divBdr>
    </w:div>
    <w:div w:id="1603105922">
      <w:bodyDiv w:val="1"/>
      <w:marLeft w:val="0"/>
      <w:marRight w:val="0"/>
      <w:marTop w:val="0"/>
      <w:marBottom w:val="0"/>
      <w:divBdr>
        <w:top w:val="none" w:sz="0" w:space="0" w:color="auto"/>
        <w:left w:val="none" w:sz="0" w:space="0" w:color="auto"/>
        <w:bottom w:val="none" w:sz="0" w:space="0" w:color="auto"/>
        <w:right w:val="none" w:sz="0" w:space="0" w:color="auto"/>
      </w:divBdr>
    </w:div>
    <w:div w:id="1611471232">
      <w:bodyDiv w:val="1"/>
      <w:marLeft w:val="0"/>
      <w:marRight w:val="0"/>
      <w:marTop w:val="0"/>
      <w:marBottom w:val="0"/>
      <w:divBdr>
        <w:top w:val="none" w:sz="0" w:space="0" w:color="auto"/>
        <w:left w:val="none" w:sz="0" w:space="0" w:color="auto"/>
        <w:bottom w:val="none" w:sz="0" w:space="0" w:color="auto"/>
        <w:right w:val="none" w:sz="0" w:space="0" w:color="auto"/>
      </w:divBdr>
    </w:div>
    <w:div w:id="1621643678">
      <w:bodyDiv w:val="1"/>
      <w:marLeft w:val="0"/>
      <w:marRight w:val="0"/>
      <w:marTop w:val="0"/>
      <w:marBottom w:val="0"/>
      <w:divBdr>
        <w:top w:val="none" w:sz="0" w:space="0" w:color="auto"/>
        <w:left w:val="none" w:sz="0" w:space="0" w:color="auto"/>
        <w:bottom w:val="none" w:sz="0" w:space="0" w:color="auto"/>
        <w:right w:val="none" w:sz="0" w:space="0" w:color="auto"/>
      </w:divBdr>
    </w:div>
    <w:div w:id="1624193114">
      <w:bodyDiv w:val="1"/>
      <w:marLeft w:val="0"/>
      <w:marRight w:val="0"/>
      <w:marTop w:val="0"/>
      <w:marBottom w:val="0"/>
      <w:divBdr>
        <w:top w:val="none" w:sz="0" w:space="0" w:color="auto"/>
        <w:left w:val="none" w:sz="0" w:space="0" w:color="auto"/>
        <w:bottom w:val="none" w:sz="0" w:space="0" w:color="auto"/>
        <w:right w:val="none" w:sz="0" w:space="0" w:color="auto"/>
      </w:divBdr>
    </w:div>
    <w:div w:id="1637837893">
      <w:bodyDiv w:val="1"/>
      <w:marLeft w:val="0"/>
      <w:marRight w:val="0"/>
      <w:marTop w:val="0"/>
      <w:marBottom w:val="0"/>
      <w:divBdr>
        <w:top w:val="none" w:sz="0" w:space="0" w:color="auto"/>
        <w:left w:val="none" w:sz="0" w:space="0" w:color="auto"/>
        <w:bottom w:val="none" w:sz="0" w:space="0" w:color="auto"/>
        <w:right w:val="none" w:sz="0" w:space="0" w:color="auto"/>
      </w:divBdr>
    </w:div>
    <w:div w:id="1643927814">
      <w:bodyDiv w:val="1"/>
      <w:marLeft w:val="0"/>
      <w:marRight w:val="0"/>
      <w:marTop w:val="0"/>
      <w:marBottom w:val="0"/>
      <w:divBdr>
        <w:top w:val="none" w:sz="0" w:space="0" w:color="auto"/>
        <w:left w:val="none" w:sz="0" w:space="0" w:color="auto"/>
        <w:bottom w:val="none" w:sz="0" w:space="0" w:color="auto"/>
        <w:right w:val="none" w:sz="0" w:space="0" w:color="auto"/>
      </w:divBdr>
    </w:div>
    <w:div w:id="1646809884">
      <w:bodyDiv w:val="1"/>
      <w:marLeft w:val="0"/>
      <w:marRight w:val="0"/>
      <w:marTop w:val="0"/>
      <w:marBottom w:val="0"/>
      <w:divBdr>
        <w:top w:val="none" w:sz="0" w:space="0" w:color="auto"/>
        <w:left w:val="none" w:sz="0" w:space="0" w:color="auto"/>
        <w:bottom w:val="none" w:sz="0" w:space="0" w:color="auto"/>
        <w:right w:val="none" w:sz="0" w:space="0" w:color="auto"/>
      </w:divBdr>
    </w:div>
    <w:div w:id="1659917560">
      <w:bodyDiv w:val="1"/>
      <w:marLeft w:val="0"/>
      <w:marRight w:val="0"/>
      <w:marTop w:val="0"/>
      <w:marBottom w:val="0"/>
      <w:divBdr>
        <w:top w:val="none" w:sz="0" w:space="0" w:color="auto"/>
        <w:left w:val="none" w:sz="0" w:space="0" w:color="auto"/>
        <w:bottom w:val="none" w:sz="0" w:space="0" w:color="auto"/>
        <w:right w:val="none" w:sz="0" w:space="0" w:color="auto"/>
      </w:divBdr>
    </w:div>
    <w:div w:id="1667123826">
      <w:bodyDiv w:val="1"/>
      <w:marLeft w:val="0"/>
      <w:marRight w:val="0"/>
      <w:marTop w:val="0"/>
      <w:marBottom w:val="0"/>
      <w:divBdr>
        <w:top w:val="none" w:sz="0" w:space="0" w:color="auto"/>
        <w:left w:val="none" w:sz="0" w:space="0" w:color="auto"/>
        <w:bottom w:val="none" w:sz="0" w:space="0" w:color="auto"/>
        <w:right w:val="none" w:sz="0" w:space="0" w:color="auto"/>
      </w:divBdr>
    </w:div>
    <w:div w:id="1692729763">
      <w:bodyDiv w:val="1"/>
      <w:marLeft w:val="0"/>
      <w:marRight w:val="0"/>
      <w:marTop w:val="0"/>
      <w:marBottom w:val="0"/>
      <w:divBdr>
        <w:top w:val="none" w:sz="0" w:space="0" w:color="auto"/>
        <w:left w:val="none" w:sz="0" w:space="0" w:color="auto"/>
        <w:bottom w:val="none" w:sz="0" w:space="0" w:color="auto"/>
        <w:right w:val="none" w:sz="0" w:space="0" w:color="auto"/>
      </w:divBdr>
    </w:div>
    <w:div w:id="1735152781">
      <w:bodyDiv w:val="1"/>
      <w:marLeft w:val="0"/>
      <w:marRight w:val="0"/>
      <w:marTop w:val="0"/>
      <w:marBottom w:val="0"/>
      <w:divBdr>
        <w:top w:val="none" w:sz="0" w:space="0" w:color="auto"/>
        <w:left w:val="none" w:sz="0" w:space="0" w:color="auto"/>
        <w:bottom w:val="none" w:sz="0" w:space="0" w:color="auto"/>
        <w:right w:val="none" w:sz="0" w:space="0" w:color="auto"/>
      </w:divBdr>
    </w:div>
    <w:div w:id="1739474723">
      <w:bodyDiv w:val="1"/>
      <w:marLeft w:val="0"/>
      <w:marRight w:val="0"/>
      <w:marTop w:val="0"/>
      <w:marBottom w:val="0"/>
      <w:divBdr>
        <w:top w:val="none" w:sz="0" w:space="0" w:color="auto"/>
        <w:left w:val="none" w:sz="0" w:space="0" w:color="auto"/>
        <w:bottom w:val="none" w:sz="0" w:space="0" w:color="auto"/>
        <w:right w:val="none" w:sz="0" w:space="0" w:color="auto"/>
      </w:divBdr>
    </w:div>
    <w:div w:id="1778404160">
      <w:bodyDiv w:val="1"/>
      <w:marLeft w:val="0"/>
      <w:marRight w:val="0"/>
      <w:marTop w:val="0"/>
      <w:marBottom w:val="0"/>
      <w:divBdr>
        <w:top w:val="none" w:sz="0" w:space="0" w:color="auto"/>
        <w:left w:val="none" w:sz="0" w:space="0" w:color="auto"/>
        <w:bottom w:val="none" w:sz="0" w:space="0" w:color="auto"/>
        <w:right w:val="none" w:sz="0" w:space="0" w:color="auto"/>
      </w:divBdr>
    </w:div>
    <w:div w:id="1782529157">
      <w:bodyDiv w:val="1"/>
      <w:marLeft w:val="0"/>
      <w:marRight w:val="0"/>
      <w:marTop w:val="0"/>
      <w:marBottom w:val="0"/>
      <w:divBdr>
        <w:top w:val="none" w:sz="0" w:space="0" w:color="auto"/>
        <w:left w:val="none" w:sz="0" w:space="0" w:color="auto"/>
        <w:bottom w:val="none" w:sz="0" w:space="0" w:color="auto"/>
        <w:right w:val="none" w:sz="0" w:space="0" w:color="auto"/>
      </w:divBdr>
    </w:div>
    <w:div w:id="1806971128">
      <w:bodyDiv w:val="1"/>
      <w:marLeft w:val="0"/>
      <w:marRight w:val="0"/>
      <w:marTop w:val="0"/>
      <w:marBottom w:val="0"/>
      <w:divBdr>
        <w:top w:val="none" w:sz="0" w:space="0" w:color="auto"/>
        <w:left w:val="none" w:sz="0" w:space="0" w:color="auto"/>
        <w:bottom w:val="none" w:sz="0" w:space="0" w:color="auto"/>
        <w:right w:val="none" w:sz="0" w:space="0" w:color="auto"/>
      </w:divBdr>
    </w:div>
    <w:div w:id="1832868621">
      <w:bodyDiv w:val="1"/>
      <w:marLeft w:val="0"/>
      <w:marRight w:val="0"/>
      <w:marTop w:val="0"/>
      <w:marBottom w:val="0"/>
      <w:divBdr>
        <w:top w:val="none" w:sz="0" w:space="0" w:color="auto"/>
        <w:left w:val="none" w:sz="0" w:space="0" w:color="auto"/>
        <w:bottom w:val="none" w:sz="0" w:space="0" w:color="auto"/>
        <w:right w:val="none" w:sz="0" w:space="0" w:color="auto"/>
      </w:divBdr>
    </w:div>
    <w:div w:id="1870533877">
      <w:bodyDiv w:val="1"/>
      <w:marLeft w:val="0"/>
      <w:marRight w:val="0"/>
      <w:marTop w:val="0"/>
      <w:marBottom w:val="0"/>
      <w:divBdr>
        <w:top w:val="none" w:sz="0" w:space="0" w:color="auto"/>
        <w:left w:val="none" w:sz="0" w:space="0" w:color="auto"/>
        <w:bottom w:val="none" w:sz="0" w:space="0" w:color="auto"/>
        <w:right w:val="none" w:sz="0" w:space="0" w:color="auto"/>
      </w:divBdr>
    </w:div>
    <w:div w:id="1873640602">
      <w:bodyDiv w:val="1"/>
      <w:marLeft w:val="0"/>
      <w:marRight w:val="0"/>
      <w:marTop w:val="0"/>
      <w:marBottom w:val="0"/>
      <w:divBdr>
        <w:top w:val="none" w:sz="0" w:space="0" w:color="auto"/>
        <w:left w:val="none" w:sz="0" w:space="0" w:color="auto"/>
        <w:bottom w:val="none" w:sz="0" w:space="0" w:color="auto"/>
        <w:right w:val="none" w:sz="0" w:space="0" w:color="auto"/>
      </w:divBdr>
    </w:div>
    <w:div w:id="1875146623">
      <w:bodyDiv w:val="1"/>
      <w:marLeft w:val="0"/>
      <w:marRight w:val="0"/>
      <w:marTop w:val="0"/>
      <w:marBottom w:val="0"/>
      <w:divBdr>
        <w:top w:val="none" w:sz="0" w:space="0" w:color="auto"/>
        <w:left w:val="none" w:sz="0" w:space="0" w:color="auto"/>
        <w:bottom w:val="none" w:sz="0" w:space="0" w:color="auto"/>
        <w:right w:val="none" w:sz="0" w:space="0" w:color="auto"/>
      </w:divBdr>
    </w:div>
    <w:div w:id="1903173148">
      <w:bodyDiv w:val="1"/>
      <w:marLeft w:val="0"/>
      <w:marRight w:val="0"/>
      <w:marTop w:val="0"/>
      <w:marBottom w:val="0"/>
      <w:divBdr>
        <w:top w:val="none" w:sz="0" w:space="0" w:color="auto"/>
        <w:left w:val="none" w:sz="0" w:space="0" w:color="auto"/>
        <w:bottom w:val="none" w:sz="0" w:space="0" w:color="auto"/>
        <w:right w:val="none" w:sz="0" w:space="0" w:color="auto"/>
      </w:divBdr>
    </w:div>
    <w:div w:id="1923179337">
      <w:bodyDiv w:val="1"/>
      <w:marLeft w:val="0"/>
      <w:marRight w:val="0"/>
      <w:marTop w:val="0"/>
      <w:marBottom w:val="0"/>
      <w:divBdr>
        <w:top w:val="none" w:sz="0" w:space="0" w:color="auto"/>
        <w:left w:val="none" w:sz="0" w:space="0" w:color="auto"/>
        <w:bottom w:val="none" w:sz="0" w:space="0" w:color="auto"/>
        <w:right w:val="none" w:sz="0" w:space="0" w:color="auto"/>
      </w:divBdr>
    </w:div>
    <w:div w:id="1928230869">
      <w:bodyDiv w:val="1"/>
      <w:marLeft w:val="0"/>
      <w:marRight w:val="0"/>
      <w:marTop w:val="0"/>
      <w:marBottom w:val="0"/>
      <w:divBdr>
        <w:top w:val="none" w:sz="0" w:space="0" w:color="auto"/>
        <w:left w:val="none" w:sz="0" w:space="0" w:color="auto"/>
        <w:bottom w:val="none" w:sz="0" w:space="0" w:color="auto"/>
        <w:right w:val="none" w:sz="0" w:space="0" w:color="auto"/>
      </w:divBdr>
    </w:div>
    <w:div w:id="1931498166">
      <w:bodyDiv w:val="1"/>
      <w:marLeft w:val="0"/>
      <w:marRight w:val="0"/>
      <w:marTop w:val="0"/>
      <w:marBottom w:val="0"/>
      <w:divBdr>
        <w:top w:val="none" w:sz="0" w:space="0" w:color="auto"/>
        <w:left w:val="none" w:sz="0" w:space="0" w:color="auto"/>
        <w:bottom w:val="none" w:sz="0" w:space="0" w:color="auto"/>
        <w:right w:val="none" w:sz="0" w:space="0" w:color="auto"/>
      </w:divBdr>
    </w:div>
    <w:div w:id="1940143471">
      <w:bodyDiv w:val="1"/>
      <w:marLeft w:val="0"/>
      <w:marRight w:val="0"/>
      <w:marTop w:val="0"/>
      <w:marBottom w:val="0"/>
      <w:divBdr>
        <w:top w:val="none" w:sz="0" w:space="0" w:color="auto"/>
        <w:left w:val="none" w:sz="0" w:space="0" w:color="auto"/>
        <w:bottom w:val="none" w:sz="0" w:space="0" w:color="auto"/>
        <w:right w:val="none" w:sz="0" w:space="0" w:color="auto"/>
      </w:divBdr>
    </w:div>
    <w:div w:id="1944262513">
      <w:bodyDiv w:val="1"/>
      <w:marLeft w:val="0"/>
      <w:marRight w:val="0"/>
      <w:marTop w:val="0"/>
      <w:marBottom w:val="0"/>
      <w:divBdr>
        <w:top w:val="none" w:sz="0" w:space="0" w:color="auto"/>
        <w:left w:val="none" w:sz="0" w:space="0" w:color="auto"/>
        <w:bottom w:val="none" w:sz="0" w:space="0" w:color="auto"/>
        <w:right w:val="none" w:sz="0" w:space="0" w:color="auto"/>
      </w:divBdr>
    </w:div>
    <w:div w:id="1951279581">
      <w:bodyDiv w:val="1"/>
      <w:marLeft w:val="0"/>
      <w:marRight w:val="0"/>
      <w:marTop w:val="0"/>
      <w:marBottom w:val="0"/>
      <w:divBdr>
        <w:top w:val="none" w:sz="0" w:space="0" w:color="auto"/>
        <w:left w:val="none" w:sz="0" w:space="0" w:color="auto"/>
        <w:bottom w:val="none" w:sz="0" w:space="0" w:color="auto"/>
        <w:right w:val="none" w:sz="0" w:space="0" w:color="auto"/>
      </w:divBdr>
    </w:div>
    <w:div w:id="1964192231">
      <w:bodyDiv w:val="1"/>
      <w:marLeft w:val="0"/>
      <w:marRight w:val="0"/>
      <w:marTop w:val="0"/>
      <w:marBottom w:val="0"/>
      <w:divBdr>
        <w:top w:val="none" w:sz="0" w:space="0" w:color="auto"/>
        <w:left w:val="none" w:sz="0" w:space="0" w:color="auto"/>
        <w:bottom w:val="none" w:sz="0" w:space="0" w:color="auto"/>
        <w:right w:val="none" w:sz="0" w:space="0" w:color="auto"/>
      </w:divBdr>
    </w:div>
    <w:div w:id="1985622896">
      <w:bodyDiv w:val="1"/>
      <w:marLeft w:val="0"/>
      <w:marRight w:val="0"/>
      <w:marTop w:val="0"/>
      <w:marBottom w:val="0"/>
      <w:divBdr>
        <w:top w:val="none" w:sz="0" w:space="0" w:color="auto"/>
        <w:left w:val="none" w:sz="0" w:space="0" w:color="auto"/>
        <w:bottom w:val="none" w:sz="0" w:space="0" w:color="auto"/>
        <w:right w:val="none" w:sz="0" w:space="0" w:color="auto"/>
      </w:divBdr>
    </w:div>
    <w:div w:id="1987667144">
      <w:bodyDiv w:val="1"/>
      <w:marLeft w:val="0"/>
      <w:marRight w:val="0"/>
      <w:marTop w:val="0"/>
      <w:marBottom w:val="0"/>
      <w:divBdr>
        <w:top w:val="none" w:sz="0" w:space="0" w:color="auto"/>
        <w:left w:val="none" w:sz="0" w:space="0" w:color="auto"/>
        <w:bottom w:val="none" w:sz="0" w:space="0" w:color="auto"/>
        <w:right w:val="none" w:sz="0" w:space="0" w:color="auto"/>
      </w:divBdr>
    </w:div>
    <w:div w:id="2027707487">
      <w:bodyDiv w:val="1"/>
      <w:marLeft w:val="0"/>
      <w:marRight w:val="0"/>
      <w:marTop w:val="0"/>
      <w:marBottom w:val="0"/>
      <w:divBdr>
        <w:top w:val="none" w:sz="0" w:space="0" w:color="auto"/>
        <w:left w:val="none" w:sz="0" w:space="0" w:color="auto"/>
        <w:bottom w:val="none" w:sz="0" w:space="0" w:color="auto"/>
        <w:right w:val="none" w:sz="0" w:space="0" w:color="auto"/>
      </w:divBdr>
    </w:div>
    <w:div w:id="2032952610">
      <w:bodyDiv w:val="1"/>
      <w:marLeft w:val="0"/>
      <w:marRight w:val="0"/>
      <w:marTop w:val="0"/>
      <w:marBottom w:val="0"/>
      <w:divBdr>
        <w:top w:val="none" w:sz="0" w:space="0" w:color="auto"/>
        <w:left w:val="none" w:sz="0" w:space="0" w:color="auto"/>
        <w:bottom w:val="none" w:sz="0" w:space="0" w:color="auto"/>
        <w:right w:val="none" w:sz="0" w:space="0" w:color="auto"/>
      </w:divBdr>
    </w:div>
    <w:div w:id="2032953624">
      <w:bodyDiv w:val="1"/>
      <w:marLeft w:val="0"/>
      <w:marRight w:val="0"/>
      <w:marTop w:val="0"/>
      <w:marBottom w:val="0"/>
      <w:divBdr>
        <w:top w:val="none" w:sz="0" w:space="0" w:color="auto"/>
        <w:left w:val="none" w:sz="0" w:space="0" w:color="auto"/>
        <w:bottom w:val="none" w:sz="0" w:space="0" w:color="auto"/>
        <w:right w:val="none" w:sz="0" w:space="0" w:color="auto"/>
      </w:divBdr>
    </w:div>
    <w:div w:id="2043089648">
      <w:bodyDiv w:val="1"/>
      <w:marLeft w:val="0"/>
      <w:marRight w:val="0"/>
      <w:marTop w:val="0"/>
      <w:marBottom w:val="0"/>
      <w:divBdr>
        <w:top w:val="none" w:sz="0" w:space="0" w:color="auto"/>
        <w:left w:val="none" w:sz="0" w:space="0" w:color="auto"/>
        <w:bottom w:val="none" w:sz="0" w:space="0" w:color="auto"/>
        <w:right w:val="none" w:sz="0" w:space="0" w:color="auto"/>
      </w:divBdr>
    </w:div>
    <w:div w:id="2097744605">
      <w:bodyDiv w:val="1"/>
      <w:marLeft w:val="0"/>
      <w:marRight w:val="0"/>
      <w:marTop w:val="0"/>
      <w:marBottom w:val="0"/>
      <w:divBdr>
        <w:top w:val="none" w:sz="0" w:space="0" w:color="auto"/>
        <w:left w:val="none" w:sz="0" w:space="0" w:color="auto"/>
        <w:bottom w:val="none" w:sz="0" w:space="0" w:color="auto"/>
        <w:right w:val="none" w:sz="0" w:space="0" w:color="auto"/>
      </w:divBdr>
      <w:divsChild>
        <w:div w:id="1198659353">
          <w:marLeft w:val="274"/>
          <w:marRight w:val="0"/>
          <w:marTop w:val="0"/>
          <w:marBottom w:val="0"/>
          <w:divBdr>
            <w:top w:val="none" w:sz="0" w:space="0" w:color="auto"/>
            <w:left w:val="none" w:sz="0" w:space="0" w:color="auto"/>
            <w:bottom w:val="none" w:sz="0" w:space="0" w:color="auto"/>
            <w:right w:val="none" w:sz="0" w:space="0" w:color="auto"/>
          </w:divBdr>
        </w:div>
        <w:div w:id="1287157369">
          <w:marLeft w:val="274"/>
          <w:marRight w:val="0"/>
          <w:marTop w:val="0"/>
          <w:marBottom w:val="0"/>
          <w:divBdr>
            <w:top w:val="none" w:sz="0" w:space="0" w:color="auto"/>
            <w:left w:val="none" w:sz="0" w:space="0" w:color="auto"/>
            <w:bottom w:val="none" w:sz="0" w:space="0" w:color="auto"/>
            <w:right w:val="none" w:sz="0" w:space="0" w:color="auto"/>
          </w:divBdr>
        </w:div>
        <w:div w:id="1380976854">
          <w:marLeft w:val="274"/>
          <w:marRight w:val="0"/>
          <w:marTop w:val="0"/>
          <w:marBottom w:val="0"/>
          <w:divBdr>
            <w:top w:val="none" w:sz="0" w:space="0" w:color="auto"/>
            <w:left w:val="none" w:sz="0" w:space="0" w:color="auto"/>
            <w:bottom w:val="none" w:sz="0" w:space="0" w:color="auto"/>
            <w:right w:val="none" w:sz="0" w:space="0" w:color="auto"/>
          </w:divBdr>
        </w:div>
        <w:div w:id="1494417521">
          <w:marLeft w:val="274"/>
          <w:marRight w:val="0"/>
          <w:marTop w:val="0"/>
          <w:marBottom w:val="0"/>
          <w:divBdr>
            <w:top w:val="none" w:sz="0" w:space="0" w:color="auto"/>
            <w:left w:val="none" w:sz="0" w:space="0" w:color="auto"/>
            <w:bottom w:val="none" w:sz="0" w:space="0" w:color="auto"/>
            <w:right w:val="none" w:sz="0" w:space="0" w:color="auto"/>
          </w:divBdr>
        </w:div>
        <w:div w:id="1884057864">
          <w:marLeft w:val="274"/>
          <w:marRight w:val="0"/>
          <w:marTop w:val="0"/>
          <w:marBottom w:val="0"/>
          <w:divBdr>
            <w:top w:val="none" w:sz="0" w:space="0" w:color="auto"/>
            <w:left w:val="none" w:sz="0" w:space="0" w:color="auto"/>
            <w:bottom w:val="none" w:sz="0" w:space="0" w:color="auto"/>
            <w:right w:val="none" w:sz="0" w:space="0" w:color="auto"/>
          </w:divBdr>
        </w:div>
        <w:div w:id="2017271871">
          <w:marLeft w:val="274"/>
          <w:marRight w:val="0"/>
          <w:marTop w:val="0"/>
          <w:marBottom w:val="0"/>
          <w:divBdr>
            <w:top w:val="none" w:sz="0" w:space="0" w:color="auto"/>
            <w:left w:val="none" w:sz="0" w:space="0" w:color="auto"/>
            <w:bottom w:val="none" w:sz="0" w:space="0" w:color="auto"/>
            <w:right w:val="none" w:sz="0" w:space="0" w:color="auto"/>
          </w:divBdr>
        </w:div>
      </w:divsChild>
    </w:div>
    <w:div w:id="2121145097">
      <w:bodyDiv w:val="1"/>
      <w:marLeft w:val="0"/>
      <w:marRight w:val="0"/>
      <w:marTop w:val="0"/>
      <w:marBottom w:val="0"/>
      <w:divBdr>
        <w:top w:val="none" w:sz="0" w:space="0" w:color="auto"/>
        <w:left w:val="none" w:sz="0" w:space="0" w:color="auto"/>
        <w:bottom w:val="none" w:sz="0" w:space="0" w:color="auto"/>
        <w:right w:val="none" w:sz="0" w:space="0" w:color="auto"/>
      </w:divBdr>
    </w:div>
    <w:div w:id="2122140304">
      <w:bodyDiv w:val="1"/>
      <w:marLeft w:val="0"/>
      <w:marRight w:val="0"/>
      <w:marTop w:val="0"/>
      <w:marBottom w:val="0"/>
      <w:divBdr>
        <w:top w:val="none" w:sz="0" w:space="0" w:color="auto"/>
        <w:left w:val="none" w:sz="0" w:space="0" w:color="auto"/>
        <w:bottom w:val="none" w:sz="0" w:space="0" w:color="auto"/>
        <w:right w:val="none" w:sz="0" w:space="0" w:color="auto"/>
      </w:divBdr>
    </w:div>
    <w:div w:id="2131121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10CF0.2ACF2D40" TargetMode="External"/><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image" Target="media/image16.wmf"/><Relationship Id="rId21" Type="http://schemas.openxmlformats.org/officeDocument/2006/relationships/footer" Target="footer2.xml"/><Relationship Id="rId34" Type="http://schemas.openxmlformats.org/officeDocument/2006/relationships/oleObject" Target="https://healthgov.sharepoint.com/sites/HTAPolicyandMethodsReview/Shared%20Documents/Working%20documents/MSW%20Analysis%202.xlsx!10%20Example%20timelines%20others!R20C1:R34C61" TargetMode="External"/><Relationship Id="rId42" Type="http://schemas.openxmlformats.org/officeDocument/2006/relationships/oleObject" Target="https://healthgov.sharepoint.com/sites/HTAPolicyandMethodsReview/Shared%20Documents/Working%20documents/MSW%20Analysis%202.xlsx!10%20Example%20timelines%20others!R4C62:R9C63" TargetMode="External"/><Relationship Id="rId47" Type="http://schemas.openxmlformats.org/officeDocument/2006/relationships/image" Target="media/image20.wmf"/><Relationship Id="rId50" Type="http://schemas.openxmlformats.org/officeDocument/2006/relationships/image" Target="media/image22.wmf"/><Relationship Id="rId55" Type="http://schemas.openxmlformats.org/officeDocument/2006/relationships/image" Target="media/image2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6.emf"/><Relationship Id="rId33" Type="http://schemas.openxmlformats.org/officeDocument/2006/relationships/image" Target="media/image13.wmf"/><Relationship Id="rId38" Type="http://schemas.openxmlformats.org/officeDocument/2006/relationships/image" Target="media/image15.emf"/><Relationship Id="rId46" Type="http://schemas.openxmlformats.org/officeDocument/2006/relationships/oleObject" Target="https://healthgov.sharepoint.com/sites/HTAPolicyandMethodsReview/Shared%20Documents/Working%20documents/MSW%20Analysis%202.xlsx!10%20Example%20timelines%20others!R54C1:R73C63"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29" Type="http://schemas.openxmlformats.org/officeDocument/2006/relationships/image" Target="media/image9.emf"/><Relationship Id="rId41" Type="http://schemas.openxmlformats.org/officeDocument/2006/relationships/image" Target="media/image17.wmf"/><Relationship Id="rId54" Type="http://schemas.openxmlformats.org/officeDocument/2006/relationships/oleObject" Target="https://healthgov.sharepoint.com/sites/HTAPolicyandMethodsReview/Shared%20Documents/Working%20documents/MSW%20Analysis%202.xlsx!12%20Timeframe%20stats!R34C2:R34C9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12.emf"/><Relationship Id="rId37" Type="http://schemas.openxmlformats.org/officeDocument/2006/relationships/hyperlink" Target="https://www.tga.gov.au/australian-register-therapeutic-goods" TargetMode="External"/><Relationship Id="rId40" Type="http://schemas.openxmlformats.org/officeDocument/2006/relationships/oleObject" Target="https://healthgov.sharepoint.com/sites/HTAPolicyandMethodsReview/Shared%20Documents/Working%20documents/MSW%20Analysis%202.xlsx!10%20Example%20timelines%20others!R3C1:R17C61" TargetMode="External"/><Relationship Id="rId45" Type="http://schemas.openxmlformats.org/officeDocument/2006/relationships/image" Target="media/image19.wmf"/><Relationship Id="rId53" Type="http://schemas.openxmlformats.org/officeDocument/2006/relationships/image" Target="media/image24.wmf"/><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pyright@health.gov.au" TargetMode="External"/><Relationship Id="rId23" Type="http://schemas.openxmlformats.org/officeDocument/2006/relationships/footer" Target="footer3.xml"/><Relationship Id="rId28" Type="http://schemas.openxmlformats.org/officeDocument/2006/relationships/hyperlink" Target="https://www.legislation.gov.au/Series/F2002B00237" TargetMode="External"/><Relationship Id="rId36" Type="http://schemas.openxmlformats.org/officeDocument/2006/relationships/oleObject" Target="https://healthgov.sharepoint.com/sites/HTAPolicyandMethodsReview/Shared%20Documents/Working%20documents/MSW%20Analysis%202.xlsx!10%20Example%20timelines%20others!R21C62:R26C63" TargetMode="External"/><Relationship Id="rId49" Type="http://schemas.openxmlformats.org/officeDocument/2006/relationships/image" Target="media/image21.emf"/><Relationship Id="rId57" Type="http://schemas.openxmlformats.org/officeDocument/2006/relationships/image" Target="media/image27.emf"/><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oleObject" Target="https://healthgov.sharepoint.com/sites/HTAPolicyandMethodsReview/Shared%20Documents/Working%20documents/MSW%20Analysis%202.xlsx!12%20Timeframe%20stats!R36C2:R50C97" TargetMode="External"/><Relationship Id="rId52"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legalcode" TargetMode="External"/><Relationship Id="rId22" Type="http://schemas.openxmlformats.org/officeDocument/2006/relationships/header" Target="header3.xml"/><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https://healthgov.sharepoint.com/sites/HTAPolicyandMethodsReview/Shared%20Documents/Working%20documents/MSW%20Analysis%202.xlsx!12%20Timeframe%20stats!R52C2:R52C97" TargetMode="External"/><Relationship Id="rId56" Type="http://schemas.openxmlformats.org/officeDocument/2006/relationships/image" Target="media/image26.emf"/><Relationship Id="rId8" Type="http://schemas.openxmlformats.org/officeDocument/2006/relationships/webSettings" Target="webSettings.xml"/><Relationship Id="rId51" Type="http://schemas.openxmlformats.org/officeDocument/2006/relationships/oleObject" Target="https://healthgov.sharepoint.com/sites/HTAPolicyandMethodsReview/Shared%20Documents/Working%20documents/MSW%20Analysis%202.xlsx!10%20Example%20timelines%20others!R28C1:R42C63"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www.tga.gov.au/resources/publication/publications/priority-registration-process" TargetMode="External"/><Relationship Id="rId18" Type="http://schemas.openxmlformats.org/officeDocument/2006/relationships/hyperlink" Target="https://www.tga.gov.au/regulatory-framework-biologicals" TargetMode="External"/><Relationship Id="rId26" Type="http://schemas.openxmlformats.org/officeDocument/2006/relationships/hyperlink" Target="https://www.tga.gov.au/how-we-regulate/supply-therapeutic-good-0/supply-biological/application-process-supplying-biological/standard-pathway" TargetMode="External"/><Relationship Id="rId39" Type="http://schemas.openxmlformats.org/officeDocument/2006/relationships/hyperlink" Target="https://www.health.gov.au/resources/publications/national-immunisation-strategy-for-australia-2019-to-2024" TargetMode="External"/><Relationship Id="rId21" Type="http://schemas.openxmlformats.org/officeDocument/2006/relationships/hyperlink" Target="https://www.tga.gov.au/how-we-regulate/supply-therapeutic-good/supply-biological/application-process-supplying-biological/priority-review-pathway-biologicals" TargetMode="External"/><Relationship Id="rId34" Type="http://schemas.openxmlformats.org/officeDocument/2006/relationships/hyperlink" Target="https://www.pbs.gov.au/info/general/pbs-process-improvements" TargetMode="External"/><Relationship Id="rId42" Type="http://schemas.openxmlformats.org/officeDocument/2006/relationships/hyperlink" Target="https://www.health.gov.au/committees-and-groups/life-saving-drugs-program-expert-panel" TargetMode="External"/><Relationship Id="rId47" Type="http://schemas.openxmlformats.org/officeDocument/2006/relationships/hyperlink" Target="http://www.msac.gov.au/internet/msac/publishing.nsf/Content/MSAC-Guidelines" TargetMode="External"/><Relationship Id="rId50" Type="http://schemas.openxmlformats.org/officeDocument/2006/relationships/hyperlink" Target="https://pbac.pbs.gov.au/product-type-4-codependent-technologies.html" TargetMode="External"/><Relationship Id="rId55" Type="http://schemas.openxmlformats.org/officeDocument/2006/relationships/hyperlink" Target="https://www.tga.gov.au/blood-and-blood-components" TargetMode="External"/><Relationship Id="rId7" Type="http://schemas.openxmlformats.org/officeDocument/2006/relationships/hyperlink" Target="https://blood.gov.au/national-product-price-list" TargetMode="External"/><Relationship Id="rId12" Type="http://schemas.openxmlformats.org/officeDocument/2006/relationships/hyperlink" Target="https://www.tga.gov.au/resources/acronyms-and-glossary-terms" TargetMode="External"/><Relationship Id="rId17" Type="http://schemas.openxmlformats.org/officeDocument/2006/relationships/hyperlink" Target="https://www.tga.gov.au/resources/resource/guidance/what-regulated-biological" TargetMode="External"/><Relationship Id="rId25" Type="http://schemas.openxmlformats.org/officeDocument/2006/relationships/hyperlink" Target="https://www.tga.gov.au/provisional-approval-pathway-prescription-medicines" TargetMode="External"/><Relationship Id="rId33" Type="http://schemas.openxmlformats.org/officeDocument/2006/relationships/hyperlink" Target="https://www.pbs.gov.au/info/industry/listing/listing-steps" TargetMode="External"/><Relationship Id="rId38" Type="http://schemas.openxmlformats.org/officeDocument/2006/relationships/hyperlink" Target="https://www.pbs.gov.au/info/general/pbs-process-improvements" TargetMode="External"/><Relationship Id="rId46" Type="http://schemas.openxmlformats.org/officeDocument/2006/relationships/hyperlink" Target="http://www.msac.gov.au/internet/msac/publishing.nsf/Content/factsheet-03" TargetMode="External"/><Relationship Id="rId59" Type="http://schemas.openxmlformats.org/officeDocument/2006/relationships/hyperlink" Target="https://www.blood.gov.au/national-product-price-list" TargetMode="External"/><Relationship Id="rId2" Type="http://schemas.openxmlformats.org/officeDocument/2006/relationships/hyperlink" Target="https://www.tga.gov.au/products/unapproved-therapeutic-goods" TargetMode="External"/><Relationship Id="rId16" Type="http://schemas.openxmlformats.org/officeDocument/2006/relationships/hyperlink" Target="https://www.tga.gov.au/how-we-regulate/supply-therapeutic-good/supply-prescription-medicine/application-process/provisional-approval-pathway" TargetMode="External"/><Relationship Id="rId20" Type="http://schemas.openxmlformats.org/officeDocument/2006/relationships/hyperlink" Target="https://www.tga.gov.au/resources/resource/guidance/priority-inclusion-process-guidance-sponsors-biologicals-priority-applicant-determination" TargetMode="External"/><Relationship Id="rId29" Type="http://schemas.openxmlformats.org/officeDocument/2006/relationships/hyperlink" Target="https://www.pbs.gov.au/info/industry/listing/listing-steps" TargetMode="External"/><Relationship Id="rId41" Type="http://schemas.openxmlformats.org/officeDocument/2006/relationships/hyperlink" Target="https://www.health.gov.au/our-work/life-saving-drugs-program/for-medicine-sponsors" TargetMode="External"/><Relationship Id="rId54" Type="http://schemas.openxmlformats.org/officeDocument/2006/relationships/hyperlink" Target="https://federalfinancialrelations.gov.au/sites/federalfinancialrelations.gov.au/files/2021-07/NHRA_2020-25_Addendum_consolidated.pdf" TargetMode="External"/><Relationship Id="rId1" Type="http://schemas.openxmlformats.org/officeDocument/2006/relationships/hyperlink" Target="https://www.health.gov.au/resources/publications/health-technology-assessment-policy-and-methods-review-terms-of-reference" TargetMode="External"/><Relationship Id="rId6" Type="http://schemas.openxmlformats.org/officeDocument/2006/relationships/hyperlink" Target="https://www.health.gov.au/our-work/2020-25-national-health-reform-agreement-nhra" TargetMode="External"/><Relationship Id="rId11" Type="http://schemas.openxmlformats.org/officeDocument/2006/relationships/hyperlink" Target="https://www.tga.gov.au/tga-regulatory-framework" TargetMode="External"/><Relationship Id="rId24" Type="http://schemas.openxmlformats.org/officeDocument/2006/relationships/hyperlink" Target="https://www.tga.gov.au/priority-review-pathway-prescription-medicines" TargetMode="External"/><Relationship Id="rId32" Type="http://schemas.openxmlformats.org/officeDocument/2006/relationships/hyperlink" Target="https://www.pbs.gov.au/info/industry/listing/elements/pbac-meetings/pbac-consumer-comments" TargetMode="External"/><Relationship Id="rId37" Type="http://schemas.openxmlformats.org/officeDocument/2006/relationships/hyperlink" Target="https://phrma.org/-/media/Project/PhRMA/PhRMA-Org/PhRMA-Refresh/Report-PDFs/A-C/2023-04-20-PhRMA-Global-Access-to-New-Medicines-Report-FINAL-1.pdf" TargetMode="External"/><Relationship Id="rId40" Type="http://schemas.openxmlformats.org/officeDocument/2006/relationships/hyperlink" Target="https://www.health.gov.au/our-work/life-saving-drugs-program/about-the-lsdp" TargetMode="External"/><Relationship Id="rId45" Type="http://schemas.openxmlformats.org/officeDocument/2006/relationships/hyperlink" Target="https://www.health.gov.au/resources/publications/life-saving-drugs-program-lsdp-medicines-reviews-recommendations" TargetMode="External"/><Relationship Id="rId53" Type="http://schemas.openxmlformats.org/officeDocument/2006/relationships/hyperlink" Target="https://federalfinancialrelations.gov.au/sites/federalfinancialrelations.gov.au/files/2021-07/NHRA_2020-25_Addendum_consolidated.pdf" TargetMode="External"/><Relationship Id="rId58" Type="http://schemas.openxmlformats.org/officeDocument/2006/relationships/hyperlink" Target="https://www.blood.gov.au/system/files/documents/nba-national-blood-agreement.pdf" TargetMode="External"/><Relationship Id="rId5" Type="http://schemas.openxmlformats.org/officeDocument/2006/relationships/hyperlink" Target="https://www.health.gov.au/our-work/life-saving-drugs-program/for-medicine-sponsors" TargetMode="External"/><Relationship Id="rId15" Type="http://schemas.openxmlformats.org/officeDocument/2006/relationships/hyperlink" Target="https://www.tga.gov.au/provisional-approval-pathway-prescription-medicines" TargetMode="External"/><Relationship Id="rId23" Type="http://schemas.openxmlformats.org/officeDocument/2006/relationships/hyperlink" Target="https://www.tga.gov.au/fast-track-approval-pathways" TargetMode="External"/><Relationship Id="rId28" Type="http://schemas.openxmlformats.org/officeDocument/2006/relationships/hyperlink" Target="https://www.aph.gov.au/About_Parliament/Parliamentary_departments/Parliamentary_Library/pubs/rp/rp2122/Quick_Guides/ThePharmaceuticalBenefitsScheme" TargetMode="External"/><Relationship Id="rId36" Type="http://schemas.openxmlformats.org/officeDocument/2006/relationships/hyperlink" Target="https://www.medicinesaustralia.com.au/publications/medicines-matter/" TargetMode="External"/><Relationship Id="rId49" Type="http://schemas.openxmlformats.org/officeDocument/2006/relationships/hyperlink" Target="http://www.msac.gov.au/internet/msac/publishing.nsf/Content/factsheet-09" TargetMode="External"/><Relationship Id="rId57" Type="http://schemas.openxmlformats.org/officeDocument/2006/relationships/hyperlink" Target="https://healthgov.sharepoint.com/sites/HTAReview-External/Shared%20Documents/HTAR%20-%20Options%20consideration/Research%20and%20Analysis%20Papers/National%20Blood%20Agreement" TargetMode="External"/><Relationship Id="rId10" Type="http://schemas.openxmlformats.org/officeDocument/2006/relationships/hyperlink" Target="https://www.tga.gov.au/about-work-tga-risk-management-approach" TargetMode="External"/><Relationship Id="rId19" Type="http://schemas.openxmlformats.org/officeDocument/2006/relationships/hyperlink" Target="https://www.tga.gov.au/resources/resource/guidance/classification-biologicals" TargetMode="External"/><Relationship Id="rId31" Type="http://schemas.openxmlformats.org/officeDocument/2006/relationships/hyperlink" Target="https://pbac.pbs.gov.au/content/information/files/pbac-guidelines-version-5.pdf" TargetMode="External"/><Relationship Id="rId44" Type="http://schemas.openxmlformats.org/officeDocument/2006/relationships/hyperlink" Target="https://www.pbs.gov.au/info/reviews/life-saving-drugs" TargetMode="External"/><Relationship Id="rId52" Type="http://schemas.openxmlformats.org/officeDocument/2006/relationships/hyperlink" Target="https://www.pbs.gov.au/info/industry/listing/elements/pbac-meetings/psd/public-summary-documents-by-product" TargetMode="External"/><Relationship Id="rId4" Type="http://schemas.openxmlformats.org/officeDocument/2006/relationships/hyperlink" Target="https://www.health.gov.au/cheaper-medicines/benefits-and-cost-savings" TargetMode="External"/><Relationship Id="rId9" Type="http://schemas.openxmlformats.org/officeDocument/2006/relationships/hyperlink" Target="https://www.tga.gov.au/how-we-regulate/advertising/legal-framework/act-regulations-and-code-offences/how-tga-regulates" TargetMode="External"/><Relationship Id="rId14" Type="http://schemas.openxmlformats.org/officeDocument/2006/relationships/hyperlink" Target="https://www.tga.gov.au/priority-review-pathway-prescription-medicines" TargetMode="External"/><Relationship Id="rId22" Type="http://schemas.openxmlformats.org/officeDocument/2006/relationships/hyperlink" Target="https://www.tga.gov.au/overview-medical-devices-and-ivd-regulation" TargetMode="External"/><Relationship Id="rId27" Type="http://schemas.openxmlformats.org/officeDocument/2006/relationships/hyperlink" Target="https://www.tga.gov.au/how-we-regulate/supply-therapeutic-good-0/supply-biological/priority-review-pathway-biologicals" TargetMode="External"/><Relationship Id="rId30" Type="http://schemas.openxmlformats.org/officeDocument/2006/relationships/hyperlink" Target="https://pbac.pbs.gov.au/home.html" TargetMode="External"/><Relationship Id="rId35" Type="http://schemas.openxmlformats.org/officeDocument/2006/relationships/hyperlink" Target="https://cirsci.org/publications/cirs-rd-briefing-89-review-of-hta-outcomes-and-timelines-in-australia-canada-europe-and-the-uk-2018-2022/" TargetMode="External"/><Relationship Id="rId43" Type="http://schemas.openxmlformats.org/officeDocument/2006/relationships/hyperlink" Target="https://www.health.gov.au/sites/default/files/documents/2020/10/procedure-guidance-for-medicines-funded-through-the-life-saving-drugs-program-lsdp.pdf" TargetMode="External"/><Relationship Id="rId48" Type="http://schemas.openxmlformats.org/officeDocument/2006/relationships/hyperlink" Target="http://www.msac.gov.au/internet/msac/publishing.nsf/Content/MSAC-Guidelines" TargetMode="External"/><Relationship Id="rId56" Type="http://schemas.openxmlformats.org/officeDocument/2006/relationships/hyperlink" Target="https://www.blood.gov.au/about-nba" TargetMode="External"/><Relationship Id="rId8" Type="http://schemas.openxmlformats.org/officeDocument/2006/relationships/hyperlink" Target="https://www.tga.gov.au/about-tga/legislation" TargetMode="External"/><Relationship Id="rId51" Type="http://schemas.openxmlformats.org/officeDocument/2006/relationships/hyperlink" Target="https://www.pbs.gov.au/pbs/industry/listing/procedure-guidance/6-consideration-submissions/6-11-codependent-submission-processes" TargetMode="External"/><Relationship Id="rId3" Type="http://schemas.openxmlformats.org/officeDocument/2006/relationships/hyperlink" Target="https://www.aihw.gov.au/getmedia/dfcb6ed2-dfcd-42e8-8c1e-75f5f7ccbfa7/AIHW-HWE-89-HEA-2020-21-data-tables.xls.aspx" TargetMode="External"/></Relationships>
</file>

<file path=word/theme/theme1.xml><?xml version="1.0" encoding="utf-8"?>
<a:theme xmlns:a="http://schemas.openxmlformats.org/drawingml/2006/main" name="HTA Review">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920aa1-7832-453e-a147-98c77996387c">
      <Terms xmlns="http://schemas.microsoft.com/office/infopath/2007/PartnerControls"/>
    </lcf76f155ced4ddcb4097134ff3c332f>
    <TaxCatchAll xmlns="c4876c76-5897-4d5d-ac80-954d0599e13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6" ma:contentTypeDescription="Create a new document." ma:contentTypeScope="" ma:versionID="3b368dc8a2b8b31f5f834a0327a44a56">
  <xsd:schema xmlns:xsd="http://www.w3.org/2001/XMLSchema" xmlns:xs="http://www.w3.org/2001/XMLSchema" xmlns:p="http://schemas.microsoft.com/office/2006/metadata/properties" xmlns:ns2="c4876c76-5897-4d5d-ac80-954d0599e137" xmlns:ns3="01920aa1-7832-453e-a147-98c77996387c" targetNamespace="http://schemas.microsoft.com/office/2006/metadata/properties" ma:root="true" ma:fieldsID="e67780a3b9c0d6ec2d453ca394bc367e" ns2:_="" ns3:_="">
    <xsd:import namespace="c4876c76-5897-4d5d-ac80-954d0599e137"/>
    <xsd:import namespace="01920aa1-7832-453e-a147-98c7799638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074fb71-3d31-424b-8837-24a0ba3e9c61}"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CAA321-F5C2-43B5-9E12-1F4F302A5A63}">
  <ds:schemaRefs>
    <ds:schemaRef ds:uri="01920aa1-7832-453e-a147-98c77996387c"/>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c4876c76-5897-4d5d-ac80-954d0599e137"/>
    <ds:schemaRef ds:uri="http://www.w3.org/XML/1998/namespace"/>
    <ds:schemaRef ds:uri="http://purl.org/dc/dcmitype/"/>
  </ds:schemaRefs>
</ds:datastoreItem>
</file>

<file path=customXml/itemProps2.xml><?xml version="1.0" encoding="utf-8"?>
<ds:datastoreItem xmlns:ds="http://schemas.openxmlformats.org/officeDocument/2006/customXml" ds:itemID="{04C2738C-665A-44C7-B6F4-5961C7A4A523}">
  <ds:schemaRefs>
    <ds:schemaRef ds:uri="http://schemas.microsoft.com/sharepoint/v3/contenttype/forms"/>
  </ds:schemaRefs>
</ds:datastoreItem>
</file>

<file path=customXml/itemProps3.xml><?xml version="1.0" encoding="utf-8"?>
<ds:datastoreItem xmlns:ds="http://schemas.openxmlformats.org/officeDocument/2006/customXml" ds:itemID="{F7269DE3-DC36-44C3-BCA9-806915A24C5F}">
  <ds:schemaRefs>
    <ds:schemaRef ds:uri="http://schemas.openxmlformats.org/officeDocument/2006/bibliography"/>
  </ds:schemaRefs>
</ds:datastoreItem>
</file>

<file path=customXml/itemProps4.xml><?xml version="1.0" encoding="utf-8"?>
<ds:datastoreItem xmlns:ds="http://schemas.openxmlformats.org/officeDocument/2006/customXml" ds:itemID="{E97290AB-F27F-4885-86B5-DEC708F38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876c76-5897-4d5d-ac80-954d0599e137"/>
    <ds:schemaRef ds:uri="01920aa1-7832-453e-a147-98c779963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18622</Words>
  <Characters>106146</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124519</CharactersWithSpaces>
  <SharedDoc>false</SharedDoc>
  <HLinks>
    <vt:vector size="636" baseType="variant">
      <vt:variant>
        <vt:i4>393235</vt:i4>
      </vt:variant>
      <vt:variant>
        <vt:i4>321</vt:i4>
      </vt:variant>
      <vt:variant>
        <vt:i4>0</vt:i4>
      </vt:variant>
      <vt:variant>
        <vt:i4>5</vt:i4>
      </vt:variant>
      <vt:variant>
        <vt:lpwstr>https://www.tga.gov.au/australian-register-therapeutic-goods</vt:lpwstr>
      </vt:variant>
      <vt:variant>
        <vt:lpwstr/>
      </vt:variant>
      <vt:variant>
        <vt:i4>65560</vt:i4>
      </vt:variant>
      <vt:variant>
        <vt:i4>300</vt:i4>
      </vt:variant>
      <vt:variant>
        <vt:i4>0</vt:i4>
      </vt:variant>
      <vt:variant>
        <vt:i4>5</vt:i4>
      </vt:variant>
      <vt:variant>
        <vt:lpwstr>https://www.legislation.gov.au/Series/F2002B00237</vt:lpwstr>
      </vt:variant>
      <vt:variant>
        <vt:lpwstr/>
      </vt:variant>
      <vt:variant>
        <vt:i4>1638457</vt:i4>
      </vt:variant>
      <vt:variant>
        <vt:i4>290</vt:i4>
      </vt:variant>
      <vt:variant>
        <vt:i4>0</vt:i4>
      </vt:variant>
      <vt:variant>
        <vt:i4>5</vt:i4>
      </vt:variant>
      <vt:variant>
        <vt:lpwstr/>
      </vt:variant>
      <vt:variant>
        <vt:lpwstr>_Toc156576988</vt:lpwstr>
      </vt:variant>
      <vt:variant>
        <vt:i4>1638457</vt:i4>
      </vt:variant>
      <vt:variant>
        <vt:i4>284</vt:i4>
      </vt:variant>
      <vt:variant>
        <vt:i4>0</vt:i4>
      </vt:variant>
      <vt:variant>
        <vt:i4>5</vt:i4>
      </vt:variant>
      <vt:variant>
        <vt:lpwstr/>
      </vt:variant>
      <vt:variant>
        <vt:lpwstr>_Toc156576987</vt:lpwstr>
      </vt:variant>
      <vt:variant>
        <vt:i4>1638457</vt:i4>
      </vt:variant>
      <vt:variant>
        <vt:i4>278</vt:i4>
      </vt:variant>
      <vt:variant>
        <vt:i4>0</vt:i4>
      </vt:variant>
      <vt:variant>
        <vt:i4>5</vt:i4>
      </vt:variant>
      <vt:variant>
        <vt:lpwstr/>
      </vt:variant>
      <vt:variant>
        <vt:lpwstr>_Toc156576986</vt:lpwstr>
      </vt:variant>
      <vt:variant>
        <vt:i4>1638457</vt:i4>
      </vt:variant>
      <vt:variant>
        <vt:i4>272</vt:i4>
      </vt:variant>
      <vt:variant>
        <vt:i4>0</vt:i4>
      </vt:variant>
      <vt:variant>
        <vt:i4>5</vt:i4>
      </vt:variant>
      <vt:variant>
        <vt:lpwstr/>
      </vt:variant>
      <vt:variant>
        <vt:lpwstr>_Toc156576985</vt:lpwstr>
      </vt:variant>
      <vt:variant>
        <vt:i4>1638457</vt:i4>
      </vt:variant>
      <vt:variant>
        <vt:i4>266</vt:i4>
      </vt:variant>
      <vt:variant>
        <vt:i4>0</vt:i4>
      </vt:variant>
      <vt:variant>
        <vt:i4>5</vt:i4>
      </vt:variant>
      <vt:variant>
        <vt:lpwstr/>
      </vt:variant>
      <vt:variant>
        <vt:lpwstr>_Toc156576984</vt:lpwstr>
      </vt:variant>
      <vt:variant>
        <vt:i4>1638457</vt:i4>
      </vt:variant>
      <vt:variant>
        <vt:i4>260</vt:i4>
      </vt:variant>
      <vt:variant>
        <vt:i4>0</vt:i4>
      </vt:variant>
      <vt:variant>
        <vt:i4>5</vt:i4>
      </vt:variant>
      <vt:variant>
        <vt:lpwstr/>
      </vt:variant>
      <vt:variant>
        <vt:lpwstr>_Toc156576983</vt:lpwstr>
      </vt:variant>
      <vt:variant>
        <vt:i4>1638457</vt:i4>
      </vt:variant>
      <vt:variant>
        <vt:i4>254</vt:i4>
      </vt:variant>
      <vt:variant>
        <vt:i4>0</vt:i4>
      </vt:variant>
      <vt:variant>
        <vt:i4>5</vt:i4>
      </vt:variant>
      <vt:variant>
        <vt:lpwstr/>
      </vt:variant>
      <vt:variant>
        <vt:lpwstr>_Toc156576982</vt:lpwstr>
      </vt:variant>
      <vt:variant>
        <vt:i4>1638457</vt:i4>
      </vt:variant>
      <vt:variant>
        <vt:i4>248</vt:i4>
      </vt:variant>
      <vt:variant>
        <vt:i4>0</vt:i4>
      </vt:variant>
      <vt:variant>
        <vt:i4>5</vt:i4>
      </vt:variant>
      <vt:variant>
        <vt:lpwstr/>
      </vt:variant>
      <vt:variant>
        <vt:lpwstr>_Toc156576981</vt:lpwstr>
      </vt:variant>
      <vt:variant>
        <vt:i4>1638457</vt:i4>
      </vt:variant>
      <vt:variant>
        <vt:i4>242</vt:i4>
      </vt:variant>
      <vt:variant>
        <vt:i4>0</vt:i4>
      </vt:variant>
      <vt:variant>
        <vt:i4>5</vt:i4>
      </vt:variant>
      <vt:variant>
        <vt:lpwstr/>
      </vt:variant>
      <vt:variant>
        <vt:lpwstr>_Toc156576980</vt:lpwstr>
      </vt:variant>
      <vt:variant>
        <vt:i4>1441849</vt:i4>
      </vt:variant>
      <vt:variant>
        <vt:i4>236</vt:i4>
      </vt:variant>
      <vt:variant>
        <vt:i4>0</vt:i4>
      </vt:variant>
      <vt:variant>
        <vt:i4>5</vt:i4>
      </vt:variant>
      <vt:variant>
        <vt:lpwstr/>
      </vt:variant>
      <vt:variant>
        <vt:lpwstr>_Toc156576979</vt:lpwstr>
      </vt:variant>
      <vt:variant>
        <vt:i4>1441849</vt:i4>
      </vt:variant>
      <vt:variant>
        <vt:i4>230</vt:i4>
      </vt:variant>
      <vt:variant>
        <vt:i4>0</vt:i4>
      </vt:variant>
      <vt:variant>
        <vt:i4>5</vt:i4>
      </vt:variant>
      <vt:variant>
        <vt:lpwstr/>
      </vt:variant>
      <vt:variant>
        <vt:lpwstr>_Toc156576978</vt:lpwstr>
      </vt:variant>
      <vt:variant>
        <vt:i4>1441849</vt:i4>
      </vt:variant>
      <vt:variant>
        <vt:i4>224</vt:i4>
      </vt:variant>
      <vt:variant>
        <vt:i4>0</vt:i4>
      </vt:variant>
      <vt:variant>
        <vt:i4>5</vt:i4>
      </vt:variant>
      <vt:variant>
        <vt:lpwstr/>
      </vt:variant>
      <vt:variant>
        <vt:lpwstr>_Toc156576977</vt:lpwstr>
      </vt:variant>
      <vt:variant>
        <vt:i4>1441849</vt:i4>
      </vt:variant>
      <vt:variant>
        <vt:i4>218</vt:i4>
      </vt:variant>
      <vt:variant>
        <vt:i4>0</vt:i4>
      </vt:variant>
      <vt:variant>
        <vt:i4>5</vt:i4>
      </vt:variant>
      <vt:variant>
        <vt:lpwstr/>
      </vt:variant>
      <vt:variant>
        <vt:lpwstr>_Toc156576976</vt:lpwstr>
      </vt:variant>
      <vt:variant>
        <vt:i4>1441849</vt:i4>
      </vt:variant>
      <vt:variant>
        <vt:i4>212</vt:i4>
      </vt:variant>
      <vt:variant>
        <vt:i4>0</vt:i4>
      </vt:variant>
      <vt:variant>
        <vt:i4>5</vt:i4>
      </vt:variant>
      <vt:variant>
        <vt:lpwstr/>
      </vt:variant>
      <vt:variant>
        <vt:lpwstr>_Toc156576975</vt:lpwstr>
      </vt:variant>
      <vt:variant>
        <vt:i4>1441849</vt:i4>
      </vt:variant>
      <vt:variant>
        <vt:i4>206</vt:i4>
      </vt:variant>
      <vt:variant>
        <vt:i4>0</vt:i4>
      </vt:variant>
      <vt:variant>
        <vt:i4>5</vt:i4>
      </vt:variant>
      <vt:variant>
        <vt:lpwstr/>
      </vt:variant>
      <vt:variant>
        <vt:lpwstr>_Toc156576974</vt:lpwstr>
      </vt:variant>
      <vt:variant>
        <vt:i4>1441849</vt:i4>
      </vt:variant>
      <vt:variant>
        <vt:i4>200</vt:i4>
      </vt:variant>
      <vt:variant>
        <vt:i4>0</vt:i4>
      </vt:variant>
      <vt:variant>
        <vt:i4>5</vt:i4>
      </vt:variant>
      <vt:variant>
        <vt:lpwstr/>
      </vt:variant>
      <vt:variant>
        <vt:lpwstr>_Toc156576973</vt:lpwstr>
      </vt:variant>
      <vt:variant>
        <vt:i4>1441849</vt:i4>
      </vt:variant>
      <vt:variant>
        <vt:i4>194</vt:i4>
      </vt:variant>
      <vt:variant>
        <vt:i4>0</vt:i4>
      </vt:variant>
      <vt:variant>
        <vt:i4>5</vt:i4>
      </vt:variant>
      <vt:variant>
        <vt:lpwstr/>
      </vt:variant>
      <vt:variant>
        <vt:lpwstr>_Toc156576972</vt:lpwstr>
      </vt:variant>
      <vt:variant>
        <vt:i4>1441849</vt:i4>
      </vt:variant>
      <vt:variant>
        <vt:i4>188</vt:i4>
      </vt:variant>
      <vt:variant>
        <vt:i4>0</vt:i4>
      </vt:variant>
      <vt:variant>
        <vt:i4>5</vt:i4>
      </vt:variant>
      <vt:variant>
        <vt:lpwstr/>
      </vt:variant>
      <vt:variant>
        <vt:lpwstr>_Toc156576971</vt:lpwstr>
      </vt:variant>
      <vt:variant>
        <vt:i4>1441849</vt:i4>
      </vt:variant>
      <vt:variant>
        <vt:i4>182</vt:i4>
      </vt:variant>
      <vt:variant>
        <vt:i4>0</vt:i4>
      </vt:variant>
      <vt:variant>
        <vt:i4>5</vt:i4>
      </vt:variant>
      <vt:variant>
        <vt:lpwstr/>
      </vt:variant>
      <vt:variant>
        <vt:lpwstr>_Toc156576970</vt:lpwstr>
      </vt:variant>
      <vt:variant>
        <vt:i4>1507385</vt:i4>
      </vt:variant>
      <vt:variant>
        <vt:i4>176</vt:i4>
      </vt:variant>
      <vt:variant>
        <vt:i4>0</vt:i4>
      </vt:variant>
      <vt:variant>
        <vt:i4>5</vt:i4>
      </vt:variant>
      <vt:variant>
        <vt:lpwstr/>
      </vt:variant>
      <vt:variant>
        <vt:lpwstr>_Toc156576969</vt:lpwstr>
      </vt:variant>
      <vt:variant>
        <vt:i4>1507385</vt:i4>
      </vt:variant>
      <vt:variant>
        <vt:i4>170</vt:i4>
      </vt:variant>
      <vt:variant>
        <vt:i4>0</vt:i4>
      </vt:variant>
      <vt:variant>
        <vt:i4>5</vt:i4>
      </vt:variant>
      <vt:variant>
        <vt:lpwstr/>
      </vt:variant>
      <vt:variant>
        <vt:lpwstr>_Toc156576968</vt:lpwstr>
      </vt:variant>
      <vt:variant>
        <vt:i4>1507385</vt:i4>
      </vt:variant>
      <vt:variant>
        <vt:i4>164</vt:i4>
      </vt:variant>
      <vt:variant>
        <vt:i4>0</vt:i4>
      </vt:variant>
      <vt:variant>
        <vt:i4>5</vt:i4>
      </vt:variant>
      <vt:variant>
        <vt:lpwstr/>
      </vt:variant>
      <vt:variant>
        <vt:lpwstr>_Toc156576967</vt:lpwstr>
      </vt:variant>
      <vt:variant>
        <vt:i4>1507385</vt:i4>
      </vt:variant>
      <vt:variant>
        <vt:i4>158</vt:i4>
      </vt:variant>
      <vt:variant>
        <vt:i4>0</vt:i4>
      </vt:variant>
      <vt:variant>
        <vt:i4>5</vt:i4>
      </vt:variant>
      <vt:variant>
        <vt:lpwstr/>
      </vt:variant>
      <vt:variant>
        <vt:lpwstr>_Toc156576966</vt:lpwstr>
      </vt:variant>
      <vt:variant>
        <vt:i4>1507385</vt:i4>
      </vt:variant>
      <vt:variant>
        <vt:i4>152</vt:i4>
      </vt:variant>
      <vt:variant>
        <vt:i4>0</vt:i4>
      </vt:variant>
      <vt:variant>
        <vt:i4>5</vt:i4>
      </vt:variant>
      <vt:variant>
        <vt:lpwstr/>
      </vt:variant>
      <vt:variant>
        <vt:lpwstr>_Toc156576965</vt:lpwstr>
      </vt:variant>
      <vt:variant>
        <vt:i4>1507385</vt:i4>
      </vt:variant>
      <vt:variant>
        <vt:i4>146</vt:i4>
      </vt:variant>
      <vt:variant>
        <vt:i4>0</vt:i4>
      </vt:variant>
      <vt:variant>
        <vt:i4>5</vt:i4>
      </vt:variant>
      <vt:variant>
        <vt:lpwstr/>
      </vt:variant>
      <vt:variant>
        <vt:lpwstr>_Toc156576964</vt:lpwstr>
      </vt:variant>
      <vt:variant>
        <vt:i4>1507385</vt:i4>
      </vt:variant>
      <vt:variant>
        <vt:i4>140</vt:i4>
      </vt:variant>
      <vt:variant>
        <vt:i4>0</vt:i4>
      </vt:variant>
      <vt:variant>
        <vt:i4>5</vt:i4>
      </vt:variant>
      <vt:variant>
        <vt:lpwstr/>
      </vt:variant>
      <vt:variant>
        <vt:lpwstr>_Toc156576963</vt:lpwstr>
      </vt:variant>
      <vt:variant>
        <vt:i4>1507385</vt:i4>
      </vt:variant>
      <vt:variant>
        <vt:i4>134</vt:i4>
      </vt:variant>
      <vt:variant>
        <vt:i4>0</vt:i4>
      </vt:variant>
      <vt:variant>
        <vt:i4>5</vt:i4>
      </vt:variant>
      <vt:variant>
        <vt:lpwstr/>
      </vt:variant>
      <vt:variant>
        <vt:lpwstr>_Toc156576962</vt:lpwstr>
      </vt:variant>
      <vt:variant>
        <vt:i4>1507385</vt:i4>
      </vt:variant>
      <vt:variant>
        <vt:i4>128</vt:i4>
      </vt:variant>
      <vt:variant>
        <vt:i4>0</vt:i4>
      </vt:variant>
      <vt:variant>
        <vt:i4>5</vt:i4>
      </vt:variant>
      <vt:variant>
        <vt:lpwstr/>
      </vt:variant>
      <vt:variant>
        <vt:lpwstr>_Toc156576961</vt:lpwstr>
      </vt:variant>
      <vt:variant>
        <vt:i4>1507385</vt:i4>
      </vt:variant>
      <vt:variant>
        <vt:i4>122</vt:i4>
      </vt:variant>
      <vt:variant>
        <vt:i4>0</vt:i4>
      </vt:variant>
      <vt:variant>
        <vt:i4>5</vt:i4>
      </vt:variant>
      <vt:variant>
        <vt:lpwstr/>
      </vt:variant>
      <vt:variant>
        <vt:lpwstr>_Toc156576960</vt:lpwstr>
      </vt:variant>
      <vt:variant>
        <vt:i4>1310777</vt:i4>
      </vt:variant>
      <vt:variant>
        <vt:i4>116</vt:i4>
      </vt:variant>
      <vt:variant>
        <vt:i4>0</vt:i4>
      </vt:variant>
      <vt:variant>
        <vt:i4>5</vt:i4>
      </vt:variant>
      <vt:variant>
        <vt:lpwstr/>
      </vt:variant>
      <vt:variant>
        <vt:lpwstr>_Toc156576959</vt:lpwstr>
      </vt:variant>
      <vt:variant>
        <vt:i4>1310777</vt:i4>
      </vt:variant>
      <vt:variant>
        <vt:i4>110</vt:i4>
      </vt:variant>
      <vt:variant>
        <vt:i4>0</vt:i4>
      </vt:variant>
      <vt:variant>
        <vt:i4>5</vt:i4>
      </vt:variant>
      <vt:variant>
        <vt:lpwstr/>
      </vt:variant>
      <vt:variant>
        <vt:lpwstr>_Toc156576958</vt:lpwstr>
      </vt:variant>
      <vt:variant>
        <vt:i4>1310777</vt:i4>
      </vt:variant>
      <vt:variant>
        <vt:i4>104</vt:i4>
      </vt:variant>
      <vt:variant>
        <vt:i4>0</vt:i4>
      </vt:variant>
      <vt:variant>
        <vt:i4>5</vt:i4>
      </vt:variant>
      <vt:variant>
        <vt:lpwstr/>
      </vt:variant>
      <vt:variant>
        <vt:lpwstr>_Toc156576957</vt:lpwstr>
      </vt:variant>
      <vt:variant>
        <vt:i4>1310777</vt:i4>
      </vt:variant>
      <vt:variant>
        <vt:i4>98</vt:i4>
      </vt:variant>
      <vt:variant>
        <vt:i4>0</vt:i4>
      </vt:variant>
      <vt:variant>
        <vt:i4>5</vt:i4>
      </vt:variant>
      <vt:variant>
        <vt:lpwstr/>
      </vt:variant>
      <vt:variant>
        <vt:lpwstr>_Toc156576956</vt:lpwstr>
      </vt:variant>
      <vt:variant>
        <vt:i4>1310777</vt:i4>
      </vt:variant>
      <vt:variant>
        <vt:i4>92</vt:i4>
      </vt:variant>
      <vt:variant>
        <vt:i4>0</vt:i4>
      </vt:variant>
      <vt:variant>
        <vt:i4>5</vt:i4>
      </vt:variant>
      <vt:variant>
        <vt:lpwstr/>
      </vt:variant>
      <vt:variant>
        <vt:lpwstr>_Toc156576955</vt:lpwstr>
      </vt:variant>
      <vt:variant>
        <vt:i4>1310777</vt:i4>
      </vt:variant>
      <vt:variant>
        <vt:i4>86</vt:i4>
      </vt:variant>
      <vt:variant>
        <vt:i4>0</vt:i4>
      </vt:variant>
      <vt:variant>
        <vt:i4>5</vt:i4>
      </vt:variant>
      <vt:variant>
        <vt:lpwstr/>
      </vt:variant>
      <vt:variant>
        <vt:lpwstr>_Toc156576954</vt:lpwstr>
      </vt:variant>
      <vt:variant>
        <vt:i4>1310777</vt:i4>
      </vt:variant>
      <vt:variant>
        <vt:i4>80</vt:i4>
      </vt:variant>
      <vt:variant>
        <vt:i4>0</vt:i4>
      </vt:variant>
      <vt:variant>
        <vt:i4>5</vt:i4>
      </vt:variant>
      <vt:variant>
        <vt:lpwstr/>
      </vt:variant>
      <vt:variant>
        <vt:lpwstr>_Toc156576953</vt:lpwstr>
      </vt:variant>
      <vt:variant>
        <vt:i4>1310777</vt:i4>
      </vt:variant>
      <vt:variant>
        <vt:i4>74</vt:i4>
      </vt:variant>
      <vt:variant>
        <vt:i4>0</vt:i4>
      </vt:variant>
      <vt:variant>
        <vt:i4>5</vt:i4>
      </vt:variant>
      <vt:variant>
        <vt:lpwstr/>
      </vt:variant>
      <vt:variant>
        <vt:lpwstr>_Toc156576952</vt:lpwstr>
      </vt:variant>
      <vt:variant>
        <vt:i4>1310777</vt:i4>
      </vt:variant>
      <vt:variant>
        <vt:i4>68</vt:i4>
      </vt:variant>
      <vt:variant>
        <vt:i4>0</vt:i4>
      </vt:variant>
      <vt:variant>
        <vt:i4>5</vt:i4>
      </vt:variant>
      <vt:variant>
        <vt:lpwstr/>
      </vt:variant>
      <vt:variant>
        <vt:lpwstr>_Toc156576951</vt:lpwstr>
      </vt:variant>
      <vt:variant>
        <vt:i4>1310777</vt:i4>
      </vt:variant>
      <vt:variant>
        <vt:i4>62</vt:i4>
      </vt:variant>
      <vt:variant>
        <vt:i4>0</vt:i4>
      </vt:variant>
      <vt:variant>
        <vt:i4>5</vt:i4>
      </vt:variant>
      <vt:variant>
        <vt:lpwstr/>
      </vt:variant>
      <vt:variant>
        <vt:lpwstr>_Toc156576950</vt:lpwstr>
      </vt:variant>
      <vt:variant>
        <vt:i4>1376313</vt:i4>
      </vt:variant>
      <vt:variant>
        <vt:i4>56</vt:i4>
      </vt:variant>
      <vt:variant>
        <vt:i4>0</vt:i4>
      </vt:variant>
      <vt:variant>
        <vt:i4>5</vt:i4>
      </vt:variant>
      <vt:variant>
        <vt:lpwstr/>
      </vt:variant>
      <vt:variant>
        <vt:lpwstr>_Toc156576949</vt:lpwstr>
      </vt:variant>
      <vt:variant>
        <vt:i4>1376313</vt:i4>
      </vt:variant>
      <vt:variant>
        <vt:i4>50</vt:i4>
      </vt:variant>
      <vt:variant>
        <vt:i4>0</vt:i4>
      </vt:variant>
      <vt:variant>
        <vt:i4>5</vt:i4>
      </vt:variant>
      <vt:variant>
        <vt:lpwstr/>
      </vt:variant>
      <vt:variant>
        <vt:lpwstr>_Toc156576948</vt:lpwstr>
      </vt:variant>
      <vt:variant>
        <vt:i4>1376313</vt:i4>
      </vt:variant>
      <vt:variant>
        <vt:i4>44</vt:i4>
      </vt:variant>
      <vt:variant>
        <vt:i4>0</vt:i4>
      </vt:variant>
      <vt:variant>
        <vt:i4>5</vt:i4>
      </vt:variant>
      <vt:variant>
        <vt:lpwstr/>
      </vt:variant>
      <vt:variant>
        <vt:lpwstr>_Toc156576947</vt:lpwstr>
      </vt:variant>
      <vt:variant>
        <vt:i4>1376313</vt:i4>
      </vt:variant>
      <vt:variant>
        <vt:i4>38</vt:i4>
      </vt:variant>
      <vt:variant>
        <vt:i4>0</vt:i4>
      </vt:variant>
      <vt:variant>
        <vt:i4>5</vt:i4>
      </vt:variant>
      <vt:variant>
        <vt:lpwstr/>
      </vt:variant>
      <vt:variant>
        <vt:lpwstr>_Toc156576946</vt:lpwstr>
      </vt:variant>
      <vt:variant>
        <vt:i4>1376313</vt:i4>
      </vt:variant>
      <vt:variant>
        <vt:i4>32</vt:i4>
      </vt:variant>
      <vt:variant>
        <vt:i4>0</vt:i4>
      </vt:variant>
      <vt:variant>
        <vt:i4>5</vt:i4>
      </vt:variant>
      <vt:variant>
        <vt:lpwstr/>
      </vt:variant>
      <vt:variant>
        <vt:lpwstr>_Toc156576945</vt:lpwstr>
      </vt:variant>
      <vt:variant>
        <vt:i4>1376313</vt:i4>
      </vt:variant>
      <vt:variant>
        <vt:i4>26</vt:i4>
      </vt:variant>
      <vt:variant>
        <vt:i4>0</vt:i4>
      </vt:variant>
      <vt:variant>
        <vt:i4>5</vt:i4>
      </vt:variant>
      <vt:variant>
        <vt:lpwstr/>
      </vt:variant>
      <vt:variant>
        <vt:lpwstr>_Toc156576944</vt:lpwstr>
      </vt:variant>
      <vt:variant>
        <vt:i4>1376313</vt:i4>
      </vt:variant>
      <vt:variant>
        <vt:i4>20</vt:i4>
      </vt:variant>
      <vt:variant>
        <vt:i4>0</vt:i4>
      </vt:variant>
      <vt:variant>
        <vt:i4>5</vt:i4>
      </vt:variant>
      <vt:variant>
        <vt:lpwstr/>
      </vt:variant>
      <vt:variant>
        <vt:lpwstr>_Toc156576943</vt:lpwstr>
      </vt:variant>
      <vt:variant>
        <vt:i4>1376313</vt:i4>
      </vt:variant>
      <vt:variant>
        <vt:i4>14</vt:i4>
      </vt:variant>
      <vt:variant>
        <vt:i4>0</vt:i4>
      </vt:variant>
      <vt:variant>
        <vt:i4>5</vt:i4>
      </vt:variant>
      <vt:variant>
        <vt:lpwstr/>
      </vt:variant>
      <vt:variant>
        <vt:lpwstr>_Toc156576942</vt:lpwstr>
      </vt:variant>
      <vt:variant>
        <vt:i4>1376313</vt:i4>
      </vt:variant>
      <vt:variant>
        <vt:i4>8</vt:i4>
      </vt:variant>
      <vt:variant>
        <vt:i4>0</vt:i4>
      </vt:variant>
      <vt:variant>
        <vt:i4>5</vt:i4>
      </vt:variant>
      <vt:variant>
        <vt:lpwstr/>
      </vt:variant>
      <vt:variant>
        <vt:lpwstr>_Toc156576941</vt:lpwstr>
      </vt:variant>
      <vt:variant>
        <vt:i4>1376313</vt:i4>
      </vt:variant>
      <vt:variant>
        <vt:i4>2</vt:i4>
      </vt:variant>
      <vt:variant>
        <vt:i4>0</vt:i4>
      </vt:variant>
      <vt:variant>
        <vt:i4>5</vt:i4>
      </vt:variant>
      <vt:variant>
        <vt:lpwstr/>
      </vt:variant>
      <vt:variant>
        <vt:lpwstr>_Toc156576940</vt:lpwstr>
      </vt:variant>
      <vt:variant>
        <vt:i4>1114113</vt:i4>
      </vt:variant>
      <vt:variant>
        <vt:i4>162</vt:i4>
      </vt:variant>
      <vt:variant>
        <vt:i4>0</vt:i4>
      </vt:variant>
      <vt:variant>
        <vt:i4>5</vt:i4>
      </vt:variant>
      <vt:variant>
        <vt:lpwstr>https://www.blood.gov.au/national-product-price-list</vt:lpwstr>
      </vt:variant>
      <vt:variant>
        <vt:lpwstr/>
      </vt:variant>
      <vt:variant>
        <vt:i4>4259915</vt:i4>
      </vt:variant>
      <vt:variant>
        <vt:i4>159</vt:i4>
      </vt:variant>
      <vt:variant>
        <vt:i4>0</vt:i4>
      </vt:variant>
      <vt:variant>
        <vt:i4>5</vt:i4>
      </vt:variant>
      <vt:variant>
        <vt:lpwstr>https://www.blood.gov.au/system/files/documents/nba-national-blood-agreement.pdf</vt:lpwstr>
      </vt:variant>
      <vt:variant>
        <vt:lpwstr/>
      </vt:variant>
      <vt:variant>
        <vt:i4>262166</vt:i4>
      </vt:variant>
      <vt:variant>
        <vt:i4>156</vt:i4>
      </vt:variant>
      <vt:variant>
        <vt:i4>0</vt:i4>
      </vt:variant>
      <vt:variant>
        <vt:i4>5</vt:i4>
      </vt:variant>
      <vt:variant>
        <vt:lpwstr>National Blood Agreement</vt:lpwstr>
      </vt:variant>
      <vt:variant>
        <vt:lpwstr/>
      </vt:variant>
      <vt:variant>
        <vt:i4>2359342</vt:i4>
      </vt:variant>
      <vt:variant>
        <vt:i4>153</vt:i4>
      </vt:variant>
      <vt:variant>
        <vt:i4>0</vt:i4>
      </vt:variant>
      <vt:variant>
        <vt:i4>5</vt:i4>
      </vt:variant>
      <vt:variant>
        <vt:lpwstr>https://www.blood.gov.au/about-nba</vt:lpwstr>
      </vt:variant>
      <vt:variant>
        <vt:lpwstr/>
      </vt:variant>
      <vt:variant>
        <vt:i4>4194390</vt:i4>
      </vt:variant>
      <vt:variant>
        <vt:i4>150</vt:i4>
      </vt:variant>
      <vt:variant>
        <vt:i4>0</vt:i4>
      </vt:variant>
      <vt:variant>
        <vt:i4>5</vt:i4>
      </vt:variant>
      <vt:variant>
        <vt:lpwstr>https://www.tga.gov.au/blood-and-blood-components</vt:lpwstr>
      </vt:variant>
      <vt:variant>
        <vt:lpwstr/>
      </vt:variant>
      <vt:variant>
        <vt:i4>4063303</vt:i4>
      </vt:variant>
      <vt:variant>
        <vt:i4>147</vt:i4>
      </vt:variant>
      <vt:variant>
        <vt:i4>0</vt:i4>
      </vt:variant>
      <vt:variant>
        <vt:i4>5</vt:i4>
      </vt:variant>
      <vt:variant>
        <vt:lpwstr>https://federalfinancialrelations.gov.au/sites/federalfinancialrelations.gov.au/files/2021-07/NHRA_2020-25_Addendum_consolidated.pdf</vt:lpwstr>
      </vt:variant>
      <vt:variant>
        <vt:lpwstr/>
      </vt:variant>
      <vt:variant>
        <vt:i4>4063303</vt:i4>
      </vt:variant>
      <vt:variant>
        <vt:i4>144</vt:i4>
      </vt:variant>
      <vt:variant>
        <vt:i4>0</vt:i4>
      </vt:variant>
      <vt:variant>
        <vt:i4>5</vt:i4>
      </vt:variant>
      <vt:variant>
        <vt:lpwstr>https://federalfinancialrelations.gov.au/sites/federalfinancialrelations.gov.au/files/2021-07/NHRA_2020-25_Addendum_consolidated.pdf</vt:lpwstr>
      </vt:variant>
      <vt:variant>
        <vt:lpwstr/>
      </vt:variant>
      <vt:variant>
        <vt:i4>7078014</vt:i4>
      </vt:variant>
      <vt:variant>
        <vt:i4>141</vt:i4>
      </vt:variant>
      <vt:variant>
        <vt:i4>0</vt:i4>
      </vt:variant>
      <vt:variant>
        <vt:i4>5</vt:i4>
      </vt:variant>
      <vt:variant>
        <vt:lpwstr>https://www.pbs.gov.au/info/industry/listing/elements/pbac-meetings/psd/public-summary-documents-by-product</vt:lpwstr>
      </vt:variant>
      <vt:variant>
        <vt:lpwstr/>
      </vt:variant>
      <vt:variant>
        <vt:i4>5111831</vt:i4>
      </vt:variant>
      <vt:variant>
        <vt:i4>138</vt:i4>
      </vt:variant>
      <vt:variant>
        <vt:i4>0</vt:i4>
      </vt:variant>
      <vt:variant>
        <vt:i4>5</vt:i4>
      </vt:variant>
      <vt:variant>
        <vt:lpwstr>https://www.pbs.gov.au/pbs/industry/listing/procedure-guidance/6-consideration-submissions/6-11-codependent-submission-processes</vt:lpwstr>
      </vt:variant>
      <vt:variant>
        <vt:lpwstr/>
      </vt:variant>
      <vt:variant>
        <vt:i4>1376327</vt:i4>
      </vt:variant>
      <vt:variant>
        <vt:i4>135</vt:i4>
      </vt:variant>
      <vt:variant>
        <vt:i4>0</vt:i4>
      </vt:variant>
      <vt:variant>
        <vt:i4>5</vt:i4>
      </vt:variant>
      <vt:variant>
        <vt:lpwstr>https://pbac.pbs.gov.au/product-type-4-codependent-technologies.html</vt:lpwstr>
      </vt:variant>
      <vt:variant>
        <vt:lpwstr/>
      </vt:variant>
      <vt:variant>
        <vt:i4>5308426</vt:i4>
      </vt:variant>
      <vt:variant>
        <vt:i4>132</vt:i4>
      </vt:variant>
      <vt:variant>
        <vt:i4>0</vt:i4>
      </vt:variant>
      <vt:variant>
        <vt:i4>5</vt:i4>
      </vt:variant>
      <vt:variant>
        <vt:lpwstr>http://www.msac.gov.au/internet/msac/publishing.nsf/Content/factsheet-09</vt:lpwstr>
      </vt:variant>
      <vt:variant>
        <vt:lpwstr/>
      </vt:variant>
      <vt:variant>
        <vt:i4>2752623</vt:i4>
      </vt:variant>
      <vt:variant>
        <vt:i4>129</vt:i4>
      </vt:variant>
      <vt:variant>
        <vt:i4>0</vt:i4>
      </vt:variant>
      <vt:variant>
        <vt:i4>5</vt:i4>
      </vt:variant>
      <vt:variant>
        <vt:lpwstr>http://www.msac.gov.au/internet/msac/publishing.nsf/Content/MSAC-Guidelines</vt:lpwstr>
      </vt:variant>
      <vt:variant>
        <vt:lpwstr/>
      </vt:variant>
      <vt:variant>
        <vt:i4>2752623</vt:i4>
      </vt:variant>
      <vt:variant>
        <vt:i4>126</vt:i4>
      </vt:variant>
      <vt:variant>
        <vt:i4>0</vt:i4>
      </vt:variant>
      <vt:variant>
        <vt:i4>5</vt:i4>
      </vt:variant>
      <vt:variant>
        <vt:lpwstr>http://www.msac.gov.au/internet/msac/publishing.nsf/Content/MSAC-Guidelines</vt:lpwstr>
      </vt:variant>
      <vt:variant>
        <vt:lpwstr/>
      </vt:variant>
      <vt:variant>
        <vt:i4>5963786</vt:i4>
      </vt:variant>
      <vt:variant>
        <vt:i4>123</vt:i4>
      </vt:variant>
      <vt:variant>
        <vt:i4>0</vt:i4>
      </vt:variant>
      <vt:variant>
        <vt:i4>5</vt:i4>
      </vt:variant>
      <vt:variant>
        <vt:lpwstr>http://www.msac.gov.au/internet/msac/publishing.nsf/Content/factsheet-03</vt:lpwstr>
      </vt:variant>
      <vt:variant>
        <vt:lpwstr/>
      </vt:variant>
      <vt:variant>
        <vt:i4>5046362</vt:i4>
      </vt:variant>
      <vt:variant>
        <vt:i4>120</vt:i4>
      </vt:variant>
      <vt:variant>
        <vt:i4>0</vt:i4>
      </vt:variant>
      <vt:variant>
        <vt:i4>5</vt:i4>
      </vt:variant>
      <vt:variant>
        <vt:lpwstr>https://www.health.gov.au/resources/publications/life-saving-drugs-program-lsdp-medicines-reviews-recommendations</vt:lpwstr>
      </vt:variant>
      <vt:variant>
        <vt:lpwstr/>
      </vt:variant>
      <vt:variant>
        <vt:i4>1769558</vt:i4>
      </vt:variant>
      <vt:variant>
        <vt:i4>117</vt:i4>
      </vt:variant>
      <vt:variant>
        <vt:i4>0</vt:i4>
      </vt:variant>
      <vt:variant>
        <vt:i4>5</vt:i4>
      </vt:variant>
      <vt:variant>
        <vt:lpwstr>https://www.pbs.gov.au/info/reviews/life-saving-drugs</vt:lpwstr>
      </vt:variant>
      <vt:variant>
        <vt:lpwstr/>
      </vt:variant>
      <vt:variant>
        <vt:i4>3014770</vt:i4>
      </vt:variant>
      <vt:variant>
        <vt:i4>114</vt:i4>
      </vt:variant>
      <vt:variant>
        <vt:i4>0</vt:i4>
      </vt:variant>
      <vt:variant>
        <vt:i4>5</vt:i4>
      </vt:variant>
      <vt:variant>
        <vt:lpwstr>https://www.health.gov.au/sites/default/files/documents/2020/10/procedure-guidance-for-medicines-funded-through-the-life-saving-drugs-program-lsdp.pdf</vt:lpwstr>
      </vt:variant>
      <vt:variant>
        <vt:lpwstr/>
      </vt:variant>
      <vt:variant>
        <vt:i4>7602223</vt:i4>
      </vt:variant>
      <vt:variant>
        <vt:i4>111</vt:i4>
      </vt:variant>
      <vt:variant>
        <vt:i4>0</vt:i4>
      </vt:variant>
      <vt:variant>
        <vt:i4>5</vt:i4>
      </vt:variant>
      <vt:variant>
        <vt:lpwstr>https://www.health.gov.au/committees-and-groups/life-saving-drugs-program-expert-panel</vt:lpwstr>
      </vt:variant>
      <vt:variant>
        <vt:lpwstr/>
      </vt:variant>
      <vt:variant>
        <vt:i4>2424935</vt:i4>
      </vt:variant>
      <vt:variant>
        <vt:i4>108</vt:i4>
      </vt:variant>
      <vt:variant>
        <vt:i4>0</vt:i4>
      </vt:variant>
      <vt:variant>
        <vt:i4>5</vt:i4>
      </vt:variant>
      <vt:variant>
        <vt:lpwstr>https://www.health.gov.au/our-work/life-saving-drugs-program/for-medicine-sponsors</vt:lpwstr>
      </vt:variant>
      <vt:variant>
        <vt:lpwstr>medicine-eligibility-criteria</vt:lpwstr>
      </vt:variant>
      <vt:variant>
        <vt:i4>6488117</vt:i4>
      </vt:variant>
      <vt:variant>
        <vt:i4>105</vt:i4>
      </vt:variant>
      <vt:variant>
        <vt:i4>0</vt:i4>
      </vt:variant>
      <vt:variant>
        <vt:i4>5</vt:i4>
      </vt:variant>
      <vt:variant>
        <vt:lpwstr>https://www.health.gov.au/our-work/life-saving-drugs-program/about-the-lsdp</vt:lpwstr>
      </vt:variant>
      <vt:variant>
        <vt:lpwstr/>
      </vt:variant>
      <vt:variant>
        <vt:i4>7667813</vt:i4>
      </vt:variant>
      <vt:variant>
        <vt:i4>102</vt:i4>
      </vt:variant>
      <vt:variant>
        <vt:i4>0</vt:i4>
      </vt:variant>
      <vt:variant>
        <vt:i4>5</vt:i4>
      </vt:variant>
      <vt:variant>
        <vt:lpwstr>https://www.health.gov.au/resources/publications/national-immunisation-strategy-for-australia-2019-to-2024</vt:lpwstr>
      </vt:variant>
      <vt:variant>
        <vt:lpwstr/>
      </vt:variant>
      <vt:variant>
        <vt:i4>4653058</vt:i4>
      </vt:variant>
      <vt:variant>
        <vt:i4>99</vt:i4>
      </vt:variant>
      <vt:variant>
        <vt:i4>0</vt:i4>
      </vt:variant>
      <vt:variant>
        <vt:i4>5</vt:i4>
      </vt:variant>
      <vt:variant>
        <vt:lpwstr>https://www.pbs.gov.au/info/general/pbs-process-improvements</vt:lpwstr>
      </vt:variant>
      <vt:variant>
        <vt:lpwstr/>
      </vt:variant>
      <vt:variant>
        <vt:i4>3866745</vt:i4>
      </vt:variant>
      <vt:variant>
        <vt:i4>96</vt:i4>
      </vt:variant>
      <vt:variant>
        <vt:i4>0</vt:i4>
      </vt:variant>
      <vt:variant>
        <vt:i4>5</vt:i4>
      </vt:variant>
      <vt:variant>
        <vt:lpwstr>https://phrma.org/-/media/Project/PhRMA/PhRMA-Org/PhRMA-Refresh/Report-PDFs/A-C/2023-04-20-PhRMA-Global-Access-to-New-Medicines-Report-FINAL-1.pdf</vt:lpwstr>
      </vt:variant>
      <vt:variant>
        <vt:lpwstr/>
      </vt:variant>
      <vt:variant>
        <vt:i4>5439580</vt:i4>
      </vt:variant>
      <vt:variant>
        <vt:i4>93</vt:i4>
      </vt:variant>
      <vt:variant>
        <vt:i4>0</vt:i4>
      </vt:variant>
      <vt:variant>
        <vt:i4>5</vt:i4>
      </vt:variant>
      <vt:variant>
        <vt:lpwstr>https://www.medicinesaustralia.com.au/publications/medicines-matter/</vt:lpwstr>
      </vt:variant>
      <vt:variant>
        <vt:lpwstr/>
      </vt:variant>
      <vt:variant>
        <vt:i4>1966097</vt:i4>
      </vt:variant>
      <vt:variant>
        <vt:i4>90</vt:i4>
      </vt:variant>
      <vt:variant>
        <vt:i4>0</vt:i4>
      </vt:variant>
      <vt:variant>
        <vt:i4>5</vt:i4>
      </vt:variant>
      <vt:variant>
        <vt:lpwstr>https://cirsci.org/publications/cirs-rd-briefing-89-review-of-hta-outcomes-and-timelines-in-australia-canada-europe-and-the-uk-2018-2022/</vt:lpwstr>
      </vt:variant>
      <vt:variant>
        <vt:lpwstr/>
      </vt:variant>
      <vt:variant>
        <vt:i4>4653058</vt:i4>
      </vt:variant>
      <vt:variant>
        <vt:i4>87</vt:i4>
      </vt:variant>
      <vt:variant>
        <vt:i4>0</vt:i4>
      </vt:variant>
      <vt:variant>
        <vt:i4>5</vt:i4>
      </vt:variant>
      <vt:variant>
        <vt:lpwstr>https://www.pbs.gov.au/info/general/pbs-process-improvements</vt:lpwstr>
      </vt:variant>
      <vt:variant>
        <vt:lpwstr/>
      </vt:variant>
      <vt:variant>
        <vt:i4>6488120</vt:i4>
      </vt:variant>
      <vt:variant>
        <vt:i4>84</vt:i4>
      </vt:variant>
      <vt:variant>
        <vt:i4>0</vt:i4>
      </vt:variant>
      <vt:variant>
        <vt:i4>5</vt:i4>
      </vt:variant>
      <vt:variant>
        <vt:lpwstr>https://www.pbs.gov.au/info/industry/listing/listing-steps</vt:lpwstr>
      </vt:variant>
      <vt:variant>
        <vt:lpwstr/>
      </vt:variant>
      <vt:variant>
        <vt:i4>3080302</vt:i4>
      </vt:variant>
      <vt:variant>
        <vt:i4>81</vt:i4>
      </vt:variant>
      <vt:variant>
        <vt:i4>0</vt:i4>
      </vt:variant>
      <vt:variant>
        <vt:i4>5</vt:i4>
      </vt:variant>
      <vt:variant>
        <vt:lpwstr>https://www.pbs.gov.au/info/industry/listing/elements/pbac-meetings/pbac-consumer-comments</vt:lpwstr>
      </vt:variant>
      <vt:variant>
        <vt:lpwstr/>
      </vt:variant>
      <vt:variant>
        <vt:i4>3670115</vt:i4>
      </vt:variant>
      <vt:variant>
        <vt:i4>78</vt:i4>
      </vt:variant>
      <vt:variant>
        <vt:i4>0</vt:i4>
      </vt:variant>
      <vt:variant>
        <vt:i4>5</vt:i4>
      </vt:variant>
      <vt:variant>
        <vt:lpwstr>https://pbac.pbs.gov.au/content/information/files/pbac-guidelines-version-5.pdf</vt:lpwstr>
      </vt:variant>
      <vt:variant>
        <vt:lpwstr/>
      </vt:variant>
      <vt:variant>
        <vt:i4>4391000</vt:i4>
      </vt:variant>
      <vt:variant>
        <vt:i4>75</vt:i4>
      </vt:variant>
      <vt:variant>
        <vt:i4>0</vt:i4>
      </vt:variant>
      <vt:variant>
        <vt:i4>5</vt:i4>
      </vt:variant>
      <vt:variant>
        <vt:lpwstr>https://pbac.pbs.gov.au/home.html</vt:lpwstr>
      </vt:variant>
      <vt:variant>
        <vt:lpwstr/>
      </vt:variant>
      <vt:variant>
        <vt:i4>6488120</vt:i4>
      </vt:variant>
      <vt:variant>
        <vt:i4>72</vt:i4>
      </vt:variant>
      <vt:variant>
        <vt:i4>0</vt:i4>
      </vt:variant>
      <vt:variant>
        <vt:i4>5</vt:i4>
      </vt:variant>
      <vt:variant>
        <vt:lpwstr>https://www.pbs.gov.au/info/industry/listing/listing-steps</vt:lpwstr>
      </vt:variant>
      <vt:variant>
        <vt:lpwstr/>
      </vt:variant>
      <vt:variant>
        <vt:i4>6946928</vt:i4>
      </vt:variant>
      <vt:variant>
        <vt:i4>69</vt:i4>
      </vt:variant>
      <vt:variant>
        <vt:i4>0</vt:i4>
      </vt:variant>
      <vt:variant>
        <vt:i4>5</vt:i4>
      </vt:variant>
      <vt:variant>
        <vt:lpwstr>https://www.aph.gov.au/About_Parliament/Parliamentary_departments/Parliamentary_Library/pubs/rp/rp2122/Quick_Guides/ThePharmaceuticalBenefitsScheme</vt:lpwstr>
      </vt:variant>
      <vt:variant>
        <vt:lpwstr/>
      </vt:variant>
      <vt:variant>
        <vt:i4>3342379</vt:i4>
      </vt:variant>
      <vt:variant>
        <vt:i4>66</vt:i4>
      </vt:variant>
      <vt:variant>
        <vt:i4>0</vt:i4>
      </vt:variant>
      <vt:variant>
        <vt:i4>5</vt:i4>
      </vt:variant>
      <vt:variant>
        <vt:lpwstr>https://www.tga.gov.au/how-we-regulate/supply-therapeutic-good-0/supply-biological/priority-review-pathway-biologicals</vt:lpwstr>
      </vt:variant>
      <vt:variant>
        <vt:lpwstr/>
      </vt:variant>
      <vt:variant>
        <vt:i4>5177431</vt:i4>
      </vt:variant>
      <vt:variant>
        <vt:i4>63</vt:i4>
      </vt:variant>
      <vt:variant>
        <vt:i4>0</vt:i4>
      </vt:variant>
      <vt:variant>
        <vt:i4>5</vt:i4>
      </vt:variant>
      <vt:variant>
        <vt:lpwstr>https://www.tga.gov.au/how-we-regulate/supply-therapeutic-good-0/supply-biological/application-process-supplying-biological/standard-pathway</vt:lpwstr>
      </vt:variant>
      <vt:variant>
        <vt:lpwstr/>
      </vt:variant>
      <vt:variant>
        <vt:i4>2883685</vt:i4>
      </vt:variant>
      <vt:variant>
        <vt:i4>60</vt:i4>
      </vt:variant>
      <vt:variant>
        <vt:i4>0</vt:i4>
      </vt:variant>
      <vt:variant>
        <vt:i4>5</vt:i4>
      </vt:variant>
      <vt:variant>
        <vt:lpwstr>https://www.tga.gov.au/provisional-approval-pathway-prescription-medicines</vt:lpwstr>
      </vt:variant>
      <vt:variant>
        <vt:lpwstr/>
      </vt:variant>
      <vt:variant>
        <vt:i4>6225934</vt:i4>
      </vt:variant>
      <vt:variant>
        <vt:i4>57</vt:i4>
      </vt:variant>
      <vt:variant>
        <vt:i4>0</vt:i4>
      </vt:variant>
      <vt:variant>
        <vt:i4>5</vt:i4>
      </vt:variant>
      <vt:variant>
        <vt:lpwstr>https://www.tga.gov.au/priority-review-pathway-prescription-medicines</vt:lpwstr>
      </vt:variant>
      <vt:variant>
        <vt:lpwstr/>
      </vt:variant>
      <vt:variant>
        <vt:i4>2293819</vt:i4>
      </vt:variant>
      <vt:variant>
        <vt:i4>54</vt:i4>
      </vt:variant>
      <vt:variant>
        <vt:i4>0</vt:i4>
      </vt:variant>
      <vt:variant>
        <vt:i4>5</vt:i4>
      </vt:variant>
      <vt:variant>
        <vt:lpwstr>https://www.tga.gov.au/fast-track-approval-pathways</vt:lpwstr>
      </vt:variant>
      <vt:variant>
        <vt:lpwstr/>
      </vt:variant>
      <vt:variant>
        <vt:i4>7012478</vt:i4>
      </vt:variant>
      <vt:variant>
        <vt:i4>51</vt:i4>
      </vt:variant>
      <vt:variant>
        <vt:i4>0</vt:i4>
      </vt:variant>
      <vt:variant>
        <vt:i4>5</vt:i4>
      </vt:variant>
      <vt:variant>
        <vt:lpwstr>https://www.tga.gov.au/overview-medical-devices-and-ivd-regulation</vt:lpwstr>
      </vt:variant>
      <vt:variant>
        <vt:lpwstr/>
      </vt:variant>
      <vt:variant>
        <vt:i4>196626</vt:i4>
      </vt:variant>
      <vt:variant>
        <vt:i4>48</vt:i4>
      </vt:variant>
      <vt:variant>
        <vt:i4>0</vt:i4>
      </vt:variant>
      <vt:variant>
        <vt:i4>5</vt:i4>
      </vt:variant>
      <vt:variant>
        <vt:lpwstr>https://www.tga.gov.au/how-we-regulate/supply-therapeutic-good/supply-biological/application-process-supplying-biological/priority-review-pathway-biologicals</vt:lpwstr>
      </vt:variant>
      <vt:variant>
        <vt:lpwstr/>
      </vt:variant>
      <vt:variant>
        <vt:i4>5898326</vt:i4>
      </vt:variant>
      <vt:variant>
        <vt:i4>45</vt:i4>
      </vt:variant>
      <vt:variant>
        <vt:i4>0</vt:i4>
      </vt:variant>
      <vt:variant>
        <vt:i4>5</vt:i4>
      </vt:variant>
      <vt:variant>
        <vt:lpwstr>https://www.tga.gov.au/resources/resource/guidance/priority-inclusion-process-guidance-sponsors-biologicals-priority-applicant-determination</vt:lpwstr>
      </vt:variant>
      <vt:variant>
        <vt:lpwstr/>
      </vt:variant>
      <vt:variant>
        <vt:i4>6029333</vt:i4>
      </vt:variant>
      <vt:variant>
        <vt:i4>42</vt:i4>
      </vt:variant>
      <vt:variant>
        <vt:i4>0</vt:i4>
      </vt:variant>
      <vt:variant>
        <vt:i4>5</vt:i4>
      </vt:variant>
      <vt:variant>
        <vt:lpwstr>https://www.tga.gov.au/resources/resource/guidance/classification-biologicals</vt:lpwstr>
      </vt:variant>
      <vt:variant>
        <vt:lpwstr/>
      </vt:variant>
      <vt:variant>
        <vt:i4>3997793</vt:i4>
      </vt:variant>
      <vt:variant>
        <vt:i4>39</vt:i4>
      </vt:variant>
      <vt:variant>
        <vt:i4>0</vt:i4>
      </vt:variant>
      <vt:variant>
        <vt:i4>5</vt:i4>
      </vt:variant>
      <vt:variant>
        <vt:lpwstr>https://www.tga.gov.au/regulatory-framework-biologicals</vt:lpwstr>
      </vt:variant>
      <vt:variant>
        <vt:lpwstr/>
      </vt:variant>
      <vt:variant>
        <vt:i4>1835033</vt:i4>
      </vt:variant>
      <vt:variant>
        <vt:i4>36</vt:i4>
      </vt:variant>
      <vt:variant>
        <vt:i4>0</vt:i4>
      </vt:variant>
      <vt:variant>
        <vt:i4>5</vt:i4>
      </vt:variant>
      <vt:variant>
        <vt:lpwstr>https://www.tga.gov.au/resources/resource/guidance/what-regulated-biological</vt:lpwstr>
      </vt:variant>
      <vt:variant>
        <vt:lpwstr/>
      </vt:variant>
      <vt:variant>
        <vt:i4>5832787</vt:i4>
      </vt:variant>
      <vt:variant>
        <vt:i4>33</vt:i4>
      </vt:variant>
      <vt:variant>
        <vt:i4>0</vt:i4>
      </vt:variant>
      <vt:variant>
        <vt:i4>5</vt:i4>
      </vt:variant>
      <vt:variant>
        <vt:lpwstr>https://www.tga.gov.au/how-we-regulate/supply-therapeutic-good/supply-prescription-medicine/application-process/provisional-approval-pathway</vt:lpwstr>
      </vt:variant>
      <vt:variant>
        <vt:lpwstr/>
      </vt:variant>
      <vt:variant>
        <vt:i4>2883685</vt:i4>
      </vt:variant>
      <vt:variant>
        <vt:i4>30</vt:i4>
      </vt:variant>
      <vt:variant>
        <vt:i4>0</vt:i4>
      </vt:variant>
      <vt:variant>
        <vt:i4>5</vt:i4>
      </vt:variant>
      <vt:variant>
        <vt:lpwstr>https://www.tga.gov.au/provisional-approval-pathway-prescription-medicines</vt:lpwstr>
      </vt:variant>
      <vt:variant>
        <vt:lpwstr/>
      </vt:variant>
      <vt:variant>
        <vt:i4>6225934</vt:i4>
      </vt:variant>
      <vt:variant>
        <vt:i4>27</vt:i4>
      </vt:variant>
      <vt:variant>
        <vt:i4>0</vt:i4>
      </vt:variant>
      <vt:variant>
        <vt:i4>5</vt:i4>
      </vt:variant>
      <vt:variant>
        <vt:lpwstr>https://www.tga.gov.au/priority-review-pathway-prescription-medicines</vt:lpwstr>
      </vt:variant>
      <vt:variant>
        <vt:lpwstr/>
      </vt:variant>
      <vt:variant>
        <vt:i4>3342386</vt:i4>
      </vt:variant>
      <vt:variant>
        <vt:i4>24</vt:i4>
      </vt:variant>
      <vt:variant>
        <vt:i4>0</vt:i4>
      </vt:variant>
      <vt:variant>
        <vt:i4>5</vt:i4>
      </vt:variant>
      <vt:variant>
        <vt:lpwstr>https://www.tga.gov.au/resources/publication/publications/priority-registration-process</vt:lpwstr>
      </vt:variant>
      <vt:variant>
        <vt:lpwstr/>
      </vt:variant>
      <vt:variant>
        <vt:i4>6094871</vt:i4>
      </vt:variant>
      <vt:variant>
        <vt:i4>21</vt:i4>
      </vt:variant>
      <vt:variant>
        <vt:i4>0</vt:i4>
      </vt:variant>
      <vt:variant>
        <vt:i4>5</vt:i4>
      </vt:variant>
      <vt:variant>
        <vt:lpwstr>https://www.tga.gov.au/resources/acronyms-and-glossary-terms</vt:lpwstr>
      </vt:variant>
      <vt:variant>
        <vt:lpwstr/>
      </vt:variant>
      <vt:variant>
        <vt:i4>6815786</vt:i4>
      </vt:variant>
      <vt:variant>
        <vt:i4>18</vt:i4>
      </vt:variant>
      <vt:variant>
        <vt:i4>0</vt:i4>
      </vt:variant>
      <vt:variant>
        <vt:i4>5</vt:i4>
      </vt:variant>
      <vt:variant>
        <vt:lpwstr>https://www.tga.gov.au/tga-regulatory-framework</vt:lpwstr>
      </vt:variant>
      <vt:variant>
        <vt:lpwstr/>
      </vt:variant>
      <vt:variant>
        <vt:i4>7209060</vt:i4>
      </vt:variant>
      <vt:variant>
        <vt:i4>15</vt:i4>
      </vt:variant>
      <vt:variant>
        <vt:i4>0</vt:i4>
      </vt:variant>
      <vt:variant>
        <vt:i4>5</vt:i4>
      </vt:variant>
      <vt:variant>
        <vt:lpwstr>https://www.tga.gov.au/about-work-tga-risk-management-approach</vt:lpwstr>
      </vt:variant>
      <vt:variant>
        <vt:lpwstr/>
      </vt:variant>
      <vt:variant>
        <vt:i4>2818105</vt:i4>
      </vt:variant>
      <vt:variant>
        <vt:i4>12</vt:i4>
      </vt:variant>
      <vt:variant>
        <vt:i4>0</vt:i4>
      </vt:variant>
      <vt:variant>
        <vt:i4>5</vt:i4>
      </vt:variant>
      <vt:variant>
        <vt:lpwstr>https://www.tga.gov.au/how-we-regulate/advertising/legal-framework/act-regulations-and-code-offences/how-tga-regulates</vt:lpwstr>
      </vt:variant>
      <vt:variant>
        <vt:lpwstr/>
      </vt:variant>
      <vt:variant>
        <vt:i4>4456451</vt:i4>
      </vt:variant>
      <vt:variant>
        <vt:i4>9</vt:i4>
      </vt:variant>
      <vt:variant>
        <vt:i4>0</vt:i4>
      </vt:variant>
      <vt:variant>
        <vt:i4>5</vt:i4>
      </vt:variant>
      <vt:variant>
        <vt:lpwstr>https://www.tga.gov.au/about-tga/legislation</vt:lpwstr>
      </vt:variant>
      <vt:variant>
        <vt:lpwstr/>
      </vt:variant>
      <vt:variant>
        <vt:i4>3735610</vt:i4>
      </vt:variant>
      <vt:variant>
        <vt:i4>6</vt:i4>
      </vt:variant>
      <vt:variant>
        <vt:i4>0</vt:i4>
      </vt:variant>
      <vt:variant>
        <vt:i4>5</vt:i4>
      </vt:variant>
      <vt:variant>
        <vt:lpwstr>https://www.aihw.gov.au/getmedia/dfcb6ed2-dfcd-42e8-8c1e-75f5f7ccbfa7/AIHW-HWE-89-HEA-2020-21-data-tables.xls.aspx</vt:lpwstr>
      </vt:variant>
      <vt:variant>
        <vt:lpwstr/>
      </vt:variant>
      <vt:variant>
        <vt:i4>196639</vt:i4>
      </vt:variant>
      <vt:variant>
        <vt:i4>3</vt:i4>
      </vt:variant>
      <vt:variant>
        <vt:i4>0</vt:i4>
      </vt:variant>
      <vt:variant>
        <vt:i4>5</vt:i4>
      </vt:variant>
      <vt:variant>
        <vt:lpwstr>https://www.tga.gov.au/products/unapproved-therapeutic-goods</vt:lpwstr>
      </vt:variant>
      <vt:variant>
        <vt:lpwstr/>
      </vt:variant>
      <vt:variant>
        <vt:i4>2097188</vt:i4>
      </vt:variant>
      <vt:variant>
        <vt:i4>0</vt:i4>
      </vt:variant>
      <vt:variant>
        <vt:i4>0</vt:i4>
      </vt:variant>
      <vt:variant>
        <vt:i4>5</vt:i4>
      </vt:variant>
      <vt:variant>
        <vt:lpwstr>https://www.health.gov.au/resources/publications/health-technology-assessment-policy-and-methods-review-terms-of-reference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2024-07-10T01:10:00Z</dcterms:created>
  <dcterms:modified xsi:type="dcterms:W3CDTF">2024-07-10T01:10:00Z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0x010100FEE71144B0A72D48BAD5085EFC329F68</vt:lpwstr>
  </property>
</Properties>
</file>