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A08A" w14:textId="77777777" w:rsidR="00D67F23" w:rsidRDefault="00D67F23" w:rsidP="003D7EB1">
      <w:pPr>
        <w:pStyle w:val="PwCNormal"/>
      </w:pPr>
    </w:p>
    <w:p w14:paraId="42D3FA90" w14:textId="111F5A4B" w:rsidR="00564AF1" w:rsidRPr="00975349" w:rsidRDefault="00793217" w:rsidP="00330DD3">
      <w:pPr>
        <w:pStyle w:val="CoverOutcomeHeadline"/>
        <w:rPr>
          <w:lang w:val="en-AU"/>
        </w:rPr>
      </w:pPr>
      <w:r>
        <w:rPr>
          <w:noProof/>
          <w:color w:val="2B579A"/>
          <w:shd w:val="clear" w:color="auto" w:fill="E6E6E6"/>
          <w:lang w:eastAsia="en-AU"/>
        </w:rPr>
        <w:drawing>
          <wp:anchor distT="0" distB="0" distL="114300" distR="114300" simplePos="0" relativeHeight="251658247" behindDoc="1" locked="0" layoutInCell="1" allowOverlap="1" wp14:anchorId="5D208C34" wp14:editId="11E2C442">
            <wp:simplePos x="0" y="0"/>
            <wp:positionH relativeFrom="page">
              <wp:posOffset>635</wp:posOffset>
            </wp:positionH>
            <wp:positionV relativeFrom="page">
              <wp:posOffset>35560</wp:posOffset>
            </wp:positionV>
            <wp:extent cx="7558768" cy="10692000"/>
            <wp:effectExtent l="0" t="0" r="0"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361210" w:rsidRPr="00975349">
        <w:rPr>
          <w:lang w:val="en-AU"/>
        </w:rPr>
        <w:t>Home Care Packages Program Assurance Framework</w:t>
      </w:r>
    </w:p>
    <w:p w14:paraId="59404206" w14:textId="71CFB029" w:rsidR="00564AF1" w:rsidRPr="00975349" w:rsidRDefault="000B47C1" w:rsidP="00330DD3">
      <w:pPr>
        <w:pStyle w:val="CoverOutcomeSubtitle"/>
        <w:rPr>
          <w:lang w:val="en-AU"/>
        </w:rPr>
      </w:pPr>
      <w:r>
        <w:t>February</w:t>
      </w:r>
      <w:r w:rsidR="00480543">
        <w:t xml:space="preserve"> </w:t>
      </w:r>
      <w:r w:rsidR="00E52631">
        <w:t>202</w:t>
      </w:r>
      <w:r w:rsidR="00B179F8">
        <w:t>4</w:t>
      </w:r>
      <w:r w:rsidR="00E52631">
        <w:t xml:space="preserve"> Version </w:t>
      </w:r>
      <w:r w:rsidR="00160063">
        <w:t>2.0</w:t>
      </w:r>
    </w:p>
    <w:p w14:paraId="3D9D0DC3" w14:textId="278EE9B3" w:rsidR="00564AF1" w:rsidRPr="00975349" w:rsidRDefault="00564AF1" w:rsidP="00564AF1">
      <w:pPr>
        <w:pStyle w:val="PwCNormal"/>
        <w:numPr>
          <w:ilvl w:val="0"/>
          <w:numId w:val="0"/>
        </w:numPr>
        <w:sectPr w:rsidR="00564AF1" w:rsidRPr="00975349" w:rsidSect="0000649B">
          <w:headerReference w:type="first" r:id="rId12"/>
          <w:type w:val="oddPage"/>
          <w:pgSz w:w="11907" w:h="16840" w:code="9"/>
          <w:pgMar w:top="2268" w:right="1418" w:bottom="1021" w:left="1021" w:header="397" w:footer="851" w:gutter="0"/>
          <w:pgNumType w:start="1"/>
          <w:cols w:space="708"/>
          <w:titlePg/>
          <w:docGrid w:linePitch="360"/>
        </w:sectPr>
      </w:pPr>
    </w:p>
    <w:p w14:paraId="4D25C96E" w14:textId="2C79036C" w:rsidR="00665A6D" w:rsidRPr="00044D05" w:rsidRDefault="000172BC" w:rsidP="002311EE">
      <w:pPr>
        <w:pStyle w:val="Heading1nonumbering"/>
      </w:pPr>
      <w:r w:rsidRPr="00975349">
        <w:lastRenderedPageBreak/>
        <w:t>E</w:t>
      </w:r>
      <w:r w:rsidR="004A34A9" w:rsidRPr="00975349">
        <w:t xml:space="preserve">xecutive </w:t>
      </w:r>
      <w:r w:rsidR="00E76326">
        <w:t>S</w:t>
      </w:r>
      <w:r w:rsidR="004A34A9" w:rsidRPr="00975349">
        <w:t>ummary</w:t>
      </w:r>
    </w:p>
    <w:p w14:paraId="6BC66E47" w14:textId="3678DBD5" w:rsidR="00361210" w:rsidRDefault="00361210" w:rsidP="00836C31">
      <w:pPr>
        <w:pStyle w:val="PwCNormal"/>
      </w:pPr>
      <w:r w:rsidRPr="00975349">
        <w:t xml:space="preserve">The Home Care Packages (HCP) Program supports </w:t>
      </w:r>
      <w:r w:rsidR="009D0218">
        <w:t>older people in Australia</w:t>
      </w:r>
      <w:r w:rsidRPr="00975349">
        <w:t xml:space="preserve"> with complex needs to help them stay at home. The HCP Program achieves this by using a consumer</w:t>
      </w:r>
      <w:r w:rsidR="00D04CBD">
        <w:t xml:space="preserve"> </w:t>
      </w:r>
      <w:r w:rsidRPr="00975349">
        <w:t xml:space="preserve">directed care approach, to make sure the support provided suits a person’s assessed needs and goals, across </w:t>
      </w:r>
      <w:r w:rsidR="005A316B">
        <w:t>3</w:t>
      </w:r>
      <w:r w:rsidR="005A316B" w:rsidRPr="00975349">
        <w:t xml:space="preserve"> </w:t>
      </w:r>
      <w:r w:rsidRPr="00975349">
        <w:t>focus areas:</w:t>
      </w:r>
    </w:p>
    <w:p w14:paraId="18EBA3E8" w14:textId="61D538AD" w:rsidR="00697DFC" w:rsidRDefault="00697DFC" w:rsidP="00697DFC">
      <w:pPr>
        <w:pStyle w:val="PwCNormal"/>
      </w:pPr>
      <w:r>
        <w:rPr>
          <w:noProof/>
          <w:snapToGrid/>
        </w:rPr>
        <w:drawing>
          <wp:inline distT="0" distB="0" distL="0" distR="0" wp14:anchorId="4BEC22E2" wp14:editId="0E40260A">
            <wp:extent cx="6264275" cy="861695"/>
            <wp:effectExtent l="0" t="0" r="3175" b="0"/>
            <wp:docPr id="14" name="Picture 14" descr="Home Care packages have 3 areas of focus:&#10;1. Providing older people in Australia services to keep them will and independent in their own home&#10;2. Providing older people in Australia services to keep them safe in their own homes&#10;3. Providing older people in Australia services to keep them connected to thei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Home Care packages have 3 areas of focus:&#10;1. Providing older people in Australia services to keep them will and independent in their own home&#10;2. Providing older people in Australia services to keep them safe in their own homes&#10;3. Providing older people in Australia services to keep them connected to their communit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4275" cy="861695"/>
                    </a:xfrm>
                    <a:prstGeom prst="rect">
                      <a:avLst/>
                    </a:prstGeom>
                  </pic:spPr>
                </pic:pic>
              </a:graphicData>
            </a:graphic>
          </wp:inline>
        </w:drawing>
      </w:r>
    </w:p>
    <w:p w14:paraId="13DCEAB8" w14:textId="778C33B6" w:rsidR="00361210" w:rsidRPr="00975349" w:rsidRDefault="00361210" w:rsidP="00613087">
      <w:pPr>
        <w:pStyle w:val="PwCNormal"/>
        <w:numPr>
          <w:ilvl w:val="0"/>
          <w:numId w:val="0"/>
        </w:numPr>
      </w:pPr>
      <w:r w:rsidRPr="00975349">
        <w:t xml:space="preserve">The number of </w:t>
      </w:r>
      <w:r w:rsidR="00584B67">
        <w:t>older</w:t>
      </w:r>
      <w:r w:rsidR="00584B67" w:rsidRPr="00975349">
        <w:t xml:space="preserve"> </w:t>
      </w:r>
      <w:r w:rsidR="00EC7977">
        <w:t>people in Australia</w:t>
      </w:r>
      <w:r w:rsidR="00EC7977" w:rsidRPr="00975349">
        <w:t xml:space="preserve"> </w:t>
      </w:r>
      <w:r w:rsidRPr="00975349">
        <w:t xml:space="preserve">choosing to remain </w:t>
      </w:r>
      <w:r w:rsidR="00BF67DF">
        <w:t xml:space="preserve">living </w:t>
      </w:r>
      <w:r w:rsidRPr="00975349">
        <w:t>in their own homes continues to increase, including through the HCP Program. To enhance the oversight of the HCP Program, th</w:t>
      </w:r>
      <w:r w:rsidR="006C6857">
        <w:t xml:space="preserve">e </w:t>
      </w:r>
      <w:r w:rsidR="00505DC7">
        <w:t xml:space="preserve">Australian Government </w:t>
      </w:r>
      <w:r w:rsidRPr="00975349">
        <w:t xml:space="preserve">will </w:t>
      </w:r>
      <w:r w:rsidR="00505DC7">
        <w:t>assure</w:t>
      </w:r>
      <w:r w:rsidRPr="00975349">
        <w:t xml:space="preserve"> the integrity of the HCP Program through:</w:t>
      </w:r>
    </w:p>
    <w:p w14:paraId="1D2548D9" w14:textId="4EAD26C1" w:rsidR="00361210" w:rsidRPr="00975349" w:rsidRDefault="00361210" w:rsidP="00EA2D41">
      <w:pPr>
        <w:pStyle w:val="ListBullet"/>
      </w:pPr>
      <w:r w:rsidRPr="00975349">
        <w:t xml:space="preserve">an ongoing risk-based program of </w:t>
      </w:r>
      <w:r w:rsidR="003A3A6F">
        <w:t>a</w:t>
      </w:r>
      <w:r w:rsidRPr="00975349">
        <w:t xml:space="preserve">ssurance </w:t>
      </w:r>
      <w:r w:rsidR="003A3A6F">
        <w:t>a</w:t>
      </w:r>
      <w:r w:rsidRPr="00975349">
        <w:t xml:space="preserve">ctivities focused on HCP </w:t>
      </w:r>
      <w:r w:rsidR="00140787">
        <w:t xml:space="preserve">Program </w:t>
      </w:r>
      <w:r w:rsidR="00367178">
        <w:t>a</w:t>
      </w:r>
      <w:r w:rsidR="001664B1">
        <w:t xml:space="preserve">pproved </w:t>
      </w:r>
      <w:r w:rsidR="00367178">
        <w:t>p</w:t>
      </w:r>
      <w:r w:rsidRPr="00975349">
        <w:t>roviders</w:t>
      </w:r>
      <w:r w:rsidR="00D26784">
        <w:t xml:space="preserve"> (providers)</w:t>
      </w:r>
      <w:r w:rsidRPr="00975349">
        <w:t xml:space="preserve"> to assure value for money of HCP Program funds</w:t>
      </w:r>
    </w:p>
    <w:p w14:paraId="3A68628E" w14:textId="32665AFB" w:rsidR="00361210" w:rsidRPr="00975349" w:rsidRDefault="00361210" w:rsidP="00EA2D41">
      <w:pPr>
        <w:pStyle w:val="ListBullet"/>
      </w:pPr>
      <w:r w:rsidRPr="00975349">
        <w:t xml:space="preserve">continuous improvement of </w:t>
      </w:r>
      <w:r w:rsidR="00D26784">
        <w:t>p</w:t>
      </w:r>
      <w:r w:rsidRPr="00975349">
        <w:t xml:space="preserve">roviders including through a </w:t>
      </w:r>
      <w:r w:rsidR="00311721">
        <w:t>c</w:t>
      </w:r>
      <w:r w:rsidRPr="00975349">
        <w:t xml:space="preserve">ommunity of </w:t>
      </w:r>
      <w:r w:rsidR="00311721">
        <w:t>p</w:t>
      </w:r>
      <w:r w:rsidRPr="00975349">
        <w:t>ractice</w:t>
      </w:r>
    </w:p>
    <w:p w14:paraId="5199C47E" w14:textId="1BBD2727" w:rsidR="00361210" w:rsidRPr="00975349" w:rsidRDefault="00361210" w:rsidP="00EA2D41">
      <w:pPr>
        <w:pStyle w:val="ListBullet"/>
      </w:pPr>
      <w:r w:rsidRPr="00975349">
        <w:t xml:space="preserve">enhanced fraud management and investigation capability within the </w:t>
      </w:r>
      <w:r w:rsidR="00793217">
        <w:t>Department of Health and Aged Care</w:t>
      </w:r>
      <w:r w:rsidRPr="00975349">
        <w:t xml:space="preserve"> (the </w:t>
      </w:r>
      <w:r w:rsidR="007922A2">
        <w:t>d</w:t>
      </w:r>
      <w:r w:rsidRPr="00975349">
        <w:t>epartment).</w:t>
      </w:r>
    </w:p>
    <w:p w14:paraId="7D833B39" w14:textId="34C3FE26" w:rsidR="00361210" w:rsidRPr="00975349" w:rsidRDefault="00361210" w:rsidP="00361210">
      <w:pPr>
        <w:pStyle w:val="PwCNormal"/>
      </w:pPr>
      <w:r w:rsidRPr="00975349">
        <w:t xml:space="preserve">To support these measures, a </w:t>
      </w:r>
      <w:r w:rsidR="003A3D31">
        <w:t>p</w:t>
      </w:r>
      <w:r w:rsidRPr="00975349">
        <w:t xml:space="preserve">rogram </w:t>
      </w:r>
      <w:r w:rsidR="003A3D31">
        <w:t>a</w:t>
      </w:r>
      <w:r w:rsidRPr="00975349">
        <w:t xml:space="preserve">ssurance function has been established by the </w:t>
      </w:r>
      <w:r w:rsidR="00863008">
        <w:t>d</w:t>
      </w:r>
      <w:r w:rsidRPr="00975349">
        <w:t>epartment outside the HCP Program area. The HCP Program Assurance Framework (</w:t>
      </w:r>
      <w:r w:rsidR="005D78A2">
        <w:t>a</w:t>
      </w:r>
      <w:r w:rsidRPr="00975349">
        <w:t xml:space="preserve">ssurance </w:t>
      </w:r>
      <w:r w:rsidR="005D78A2">
        <w:t>f</w:t>
      </w:r>
      <w:r w:rsidRPr="00975349">
        <w:t>ramework) implements a ‘Second Line’</w:t>
      </w:r>
      <w:r w:rsidRPr="00975349">
        <w:rPr>
          <w:vertAlign w:val="superscript"/>
        </w:rPr>
        <w:footnoteReference w:id="2"/>
      </w:r>
      <w:r w:rsidRPr="00975349">
        <w:t xml:space="preserve"> of assurance, aligned with the </w:t>
      </w:r>
      <w:r w:rsidR="00863008">
        <w:t>department</w:t>
      </w:r>
      <w:r w:rsidRPr="00975349">
        <w:t xml:space="preserve">’s </w:t>
      </w:r>
      <w:r w:rsidR="006A1B26">
        <w:t>A</w:t>
      </w:r>
      <w:r w:rsidR="00D953EF">
        <w:t xml:space="preserve">ssurance </w:t>
      </w:r>
      <w:r w:rsidR="006A1B26">
        <w:t>F</w:t>
      </w:r>
      <w:r w:rsidR="00D953EF">
        <w:t>ramew</w:t>
      </w:r>
      <w:r w:rsidR="00187C34">
        <w:t>ork</w:t>
      </w:r>
      <w:r w:rsidR="00E7436A">
        <w:t xml:space="preserve"> which follows the</w:t>
      </w:r>
      <w:r w:rsidRPr="00975349">
        <w:t xml:space="preserve"> ‘Three Lines Model’</w:t>
      </w:r>
      <w:r w:rsidRPr="00975349">
        <w:rPr>
          <w:vertAlign w:val="superscript"/>
        </w:rPr>
        <w:footnoteReference w:id="3"/>
      </w:r>
      <w:r w:rsidRPr="00975349">
        <w:t xml:space="preserve">. The purpose of this </w:t>
      </w:r>
      <w:r w:rsidR="00CC1D25">
        <w:t>a</w:t>
      </w:r>
      <w:r w:rsidRPr="00975349">
        <w:t xml:space="preserve">ssurance </w:t>
      </w:r>
      <w:r w:rsidR="00CC1D25">
        <w:t>f</w:t>
      </w:r>
      <w:r w:rsidRPr="00975349">
        <w:t>ramework is</w:t>
      </w:r>
      <w:r w:rsidR="00DD3696">
        <w:t xml:space="preserve"> to</w:t>
      </w:r>
      <w:r w:rsidRPr="00975349">
        <w:t>:</w:t>
      </w:r>
    </w:p>
    <w:p w14:paraId="20AAAA19" w14:textId="52F450BC" w:rsidR="00CB3772" w:rsidRPr="00975349" w:rsidRDefault="00DD3696" w:rsidP="00CB3772">
      <w:pPr>
        <w:pStyle w:val="CalloutText"/>
      </w:pPr>
      <w:r>
        <w:t>O</w:t>
      </w:r>
      <w:r w:rsidR="00CB3772" w:rsidRPr="00975349">
        <w:t xml:space="preserve">utline the </w:t>
      </w:r>
      <w:r w:rsidR="00EE481B">
        <w:t>d</w:t>
      </w:r>
      <w:r w:rsidR="00CB3772" w:rsidRPr="00975349">
        <w:t xml:space="preserve">epartment’s risk-based approach to protect the integrity of HCP Program funding through evidence-based </w:t>
      </w:r>
      <w:r w:rsidR="003A3D31">
        <w:t>a</w:t>
      </w:r>
      <w:r w:rsidR="00CB3772" w:rsidRPr="00975349">
        <w:t xml:space="preserve">ssurance </w:t>
      </w:r>
      <w:r w:rsidR="003A3D31">
        <w:t>a</w:t>
      </w:r>
      <w:r w:rsidR="00CB3772" w:rsidRPr="00975349">
        <w:t>ctivities focused on the HCP Program’s design, delivery and administration.</w:t>
      </w:r>
    </w:p>
    <w:p w14:paraId="5264AC08" w14:textId="2FD4FC41" w:rsidR="00317917" w:rsidRPr="00975349" w:rsidRDefault="00CB3772" w:rsidP="00CB3772">
      <w:pPr>
        <w:pStyle w:val="CalloutText"/>
      </w:pPr>
      <w:r w:rsidRPr="00975349">
        <w:t xml:space="preserve">Assurance </w:t>
      </w:r>
      <w:r w:rsidR="009402DC">
        <w:t>a</w:t>
      </w:r>
      <w:r w:rsidRPr="00975349">
        <w:t xml:space="preserve">ctivities under this </w:t>
      </w:r>
      <w:r w:rsidR="00957B41">
        <w:t>f</w:t>
      </w:r>
      <w:r w:rsidRPr="00975349">
        <w:t xml:space="preserve">ramework will enhance value for money for care recipients and Australian taxpayers, support </w:t>
      </w:r>
      <w:r w:rsidR="007742A0">
        <w:t>p</w:t>
      </w:r>
      <w:r w:rsidRPr="00975349">
        <w:t xml:space="preserve">roviders to uplift their program knowledge and share better practices, inform the continuous improvement of </w:t>
      </w:r>
      <w:r w:rsidR="007742A0">
        <w:t>p</w:t>
      </w:r>
      <w:r w:rsidRPr="00975349">
        <w:t xml:space="preserve">roviders and the </w:t>
      </w:r>
      <w:r w:rsidR="00257A83">
        <w:t xml:space="preserve">HCP </w:t>
      </w:r>
      <w:r w:rsidRPr="00975349">
        <w:t>Program and support future development of home care policy and programs.</w:t>
      </w:r>
    </w:p>
    <w:p w14:paraId="6D307954" w14:textId="0250662D" w:rsidR="00361210" w:rsidRPr="00836C31" w:rsidRDefault="00361210" w:rsidP="00361210">
      <w:pPr>
        <w:pStyle w:val="PwCNormal"/>
      </w:pPr>
      <w:r w:rsidRPr="00975349">
        <w:t xml:space="preserve">Program </w:t>
      </w:r>
      <w:r w:rsidR="001A49CA">
        <w:t>a</w:t>
      </w:r>
      <w:r w:rsidRPr="00975349">
        <w:t xml:space="preserve">ssurance </w:t>
      </w:r>
      <w:r w:rsidR="00621F40">
        <w:t>r</w:t>
      </w:r>
      <w:r w:rsidRPr="00975349">
        <w:t xml:space="preserve">eviews undertaken by the </w:t>
      </w:r>
      <w:r w:rsidR="00863008">
        <w:t>department</w:t>
      </w:r>
      <w:r w:rsidRPr="00975349">
        <w:t xml:space="preserve"> are separate to the Aged Care Quality and </w:t>
      </w:r>
      <w:r w:rsidR="0062654F">
        <w:t xml:space="preserve">Safety </w:t>
      </w:r>
      <w:r w:rsidRPr="00975349">
        <w:t xml:space="preserve">Commission’s </w:t>
      </w:r>
      <w:r w:rsidR="00645F63">
        <w:t xml:space="preserve">(ACQSC) </w:t>
      </w:r>
      <w:r w:rsidRPr="00975349">
        <w:t xml:space="preserve">role as the national regulator of </w:t>
      </w:r>
      <w:r w:rsidR="003576E5">
        <w:t>h</w:t>
      </w:r>
      <w:r w:rsidRPr="00975349">
        <w:t xml:space="preserve">ome </w:t>
      </w:r>
      <w:r w:rsidR="003576E5">
        <w:t>c</w:t>
      </w:r>
      <w:r w:rsidRPr="00975349">
        <w:t xml:space="preserve">are </w:t>
      </w:r>
      <w:r w:rsidR="003576E5">
        <w:t>p</w:t>
      </w:r>
      <w:r w:rsidRPr="00975349">
        <w:t>roviders –</w:t>
      </w:r>
      <w:r w:rsidR="00C86952">
        <w:t xml:space="preserve"> </w:t>
      </w:r>
      <w:r w:rsidRPr="00975349">
        <w:t xml:space="preserve">further details at </w:t>
      </w:r>
      <w:hyperlink w:anchor="_HCP_Program_assurance" w:history="1">
        <w:r w:rsidR="00B41E25" w:rsidRPr="005D67AC">
          <w:rPr>
            <w:rStyle w:val="Hyperlink"/>
          </w:rPr>
          <w:t>S</w:t>
        </w:r>
        <w:r w:rsidRPr="005D67AC">
          <w:rPr>
            <w:rStyle w:val="Hyperlink"/>
          </w:rPr>
          <w:t>ection 1.2.</w:t>
        </w:r>
        <w:r w:rsidR="00716399" w:rsidRPr="005D67AC">
          <w:rPr>
            <w:rStyle w:val="Hyperlink"/>
          </w:rPr>
          <w:t xml:space="preserve"> HCP Program assurance context.</w:t>
        </w:r>
      </w:hyperlink>
    </w:p>
    <w:p w14:paraId="07788D7F" w14:textId="3062864F" w:rsidR="00361210" w:rsidRPr="0092764F" w:rsidRDefault="00361210" w:rsidP="0092764F">
      <w:pPr>
        <w:pStyle w:val="PwCNormal"/>
      </w:pPr>
      <w:r w:rsidRPr="0092764F">
        <w:t xml:space="preserve">This </w:t>
      </w:r>
      <w:r w:rsidR="003576E5" w:rsidRPr="0092764F">
        <w:t>a</w:t>
      </w:r>
      <w:r w:rsidRPr="0092764F">
        <w:t xml:space="preserve">ssurance </w:t>
      </w:r>
      <w:r w:rsidR="003576E5" w:rsidRPr="0092764F">
        <w:t>f</w:t>
      </w:r>
      <w:r w:rsidRPr="0092764F">
        <w:t xml:space="preserve">ramework reflects a broader mandate for the </w:t>
      </w:r>
      <w:r w:rsidR="00EE481B" w:rsidRPr="0092764F">
        <w:t>d</w:t>
      </w:r>
      <w:r w:rsidRPr="0092764F">
        <w:t xml:space="preserve">epartment to: </w:t>
      </w:r>
    </w:p>
    <w:p w14:paraId="36D8F3B7" w14:textId="4EC73EC5" w:rsidR="00361210" w:rsidRPr="008835C7" w:rsidRDefault="00361210" w:rsidP="008835C7">
      <w:pPr>
        <w:pStyle w:val="ListBullet"/>
      </w:pPr>
      <w:r w:rsidRPr="008835C7">
        <w:t>support evidence-based pricing of services, efficient and effective service delivery and transparency to enhance consumer choice</w:t>
      </w:r>
      <w:r w:rsidRPr="00647BB7">
        <w:rPr>
          <w:rStyle w:val="FootnoteReference"/>
        </w:rPr>
        <w:footnoteReference w:id="4"/>
      </w:r>
    </w:p>
    <w:p w14:paraId="3C0A7E42" w14:textId="0F470E53" w:rsidR="00361210" w:rsidRPr="00975349" w:rsidRDefault="00361210" w:rsidP="00EA2D41">
      <w:pPr>
        <w:pStyle w:val="ListBullet"/>
      </w:pPr>
      <w:r w:rsidRPr="00975349">
        <w:t xml:space="preserve">support </w:t>
      </w:r>
      <w:r w:rsidR="00FB3974">
        <w:t>p</w:t>
      </w:r>
      <w:r w:rsidRPr="00975349">
        <w:t>rovider education and continuous improvement in HCP Program delivery</w:t>
      </w:r>
      <w:r w:rsidRPr="00975349">
        <w:rPr>
          <w:vertAlign w:val="superscript"/>
        </w:rPr>
        <w:footnoteReference w:id="5"/>
      </w:r>
    </w:p>
    <w:p w14:paraId="799A8E74" w14:textId="77777777" w:rsidR="00361210" w:rsidRPr="00975349" w:rsidRDefault="00361210" w:rsidP="00EA2D41">
      <w:pPr>
        <w:pStyle w:val="ListBullet"/>
      </w:pPr>
      <w:r w:rsidRPr="00975349">
        <w:lastRenderedPageBreak/>
        <w:t>inform the development, monitoring, evaluation and continuous improvement of the HCP Program requirements and delivery to achieve intended outcomes</w:t>
      </w:r>
      <w:r w:rsidRPr="00975349">
        <w:rPr>
          <w:vertAlign w:val="superscript"/>
        </w:rPr>
        <w:footnoteReference w:id="6"/>
      </w:r>
    </w:p>
    <w:p w14:paraId="7699AF8C" w14:textId="156F223C" w:rsidR="00EA2D41" w:rsidRPr="00975349" w:rsidRDefault="00EA2D41" w:rsidP="00EA2D41">
      <w:pPr>
        <w:pStyle w:val="ListBullet"/>
      </w:pPr>
      <w:bookmarkStart w:id="0" w:name="_Hlk84006709"/>
      <w:r w:rsidRPr="00975349">
        <w:t xml:space="preserve">conduct </w:t>
      </w:r>
      <w:r w:rsidR="00710F68">
        <w:t>a</w:t>
      </w:r>
      <w:r w:rsidRPr="00975349">
        <w:t xml:space="preserve">ssurance </w:t>
      </w:r>
      <w:r w:rsidR="00710F68">
        <w:t>a</w:t>
      </w:r>
      <w:r w:rsidRPr="00975349">
        <w:t>ctivities to assess the effectiveness and efficiency of the HCP Program controls in place to appropriately manage risks and deliver outcomes</w:t>
      </w:r>
      <w:r w:rsidRPr="00975349">
        <w:rPr>
          <w:vertAlign w:val="superscript"/>
        </w:rPr>
        <w:footnoteReference w:id="7"/>
      </w:r>
    </w:p>
    <w:p w14:paraId="00F08C91" w14:textId="77777777" w:rsidR="00EA2D41" w:rsidRPr="00975349" w:rsidRDefault="00EA2D41" w:rsidP="00EA2D41">
      <w:pPr>
        <w:pStyle w:val="ListBullet"/>
      </w:pPr>
      <w:r w:rsidRPr="00975349">
        <w:t>support mitigation of fraud and misuse of funds in the HCP Program</w:t>
      </w:r>
      <w:r w:rsidRPr="00975349">
        <w:rPr>
          <w:vertAlign w:val="superscript"/>
        </w:rPr>
        <w:footnoteReference w:id="8"/>
      </w:r>
      <w:r w:rsidRPr="00975349">
        <w:t>.</w:t>
      </w:r>
    </w:p>
    <w:p w14:paraId="5C08817E" w14:textId="2BEBDD01" w:rsidR="00EA2D41" w:rsidRPr="00975349" w:rsidRDefault="00EA2D41" w:rsidP="00EA2D41">
      <w:pPr>
        <w:pStyle w:val="PwCNormal"/>
      </w:pPr>
      <w:r w:rsidRPr="00975349">
        <w:t xml:space="preserve">To support this </w:t>
      </w:r>
      <w:r w:rsidR="000B0476">
        <w:t>a</w:t>
      </w:r>
      <w:r w:rsidRPr="00975349">
        <w:t xml:space="preserve">ssurance </w:t>
      </w:r>
      <w:r w:rsidR="000B0476">
        <w:t>f</w:t>
      </w:r>
      <w:r w:rsidRPr="00975349">
        <w:t xml:space="preserve">ramework, legislation </w:t>
      </w:r>
      <w:r w:rsidR="00C86952">
        <w:t xml:space="preserve">was </w:t>
      </w:r>
      <w:r w:rsidR="00505DC7">
        <w:t xml:space="preserve">enacted </w:t>
      </w:r>
      <w:r w:rsidRPr="00975349">
        <w:t xml:space="preserve">through the </w:t>
      </w:r>
      <w:r w:rsidRPr="00A23EF0">
        <w:rPr>
          <w:rStyle w:val="Emphasis"/>
        </w:rPr>
        <w:t>Aged Care and Other Legislation Amendment (Royal Commission Response No. 1) Act 2021</w:t>
      </w:r>
      <w:r w:rsidRPr="00975349">
        <w:t xml:space="preserve"> (assented on 28 June 2021), amending the </w:t>
      </w:r>
      <w:r w:rsidR="00CB393F" w:rsidRPr="006D4151">
        <w:rPr>
          <w:i/>
          <w:iCs/>
        </w:rPr>
        <w:t>Aged Care Act</w:t>
      </w:r>
      <w:r w:rsidR="0062004C" w:rsidRPr="006D4151">
        <w:rPr>
          <w:i/>
          <w:iCs/>
        </w:rPr>
        <w:t xml:space="preserve"> </w:t>
      </w:r>
      <w:r w:rsidR="00CB393F" w:rsidRPr="006D4151">
        <w:rPr>
          <w:i/>
          <w:iCs/>
        </w:rPr>
        <w:t>1997</w:t>
      </w:r>
      <w:r w:rsidR="00CB393F">
        <w:t xml:space="preserve"> </w:t>
      </w:r>
      <w:r w:rsidR="0062004C">
        <w:t>(Aged Care Act)</w:t>
      </w:r>
      <w:r w:rsidRPr="00975349">
        <w:t xml:space="preserve">, to enable the conduct of </w:t>
      </w:r>
      <w:r w:rsidR="00067CA2">
        <w:t>h</w:t>
      </w:r>
      <w:r w:rsidRPr="00975349">
        <w:t xml:space="preserve">ome </w:t>
      </w:r>
      <w:r w:rsidR="009F0F52">
        <w:t>c</w:t>
      </w:r>
      <w:r w:rsidRPr="00975349">
        <w:t xml:space="preserve">are </w:t>
      </w:r>
      <w:r w:rsidR="009F0F52">
        <w:t>a</w:t>
      </w:r>
      <w:r w:rsidRPr="00975349">
        <w:t xml:space="preserve">ssurance </w:t>
      </w:r>
      <w:r w:rsidR="00067CA2">
        <w:t>r</w:t>
      </w:r>
      <w:r w:rsidRPr="00975349">
        <w:t>eviews</w:t>
      </w:r>
      <w:r w:rsidRPr="00975349">
        <w:rPr>
          <w:rStyle w:val="FootnoteReference"/>
        </w:rPr>
        <w:footnoteReference w:id="9"/>
      </w:r>
      <w:r w:rsidRPr="00975349">
        <w:t>.</w:t>
      </w:r>
    </w:p>
    <w:bookmarkEnd w:id="0"/>
    <w:p w14:paraId="7D676ECE" w14:textId="4B525A38" w:rsidR="00EA2D41" w:rsidRDefault="00EA2D41" w:rsidP="00A23EF0">
      <w:pPr>
        <w:pStyle w:val="PwCNormal"/>
      </w:pPr>
      <w:r w:rsidRPr="00975349">
        <w:t xml:space="preserve">Against the purpose of this </w:t>
      </w:r>
      <w:r w:rsidR="000B0476">
        <w:t>a</w:t>
      </w:r>
      <w:r w:rsidRPr="00975349">
        <w:t xml:space="preserve">ssurance </w:t>
      </w:r>
      <w:r w:rsidR="000B0476">
        <w:t>f</w:t>
      </w:r>
      <w:r w:rsidRPr="00975349">
        <w:t>ramework, four key HCP Program risks have been identified:</w:t>
      </w:r>
    </w:p>
    <w:p w14:paraId="74730D11" w14:textId="7FFB7741" w:rsidR="000940BB" w:rsidRDefault="00E47460" w:rsidP="008B3029">
      <w:pPr>
        <w:pStyle w:val="PwCNormal"/>
      </w:pPr>
      <w:r>
        <w:rPr>
          <w:noProof/>
          <w:snapToGrid/>
        </w:rPr>
        <w:drawing>
          <wp:inline distT="0" distB="0" distL="0" distR="0" wp14:anchorId="4EF77546" wp14:editId="1B265C48">
            <wp:extent cx="6264275" cy="1382395"/>
            <wp:effectExtent l="0" t="0" r="3175" b="8255"/>
            <wp:docPr id="3" name="Picture 3" descr="Image representing the 4 key HCP program risks that were identified.&#10;1. People cannot exercise choice and control due to provider processes or a lack of transparency or accuracy in pricing information/arrangements&#10;2. The HCP Program does not achieve value for money for Australian taxpayers and/or care recipients.&#10;3. HCP Program funds are inappropriately or inadvertently used by a provider or care recipient.&#10;4. HCP Program funds are fraudulently used by a provider or care recipi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presenting the 4 key HCP program risks that were identified.&#10;1. People cannot exercise choice and control due to provider processes or a lack of transparency or accuracy in pricing information/arrangements&#10;2. The HCP Program does not achieve value for money for Australian taxpayers and/or care recipients.&#10;3. HCP Program funds are inappropriately or inadvertently used by a provider or care recipient.&#10;4. HCP Program funds are fraudulently used by a provider or care recipient.&#10;"/>
                    <pic:cNvPicPr/>
                  </pic:nvPicPr>
                  <pic:blipFill>
                    <a:blip r:embed="rId14"/>
                    <a:stretch>
                      <a:fillRect/>
                    </a:stretch>
                  </pic:blipFill>
                  <pic:spPr>
                    <a:xfrm>
                      <a:off x="0" y="0"/>
                      <a:ext cx="6264275" cy="1382395"/>
                    </a:xfrm>
                    <a:prstGeom prst="rect">
                      <a:avLst/>
                    </a:prstGeom>
                  </pic:spPr>
                </pic:pic>
              </a:graphicData>
            </a:graphic>
          </wp:inline>
        </w:drawing>
      </w:r>
    </w:p>
    <w:p w14:paraId="73339B6E" w14:textId="4FB04846" w:rsidR="00EA2D41" w:rsidRPr="00975349" w:rsidRDefault="00EA2D41" w:rsidP="00A23EF0">
      <w:pPr>
        <w:pStyle w:val="PwCNormal"/>
      </w:pPr>
      <w:r w:rsidRPr="00975349">
        <w:t>To support th</w:t>
      </w:r>
      <w:r w:rsidR="00046E66">
        <w:t>is</w:t>
      </w:r>
      <w:r w:rsidRPr="00975349">
        <w:t xml:space="preserve"> </w:t>
      </w:r>
      <w:r w:rsidR="00705E62">
        <w:t>a</w:t>
      </w:r>
      <w:r w:rsidRPr="00975349">
        <w:t xml:space="preserve">ssurance </w:t>
      </w:r>
      <w:r w:rsidR="00705E62">
        <w:t>f</w:t>
      </w:r>
      <w:r w:rsidRPr="00975349">
        <w:t>ramework, a</w:t>
      </w:r>
      <w:r w:rsidR="00D23BE2">
        <w:t xml:space="preserve"> </w:t>
      </w:r>
      <w:r w:rsidRPr="00975349">
        <w:t>HCP Program Assurance Plan (</w:t>
      </w:r>
      <w:r w:rsidR="005A7254">
        <w:t>a</w:t>
      </w:r>
      <w:r w:rsidRPr="00975349">
        <w:t xml:space="preserve">ssurance </w:t>
      </w:r>
      <w:r w:rsidR="005A7254">
        <w:t>p</w:t>
      </w:r>
      <w:r w:rsidRPr="00975349">
        <w:t xml:space="preserve">lan) will be developed. The </w:t>
      </w:r>
      <w:r w:rsidR="005A7254">
        <w:t>a</w:t>
      </w:r>
      <w:r w:rsidRPr="00975349">
        <w:t xml:space="preserve">ssurance </w:t>
      </w:r>
      <w:r w:rsidR="005A7254">
        <w:t>p</w:t>
      </w:r>
      <w:r w:rsidRPr="00975349">
        <w:t xml:space="preserve">lan will identify the key </w:t>
      </w:r>
      <w:r w:rsidR="005A7254">
        <w:t>a</w:t>
      </w:r>
      <w:r w:rsidRPr="00975349">
        <w:t xml:space="preserve">reas of </w:t>
      </w:r>
      <w:r w:rsidR="005A7254">
        <w:t>f</w:t>
      </w:r>
      <w:r w:rsidRPr="00975349">
        <w:t xml:space="preserve">ocus against the program risks outlined above, and the planned </w:t>
      </w:r>
      <w:r w:rsidR="00806222">
        <w:t xml:space="preserve">and potential </w:t>
      </w:r>
      <w:r w:rsidR="00FA6A13">
        <w:t>a</w:t>
      </w:r>
      <w:r w:rsidRPr="00975349">
        <w:t xml:space="preserve">ssurance </w:t>
      </w:r>
      <w:r w:rsidR="00FA6A13">
        <w:t>a</w:t>
      </w:r>
      <w:r w:rsidRPr="00975349">
        <w:t xml:space="preserve">ctivities for </w:t>
      </w:r>
      <w:r w:rsidR="00770C4C">
        <w:t xml:space="preserve">the </w:t>
      </w:r>
      <w:r w:rsidR="00F67A58">
        <w:t>relevant</w:t>
      </w:r>
      <w:r w:rsidR="00770C4C">
        <w:t xml:space="preserve"> period</w:t>
      </w:r>
      <w:r w:rsidR="002A6105">
        <w:t xml:space="preserve">. </w:t>
      </w:r>
      <w:r w:rsidR="00C212AF">
        <w:t>A</w:t>
      </w:r>
      <w:r w:rsidR="002C2D3E">
        <w:t xml:space="preserve"> summary of the </w:t>
      </w:r>
      <w:r w:rsidR="00FC4656">
        <w:t>assurance plan (</w:t>
      </w:r>
      <w:r w:rsidR="00BA4F72">
        <w:t>a</w:t>
      </w:r>
      <w:r w:rsidR="00C212AF">
        <w:t xml:space="preserve">ssurance </w:t>
      </w:r>
      <w:r w:rsidR="00BA4F72">
        <w:t>p</w:t>
      </w:r>
      <w:r w:rsidR="00C212AF">
        <w:t xml:space="preserve">lan on a </w:t>
      </w:r>
      <w:r w:rsidR="00BA4F72">
        <w:t>p</w:t>
      </w:r>
      <w:r w:rsidR="00C212AF">
        <w:t>age</w:t>
      </w:r>
      <w:r w:rsidR="00FC4656">
        <w:t>)</w:t>
      </w:r>
      <w:r w:rsidR="00C212AF">
        <w:t xml:space="preserve"> </w:t>
      </w:r>
      <w:r w:rsidR="00933393">
        <w:t>will be published</w:t>
      </w:r>
      <w:r w:rsidR="00E61AFF">
        <w:t xml:space="preserve">. </w:t>
      </w:r>
      <w:r w:rsidRPr="00975349">
        <w:t xml:space="preserve">The nature and extent of these </w:t>
      </w:r>
      <w:r w:rsidR="00562A95">
        <w:t>a</w:t>
      </w:r>
      <w:r w:rsidRPr="00975349">
        <w:t xml:space="preserve">ssurance </w:t>
      </w:r>
      <w:r w:rsidR="00562A95">
        <w:t>a</w:t>
      </w:r>
      <w:r w:rsidRPr="00975349">
        <w:t xml:space="preserve">ctivities may be amended throughout </w:t>
      </w:r>
      <w:r w:rsidR="00F67A58">
        <w:t>the relevant period</w:t>
      </w:r>
      <w:r w:rsidR="000F071E">
        <w:t xml:space="preserve">. This may be </w:t>
      </w:r>
      <w:r w:rsidR="002D6B63">
        <w:t xml:space="preserve">due to further </w:t>
      </w:r>
      <w:r w:rsidR="002D6B63" w:rsidRPr="00501BAB">
        <w:t>intelligence</w:t>
      </w:r>
      <w:r w:rsidR="000F071E">
        <w:t xml:space="preserve"> becoming </w:t>
      </w:r>
      <w:r w:rsidR="00BF120F">
        <w:t>available</w:t>
      </w:r>
      <w:r w:rsidR="002D6B63" w:rsidRPr="00501BAB">
        <w:t>, changing risk profiles</w:t>
      </w:r>
      <w:r w:rsidR="00BF120F">
        <w:t>, efficiency reasons</w:t>
      </w:r>
      <w:r w:rsidR="002D6B63" w:rsidRPr="00501BAB">
        <w:t xml:space="preserve"> or program need/priorities</w:t>
      </w:r>
      <w:r w:rsidR="00842322">
        <w:t xml:space="preserve">, including to support the transition </w:t>
      </w:r>
      <w:r w:rsidR="00BF120F">
        <w:t>to Support at Home</w:t>
      </w:r>
      <w:r w:rsidR="002D6B63">
        <w:t>.</w:t>
      </w:r>
      <w:r w:rsidRPr="00975349">
        <w:t xml:space="preserve"> Where </w:t>
      </w:r>
      <w:r w:rsidR="00562A95">
        <w:t>p</w:t>
      </w:r>
      <w:r w:rsidRPr="00975349">
        <w:t xml:space="preserve">roviders have been engaged in the </w:t>
      </w:r>
      <w:r w:rsidR="00562A95">
        <w:t>a</w:t>
      </w:r>
      <w:r w:rsidRPr="00975349">
        <w:t xml:space="preserve">ssurance </w:t>
      </w:r>
      <w:r w:rsidR="00562A95">
        <w:t>a</w:t>
      </w:r>
      <w:r w:rsidRPr="00975349">
        <w:t xml:space="preserve">ctivities, any findings </w:t>
      </w:r>
      <w:r w:rsidR="0044710C">
        <w:t>may</w:t>
      </w:r>
      <w:r w:rsidRPr="00975349">
        <w:t xml:space="preserve"> be issued in a report to the </w:t>
      </w:r>
      <w:r w:rsidR="00C43B43">
        <w:t>p</w:t>
      </w:r>
      <w:r w:rsidRPr="00975349">
        <w:t xml:space="preserve">rovider. </w:t>
      </w:r>
    </w:p>
    <w:p w14:paraId="05B21828" w14:textId="58CC6AAA" w:rsidR="00EA2D41" w:rsidRPr="00975349" w:rsidRDefault="00EA2D41" w:rsidP="00EA2D41">
      <w:pPr>
        <w:pStyle w:val="PwCNormal"/>
      </w:pPr>
      <w:r w:rsidRPr="00975349">
        <w:t>Review activit</w:t>
      </w:r>
      <w:r w:rsidR="00324768">
        <w:t>ies</w:t>
      </w:r>
      <w:r w:rsidRPr="00975349">
        <w:t xml:space="preserve"> will be aligned where appropriate with the </w:t>
      </w:r>
      <w:r w:rsidRPr="00A23EF0">
        <w:rPr>
          <w:rStyle w:val="Emphasis"/>
        </w:rPr>
        <w:t>AS/NZS ISO 19011:2019 Guidelines for auditing management systems</w:t>
      </w:r>
      <w:r w:rsidRPr="00AA7AC1">
        <w:rPr>
          <w:i/>
          <w:iCs/>
        </w:rPr>
        <w:t xml:space="preserve"> </w:t>
      </w:r>
      <w:r w:rsidRPr="00975349">
        <w:t>and will be underpinned by the principles of: continuous improvement; building trust; risk-based and data driven; and collaboration and engagement.</w:t>
      </w:r>
    </w:p>
    <w:p w14:paraId="12C54C6E" w14:textId="2584E532" w:rsidR="00EA2D41" w:rsidRDefault="00EA2D41" w:rsidP="00EA2D41">
      <w:pPr>
        <w:pStyle w:val="PwCNormal"/>
        <w:keepNext/>
      </w:pPr>
      <w:r w:rsidRPr="00975349">
        <w:lastRenderedPageBreak/>
        <w:t xml:space="preserve">The expected benefits of </w:t>
      </w:r>
      <w:r w:rsidR="006773A2">
        <w:t>a</w:t>
      </w:r>
      <w:r w:rsidRPr="00975349">
        <w:t xml:space="preserve">ssurance </w:t>
      </w:r>
      <w:r w:rsidR="006773A2">
        <w:t>a</w:t>
      </w:r>
      <w:r w:rsidRPr="00975349">
        <w:t xml:space="preserve">ctivities </w:t>
      </w:r>
      <w:r w:rsidR="00B34949">
        <w:t xml:space="preserve">for the HCP Program </w:t>
      </w:r>
      <w:r w:rsidRPr="00975349">
        <w:t xml:space="preserve">under this </w:t>
      </w:r>
      <w:r w:rsidR="003A2695">
        <w:t>f</w:t>
      </w:r>
      <w:r w:rsidRPr="00975349">
        <w:t>ramework include:</w:t>
      </w:r>
    </w:p>
    <w:p w14:paraId="56C7D5A6" w14:textId="1697EF41" w:rsidR="008B3029" w:rsidRDefault="008B3029" w:rsidP="00EA2D41">
      <w:pPr>
        <w:pStyle w:val="PwCNormal"/>
        <w:keepNext/>
      </w:pPr>
      <w:r>
        <w:rPr>
          <w:noProof/>
          <w:snapToGrid/>
        </w:rPr>
        <w:drawing>
          <wp:inline distT="0" distB="0" distL="0" distR="0" wp14:anchorId="5DC24570" wp14:editId="11354167">
            <wp:extent cx="3429000" cy="3286125"/>
            <wp:effectExtent l="0" t="0" r="0" b="9525"/>
            <wp:docPr id="4" name="Picture 4" descr="the HCP Program under this framework include:&#10;1. Greater value for money for care recipients and taxpayers through enhanced program integrity&#10;2. Better informed providers through education and capability uplift, including through the community of practice&#10;3. Improved community confidence in the sector&#10;4. Ongoing improvements to the HCP Program, benefitting providers and care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HCP Program under this framework include:&#10;1. Greater value for money for care recipients and taxpayers through enhanced program integrity&#10;2. Better informed providers through education and capability uplift, including through the community of practice&#10;3. Improved community confidence in the sector&#10;4. Ongoing improvements to the HCP Program, benefitting providers and care recipients"/>
                    <pic:cNvPicPr/>
                  </pic:nvPicPr>
                  <pic:blipFill>
                    <a:blip r:embed="rId15"/>
                    <a:stretch>
                      <a:fillRect/>
                    </a:stretch>
                  </pic:blipFill>
                  <pic:spPr>
                    <a:xfrm>
                      <a:off x="0" y="0"/>
                      <a:ext cx="3429000" cy="3286125"/>
                    </a:xfrm>
                    <a:prstGeom prst="rect">
                      <a:avLst/>
                    </a:prstGeom>
                  </pic:spPr>
                </pic:pic>
              </a:graphicData>
            </a:graphic>
          </wp:inline>
        </w:drawing>
      </w:r>
    </w:p>
    <w:p w14:paraId="147E428F" w14:textId="4DEF7D10" w:rsidR="00EA2D41" w:rsidRPr="00975349" w:rsidRDefault="00EA2D41" w:rsidP="0043574B">
      <w:pPr>
        <w:pStyle w:val="PwCNormal"/>
      </w:pPr>
      <w:r w:rsidRPr="00975349">
        <w:t xml:space="preserve">This </w:t>
      </w:r>
      <w:r w:rsidR="003A2695">
        <w:t>f</w:t>
      </w:r>
      <w:r w:rsidRPr="00975349">
        <w:t xml:space="preserve">ramework will be </w:t>
      </w:r>
      <w:r w:rsidR="008C5B06">
        <w:t xml:space="preserve">updated every two years, or when needed to </w:t>
      </w:r>
      <w:r w:rsidRPr="00975349">
        <w:t xml:space="preserve">ensure that learnings and stakeholder feedback supports fine-tuning of the framework and the assurance process. </w:t>
      </w:r>
    </w:p>
    <w:p w14:paraId="30B96D06" w14:textId="77777777" w:rsidR="00361210" w:rsidRPr="0092764F" w:rsidRDefault="00361210" w:rsidP="003D7EB1">
      <w:pPr>
        <w:pStyle w:val="PwCNormal"/>
        <w:rPr>
          <w:rFonts w:eastAsia="Georgia"/>
        </w:rPr>
      </w:pPr>
    </w:p>
    <w:p w14:paraId="407285C5" w14:textId="77777777" w:rsidR="00F406F6" w:rsidRPr="00975349" w:rsidRDefault="00F406F6" w:rsidP="00F406F6">
      <w:pPr>
        <w:pStyle w:val="PwCNormal"/>
        <w:rPr>
          <w:rFonts w:eastAsia="Georgia"/>
        </w:rPr>
        <w:sectPr w:rsidR="00F406F6" w:rsidRPr="00975349" w:rsidSect="000A0D76">
          <w:headerReference w:type="even" r:id="rId16"/>
          <w:headerReference w:type="default" r:id="rId17"/>
          <w:footerReference w:type="even" r:id="rId18"/>
          <w:footerReference w:type="default" r:id="rId19"/>
          <w:headerReference w:type="first" r:id="rId20"/>
          <w:footerReference w:type="first" r:id="rId21"/>
          <w:pgSz w:w="11907" w:h="16840" w:code="9"/>
          <w:pgMar w:top="1588" w:right="1021" w:bottom="1418" w:left="1021" w:header="567" w:footer="567" w:gutter="0"/>
          <w:pgNumType w:fmt="lowerRoman"/>
          <w:cols w:space="227"/>
          <w:titlePg/>
          <w:docGrid w:linePitch="360"/>
        </w:sectPr>
      </w:pPr>
    </w:p>
    <w:p w14:paraId="0482BFEB" w14:textId="77777777" w:rsidR="00F406F6" w:rsidRPr="00975349" w:rsidRDefault="00F406F6" w:rsidP="002311EE">
      <w:pPr>
        <w:pStyle w:val="TOCtitle"/>
      </w:pPr>
      <w:r w:rsidRPr="00975349">
        <w:lastRenderedPageBreak/>
        <w:t>Contents</w:t>
      </w:r>
    </w:p>
    <w:p w14:paraId="08F78482" w14:textId="1E69A2CE" w:rsidR="00CA544C" w:rsidRDefault="00F406F6">
      <w:pPr>
        <w:pStyle w:val="TOC1"/>
        <w:rPr>
          <w:rFonts w:eastAsiaTheme="minorEastAsia" w:cstheme="minorBidi"/>
          <w:noProof/>
          <w:snapToGrid/>
          <w:color w:val="auto"/>
          <w:kern w:val="2"/>
          <w:sz w:val="22"/>
          <w:szCs w:val="22"/>
          <w:lang w:eastAsia="en-AU"/>
          <w14:ligatures w14:val="standardContextual"/>
        </w:rPr>
      </w:pPr>
      <w:r w:rsidRPr="00A94475">
        <w:rPr>
          <w:color w:val="2B579A"/>
          <w:shd w:val="clear" w:color="auto" w:fill="E6E6E6"/>
        </w:rPr>
        <w:fldChar w:fldCharType="begin"/>
      </w:r>
      <w:r w:rsidRPr="00A94475">
        <w:instrText xml:space="preserve"> TOC \h \t "Heading 1,1,Heading 2 No spacing,2,Heading 2,2,Heading 4,4,Heading 6,6,Heading 7,7,Preface Title,1</w:instrText>
      </w:r>
      <w:r w:rsidR="00E36C8D" w:rsidRPr="00A94475">
        <w:instrText>,</w:instrText>
      </w:r>
      <w:r w:rsidR="00C64BAE" w:rsidRPr="00A94475">
        <w:instrText>Appendix Heading,1,</w:instrText>
      </w:r>
      <w:r w:rsidR="00E36C8D" w:rsidRPr="00A94475">
        <w:instrText>ES Heading,2</w:instrText>
      </w:r>
      <w:r w:rsidRPr="00A94475">
        <w:instrText xml:space="preserve">" </w:instrText>
      </w:r>
      <w:r w:rsidRPr="00A94475">
        <w:rPr>
          <w:color w:val="2B579A"/>
          <w:shd w:val="clear" w:color="auto" w:fill="E6E6E6"/>
        </w:rPr>
        <w:fldChar w:fldCharType="separate"/>
      </w:r>
      <w:hyperlink w:anchor="_Toc158806605" w:history="1">
        <w:r w:rsidR="00CA544C" w:rsidRPr="0096206F">
          <w:rPr>
            <w:rStyle w:val="Hyperlink"/>
            <w:noProof/>
          </w:rPr>
          <w:t>1</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Introduction</w:t>
        </w:r>
        <w:r w:rsidR="00CA544C">
          <w:rPr>
            <w:noProof/>
          </w:rPr>
          <w:tab/>
        </w:r>
        <w:r w:rsidR="00CA544C">
          <w:rPr>
            <w:noProof/>
          </w:rPr>
          <w:fldChar w:fldCharType="begin"/>
        </w:r>
        <w:r w:rsidR="00CA544C">
          <w:rPr>
            <w:noProof/>
          </w:rPr>
          <w:instrText xml:space="preserve"> PAGEREF _Toc158806605 \h </w:instrText>
        </w:r>
        <w:r w:rsidR="00CA544C">
          <w:rPr>
            <w:noProof/>
          </w:rPr>
        </w:r>
        <w:r w:rsidR="00CA544C">
          <w:rPr>
            <w:noProof/>
          </w:rPr>
          <w:fldChar w:fldCharType="separate"/>
        </w:r>
        <w:r w:rsidR="00CA544C">
          <w:rPr>
            <w:noProof/>
          </w:rPr>
          <w:t>1</w:t>
        </w:r>
        <w:r w:rsidR="00CA544C">
          <w:rPr>
            <w:noProof/>
          </w:rPr>
          <w:fldChar w:fldCharType="end"/>
        </w:r>
      </w:hyperlink>
    </w:p>
    <w:p w14:paraId="1AA32DCB" w14:textId="453F720C" w:rsidR="00CA544C" w:rsidRDefault="00000000" w:rsidP="001E7FEF">
      <w:pPr>
        <w:pStyle w:val="TOC2"/>
      </w:pPr>
      <w:hyperlink w:anchor="_Toc158806606" w:history="1">
        <w:r w:rsidR="00CA544C" w:rsidRPr="0096206F">
          <w:rPr>
            <w:rStyle w:val="Hyperlink"/>
          </w:rPr>
          <w:t>1.1</w:t>
        </w:r>
        <w:r w:rsidR="00CA544C">
          <w:tab/>
        </w:r>
        <w:r w:rsidR="00CA544C" w:rsidRPr="0096206F">
          <w:rPr>
            <w:rStyle w:val="Hyperlink"/>
          </w:rPr>
          <w:t>The Home Care Packages Program (HCP Program)</w:t>
        </w:r>
        <w:r w:rsidR="00CA544C">
          <w:tab/>
        </w:r>
        <w:r w:rsidR="00CA544C">
          <w:fldChar w:fldCharType="begin"/>
        </w:r>
        <w:r w:rsidR="00CA544C">
          <w:instrText xml:space="preserve"> PAGEREF _Toc158806606 \h </w:instrText>
        </w:r>
        <w:r w:rsidR="00CA544C">
          <w:fldChar w:fldCharType="separate"/>
        </w:r>
        <w:r w:rsidR="00CA544C">
          <w:t>1</w:t>
        </w:r>
        <w:r w:rsidR="00CA544C">
          <w:fldChar w:fldCharType="end"/>
        </w:r>
      </w:hyperlink>
    </w:p>
    <w:p w14:paraId="012091ED" w14:textId="21D0A298" w:rsidR="00CA544C" w:rsidRDefault="00000000" w:rsidP="001E7FEF">
      <w:pPr>
        <w:pStyle w:val="TOC2"/>
      </w:pPr>
      <w:hyperlink w:anchor="_Toc158806607" w:history="1">
        <w:r w:rsidR="00CA544C" w:rsidRPr="0096206F">
          <w:rPr>
            <w:rStyle w:val="Hyperlink"/>
          </w:rPr>
          <w:t>1.2</w:t>
        </w:r>
        <w:r w:rsidR="00CA544C">
          <w:tab/>
        </w:r>
        <w:r w:rsidR="00CA544C" w:rsidRPr="0096206F">
          <w:rPr>
            <w:rStyle w:val="Hyperlink"/>
          </w:rPr>
          <w:t>HCP Program assurance context</w:t>
        </w:r>
        <w:r w:rsidR="00CA544C">
          <w:tab/>
        </w:r>
        <w:r w:rsidR="00CA544C">
          <w:fldChar w:fldCharType="begin"/>
        </w:r>
        <w:r w:rsidR="00CA544C">
          <w:instrText xml:space="preserve"> PAGEREF _Toc158806607 \h </w:instrText>
        </w:r>
        <w:r w:rsidR="00CA544C">
          <w:fldChar w:fldCharType="separate"/>
        </w:r>
        <w:r w:rsidR="00CA544C">
          <w:t>2</w:t>
        </w:r>
        <w:r w:rsidR="00CA544C">
          <w:fldChar w:fldCharType="end"/>
        </w:r>
      </w:hyperlink>
    </w:p>
    <w:p w14:paraId="598AE805" w14:textId="1238EAF4" w:rsidR="00CA544C" w:rsidRDefault="00000000" w:rsidP="001E7FEF">
      <w:pPr>
        <w:pStyle w:val="TOC2"/>
      </w:pPr>
      <w:hyperlink w:anchor="_Toc158806608" w:history="1">
        <w:r w:rsidR="00CA544C" w:rsidRPr="0096206F">
          <w:rPr>
            <w:rStyle w:val="Hyperlink"/>
          </w:rPr>
          <w:t>1.3</w:t>
        </w:r>
        <w:r w:rsidR="00CA544C">
          <w:tab/>
        </w:r>
        <w:r w:rsidR="00CA544C" w:rsidRPr="0096206F">
          <w:rPr>
            <w:rStyle w:val="Hyperlink"/>
          </w:rPr>
          <w:t>Legislative framework</w:t>
        </w:r>
        <w:r w:rsidR="00CA544C">
          <w:tab/>
        </w:r>
        <w:r w:rsidR="00CA544C">
          <w:fldChar w:fldCharType="begin"/>
        </w:r>
        <w:r w:rsidR="00CA544C">
          <w:instrText xml:space="preserve"> PAGEREF _Toc158806608 \h </w:instrText>
        </w:r>
        <w:r w:rsidR="00CA544C">
          <w:fldChar w:fldCharType="separate"/>
        </w:r>
        <w:r w:rsidR="00CA544C">
          <w:t>5</w:t>
        </w:r>
        <w:r w:rsidR="00CA544C">
          <w:fldChar w:fldCharType="end"/>
        </w:r>
      </w:hyperlink>
    </w:p>
    <w:p w14:paraId="40F3E720" w14:textId="053220F5" w:rsidR="00CA544C" w:rsidRDefault="00000000">
      <w:pPr>
        <w:pStyle w:val="TOC1"/>
        <w:rPr>
          <w:rFonts w:eastAsiaTheme="minorEastAsia" w:cstheme="minorBidi"/>
          <w:noProof/>
          <w:snapToGrid/>
          <w:color w:val="auto"/>
          <w:kern w:val="2"/>
          <w:sz w:val="22"/>
          <w:szCs w:val="22"/>
          <w:lang w:eastAsia="en-AU"/>
          <w14:ligatures w14:val="standardContextual"/>
        </w:rPr>
      </w:pPr>
      <w:hyperlink w:anchor="_Toc158806609" w:history="1">
        <w:r w:rsidR="00CA544C" w:rsidRPr="0096206F">
          <w:rPr>
            <w:rStyle w:val="Hyperlink"/>
            <w:noProof/>
          </w:rPr>
          <w:t>2</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Assurance framework overview</w:t>
        </w:r>
        <w:r w:rsidR="00CA544C">
          <w:rPr>
            <w:noProof/>
          </w:rPr>
          <w:tab/>
        </w:r>
        <w:r w:rsidR="00CA544C">
          <w:rPr>
            <w:noProof/>
          </w:rPr>
          <w:fldChar w:fldCharType="begin"/>
        </w:r>
        <w:r w:rsidR="00CA544C">
          <w:rPr>
            <w:noProof/>
          </w:rPr>
          <w:instrText xml:space="preserve"> PAGEREF _Toc158806609 \h </w:instrText>
        </w:r>
        <w:r w:rsidR="00CA544C">
          <w:rPr>
            <w:noProof/>
          </w:rPr>
        </w:r>
        <w:r w:rsidR="00CA544C">
          <w:rPr>
            <w:noProof/>
          </w:rPr>
          <w:fldChar w:fldCharType="separate"/>
        </w:r>
        <w:r w:rsidR="00CA544C">
          <w:rPr>
            <w:noProof/>
          </w:rPr>
          <w:t>6</w:t>
        </w:r>
        <w:r w:rsidR="00CA544C">
          <w:rPr>
            <w:noProof/>
          </w:rPr>
          <w:fldChar w:fldCharType="end"/>
        </w:r>
      </w:hyperlink>
    </w:p>
    <w:p w14:paraId="67F69DB9" w14:textId="1F23CBFB" w:rsidR="00CA544C" w:rsidRDefault="00000000" w:rsidP="001E7FEF">
      <w:pPr>
        <w:pStyle w:val="TOC2"/>
      </w:pPr>
      <w:hyperlink w:anchor="_Toc158806610" w:history="1">
        <w:r w:rsidR="00CA544C" w:rsidRPr="0096206F">
          <w:rPr>
            <w:rStyle w:val="Hyperlink"/>
          </w:rPr>
          <w:t>2.1</w:t>
        </w:r>
        <w:r w:rsidR="00CA544C">
          <w:tab/>
        </w:r>
        <w:r w:rsidR="00CA544C" w:rsidRPr="0096206F">
          <w:rPr>
            <w:rStyle w:val="Hyperlink"/>
          </w:rPr>
          <w:t>Purpose</w:t>
        </w:r>
        <w:r w:rsidR="00CA544C">
          <w:tab/>
        </w:r>
        <w:r w:rsidR="00CA544C">
          <w:fldChar w:fldCharType="begin"/>
        </w:r>
        <w:r w:rsidR="00CA544C">
          <w:instrText xml:space="preserve"> PAGEREF _Toc158806610 \h </w:instrText>
        </w:r>
        <w:r w:rsidR="00CA544C">
          <w:fldChar w:fldCharType="separate"/>
        </w:r>
        <w:r w:rsidR="00CA544C">
          <w:t>6</w:t>
        </w:r>
        <w:r w:rsidR="00CA544C">
          <w:fldChar w:fldCharType="end"/>
        </w:r>
      </w:hyperlink>
    </w:p>
    <w:p w14:paraId="7B0DC002" w14:textId="5535542F" w:rsidR="00CA544C" w:rsidRDefault="00000000" w:rsidP="001E7FEF">
      <w:pPr>
        <w:pStyle w:val="TOC2"/>
      </w:pPr>
      <w:hyperlink w:anchor="_Toc158806611" w:history="1">
        <w:r w:rsidR="00CA544C" w:rsidRPr="0096206F">
          <w:rPr>
            <w:rStyle w:val="Hyperlink"/>
          </w:rPr>
          <w:t>2.2</w:t>
        </w:r>
        <w:r w:rsidR="00CA544C">
          <w:tab/>
        </w:r>
        <w:r w:rsidR="00CA544C" w:rsidRPr="0096206F">
          <w:rPr>
            <w:rStyle w:val="Hyperlink"/>
          </w:rPr>
          <w:t>Objectives</w:t>
        </w:r>
        <w:r w:rsidR="00CA544C">
          <w:tab/>
        </w:r>
        <w:r w:rsidR="00CA544C">
          <w:fldChar w:fldCharType="begin"/>
        </w:r>
        <w:r w:rsidR="00CA544C">
          <w:instrText xml:space="preserve"> PAGEREF _Toc158806611 \h </w:instrText>
        </w:r>
        <w:r w:rsidR="00CA544C">
          <w:fldChar w:fldCharType="separate"/>
        </w:r>
        <w:r w:rsidR="00CA544C">
          <w:t>6</w:t>
        </w:r>
        <w:r w:rsidR="00CA544C">
          <w:fldChar w:fldCharType="end"/>
        </w:r>
      </w:hyperlink>
    </w:p>
    <w:p w14:paraId="598C0BF4" w14:textId="7B1E92C2" w:rsidR="00CA544C" w:rsidRDefault="00000000" w:rsidP="001E7FEF">
      <w:pPr>
        <w:pStyle w:val="TOC2"/>
      </w:pPr>
      <w:hyperlink w:anchor="_Toc158806612" w:history="1">
        <w:r w:rsidR="00CA544C" w:rsidRPr="0096206F">
          <w:rPr>
            <w:rStyle w:val="Hyperlink"/>
          </w:rPr>
          <w:t>2.3</w:t>
        </w:r>
        <w:r w:rsidR="00CA544C">
          <w:tab/>
        </w:r>
        <w:r w:rsidR="00CA544C" w:rsidRPr="0096206F">
          <w:rPr>
            <w:rStyle w:val="Hyperlink"/>
          </w:rPr>
          <w:t>Risk context</w:t>
        </w:r>
        <w:r w:rsidR="00CA544C">
          <w:tab/>
        </w:r>
        <w:r w:rsidR="00CA544C">
          <w:fldChar w:fldCharType="begin"/>
        </w:r>
        <w:r w:rsidR="00CA544C">
          <w:instrText xml:space="preserve"> PAGEREF _Toc158806612 \h </w:instrText>
        </w:r>
        <w:r w:rsidR="00CA544C">
          <w:fldChar w:fldCharType="separate"/>
        </w:r>
        <w:r w:rsidR="00CA544C">
          <w:t>6</w:t>
        </w:r>
        <w:r w:rsidR="00CA544C">
          <w:fldChar w:fldCharType="end"/>
        </w:r>
      </w:hyperlink>
    </w:p>
    <w:p w14:paraId="6CB379F6" w14:textId="434535D5" w:rsidR="00CA544C" w:rsidRDefault="00000000" w:rsidP="001E7FEF">
      <w:pPr>
        <w:pStyle w:val="TOC2"/>
      </w:pPr>
      <w:hyperlink w:anchor="_Toc158806613" w:history="1">
        <w:r w:rsidR="00CA544C" w:rsidRPr="0096206F">
          <w:rPr>
            <w:rStyle w:val="Hyperlink"/>
          </w:rPr>
          <w:t>2.4</w:t>
        </w:r>
        <w:r w:rsidR="00CA544C">
          <w:tab/>
        </w:r>
        <w:r w:rsidR="00CA544C" w:rsidRPr="0096206F">
          <w:rPr>
            <w:rStyle w:val="Hyperlink"/>
          </w:rPr>
          <w:t>Program assurance roles and responsibilities</w:t>
        </w:r>
        <w:r w:rsidR="00CA544C">
          <w:tab/>
        </w:r>
        <w:r w:rsidR="00CA544C">
          <w:fldChar w:fldCharType="begin"/>
        </w:r>
        <w:r w:rsidR="00CA544C">
          <w:instrText xml:space="preserve"> PAGEREF _Toc158806613 \h </w:instrText>
        </w:r>
        <w:r w:rsidR="00CA544C">
          <w:fldChar w:fldCharType="separate"/>
        </w:r>
        <w:r w:rsidR="00CA544C">
          <w:t>7</w:t>
        </w:r>
        <w:r w:rsidR="00CA544C">
          <w:fldChar w:fldCharType="end"/>
        </w:r>
      </w:hyperlink>
    </w:p>
    <w:p w14:paraId="3C5AC8E8" w14:textId="6B482AE1" w:rsidR="00CA544C" w:rsidRDefault="00000000">
      <w:pPr>
        <w:pStyle w:val="TOC1"/>
        <w:rPr>
          <w:rFonts w:eastAsiaTheme="minorEastAsia" w:cstheme="minorBidi"/>
          <w:noProof/>
          <w:snapToGrid/>
          <w:color w:val="auto"/>
          <w:kern w:val="2"/>
          <w:sz w:val="22"/>
          <w:szCs w:val="22"/>
          <w:lang w:eastAsia="en-AU"/>
          <w14:ligatures w14:val="standardContextual"/>
        </w:rPr>
      </w:pPr>
      <w:hyperlink w:anchor="_Toc158806614" w:history="1">
        <w:r w:rsidR="00CA544C" w:rsidRPr="0096206F">
          <w:rPr>
            <w:rStyle w:val="Hyperlink"/>
            <w:noProof/>
          </w:rPr>
          <w:t>3</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HCP Program assurance plan</w:t>
        </w:r>
        <w:r w:rsidR="00CA544C">
          <w:rPr>
            <w:noProof/>
          </w:rPr>
          <w:tab/>
        </w:r>
        <w:r w:rsidR="00CA544C">
          <w:rPr>
            <w:noProof/>
          </w:rPr>
          <w:fldChar w:fldCharType="begin"/>
        </w:r>
        <w:r w:rsidR="00CA544C">
          <w:rPr>
            <w:noProof/>
          </w:rPr>
          <w:instrText xml:space="preserve"> PAGEREF _Toc158806614 \h </w:instrText>
        </w:r>
        <w:r w:rsidR="00CA544C">
          <w:rPr>
            <w:noProof/>
          </w:rPr>
        </w:r>
        <w:r w:rsidR="00CA544C">
          <w:rPr>
            <w:noProof/>
          </w:rPr>
          <w:fldChar w:fldCharType="separate"/>
        </w:r>
        <w:r w:rsidR="00CA544C">
          <w:rPr>
            <w:noProof/>
          </w:rPr>
          <w:t>9</w:t>
        </w:r>
        <w:r w:rsidR="00CA544C">
          <w:rPr>
            <w:noProof/>
          </w:rPr>
          <w:fldChar w:fldCharType="end"/>
        </w:r>
      </w:hyperlink>
    </w:p>
    <w:p w14:paraId="01DA2D8C" w14:textId="4ADDBEEE" w:rsidR="00CA544C" w:rsidRDefault="00000000" w:rsidP="001E7FEF">
      <w:pPr>
        <w:pStyle w:val="TOC2"/>
      </w:pPr>
      <w:hyperlink w:anchor="_Toc158806615" w:history="1">
        <w:r w:rsidR="00CA544C" w:rsidRPr="0096206F">
          <w:rPr>
            <w:rStyle w:val="Hyperlink"/>
          </w:rPr>
          <w:t>3.1</w:t>
        </w:r>
        <w:r w:rsidR="00CA544C">
          <w:tab/>
        </w:r>
        <w:r w:rsidR="00CA544C" w:rsidRPr="0096206F">
          <w:rPr>
            <w:rStyle w:val="Hyperlink"/>
          </w:rPr>
          <w:t>Overview</w:t>
        </w:r>
        <w:r w:rsidR="00CA544C">
          <w:tab/>
        </w:r>
        <w:r w:rsidR="00CA544C">
          <w:fldChar w:fldCharType="begin"/>
        </w:r>
        <w:r w:rsidR="00CA544C">
          <w:instrText xml:space="preserve"> PAGEREF _Toc158806615 \h </w:instrText>
        </w:r>
        <w:r w:rsidR="00CA544C">
          <w:fldChar w:fldCharType="separate"/>
        </w:r>
        <w:r w:rsidR="00CA544C">
          <w:t>9</w:t>
        </w:r>
        <w:r w:rsidR="00CA544C">
          <w:fldChar w:fldCharType="end"/>
        </w:r>
      </w:hyperlink>
    </w:p>
    <w:p w14:paraId="2A120F5B" w14:textId="0D91AADE" w:rsidR="00CA544C" w:rsidRDefault="00000000" w:rsidP="001E7FEF">
      <w:pPr>
        <w:pStyle w:val="TOC2"/>
      </w:pPr>
      <w:hyperlink w:anchor="_Toc158806616" w:history="1">
        <w:r w:rsidR="00CA544C" w:rsidRPr="0096206F">
          <w:rPr>
            <w:rStyle w:val="Hyperlink"/>
          </w:rPr>
          <w:t>3.2</w:t>
        </w:r>
        <w:r w:rsidR="00CA544C">
          <w:tab/>
        </w:r>
        <w:r w:rsidR="00CA544C" w:rsidRPr="0096206F">
          <w:rPr>
            <w:rStyle w:val="Hyperlink"/>
          </w:rPr>
          <w:t>Environmental scan</w:t>
        </w:r>
        <w:r w:rsidR="00CA544C">
          <w:tab/>
        </w:r>
        <w:r w:rsidR="00CA544C">
          <w:fldChar w:fldCharType="begin"/>
        </w:r>
        <w:r w:rsidR="00CA544C">
          <w:instrText xml:space="preserve"> PAGEREF _Toc158806616 \h </w:instrText>
        </w:r>
        <w:r w:rsidR="00CA544C">
          <w:fldChar w:fldCharType="separate"/>
        </w:r>
        <w:r w:rsidR="00CA544C">
          <w:t>10</w:t>
        </w:r>
        <w:r w:rsidR="00CA544C">
          <w:fldChar w:fldCharType="end"/>
        </w:r>
      </w:hyperlink>
    </w:p>
    <w:p w14:paraId="11E3D215" w14:textId="660C0580" w:rsidR="00CA544C" w:rsidRDefault="00000000" w:rsidP="001E7FEF">
      <w:pPr>
        <w:pStyle w:val="TOC2"/>
      </w:pPr>
      <w:hyperlink w:anchor="_Toc158806617" w:history="1">
        <w:r w:rsidR="00CA544C" w:rsidRPr="0096206F">
          <w:rPr>
            <w:rStyle w:val="Hyperlink"/>
          </w:rPr>
          <w:t>3.3</w:t>
        </w:r>
        <w:r w:rsidR="00CA544C">
          <w:tab/>
        </w:r>
        <w:r w:rsidR="00CA544C" w:rsidRPr="0096206F">
          <w:rPr>
            <w:rStyle w:val="Hyperlink"/>
          </w:rPr>
          <w:t>Prioritisation matrix</w:t>
        </w:r>
        <w:r w:rsidR="00CA544C">
          <w:tab/>
        </w:r>
        <w:r w:rsidR="00CA544C">
          <w:fldChar w:fldCharType="begin"/>
        </w:r>
        <w:r w:rsidR="00CA544C">
          <w:instrText xml:space="preserve"> PAGEREF _Toc158806617 \h </w:instrText>
        </w:r>
        <w:r w:rsidR="00CA544C">
          <w:fldChar w:fldCharType="separate"/>
        </w:r>
        <w:r w:rsidR="00CA544C">
          <w:t>10</w:t>
        </w:r>
        <w:r w:rsidR="00CA544C">
          <w:fldChar w:fldCharType="end"/>
        </w:r>
      </w:hyperlink>
    </w:p>
    <w:p w14:paraId="6BFF26B3" w14:textId="3494DBB9" w:rsidR="00CA544C" w:rsidRDefault="00000000" w:rsidP="001E7FEF">
      <w:pPr>
        <w:pStyle w:val="TOC2"/>
      </w:pPr>
      <w:hyperlink w:anchor="_Toc158806618" w:history="1">
        <w:r w:rsidR="00CA544C" w:rsidRPr="0096206F">
          <w:rPr>
            <w:rStyle w:val="Hyperlink"/>
          </w:rPr>
          <w:t>3.4</w:t>
        </w:r>
        <w:r w:rsidR="00CA544C">
          <w:tab/>
        </w:r>
        <w:r w:rsidR="00CA544C" w:rsidRPr="0096206F">
          <w:rPr>
            <w:rStyle w:val="Hyperlink"/>
          </w:rPr>
          <w:t>Publishing the assurance plan on a page</w:t>
        </w:r>
        <w:r w:rsidR="00CA544C">
          <w:tab/>
        </w:r>
        <w:r w:rsidR="00CA544C">
          <w:fldChar w:fldCharType="begin"/>
        </w:r>
        <w:r w:rsidR="00CA544C">
          <w:instrText xml:space="preserve"> PAGEREF _Toc158806618 \h </w:instrText>
        </w:r>
        <w:r w:rsidR="00CA544C">
          <w:fldChar w:fldCharType="separate"/>
        </w:r>
        <w:r w:rsidR="00CA544C">
          <w:t>11</w:t>
        </w:r>
        <w:r w:rsidR="00CA544C">
          <w:fldChar w:fldCharType="end"/>
        </w:r>
      </w:hyperlink>
    </w:p>
    <w:p w14:paraId="367C8E46" w14:textId="71E7B93B" w:rsidR="00CA544C" w:rsidRDefault="00000000">
      <w:pPr>
        <w:pStyle w:val="TOC1"/>
        <w:rPr>
          <w:rFonts w:eastAsiaTheme="minorEastAsia" w:cstheme="minorBidi"/>
          <w:noProof/>
          <w:snapToGrid/>
          <w:color w:val="auto"/>
          <w:kern w:val="2"/>
          <w:sz w:val="22"/>
          <w:szCs w:val="22"/>
          <w:lang w:eastAsia="en-AU"/>
          <w14:ligatures w14:val="standardContextual"/>
        </w:rPr>
      </w:pPr>
      <w:hyperlink w:anchor="_Toc158806619" w:history="1">
        <w:r w:rsidR="00CA544C" w:rsidRPr="0096206F">
          <w:rPr>
            <w:rStyle w:val="Hyperlink"/>
            <w:noProof/>
          </w:rPr>
          <w:t>4</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Assurance approach and activities</w:t>
        </w:r>
        <w:r w:rsidR="00CA544C">
          <w:rPr>
            <w:noProof/>
          </w:rPr>
          <w:tab/>
        </w:r>
        <w:r w:rsidR="00CA544C">
          <w:rPr>
            <w:noProof/>
          </w:rPr>
          <w:fldChar w:fldCharType="begin"/>
        </w:r>
        <w:r w:rsidR="00CA544C">
          <w:rPr>
            <w:noProof/>
          </w:rPr>
          <w:instrText xml:space="preserve"> PAGEREF _Toc158806619 \h </w:instrText>
        </w:r>
        <w:r w:rsidR="00CA544C">
          <w:rPr>
            <w:noProof/>
          </w:rPr>
        </w:r>
        <w:r w:rsidR="00CA544C">
          <w:rPr>
            <w:noProof/>
          </w:rPr>
          <w:fldChar w:fldCharType="separate"/>
        </w:r>
        <w:r w:rsidR="00CA544C">
          <w:rPr>
            <w:noProof/>
          </w:rPr>
          <w:t>12</w:t>
        </w:r>
        <w:r w:rsidR="00CA544C">
          <w:rPr>
            <w:noProof/>
          </w:rPr>
          <w:fldChar w:fldCharType="end"/>
        </w:r>
      </w:hyperlink>
    </w:p>
    <w:p w14:paraId="636AE6F9" w14:textId="12B99B7F" w:rsidR="00CA544C" w:rsidRDefault="00000000" w:rsidP="001E7FEF">
      <w:pPr>
        <w:pStyle w:val="TOC2"/>
      </w:pPr>
      <w:hyperlink w:anchor="_Toc158806620" w:history="1">
        <w:r w:rsidR="00CA544C" w:rsidRPr="0096206F">
          <w:rPr>
            <w:rStyle w:val="Hyperlink"/>
          </w:rPr>
          <w:t>4.1</w:t>
        </w:r>
        <w:r w:rsidR="00CA544C">
          <w:tab/>
        </w:r>
        <w:r w:rsidR="00CA544C" w:rsidRPr="0096206F">
          <w:rPr>
            <w:rStyle w:val="Hyperlink"/>
          </w:rPr>
          <w:t>Assurance principles</w:t>
        </w:r>
        <w:r w:rsidR="00CA544C">
          <w:tab/>
        </w:r>
        <w:r w:rsidR="00CA544C">
          <w:fldChar w:fldCharType="begin"/>
        </w:r>
        <w:r w:rsidR="00CA544C">
          <w:instrText xml:space="preserve"> PAGEREF _Toc158806620 \h </w:instrText>
        </w:r>
        <w:r w:rsidR="00CA544C">
          <w:fldChar w:fldCharType="separate"/>
        </w:r>
        <w:r w:rsidR="00CA544C">
          <w:t>12</w:t>
        </w:r>
        <w:r w:rsidR="00CA544C">
          <w:fldChar w:fldCharType="end"/>
        </w:r>
      </w:hyperlink>
    </w:p>
    <w:p w14:paraId="172BCC9B" w14:textId="33AD7050" w:rsidR="00CA544C" w:rsidRDefault="00000000" w:rsidP="001E7FEF">
      <w:pPr>
        <w:pStyle w:val="TOC2"/>
      </w:pPr>
      <w:hyperlink w:anchor="_Toc158806621" w:history="1">
        <w:r w:rsidR="00CA544C" w:rsidRPr="0096206F">
          <w:rPr>
            <w:rStyle w:val="Hyperlink"/>
          </w:rPr>
          <w:t>4.2</w:t>
        </w:r>
        <w:r w:rsidR="00CA544C">
          <w:tab/>
        </w:r>
        <w:r w:rsidR="00CA544C" w:rsidRPr="0096206F">
          <w:rPr>
            <w:rStyle w:val="Hyperlink"/>
          </w:rPr>
          <w:t>Assurance activities</w:t>
        </w:r>
        <w:r w:rsidR="00CA544C">
          <w:tab/>
        </w:r>
        <w:r w:rsidR="00CA544C">
          <w:fldChar w:fldCharType="begin"/>
        </w:r>
        <w:r w:rsidR="00CA544C">
          <w:instrText xml:space="preserve"> PAGEREF _Toc158806621 \h </w:instrText>
        </w:r>
        <w:r w:rsidR="00CA544C">
          <w:fldChar w:fldCharType="separate"/>
        </w:r>
        <w:r w:rsidR="00CA544C">
          <w:t>12</w:t>
        </w:r>
        <w:r w:rsidR="00CA544C">
          <w:fldChar w:fldCharType="end"/>
        </w:r>
      </w:hyperlink>
    </w:p>
    <w:p w14:paraId="06550A3D" w14:textId="12EFC7F9" w:rsidR="00CA544C" w:rsidRDefault="00000000" w:rsidP="001E7FEF">
      <w:pPr>
        <w:pStyle w:val="TOC2"/>
      </w:pPr>
      <w:hyperlink w:anchor="_Toc158806622" w:history="1">
        <w:r w:rsidR="00CA544C" w:rsidRPr="0096206F">
          <w:rPr>
            <w:rStyle w:val="Hyperlink"/>
          </w:rPr>
          <w:t>4.3</w:t>
        </w:r>
        <w:r w:rsidR="00CA544C">
          <w:tab/>
        </w:r>
        <w:r w:rsidR="00CA544C" w:rsidRPr="0096206F">
          <w:rPr>
            <w:rStyle w:val="Hyperlink"/>
          </w:rPr>
          <w:t>Approach to assurance reviews</w:t>
        </w:r>
        <w:r w:rsidR="00CA544C">
          <w:tab/>
        </w:r>
        <w:r w:rsidR="00CA544C">
          <w:fldChar w:fldCharType="begin"/>
        </w:r>
        <w:r w:rsidR="00CA544C">
          <w:instrText xml:space="preserve"> PAGEREF _Toc158806622 \h </w:instrText>
        </w:r>
        <w:r w:rsidR="00CA544C">
          <w:fldChar w:fldCharType="separate"/>
        </w:r>
        <w:r w:rsidR="00CA544C">
          <w:t>14</w:t>
        </w:r>
        <w:r w:rsidR="00CA544C">
          <w:fldChar w:fldCharType="end"/>
        </w:r>
      </w:hyperlink>
    </w:p>
    <w:p w14:paraId="077674EB" w14:textId="17DF0C27" w:rsidR="00CA544C" w:rsidRDefault="00000000">
      <w:pPr>
        <w:pStyle w:val="TOC1"/>
        <w:rPr>
          <w:rFonts w:eastAsiaTheme="minorEastAsia" w:cstheme="minorBidi"/>
          <w:noProof/>
          <w:snapToGrid/>
          <w:color w:val="auto"/>
          <w:kern w:val="2"/>
          <w:sz w:val="22"/>
          <w:szCs w:val="22"/>
          <w:lang w:eastAsia="en-AU"/>
          <w14:ligatures w14:val="standardContextual"/>
        </w:rPr>
      </w:pPr>
      <w:hyperlink w:anchor="_Toc158806623" w:history="1">
        <w:r w:rsidR="00CA544C" w:rsidRPr="0096206F">
          <w:rPr>
            <w:rStyle w:val="Hyperlink"/>
            <w:noProof/>
          </w:rPr>
          <w:t>5</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Assurance framework benefits</w:t>
        </w:r>
        <w:r w:rsidR="00CA544C">
          <w:rPr>
            <w:noProof/>
          </w:rPr>
          <w:tab/>
        </w:r>
        <w:r w:rsidR="00CA544C">
          <w:rPr>
            <w:noProof/>
          </w:rPr>
          <w:fldChar w:fldCharType="begin"/>
        </w:r>
        <w:r w:rsidR="00CA544C">
          <w:rPr>
            <w:noProof/>
          </w:rPr>
          <w:instrText xml:space="preserve"> PAGEREF _Toc158806623 \h </w:instrText>
        </w:r>
        <w:r w:rsidR="00CA544C">
          <w:rPr>
            <w:noProof/>
          </w:rPr>
        </w:r>
        <w:r w:rsidR="00CA544C">
          <w:rPr>
            <w:noProof/>
          </w:rPr>
          <w:fldChar w:fldCharType="separate"/>
        </w:r>
        <w:r w:rsidR="00CA544C">
          <w:rPr>
            <w:noProof/>
          </w:rPr>
          <w:t>18</w:t>
        </w:r>
        <w:r w:rsidR="00CA544C">
          <w:rPr>
            <w:noProof/>
          </w:rPr>
          <w:fldChar w:fldCharType="end"/>
        </w:r>
      </w:hyperlink>
    </w:p>
    <w:p w14:paraId="66701C08" w14:textId="65834683" w:rsidR="00CA544C" w:rsidRDefault="00000000" w:rsidP="001E7FEF">
      <w:pPr>
        <w:pStyle w:val="TOC2"/>
      </w:pPr>
      <w:hyperlink w:anchor="_Toc158806624" w:history="1">
        <w:r w:rsidR="00CA544C" w:rsidRPr="0096206F">
          <w:rPr>
            <w:rStyle w:val="Hyperlink"/>
          </w:rPr>
          <w:t>5.1</w:t>
        </w:r>
        <w:r w:rsidR="00CA544C">
          <w:tab/>
        </w:r>
        <w:r w:rsidR="00CA544C" w:rsidRPr="0096206F">
          <w:rPr>
            <w:rStyle w:val="Hyperlink"/>
          </w:rPr>
          <w:t>Benefits overview</w:t>
        </w:r>
        <w:r w:rsidR="00CA544C">
          <w:tab/>
        </w:r>
        <w:r w:rsidR="00CA544C">
          <w:fldChar w:fldCharType="begin"/>
        </w:r>
        <w:r w:rsidR="00CA544C">
          <w:instrText xml:space="preserve"> PAGEREF _Toc158806624 \h </w:instrText>
        </w:r>
        <w:r w:rsidR="00CA544C">
          <w:fldChar w:fldCharType="separate"/>
        </w:r>
        <w:r w:rsidR="00CA544C">
          <w:t>18</w:t>
        </w:r>
        <w:r w:rsidR="00CA544C">
          <w:fldChar w:fldCharType="end"/>
        </w:r>
      </w:hyperlink>
    </w:p>
    <w:p w14:paraId="75F055BD" w14:textId="2C6E8596" w:rsidR="00CA544C" w:rsidRDefault="00000000" w:rsidP="001E7FEF">
      <w:pPr>
        <w:pStyle w:val="TOC2"/>
      </w:pPr>
      <w:hyperlink w:anchor="_Toc158806625" w:history="1">
        <w:r w:rsidR="00CA544C" w:rsidRPr="0096206F">
          <w:rPr>
            <w:rStyle w:val="Hyperlink"/>
          </w:rPr>
          <w:t>5.2</w:t>
        </w:r>
        <w:r w:rsidR="00CA544C">
          <w:tab/>
        </w:r>
        <w:r w:rsidR="00CA544C" w:rsidRPr="0096206F">
          <w:rPr>
            <w:rStyle w:val="Hyperlink"/>
          </w:rPr>
          <w:t>Greater value for money for care recipients and taxpayers through enhanced program integrity</w:t>
        </w:r>
        <w:r w:rsidR="00CA544C">
          <w:tab/>
        </w:r>
        <w:r w:rsidR="00CA544C">
          <w:fldChar w:fldCharType="begin"/>
        </w:r>
        <w:r w:rsidR="00CA544C">
          <w:instrText xml:space="preserve"> PAGEREF _Toc158806625 \h </w:instrText>
        </w:r>
        <w:r w:rsidR="00CA544C">
          <w:fldChar w:fldCharType="separate"/>
        </w:r>
        <w:r w:rsidR="00CA544C">
          <w:t>18</w:t>
        </w:r>
        <w:r w:rsidR="00CA544C">
          <w:fldChar w:fldCharType="end"/>
        </w:r>
      </w:hyperlink>
    </w:p>
    <w:p w14:paraId="20163703" w14:textId="4AEE6947" w:rsidR="00CA544C" w:rsidRDefault="00000000" w:rsidP="001E7FEF">
      <w:pPr>
        <w:pStyle w:val="TOC2"/>
      </w:pPr>
      <w:hyperlink w:anchor="_Toc158806626" w:history="1">
        <w:r w:rsidR="00CA544C" w:rsidRPr="0096206F">
          <w:rPr>
            <w:rStyle w:val="Hyperlink"/>
          </w:rPr>
          <w:t>5.3</w:t>
        </w:r>
        <w:r w:rsidR="00CA544C">
          <w:tab/>
        </w:r>
        <w:r w:rsidR="00CA544C" w:rsidRPr="0096206F">
          <w:rPr>
            <w:rStyle w:val="Hyperlink"/>
          </w:rPr>
          <w:t>Better informed providers through education and capability uplift, including through the community of practice</w:t>
        </w:r>
        <w:r w:rsidR="00CA544C">
          <w:tab/>
        </w:r>
        <w:r w:rsidR="00CA544C">
          <w:fldChar w:fldCharType="begin"/>
        </w:r>
        <w:r w:rsidR="00CA544C">
          <w:instrText xml:space="preserve"> PAGEREF _Toc158806626 \h </w:instrText>
        </w:r>
        <w:r w:rsidR="00CA544C">
          <w:fldChar w:fldCharType="separate"/>
        </w:r>
        <w:r w:rsidR="00CA544C">
          <w:t>19</w:t>
        </w:r>
        <w:r w:rsidR="00CA544C">
          <w:fldChar w:fldCharType="end"/>
        </w:r>
      </w:hyperlink>
    </w:p>
    <w:p w14:paraId="0F49319B" w14:textId="37B1C564" w:rsidR="00CA544C" w:rsidRDefault="00000000" w:rsidP="001E7FEF">
      <w:pPr>
        <w:pStyle w:val="TOC2"/>
      </w:pPr>
      <w:hyperlink w:anchor="_Toc158806627" w:history="1">
        <w:r w:rsidR="00CA544C" w:rsidRPr="0096206F">
          <w:rPr>
            <w:rStyle w:val="Hyperlink"/>
          </w:rPr>
          <w:t>5.4</w:t>
        </w:r>
        <w:r w:rsidR="00CA544C">
          <w:tab/>
        </w:r>
        <w:r w:rsidR="00CA544C" w:rsidRPr="0096206F">
          <w:rPr>
            <w:rStyle w:val="Hyperlink"/>
          </w:rPr>
          <w:t>Improved community confidence in the sector</w:t>
        </w:r>
        <w:r w:rsidR="00CA544C">
          <w:tab/>
        </w:r>
        <w:r w:rsidR="00CA544C">
          <w:fldChar w:fldCharType="begin"/>
        </w:r>
        <w:r w:rsidR="00CA544C">
          <w:instrText xml:space="preserve"> PAGEREF _Toc158806627 \h </w:instrText>
        </w:r>
        <w:r w:rsidR="00CA544C">
          <w:fldChar w:fldCharType="separate"/>
        </w:r>
        <w:r w:rsidR="00CA544C">
          <w:t>19</w:t>
        </w:r>
        <w:r w:rsidR="00CA544C">
          <w:fldChar w:fldCharType="end"/>
        </w:r>
      </w:hyperlink>
    </w:p>
    <w:p w14:paraId="0600ADAD" w14:textId="4D8A4227" w:rsidR="00CA544C" w:rsidRDefault="00000000" w:rsidP="001E7FEF">
      <w:pPr>
        <w:pStyle w:val="TOC2"/>
      </w:pPr>
      <w:hyperlink w:anchor="_Toc158806628" w:history="1">
        <w:r w:rsidR="00CA544C" w:rsidRPr="0096206F">
          <w:rPr>
            <w:rStyle w:val="Hyperlink"/>
          </w:rPr>
          <w:t>5.5</w:t>
        </w:r>
        <w:r w:rsidR="00CA544C">
          <w:tab/>
        </w:r>
        <w:r w:rsidR="00CA544C" w:rsidRPr="0096206F">
          <w:rPr>
            <w:rStyle w:val="Hyperlink"/>
          </w:rPr>
          <w:t>Ongoing improvements to the current HCP Program as well as informing future home care reforms, benefitting current and future home care providers and care recipients</w:t>
        </w:r>
        <w:r w:rsidR="00CA544C">
          <w:tab/>
        </w:r>
        <w:r w:rsidR="00CA544C">
          <w:fldChar w:fldCharType="begin"/>
        </w:r>
        <w:r w:rsidR="00CA544C">
          <w:instrText xml:space="preserve"> PAGEREF _Toc158806628 \h </w:instrText>
        </w:r>
        <w:r w:rsidR="00CA544C">
          <w:fldChar w:fldCharType="separate"/>
        </w:r>
        <w:r w:rsidR="00CA544C">
          <w:t>19</w:t>
        </w:r>
        <w:r w:rsidR="00CA544C">
          <w:fldChar w:fldCharType="end"/>
        </w:r>
      </w:hyperlink>
    </w:p>
    <w:p w14:paraId="63137952" w14:textId="356FC2FA" w:rsidR="00CA544C" w:rsidRDefault="00000000">
      <w:pPr>
        <w:pStyle w:val="TOC1"/>
        <w:rPr>
          <w:rFonts w:eastAsiaTheme="minorEastAsia" w:cstheme="minorBidi"/>
          <w:noProof/>
          <w:snapToGrid/>
          <w:color w:val="auto"/>
          <w:kern w:val="2"/>
          <w:sz w:val="22"/>
          <w:szCs w:val="22"/>
          <w:lang w:eastAsia="en-AU"/>
          <w14:ligatures w14:val="standardContextual"/>
        </w:rPr>
      </w:pPr>
      <w:hyperlink w:anchor="_Toc158806629" w:history="1">
        <w:r w:rsidR="00CA544C" w:rsidRPr="0096206F">
          <w:rPr>
            <w:rStyle w:val="Hyperlink"/>
            <w:noProof/>
          </w:rPr>
          <w:t>6</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Continuous improvement</w:t>
        </w:r>
        <w:r w:rsidR="00CA544C">
          <w:rPr>
            <w:noProof/>
          </w:rPr>
          <w:tab/>
        </w:r>
        <w:r w:rsidR="00CA544C">
          <w:rPr>
            <w:noProof/>
          </w:rPr>
          <w:fldChar w:fldCharType="begin"/>
        </w:r>
        <w:r w:rsidR="00CA544C">
          <w:rPr>
            <w:noProof/>
          </w:rPr>
          <w:instrText xml:space="preserve"> PAGEREF _Toc158806629 \h </w:instrText>
        </w:r>
        <w:r w:rsidR="00CA544C">
          <w:rPr>
            <w:noProof/>
          </w:rPr>
        </w:r>
        <w:r w:rsidR="00CA544C">
          <w:rPr>
            <w:noProof/>
          </w:rPr>
          <w:fldChar w:fldCharType="separate"/>
        </w:r>
        <w:r w:rsidR="00CA544C">
          <w:rPr>
            <w:noProof/>
          </w:rPr>
          <w:t>20</w:t>
        </w:r>
        <w:r w:rsidR="00CA544C">
          <w:rPr>
            <w:noProof/>
          </w:rPr>
          <w:fldChar w:fldCharType="end"/>
        </w:r>
      </w:hyperlink>
    </w:p>
    <w:p w14:paraId="7D2236D2" w14:textId="7DD9BC2D" w:rsidR="00CA544C" w:rsidRDefault="00000000">
      <w:pPr>
        <w:pStyle w:val="TOC1"/>
        <w:rPr>
          <w:rFonts w:eastAsiaTheme="minorEastAsia" w:cstheme="minorBidi"/>
          <w:noProof/>
          <w:snapToGrid/>
          <w:color w:val="auto"/>
          <w:kern w:val="2"/>
          <w:sz w:val="22"/>
          <w:szCs w:val="22"/>
          <w:lang w:eastAsia="en-AU"/>
          <w14:ligatures w14:val="standardContextual"/>
        </w:rPr>
      </w:pPr>
      <w:hyperlink w:anchor="_Toc158806630" w:history="1">
        <w:r w:rsidR="00CA544C" w:rsidRPr="0096206F">
          <w:rPr>
            <w:rStyle w:val="Hyperlink"/>
            <w:noProof/>
          </w:rPr>
          <w:t>7</w:t>
        </w:r>
        <w:r w:rsidR="00CA544C">
          <w:rPr>
            <w:rFonts w:eastAsiaTheme="minorEastAsia" w:cstheme="minorBidi"/>
            <w:noProof/>
            <w:snapToGrid/>
            <w:color w:val="auto"/>
            <w:kern w:val="2"/>
            <w:sz w:val="22"/>
            <w:szCs w:val="22"/>
            <w:lang w:eastAsia="en-AU"/>
            <w14:ligatures w14:val="standardContextual"/>
          </w:rPr>
          <w:tab/>
        </w:r>
        <w:r w:rsidR="00CA544C" w:rsidRPr="0096206F">
          <w:rPr>
            <w:rStyle w:val="Hyperlink"/>
            <w:noProof/>
          </w:rPr>
          <w:t>Appendices</w:t>
        </w:r>
        <w:r w:rsidR="00CA544C">
          <w:rPr>
            <w:noProof/>
          </w:rPr>
          <w:tab/>
        </w:r>
        <w:r w:rsidR="00CA544C">
          <w:rPr>
            <w:noProof/>
          </w:rPr>
          <w:fldChar w:fldCharType="begin"/>
        </w:r>
        <w:r w:rsidR="00CA544C">
          <w:rPr>
            <w:noProof/>
          </w:rPr>
          <w:instrText xml:space="preserve"> PAGEREF _Toc158806630 \h </w:instrText>
        </w:r>
        <w:r w:rsidR="00CA544C">
          <w:rPr>
            <w:noProof/>
          </w:rPr>
        </w:r>
        <w:r w:rsidR="00CA544C">
          <w:rPr>
            <w:noProof/>
          </w:rPr>
          <w:fldChar w:fldCharType="separate"/>
        </w:r>
        <w:r w:rsidR="00CA544C">
          <w:rPr>
            <w:noProof/>
          </w:rPr>
          <w:t>21</w:t>
        </w:r>
        <w:r w:rsidR="00CA544C">
          <w:rPr>
            <w:noProof/>
          </w:rPr>
          <w:fldChar w:fldCharType="end"/>
        </w:r>
      </w:hyperlink>
    </w:p>
    <w:p w14:paraId="249E160B" w14:textId="678A6371" w:rsidR="00CA544C" w:rsidRDefault="00000000" w:rsidP="001E7FEF">
      <w:pPr>
        <w:pStyle w:val="TOC2"/>
      </w:pPr>
      <w:hyperlink w:anchor="_Toc158806631" w:history="1">
        <w:r w:rsidR="00CA544C" w:rsidRPr="0096206F">
          <w:rPr>
            <w:rStyle w:val="Hyperlink"/>
          </w:rPr>
          <w:t>Appendix A – Glossary of terms</w:t>
        </w:r>
        <w:r w:rsidR="00CA544C">
          <w:tab/>
        </w:r>
        <w:r w:rsidR="00CA544C">
          <w:fldChar w:fldCharType="begin"/>
        </w:r>
        <w:r w:rsidR="00CA544C">
          <w:instrText xml:space="preserve"> PAGEREF _Toc158806631 \h </w:instrText>
        </w:r>
        <w:r w:rsidR="00CA544C">
          <w:fldChar w:fldCharType="separate"/>
        </w:r>
        <w:r w:rsidR="00CA544C">
          <w:t>21</w:t>
        </w:r>
        <w:r w:rsidR="00CA544C">
          <w:fldChar w:fldCharType="end"/>
        </w:r>
      </w:hyperlink>
    </w:p>
    <w:p w14:paraId="5FC0724B" w14:textId="585AEEDF" w:rsidR="00CA544C" w:rsidRDefault="00000000" w:rsidP="001E7FEF">
      <w:pPr>
        <w:pStyle w:val="TOC2"/>
      </w:pPr>
      <w:hyperlink w:anchor="_Toc158806632" w:history="1">
        <w:r w:rsidR="00CA544C" w:rsidRPr="0096206F">
          <w:rPr>
            <w:rStyle w:val="Hyperlink"/>
          </w:rPr>
          <w:t>Appendix B – Legislative requirements for the Assurance Framework</w:t>
        </w:r>
        <w:r w:rsidR="00CA544C">
          <w:tab/>
        </w:r>
        <w:r w:rsidR="00CA544C">
          <w:fldChar w:fldCharType="begin"/>
        </w:r>
        <w:r w:rsidR="00CA544C">
          <w:instrText xml:space="preserve"> PAGEREF _Toc158806632 \h </w:instrText>
        </w:r>
        <w:r w:rsidR="00CA544C">
          <w:fldChar w:fldCharType="separate"/>
        </w:r>
        <w:r w:rsidR="00CA544C">
          <w:t>24</w:t>
        </w:r>
        <w:r w:rsidR="00CA544C">
          <w:fldChar w:fldCharType="end"/>
        </w:r>
      </w:hyperlink>
    </w:p>
    <w:p w14:paraId="74EDA054" w14:textId="4495B2D7" w:rsidR="00CA544C" w:rsidRDefault="00000000" w:rsidP="001E7FEF">
      <w:pPr>
        <w:pStyle w:val="TOC2"/>
      </w:pPr>
      <w:hyperlink w:anchor="_Toc158806633" w:history="1">
        <w:r w:rsidR="00CA544C" w:rsidRPr="0096206F">
          <w:rPr>
            <w:rStyle w:val="Hyperlink"/>
          </w:rPr>
          <w:t>Appendix C – Sampling methodology</w:t>
        </w:r>
        <w:r w:rsidR="00CA544C">
          <w:tab/>
        </w:r>
        <w:r w:rsidR="00CA544C">
          <w:fldChar w:fldCharType="begin"/>
        </w:r>
        <w:r w:rsidR="00CA544C">
          <w:instrText xml:space="preserve"> PAGEREF _Toc158806633 \h </w:instrText>
        </w:r>
        <w:r w:rsidR="00CA544C">
          <w:fldChar w:fldCharType="separate"/>
        </w:r>
        <w:r w:rsidR="00CA544C">
          <w:t>26</w:t>
        </w:r>
        <w:r w:rsidR="00CA544C">
          <w:fldChar w:fldCharType="end"/>
        </w:r>
      </w:hyperlink>
    </w:p>
    <w:p w14:paraId="775264CC" w14:textId="5B2CA4BC" w:rsidR="00F406F6" w:rsidRPr="00A94475" w:rsidRDefault="00F406F6" w:rsidP="0092764F">
      <w:pPr>
        <w:pStyle w:val="PwCNormal"/>
      </w:pPr>
      <w:r w:rsidRPr="00A94475">
        <w:rPr>
          <w:color w:val="2B579A"/>
          <w:shd w:val="clear" w:color="auto" w:fill="E6E6E6"/>
        </w:rPr>
        <w:fldChar w:fldCharType="end"/>
      </w:r>
    </w:p>
    <w:p w14:paraId="2EF1E663" w14:textId="77777777" w:rsidR="00F406F6" w:rsidRPr="00A94475" w:rsidRDefault="00F406F6" w:rsidP="0092764F">
      <w:pPr>
        <w:pStyle w:val="PwCNormal"/>
        <w:sectPr w:rsidR="00F406F6" w:rsidRPr="00A94475" w:rsidSect="00C64BAE">
          <w:headerReference w:type="even" r:id="rId22"/>
          <w:headerReference w:type="default" r:id="rId23"/>
          <w:footerReference w:type="even" r:id="rId24"/>
          <w:footerReference w:type="default" r:id="rId25"/>
          <w:headerReference w:type="first" r:id="rId26"/>
          <w:footerReference w:type="first" r:id="rId27"/>
          <w:pgSz w:w="11907" w:h="16840" w:code="9"/>
          <w:pgMar w:top="1588" w:right="1021" w:bottom="1418" w:left="2155" w:header="567" w:footer="567" w:gutter="0"/>
          <w:pgNumType w:fmt="lowerRoman"/>
          <w:cols w:space="720"/>
          <w:titlePg/>
          <w:docGrid w:linePitch="286"/>
        </w:sectPr>
      </w:pPr>
    </w:p>
    <w:p w14:paraId="79FFFCA1" w14:textId="77777777" w:rsidR="00EA2D41" w:rsidRPr="00FB114A" w:rsidRDefault="00EA2D41" w:rsidP="002311EE">
      <w:pPr>
        <w:pStyle w:val="Heading1"/>
      </w:pPr>
      <w:bookmarkStart w:id="1" w:name="_70w8lagocdfp" w:colFirst="0" w:colLast="0"/>
      <w:bookmarkStart w:id="2" w:name="_Toc158806605"/>
      <w:bookmarkEnd w:id="1"/>
      <w:r w:rsidRPr="00975349">
        <w:lastRenderedPageBreak/>
        <w:t>Introduction</w:t>
      </w:r>
      <w:bookmarkEnd w:id="2"/>
    </w:p>
    <w:p w14:paraId="6C8BB8AD" w14:textId="13D9C695" w:rsidR="00EA2D41" w:rsidRPr="00975349" w:rsidRDefault="00EA2D41" w:rsidP="002311EE">
      <w:pPr>
        <w:pStyle w:val="Heading2"/>
      </w:pPr>
      <w:bookmarkStart w:id="3" w:name="_Toc83979994"/>
      <w:bookmarkStart w:id="4" w:name="_Toc158806606"/>
      <w:r w:rsidRPr="00975349">
        <w:t>The Home Care Package</w:t>
      </w:r>
      <w:r w:rsidR="00FB309A">
        <w:t>s</w:t>
      </w:r>
      <w:r w:rsidRPr="00975349">
        <w:t xml:space="preserve"> Program</w:t>
      </w:r>
      <w:bookmarkEnd w:id="3"/>
      <w:r w:rsidR="004F48D5">
        <w:t xml:space="preserve"> (HCP Program)</w:t>
      </w:r>
      <w:bookmarkEnd w:id="4"/>
    </w:p>
    <w:p w14:paraId="1679447B" w14:textId="4977018C" w:rsidR="00F74F8C" w:rsidRDefault="00EA2D41" w:rsidP="000940BB">
      <w:pPr>
        <w:pStyle w:val="PwCNormal"/>
      </w:pPr>
      <w:r w:rsidRPr="00975349">
        <w:t xml:space="preserve">The purpose of the HCP Program is to support people to remain living at home and connected to their communities for longer. The objective of the HCP Program is to support </w:t>
      </w:r>
      <w:r w:rsidR="00584B67">
        <w:t>older</w:t>
      </w:r>
      <w:r w:rsidR="00584B67" w:rsidRPr="00975349">
        <w:t xml:space="preserve"> </w:t>
      </w:r>
      <w:r w:rsidR="00F734F4">
        <w:t>people in Australia</w:t>
      </w:r>
      <w:r w:rsidR="00F734F4" w:rsidRPr="00975349">
        <w:t xml:space="preserve"> </w:t>
      </w:r>
      <w:r w:rsidRPr="00975349">
        <w:t>to live independently in their own homes, using a consumer</w:t>
      </w:r>
      <w:r w:rsidR="00AF14FC">
        <w:t xml:space="preserve"> </w:t>
      </w:r>
      <w:r w:rsidRPr="00975349">
        <w:t xml:space="preserve">directed care approach to help meet a person’s assessed care needs and goals through structured and comprehensive support. To achieve this, </w:t>
      </w:r>
      <w:r w:rsidR="000E7A14">
        <w:t>3</w:t>
      </w:r>
      <w:r w:rsidRPr="00975349">
        <w:t xml:space="preserve"> focus areas</w:t>
      </w:r>
      <w:r w:rsidR="00C86952">
        <w:t xml:space="preserve"> have been identified</w:t>
      </w:r>
      <w:r w:rsidRPr="00975349">
        <w:t xml:space="preserve">: </w:t>
      </w:r>
    </w:p>
    <w:p w14:paraId="1CF79826" w14:textId="2D7340B3" w:rsidR="00545676" w:rsidRDefault="00EA6BDD" w:rsidP="00B33B05">
      <w:pPr>
        <w:pStyle w:val="PwCNormal"/>
      </w:pPr>
      <w:r>
        <w:rPr>
          <w:noProof/>
          <w:snapToGrid/>
        </w:rPr>
        <w:drawing>
          <wp:inline distT="0" distB="0" distL="0" distR="0" wp14:anchorId="3985EB38" wp14:editId="58E96FE9">
            <wp:extent cx="6264275" cy="861695"/>
            <wp:effectExtent l="0" t="0" r="3175" b="0"/>
            <wp:docPr id="6" name="Picture 6" descr="This image shows the purpose of the HCP program. 3 focus areas have been identified: &#10;1. Providing older people in Australia services to keep them well and independent in their own homes&#10;2. Providing older people in Australia services to keep 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shows the purpose of the HCP program. 3 focus areas have been identified: &#10;1. Providing older people in Australia services to keep them well and independent in their own homes&#10;2. Providing older people in Australia services to keep tem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64275" cy="861695"/>
                    </a:xfrm>
                    <a:prstGeom prst="rect">
                      <a:avLst/>
                    </a:prstGeom>
                  </pic:spPr>
                </pic:pic>
              </a:graphicData>
            </a:graphic>
          </wp:inline>
        </w:drawing>
      </w:r>
    </w:p>
    <w:p w14:paraId="08A1C979" w14:textId="4DA79141" w:rsidR="00EA2D41" w:rsidRPr="00975349" w:rsidRDefault="00EA2D41" w:rsidP="00F74F8C">
      <w:pPr>
        <w:pStyle w:val="PwCNormal"/>
      </w:pPr>
      <w:r w:rsidRPr="00975349">
        <w:t>For the HCP Program</w:t>
      </w:r>
      <w:r w:rsidR="009D0218">
        <w:t>:</w:t>
      </w:r>
    </w:p>
    <w:p w14:paraId="41BAE885" w14:textId="38FD3C54" w:rsidR="00EA2D41" w:rsidRPr="00975349" w:rsidRDefault="00EA2D41" w:rsidP="00B33B05">
      <w:pPr>
        <w:pStyle w:val="ListBullet"/>
      </w:pPr>
      <w:r w:rsidRPr="00975349">
        <w:t xml:space="preserve">the </w:t>
      </w:r>
      <w:r w:rsidR="001D65A2">
        <w:t xml:space="preserve">department </w:t>
      </w:r>
      <w:r w:rsidRPr="00975349">
        <w:t>is the policy and program lead</w:t>
      </w:r>
    </w:p>
    <w:p w14:paraId="3A770DAF" w14:textId="77777777" w:rsidR="00EA2D41" w:rsidRPr="00975349" w:rsidRDefault="00EA2D41" w:rsidP="00B33B05">
      <w:pPr>
        <w:pStyle w:val="ListBullet"/>
      </w:pPr>
      <w:r w:rsidRPr="00975349">
        <w:t>Services Australia is responsible for payments</w:t>
      </w:r>
    </w:p>
    <w:p w14:paraId="0454C47A" w14:textId="6600262D" w:rsidR="00EA2D41" w:rsidRPr="00975349" w:rsidRDefault="001D65A2" w:rsidP="00B33B05">
      <w:pPr>
        <w:pStyle w:val="ListBullet"/>
      </w:pPr>
      <w:r>
        <w:t xml:space="preserve">providers </w:t>
      </w:r>
      <w:r w:rsidR="00EA2D41" w:rsidRPr="00975349">
        <w:t>deliver services</w:t>
      </w:r>
    </w:p>
    <w:p w14:paraId="43021DE3" w14:textId="22AC4C8A" w:rsidR="00EA2D41" w:rsidRPr="00975349" w:rsidRDefault="00EA2D41" w:rsidP="00B33B05">
      <w:pPr>
        <w:pStyle w:val="ListBullet"/>
      </w:pPr>
      <w:r w:rsidRPr="00975349">
        <w:t>care recipients</w:t>
      </w:r>
      <w:r w:rsidR="00321E65">
        <w:t xml:space="preserve"> </w:t>
      </w:r>
      <w:r w:rsidRPr="00975349">
        <w:t xml:space="preserve">participate in the </w:t>
      </w:r>
      <w:r w:rsidR="000C7BF6">
        <w:t>p</w:t>
      </w:r>
      <w:r w:rsidRPr="00975349">
        <w:t xml:space="preserve">rogram through a </w:t>
      </w:r>
      <w:r w:rsidR="000C7BF6">
        <w:t>c</w:t>
      </w:r>
      <w:r w:rsidRPr="00975349">
        <w:t>onsumer</w:t>
      </w:r>
      <w:r w:rsidR="00CF0291">
        <w:t xml:space="preserve"> </w:t>
      </w:r>
      <w:r w:rsidR="000C7BF6">
        <w:t>d</w:t>
      </w:r>
      <w:r w:rsidRPr="00975349">
        <w:t xml:space="preserve">irected </w:t>
      </w:r>
      <w:r w:rsidR="000C7BF6">
        <w:t>c</w:t>
      </w:r>
      <w:r w:rsidRPr="00975349">
        <w:t>are model</w:t>
      </w:r>
    </w:p>
    <w:p w14:paraId="434175B1" w14:textId="612EED6F" w:rsidR="00EA2D41" w:rsidRPr="00975349" w:rsidRDefault="00EA2D41" w:rsidP="00B33B05">
      <w:pPr>
        <w:pStyle w:val="ListBullet"/>
      </w:pPr>
      <w:r w:rsidRPr="00975349">
        <w:t>the ACQ</w:t>
      </w:r>
      <w:r w:rsidR="008E389E">
        <w:t>S</w:t>
      </w:r>
      <w:r w:rsidRPr="00975349">
        <w:t>C is the national regulator.</w:t>
      </w:r>
    </w:p>
    <w:p w14:paraId="5619D5D8" w14:textId="77777777" w:rsidR="00470519" w:rsidRPr="0092764F" w:rsidRDefault="00470519" w:rsidP="003D7EB1">
      <w:pPr>
        <w:pStyle w:val="PwCNormal"/>
      </w:pPr>
      <w:r w:rsidRPr="0092764F">
        <w:br w:type="page"/>
      </w:r>
    </w:p>
    <w:p w14:paraId="3B74AA20" w14:textId="19634FF8" w:rsidR="00EA2D41" w:rsidRPr="00975349" w:rsidRDefault="00EA2D41" w:rsidP="00B33B05">
      <w:pPr>
        <w:pStyle w:val="PwCNormal"/>
        <w:keepNext/>
      </w:pPr>
      <w:r w:rsidRPr="00975349">
        <w:lastRenderedPageBreak/>
        <w:t>The below figure summarises these functional responsibilities</w:t>
      </w:r>
      <w:r w:rsidR="00120D83">
        <w:t>.</w:t>
      </w:r>
    </w:p>
    <w:p w14:paraId="2D7C0BE6" w14:textId="707D6E9E" w:rsidR="00BF1AC0" w:rsidRDefault="00EA2D41" w:rsidP="003D7EB1">
      <w:pPr>
        <w:pStyle w:val="PwCNormal"/>
      </w:pPr>
      <w:r w:rsidRPr="00975349">
        <w:t xml:space="preserve">Figure </w:t>
      </w:r>
      <w:fldSimple w:instr=" SEQ Figure \* ARABIC ">
        <w:r w:rsidR="00F87264">
          <w:rPr>
            <w:noProof/>
          </w:rPr>
          <w:t>1</w:t>
        </w:r>
      </w:fldSimple>
      <w:r w:rsidRPr="00975349">
        <w:t xml:space="preserve">: HCP Program </w:t>
      </w:r>
      <w:r w:rsidR="0078387C">
        <w:t>r</w:t>
      </w:r>
      <w:r w:rsidRPr="00975349">
        <w:t>oles and responsibilities</w:t>
      </w:r>
    </w:p>
    <w:p w14:paraId="1B2CC670" w14:textId="4C093A4C" w:rsidR="002B229F" w:rsidRPr="0092764F" w:rsidRDefault="00C775FD" w:rsidP="0092764F">
      <w:pPr>
        <w:pStyle w:val="PwCNormal"/>
      </w:pPr>
      <w:r>
        <w:rPr>
          <w:noProof/>
          <w:snapToGrid/>
        </w:rPr>
        <w:drawing>
          <wp:inline distT="0" distB="0" distL="0" distR="0" wp14:anchorId="6BA9DBFE" wp14:editId="7D9FF45C">
            <wp:extent cx="6264275" cy="6028055"/>
            <wp:effectExtent l="0" t="0" r="3175" b="0"/>
            <wp:docPr id="44" name="Picture 44" descr="HCP care recipient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CP care recipient flow chart"/>
                    <pic:cNvPicPr/>
                  </pic:nvPicPr>
                  <pic:blipFill>
                    <a:blip r:embed="rId28"/>
                    <a:stretch>
                      <a:fillRect/>
                    </a:stretch>
                  </pic:blipFill>
                  <pic:spPr>
                    <a:xfrm>
                      <a:off x="0" y="0"/>
                      <a:ext cx="6264275" cy="6028055"/>
                    </a:xfrm>
                    <a:prstGeom prst="rect">
                      <a:avLst/>
                    </a:prstGeom>
                  </pic:spPr>
                </pic:pic>
              </a:graphicData>
            </a:graphic>
          </wp:inline>
        </w:drawing>
      </w:r>
      <w:bookmarkStart w:id="5" w:name="_Toc83979995"/>
    </w:p>
    <w:p w14:paraId="0B23C589" w14:textId="63281D8E" w:rsidR="00EA2D41" w:rsidRPr="00975349" w:rsidRDefault="00EA2D41" w:rsidP="002311EE">
      <w:pPr>
        <w:pStyle w:val="Heading2"/>
      </w:pPr>
      <w:bookmarkStart w:id="6" w:name="_HCP_Program_assurance"/>
      <w:bookmarkStart w:id="7" w:name="_Toc158806607"/>
      <w:bookmarkEnd w:id="6"/>
      <w:r w:rsidRPr="00975349">
        <w:t xml:space="preserve">HCP Program </w:t>
      </w:r>
      <w:r w:rsidR="00005E41">
        <w:t>a</w:t>
      </w:r>
      <w:r w:rsidRPr="00975349">
        <w:t>ssurance context</w:t>
      </w:r>
      <w:bookmarkEnd w:id="5"/>
      <w:bookmarkEnd w:id="7"/>
    </w:p>
    <w:p w14:paraId="765DDAEE" w14:textId="5545D124" w:rsidR="00EA2D41" w:rsidRPr="0092764F" w:rsidRDefault="00EA2D41" w:rsidP="0092764F">
      <w:pPr>
        <w:pStyle w:val="PwCNormal"/>
      </w:pPr>
      <w:r w:rsidRPr="0092764F">
        <w:t xml:space="preserve">The number of </w:t>
      </w:r>
      <w:r w:rsidR="00584B67" w:rsidRPr="0092764F">
        <w:t xml:space="preserve">older </w:t>
      </w:r>
      <w:r w:rsidR="0062251C" w:rsidRPr="0092764F">
        <w:t xml:space="preserve">people in Australia </w:t>
      </w:r>
      <w:r w:rsidRPr="0092764F">
        <w:t>choosing to remain</w:t>
      </w:r>
      <w:r w:rsidR="000C11D1" w:rsidRPr="0092764F">
        <w:t xml:space="preserve"> living</w:t>
      </w:r>
      <w:r w:rsidRPr="0092764F">
        <w:t xml:space="preserve"> within their own homes continues to increase, including through the HCP Program. To enhance the oversight of the HCP Program, the</w:t>
      </w:r>
      <w:r w:rsidR="00C66A00" w:rsidRPr="0092764F">
        <w:t xml:space="preserve"> </w:t>
      </w:r>
      <w:r w:rsidR="0032697F" w:rsidRPr="0092764F">
        <w:t>g</w:t>
      </w:r>
      <w:r w:rsidR="00C66A00" w:rsidRPr="0092764F">
        <w:t xml:space="preserve">overnment </w:t>
      </w:r>
      <w:r w:rsidRPr="0092764F">
        <w:t xml:space="preserve">will </w:t>
      </w:r>
      <w:r w:rsidR="00C66A00" w:rsidRPr="0092764F">
        <w:t>assure</w:t>
      </w:r>
      <w:r w:rsidRPr="0092764F">
        <w:t xml:space="preserve"> integrity of the HCP Program through:</w:t>
      </w:r>
    </w:p>
    <w:p w14:paraId="09A4C537" w14:textId="0DB250DF" w:rsidR="00EA2D41" w:rsidRPr="00975349" w:rsidRDefault="00EA2D41" w:rsidP="00B33B05">
      <w:pPr>
        <w:pStyle w:val="ListBullet"/>
      </w:pPr>
      <w:r w:rsidRPr="00975349">
        <w:t xml:space="preserve">an ongoing risk-based program of </w:t>
      </w:r>
      <w:r w:rsidR="001149F3">
        <w:t>a</w:t>
      </w:r>
      <w:r w:rsidRPr="00975349">
        <w:t xml:space="preserve">ssurance </w:t>
      </w:r>
      <w:r w:rsidR="001149F3">
        <w:t>a</w:t>
      </w:r>
      <w:r w:rsidRPr="00975349">
        <w:t xml:space="preserve">ctivities focused on </w:t>
      </w:r>
      <w:r w:rsidR="001149F3">
        <w:t>p</w:t>
      </w:r>
      <w:r w:rsidRPr="00975349">
        <w:t>roviders to assure value for money of HCP Program funds</w:t>
      </w:r>
    </w:p>
    <w:p w14:paraId="112E8010" w14:textId="45013950" w:rsidR="00EA2D41" w:rsidRPr="00975349" w:rsidRDefault="00EA2D41" w:rsidP="00B33B05">
      <w:pPr>
        <w:pStyle w:val="ListBullet"/>
      </w:pPr>
      <w:r w:rsidRPr="00975349">
        <w:t xml:space="preserve">continuous improvement of </w:t>
      </w:r>
      <w:r w:rsidR="001149F3">
        <w:t>p</w:t>
      </w:r>
      <w:r w:rsidRPr="00975349">
        <w:t xml:space="preserve">roviders including through a </w:t>
      </w:r>
      <w:r w:rsidR="001149F3">
        <w:t>c</w:t>
      </w:r>
      <w:r w:rsidRPr="00975349">
        <w:t xml:space="preserve">ommunity of </w:t>
      </w:r>
      <w:r w:rsidR="001149F3">
        <w:t>p</w:t>
      </w:r>
      <w:r w:rsidRPr="00975349">
        <w:t>ractice</w:t>
      </w:r>
    </w:p>
    <w:p w14:paraId="3FF39851" w14:textId="683D8589" w:rsidR="00EA2D41" w:rsidRPr="00975349" w:rsidRDefault="00EA2D41" w:rsidP="00B33B05">
      <w:pPr>
        <w:pStyle w:val="ListBullet"/>
      </w:pPr>
      <w:r w:rsidRPr="00975349">
        <w:t xml:space="preserve">enhanced fraud management and investigation capability within the </w:t>
      </w:r>
      <w:r w:rsidR="00863008">
        <w:t>department</w:t>
      </w:r>
      <w:r w:rsidRPr="00975349">
        <w:t>.</w:t>
      </w:r>
    </w:p>
    <w:p w14:paraId="40F64A51" w14:textId="1BCBACFA" w:rsidR="00EA2D41" w:rsidRPr="00975349" w:rsidRDefault="00EA2D41" w:rsidP="005656E4">
      <w:pPr>
        <w:pStyle w:val="PwCNormal"/>
      </w:pPr>
      <w:r w:rsidRPr="00975349">
        <w:lastRenderedPageBreak/>
        <w:t xml:space="preserve">This </w:t>
      </w:r>
      <w:r w:rsidR="009B7476">
        <w:t>a</w:t>
      </w:r>
      <w:r w:rsidRPr="00975349">
        <w:t xml:space="preserve">ssurance </w:t>
      </w:r>
      <w:r w:rsidR="009B7476">
        <w:t>f</w:t>
      </w:r>
      <w:r w:rsidRPr="00975349">
        <w:t xml:space="preserve">ramework is essential to supporting the HCP Program’s integrity which will, in turn, enhance value for money for existing and future program participants and Australian taxpayers. </w:t>
      </w:r>
      <w:r w:rsidR="00EC01D0">
        <w:t>It</w:t>
      </w:r>
      <w:r w:rsidR="00BD7239">
        <w:t xml:space="preserve"> </w:t>
      </w:r>
      <w:r w:rsidRPr="00975349">
        <w:t>align</w:t>
      </w:r>
      <w:r w:rsidR="007B7DA1">
        <w:t>s</w:t>
      </w:r>
      <w:r w:rsidRPr="00975349">
        <w:t xml:space="preserve"> with the </w:t>
      </w:r>
      <w:r w:rsidR="00F17DDB">
        <w:t>d</w:t>
      </w:r>
      <w:r w:rsidRPr="00975349">
        <w:t>epartment’s:</w:t>
      </w:r>
    </w:p>
    <w:p w14:paraId="438DD0BB" w14:textId="6FB7C324" w:rsidR="00EA2D41" w:rsidRPr="00975349" w:rsidRDefault="00EA2D41" w:rsidP="00B33B05">
      <w:pPr>
        <w:pStyle w:val="ListBullet"/>
      </w:pPr>
      <w:r w:rsidRPr="00975349">
        <w:t>Risk Management Policy</w:t>
      </w:r>
      <w:r w:rsidR="00544F0E">
        <w:t xml:space="preserve"> and Risk Management Framework</w:t>
      </w:r>
    </w:p>
    <w:p w14:paraId="328D5E77" w14:textId="09657A88" w:rsidR="00EA2D41" w:rsidRPr="00975349" w:rsidRDefault="00EA2D41" w:rsidP="00B33B05">
      <w:pPr>
        <w:pStyle w:val="ListBullet"/>
      </w:pPr>
      <w:r w:rsidRPr="00975349">
        <w:t>Assurance Framework</w:t>
      </w:r>
    </w:p>
    <w:p w14:paraId="746DCE79" w14:textId="151A5919" w:rsidR="00EA2D41" w:rsidRPr="00975349" w:rsidRDefault="00EA2D41" w:rsidP="00B33B05">
      <w:pPr>
        <w:pStyle w:val="ListBullet"/>
      </w:pPr>
      <w:r w:rsidRPr="00975349">
        <w:t xml:space="preserve">Fraud and Corruption Control Plan </w:t>
      </w:r>
      <w:r w:rsidR="00854C21">
        <w:t>2023-25</w:t>
      </w:r>
      <w:r w:rsidRPr="00975349">
        <w:t>.</w:t>
      </w:r>
    </w:p>
    <w:p w14:paraId="4098BBC7" w14:textId="33EC6F50" w:rsidR="00EA2D41" w:rsidRPr="0092764F" w:rsidRDefault="003A764C" w:rsidP="0092764F">
      <w:pPr>
        <w:pStyle w:val="PwCNormal"/>
      </w:pPr>
      <w:r w:rsidRPr="0092764F">
        <w:t>Specifically, t</w:t>
      </w:r>
      <w:r w:rsidR="00EA2D41" w:rsidRPr="0092764F">
        <w:t>he Risk Management Policy:</w:t>
      </w:r>
    </w:p>
    <w:p w14:paraId="3E68A2DA" w14:textId="1A40FDC2" w:rsidR="00EA2D41" w:rsidRPr="00975349" w:rsidRDefault="00EA2D41" w:rsidP="00B33B05">
      <w:pPr>
        <w:pStyle w:val="ListNumber"/>
      </w:pPr>
      <w:r w:rsidRPr="00975349">
        <w:t xml:space="preserve">defines the </w:t>
      </w:r>
      <w:r w:rsidR="00F17DDB">
        <w:t>d</w:t>
      </w:r>
      <w:r w:rsidRPr="00975349">
        <w:t xml:space="preserve">epartment’s approach to </w:t>
      </w:r>
      <w:r w:rsidR="00FD146C">
        <w:t xml:space="preserve">risk </w:t>
      </w:r>
      <w:r w:rsidRPr="00975349">
        <w:t xml:space="preserve">management, supporting the </w:t>
      </w:r>
      <w:r w:rsidR="00863008">
        <w:t>department</w:t>
      </w:r>
      <w:r w:rsidRPr="00975349">
        <w:t>’s strategic plans and objectives</w:t>
      </w:r>
    </w:p>
    <w:p w14:paraId="4F3C4BB4" w14:textId="0B680A68" w:rsidR="00EA2D41" w:rsidRPr="00975349" w:rsidRDefault="00EA2D41" w:rsidP="00B33B05">
      <w:pPr>
        <w:pStyle w:val="ListNumber"/>
      </w:pPr>
      <w:r w:rsidRPr="00975349">
        <w:t>sets out the key accountabilities</w:t>
      </w:r>
      <w:r w:rsidR="00CC219D">
        <w:t>, roles</w:t>
      </w:r>
      <w:r w:rsidRPr="00975349">
        <w:t xml:space="preserve"> and responsibilities for managing </w:t>
      </w:r>
      <w:r w:rsidR="00776F9E">
        <w:t>risk</w:t>
      </w:r>
      <w:r w:rsidR="00FA4041">
        <w:t xml:space="preserve"> </w:t>
      </w:r>
      <w:r w:rsidRPr="00975349">
        <w:t xml:space="preserve">and implementing the </w:t>
      </w:r>
      <w:r w:rsidR="007A37B2">
        <w:t>d</w:t>
      </w:r>
      <w:r w:rsidRPr="00975349">
        <w:t>epartment’s Risk Management Framework</w:t>
      </w:r>
    </w:p>
    <w:p w14:paraId="57310F4E" w14:textId="3163E5A3" w:rsidR="00EA2D41" w:rsidRPr="00975349" w:rsidRDefault="00EA2D41" w:rsidP="00B33B05">
      <w:pPr>
        <w:pStyle w:val="ListNumber"/>
      </w:pPr>
      <w:r w:rsidRPr="00975349">
        <w:t xml:space="preserve">defines the </w:t>
      </w:r>
      <w:r w:rsidR="00863008">
        <w:t>department</w:t>
      </w:r>
      <w:r w:rsidRPr="00975349">
        <w:t>’s risk appetite and risk tolerance.</w:t>
      </w:r>
    </w:p>
    <w:p w14:paraId="7A1C4A75" w14:textId="6A879F1F" w:rsidR="00EA2D41" w:rsidRPr="00975349" w:rsidRDefault="00EA2D41" w:rsidP="00B33B05">
      <w:pPr>
        <w:pStyle w:val="PwCNormal"/>
      </w:pPr>
      <w:r w:rsidRPr="00975349">
        <w:t xml:space="preserve">The Risk Management Policy is supported by the </w:t>
      </w:r>
      <w:r w:rsidR="00863008">
        <w:t>department</w:t>
      </w:r>
      <w:r w:rsidRPr="00975349">
        <w:t xml:space="preserve">’s Assurance </w:t>
      </w:r>
      <w:r w:rsidRPr="00975349" w:rsidDel="00EE7AF4">
        <w:t>F</w:t>
      </w:r>
      <w:r w:rsidRPr="00975349">
        <w:t xml:space="preserve">ramework which provides guidance and direction to facilitate effective </w:t>
      </w:r>
      <w:r w:rsidR="00EE7AF4">
        <w:t>a</w:t>
      </w:r>
      <w:r w:rsidRPr="00975349">
        <w:t xml:space="preserve">ssurance </w:t>
      </w:r>
      <w:r w:rsidR="00EE7AF4">
        <w:t>a</w:t>
      </w:r>
      <w:r w:rsidRPr="00975349">
        <w:t xml:space="preserve">ctivities across the </w:t>
      </w:r>
      <w:r w:rsidR="00863008">
        <w:t>department</w:t>
      </w:r>
      <w:r w:rsidRPr="00975349">
        <w:t xml:space="preserve"> to support the Secretary, Executive and business areas “to achieve better health outcomes for all Australians”. </w:t>
      </w:r>
    </w:p>
    <w:p w14:paraId="78191E8C" w14:textId="6FF0562E" w:rsidR="00EA2D41" w:rsidRPr="00975349" w:rsidRDefault="00EA2D41" w:rsidP="00B33B05">
      <w:pPr>
        <w:pStyle w:val="PwCNormal"/>
      </w:pPr>
      <w:r w:rsidRPr="00975349">
        <w:t xml:space="preserve">The </w:t>
      </w:r>
      <w:r w:rsidR="00863008">
        <w:t>department</w:t>
      </w:r>
      <w:r w:rsidRPr="00975349">
        <w:t xml:space="preserve">’s Fraud and Corruption Control Plan </w:t>
      </w:r>
      <w:r w:rsidR="78619330" w:rsidRPr="00D411DF">
        <w:t>2023-25</w:t>
      </w:r>
      <w:r w:rsidRPr="00975349">
        <w:t xml:space="preserve"> articulates the approach to the deterrence, detection and mitigation of fraud risks. </w:t>
      </w:r>
    </w:p>
    <w:p w14:paraId="2E52B152" w14:textId="6700B7ED" w:rsidR="00470519" w:rsidRPr="0092764F" w:rsidRDefault="00EA2D41" w:rsidP="0092764F">
      <w:pPr>
        <w:pStyle w:val="PwCNormal"/>
      </w:pPr>
      <w:r w:rsidRPr="00975349">
        <w:t xml:space="preserve">The </w:t>
      </w:r>
      <w:r w:rsidR="00863008">
        <w:t>department</w:t>
      </w:r>
      <w:r w:rsidRPr="00975349">
        <w:t>’s Assurance Framework utilises the ‘Three Lines Model’</w:t>
      </w:r>
      <w:r w:rsidRPr="00975349">
        <w:rPr>
          <w:vertAlign w:val="superscript"/>
        </w:rPr>
        <w:footnoteReference w:id="10"/>
      </w:r>
      <w:r w:rsidRPr="00975349">
        <w:t xml:space="preserve">, which is a globally recognised model for best practice organisational governance, assurance, and risk management. The ‘Three Lines Model’ overlays roles for the management of risk and the provision of assurance across </w:t>
      </w:r>
      <w:r w:rsidR="000E7A14">
        <w:t>3</w:t>
      </w:r>
      <w:r w:rsidRPr="00975349">
        <w:t xml:space="preserve"> key lines of an organisational structure as depicted in </w:t>
      </w:r>
      <w:r w:rsidR="00BD35C5">
        <w:rPr>
          <w:b/>
          <w:bCs/>
        </w:rPr>
        <w:fldChar w:fldCharType="begin"/>
      </w:r>
      <w:r w:rsidR="00BD35C5">
        <w:instrText xml:space="preserve"> REF _Ref158798083 \h </w:instrText>
      </w:r>
      <w:r w:rsidR="00BD35C5">
        <w:rPr>
          <w:b/>
          <w:bCs/>
        </w:rPr>
      </w:r>
      <w:r w:rsidR="00BD35C5">
        <w:rPr>
          <w:b/>
          <w:bCs/>
        </w:rPr>
        <w:fldChar w:fldCharType="separate"/>
      </w:r>
      <w:r w:rsidR="00BD35C5" w:rsidRPr="00975349">
        <w:t xml:space="preserve">Figure </w:t>
      </w:r>
      <w:r w:rsidR="00BD35C5">
        <w:rPr>
          <w:noProof/>
        </w:rPr>
        <w:t>2</w:t>
      </w:r>
      <w:r w:rsidR="00BD35C5">
        <w:rPr>
          <w:b/>
          <w:bCs/>
        </w:rPr>
        <w:fldChar w:fldCharType="end"/>
      </w:r>
      <w:r w:rsidR="0083720C">
        <w:t>,</w:t>
      </w:r>
      <w:r w:rsidRPr="00975349">
        <w:t xml:space="preserve"> </w:t>
      </w:r>
      <w:r w:rsidR="0083720C">
        <w:t>m</w:t>
      </w:r>
      <w:r w:rsidRPr="00975349">
        <w:t>anagement control (first line), compliance/assurance oversight functions (second line), and independent assurance (third line). Th</w:t>
      </w:r>
      <w:r w:rsidR="00C95F51">
        <w:t xml:space="preserve">e </w:t>
      </w:r>
      <w:r w:rsidR="00C77B54">
        <w:t>a</w:t>
      </w:r>
      <w:r w:rsidRPr="00975349">
        <w:t xml:space="preserve">ssurance </w:t>
      </w:r>
      <w:r w:rsidR="00C77B54">
        <w:t>f</w:t>
      </w:r>
      <w:r w:rsidRPr="00975349">
        <w:t>ramework sits within the second line of defence, with the first line being the HCP Program area and the third line being internal audit activities.</w:t>
      </w:r>
    </w:p>
    <w:p w14:paraId="0AF30E14" w14:textId="71B397D2" w:rsidR="00456E6B" w:rsidRDefault="00B33B05" w:rsidP="0092764F">
      <w:pPr>
        <w:pStyle w:val="Caption"/>
      </w:pPr>
      <w:bookmarkStart w:id="8" w:name="_Ref158798083"/>
      <w:r w:rsidRPr="00975349">
        <w:lastRenderedPageBreak/>
        <w:t xml:space="preserve">Figure </w:t>
      </w:r>
      <w:fldSimple w:instr=" SEQ Figure \* ARABIC ">
        <w:r w:rsidR="00F87264">
          <w:rPr>
            <w:noProof/>
          </w:rPr>
          <w:t>2</w:t>
        </w:r>
      </w:fldSimple>
      <w:bookmarkEnd w:id="8"/>
      <w:r w:rsidRPr="00975349">
        <w:t xml:space="preserve">: </w:t>
      </w:r>
      <w:r w:rsidR="00EA2D41" w:rsidRPr="00975349">
        <w:t>Assurance responsibilities for the HCP Program across the ‘Three Lines Model’</w:t>
      </w:r>
    </w:p>
    <w:p w14:paraId="6885F960" w14:textId="6495E006" w:rsidR="000940BB" w:rsidRDefault="00FD7100" w:rsidP="003D7EB1">
      <w:pPr>
        <w:pStyle w:val="PwCNormal"/>
      </w:pPr>
      <w:r>
        <w:rPr>
          <w:noProof/>
          <w:snapToGrid/>
        </w:rPr>
        <w:drawing>
          <wp:inline distT="0" distB="0" distL="0" distR="0" wp14:anchorId="77706EEE" wp14:editId="5B88BDE7">
            <wp:extent cx="6012611" cy="4218883"/>
            <wp:effectExtent l="0" t="0" r="7620" b="0"/>
            <wp:docPr id="48" name="Picture 48" descr="Figure 2 is an image of the HCP program across 3 lines model:&#10;1. HCP program management maintaining effective internal controls and executing HCP program risk and control procedures on a day-to-day basis&#10;2. Risk-based assurance activities and referral to the Fraud Control and Investigation Branch to enhance fist line controls/providers activities&#10;3. Independent and holistic assurance of the effective ness of governances, risk management and internal contro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Figure 2 is an image of the HCP program across 3 lines model:&#10;1. HCP program management maintaining effective internal controls and executing HCP program risk and control procedures on a day-to-day basis&#10;2. Risk-based assurance activities and referral to the Fraud Control and Investigation Branch to enhance fist line controls/providers activities&#10;3. Independent and holistic assurance of the effective ness of governances, risk management and internal controls.&#10;"/>
                    <pic:cNvPicPr/>
                  </pic:nvPicPr>
                  <pic:blipFill>
                    <a:blip r:embed="rId29"/>
                    <a:stretch>
                      <a:fillRect/>
                    </a:stretch>
                  </pic:blipFill>
                  <pic:spPr>
                    <a:xfrm>
                      <a:off x="0" y="0"/>
                      <a:ext cx="6029690" cy="4230867"/>
                    </a:xfrm>
                    <a:prstGeom prst="rect">
                      <a:avLst/>
                    </a:prstGeom>
                  </pic:spPr>
                </pic:pic>
              </a:graphicData>
            </a:graphic>
          </wp:inline>
        </w:drawing>
      </w:r>
    </w:p>
    <w:p w14:paraId="21B2DEAB" w14:textId="119B88F3" w:rsidR="00EA2D41" w:rsidRPr="00975349" w:rsidRDefault="00EA2D41" w:rsidP="00B33B05">
      <w:pPr>
        <w:pStyle w:val="PwCNormal"/>
      </w:pPr>
      <w:r w:rsidRPr="00975349">
        <w:t xml:space="preserve">Program </w:t>
      </w:r>
      <w:r w:rsidR="00BB41F7">
        <w:t>a</w:t>
      </w:r>
      <w:r w:rsidRPr="00975349">
        <w:t xml:space="preserve">ssurance </w:t>
      </w:r>
      <w:r w:rsidR="00BB41F7">
        <w:t>r</w:t>
      </w:r>
      <w:r w:rsidRPr="00975349">
        <w:t xml:space="preserve">eviews undertaken by the </w:t>
      </w:r>
      <w:r w:rsidR="00863008">
        <w:t>department</w:t>
      </w:r>
      <w:r w:rsidRPr="00975349">
        <w:t xml:space="preserve"> are separate to the </w:t>
      </w:r>
      <w:r w:rsidR="00DF4294">
        <w:t>ACQSC’s</w:t>
      </w:r>
      <w:r w:rsidRPr="00975349">
        <w:t xml:space="preserve"> role as the national regulator of </w:t>
      </w:r>
      <w:r w:rsidR="003576E5">
        <w:t>h</w:t>
      </w:r>
      <w:r w:rsidRPr="00975349">
        <w:t xml:space="preserve">ome </w:t>
      </w:r>
      <w:r w:rsidR="003576E5">
        <w:t>c</w:t>
      </w:r>
      <w:r w:rsidRPr="00975349">
        <w:t>are.</w:t>
      </w:r>
    </w:p>
    <w:p w14:paraId="50C33135" w14:textId="2C2456F0" w:rsidR="00EA2D41" w:rsidRPr="00975349" w:rsidRDefault="00EA2D41" w:rsidP="00B33B05">
      <w:pPr>
        <w:pStyle w:val="PwCNormal"/>
      </w:pPr>
      <w:r w:rsidRPr="00975349">
        <w:t>The ACQSC</w:t>
      </w:r>
      <w:r w:rsidRPr="00975349">
        <w:rPr>
          <w:rStyle w:val="FootnoteReference"/>
        </w:rPr>
        <w:footnoteReference w:id="11"/>
      </w:r>
      <w:r w:rsidRPr="00975349">
        <w:t xml:space="preserve">, established under the </w:t>
      </w:r>
      <w:r w:rsidRPr="005656E4">
        <w:rPr>
          <w:i/>
          <w:iCs/>
        </w:rPr>
        <w:t>Aged Care Quality and Safety Commission Act 2018</w:t>
      </w:r>
      <w:r w:rsidRPr="00975349">
        <w:t xml:space="preserve"> </w:t>
      </w:r>
      <w:r w:rsidRPr="00975349" w:rsidDel="00E274DB">
        <w:t>(</w:t>
      </w:r>
      <w:r w:rsidR="00F21B4C">
        <w:t>the Commission</w:t>
      </w:r>
      <w:r w:rsidR="00F21B4C" w:rsidRPr="00975349" w:rsidDel="00E274DB">
        <w:t xml:space="preserve"> </w:t>
      </w:r>
      <w:r w:rsidRPr="00975349" w:rsidDel="00E274DB">
        <w:t>Act)</w:t>
      </w:r>
      <w:r w:rsidRPr="00975349">
        <w:t xml:space="preserve">, is responsible for protecting and enhancing the safety, health, wellbeing and quality of life of people receiving aged care. It is the national end-to-end regulator of aged care services, and the primary point of contact for consumers and providers in relation to quality and safety. It approves providers and receives compulsory reports. It independently accredits, assesses and monitors aged care services subsidised by the </w:t>
      </w:r>
      <w:r w:rsidR="0032697F">
        <w:t>g</w:t>
      </w:r>
      <w:r w:rsidRPr="00975349">
        <w:t xml:space="preserve">overnment, conducts home care investigations, and determines compliance requirements to be imposed on </w:t>
      </w:r>
      <w:r w:rsidR="00B810CD">
        <w:t>p</w:t>
      </w:r>
      <w:r w:rsidRPr="00975349">
        <w:t xml:space="preserve">roviders (such as sanctions). It also resolves complaints about these services. Through its engagement and education work it aims to build confidence and trust in aged care, empower consumers, support </w:t>
      </w:r>
      <w:r w:rsidR="00531866">
        <w:t>p</w:t>
      </w:r>
      <w:r w:rsidRPr="00975349">
        <w:t>roviders to comply with quality standards, and promote best practice service provision.</w:t>
      </w:r>
    </w:p>
    <w:p w14:paraId="6B43935F" w14:textId="79D0C4DF" w:rsidR="00EA2D41" w:rsidRPr="00975349" w:rsidRDefault="00EA2D41" w:rsidP="002311EE">
      <w:pPr>
        <w:pStyle w:val="Heading2"/>
      </w:pPr>
      <w:bookmarkStart w:id="9" w:name="_Toc83979996"/>
      <w:bookmarkStart w:id="10" w:name="_Toc158806608"/>
      <w:r w:rsidRPr="00975349">
        <w:lastRenderedPageBreak/>
        <w:t xml:space="preserve">Legislative </w:t>
      </w:r>
      <w:r w:rsidR="007F2C5B">
        <w:t>f</w:t>
      </w:r>
      <w:r w:rsidRPr="00975349">
        <w:t>ramework</w:t>
      </w:r>
      <w:bookmarkEnd w:id="9"/>
      <w:bookmarkEnd w:id="10"/>
    </w:p>
    <w:p w14:paraId="1A798A8A" w14:textId="72596154" w:rsidR="00EA2D41" w:rsidRPr="00975349" w:rsidRDefault="00EA2D41" w:rsidP="00B33B05">
      <w:pPr>
        <w:pStyle w:val="PwCNormal"/>
        <w:keepNext/>
      </w:pPr>
      <w:r w:rsidRPr="00975349">
        <w:t xml:space="preserve">The key legislation underpinning this </w:t>
      </w:r>
      <w:r w:rsidR="00164F9D">
        <w:t>a</w:t>
      </w:r>
      <w:r w:rsidRPr="00975349">
        <w:t xml:space="preserve">ssurance </w:t>
      </w:r>
      <w:r w:rsidR="00164F9D">
        <w:t>f</w:t>
      </w:r>
      <w:r w:rsidRPr="00975349">
        <w:t>ramework is:</w:t>
      </w:r>
    </w:p>
    <w:p w14:paraId="43C4A0AE" w14:textId="1FDE412F" w:rsidR="00EA2D41" w:rsidRPr="00975349" w:rsidRDefault="00EA2D41" w:rsidP="00C37106">
      <w:pPr>
        <w:pStyle w:val="ListNumber"/>
        <w:keepNext/>
        <w:keepLines/>
        <w:numPr>
          <w:ilvl w:val="0"/>
          <w:numId w:val="34"/>
        </w:numPr>
        <w:ind w:left="360" w:hanging="360"/>
      </w:pPr>
      <w:r w:rsidRPr="00975349">
        <w:t>The</w:t>
      </w:r>
      <w:r w:rsidRPr="00975349">
        <w:rPr>
          <w:i/>
          <w:iCs/>
        </w:rPr>
        <w:t xml:space="preserve"> </w:t>
      </w:r>
      <w:r w:rsidRPr="004335A7">
        <w:rPr>
          <w:rStyle w:val="Emphasis"/>
        </w:rPr>
        <w:t>Aged Care and Other Legislation Amendment (Royal Commission Response No. 1) Act 2021</w:t>
      </w:r>
      <w:r w:rsidRPr="005656E4">
        <w:rPr>
          <w:bCs/>
        </w:rPr>
        <w:t>,</w:t>
      </w:r>
      <w:r w:rsidRPr="00975349">
        <w:t xml:space="preserve"> which amends the </w:t>
      </w:r>
      <w:r w:rsidR="00CB393F" w:rsidRPr="006D4151">
        <w:rPr>
          <w:bCs/>
        </w:rPr>
        <w:t>Aged Care Act</w:t>
      </w:r>
      <w:r w:rsidRPr="00975349">
        <w:t xml:space="preserve"> to provide the Secretary of the </w:t>
      </w:r>
      <w:r w:rsidR="00863008">
        <w:t>department</w:t>
      </w:r>
      <w:r w:rsidRPr="00975349">
        <w:t xml:space="preserve"> legislative powers to undertake </w:t>
      </w:r>
      <w:r w:rsidR="00175B28">
        <w:t>a</w:t>
      </w:r>
      <w:r w:rsidRPr="00975349">
        <w:t xml:space="preserve">ssurance </w:t>
      </w:r>
      <w:r w:rsidR="00164F9D">
        <w:t>a</w:t>
      </w:r>
      <w:r w:rsidRPr="00975349">
        <w:t xml:space="preserve">ctivities, compel </w:t>
      </w:r>
      <w:r w:rsidR="00164F9D">
        <w:t>p</w:t>
      </w:r>
      <w:r w:rsidRPr="00975349">
        <w:t>roviders to participate, publish reports and issue civil penalties.</w:t>
      </w:r>
    </w:p>
    <w:p w14:paraId="6955172A" w14:textId="7EC586B4" w:rsidR="00EA2D41" w:rsidRPr="00975349" w:rsidRDefault="00EA2D41" w:rsidP="00B33B05">
      <w:pPr>
        <w:pStyle w:val="ListNumber"/>
      </w:pPr>
      <w:r w:rsidRPr="00975349">
        <w:t>The</w:t>
      </w:r>
      <w:r w:rsidRPr="00975349">
        <w:rPr>
          <w:i/>
        </w:rPr>
        <w:t xml:space="preserve"> </w:t>
      </w:r>
      <w:r w:rsidRPr="004335A7">
        <w:rPr>
          <w:rStyle w:val="Emphasis"/>
        </w:rPr>
        <w:t>Public Governance, Performance and Accountability Act 2013</w:t>
      </w:r>
      <w:r w:rsidR="00D47797">
        <w:rPr>
          <w:bCs/>
          <w:i/>
        </w:rPr>
        <w:t xml:space="preserve"> </w:t>
      </w:r>
      <w:r w:rsidR="00D47797" w:rsidRPr="009F10D7">
        <w:rPr>
          <w:bCs/>
          <w:iCs/>
        </w:rPr>
        <w:t>(PGPA Act)</w:t>
      </w:r>
      <w:r w:rsidRPr="005656E4">
        <w:rPr>
          <w:bCs/>
        </w:rPr>
        <w:t>,</w:t>
      </w:r>
      <w:r w:rsidRPr="00975349">
        <w:t xml:space="preserve"> which requires </w:t>
      </w:r>
      <w:r w:rsidR="000F7EDF">
        <w:t>g</w:t>
      </w:r>
      <w:r w:rsidRPr="00975349">
        <w:t>overnment funded programs, such as the HCP Program, to be delivered in an efficient, effective, economical and ethical manner.</w:t>
      </w:r>
    </w:p>
    <w:p w14:paraId="00668BF1" w14:textId="4C38FA1C" w:rsidR="00EA2D41" w:rsidRPr="00975349" w:rsidRDefault="00EA2D41" w:rsidP="00B33B05">
      <w:pPr>
        <w:pStyle w:val="ListNumber"/>
      </w:pPr>
      <w:r w:rsidRPr="00975349">
        <w:rPr>
          <w:iCs/>
        </w:rPr>
        <w:t xml:space="preserve">The </w:t>
      </w:r>
      <w:r w:rsidRPr="004335A7">
        <w:rPr>
          <w:rStyle w:val="Emphasis"/>
        </w:rPr>
        <w:t>Public Governance, Performance and Accountability Rule 2014</w:t>
      </w:r>
      <w:r w:rsidR="00D47797" w:rsidRPr="009F10D7">
        <w:rPr>
          <w:bCs/>
          <w:iCs/>
        </w:rPr>
        <w:t xml:space="preserve"> (PGPA Rule)</w:t>
      </w:r>
      <w:r w:rsidRPr="005656E4">
        <w:rPr>
          <w:bCs/>
        </w:rPr>
        <w:t>,</w:t>
      </w:r>
      <w:r w:rsidRPr="00975349">
        <w:t xml:space="preserve"> which establishes a minimum standard for the </w:t>
      </w:r>
      <w:r w:rsidR="00863008">
        <w:t>department</w:t>
      </w:r>
      <w:r w:rsidRPr="00975349">
        <w:t xml:space="preserve"> for managing the risk and incidents of fraud.</w:t>
      </w:r>
    </w:p>
    <w:p w14:paraId="79133C51" w14:textId="397B2504" w:rsidR="00EA2D41" w:rsidRPr="00975349" w:rsidRDefault="00EA2D41" w:rsidP="00B33B05">
      <w:pPr>
        <w:pStyle w:val="ListNumber"/>
      </w:pPr>
      <w:r w:rsidRPr="00975349">
        <w:t>The</w:t>
      </w:r>
      <w:r w:rsidRPr="00975349">
        <w:rPr>
          <w:i/>
        </w:rPr>
        <w:t xml:space="preserve"> </w:t>
      </w:r>
      <w:r w:rsidRPr="004335A7">
        <w:rPr>
          <w:rStyle w:val="Emphasis"/>
        </w:rPr>
        <w:t>Public Service Act 1999</w:t>
      </w:r>
      <w:r w:rsidR="00D47797" w:rsidRPr="009F10D7">
        <w:rPr>
          <w:bCs/>
          <w:iCs/>
        </w:rPr>
        <w:t xml:space="preserve"> (Public Service Act)</w:t>
      </w:r>
      <w:r w:rsidRPr="005656E4">
        <w:rPr>
          <w:bCs/>
        </w:rPr>
        <w:t>,</w:t>
      </w:r>
      <w:r w:rsidRPr="00975349">
        <w:t xml:space="preserve"> which establishes unifying values, and requires the </w:t>
      </w:r>
      <w:r w:rsidR="00321979">
        <w:t>s</w:t>
      </w:r>
      <w:r w:rsidRPr="00975349">
        <w:t xml:space="preserve">ecretary of the </w:t>
      </w:r>
      <w:r w:rsidR="00863008">
        <w:t>department</w:t>
      </w:r>
      <w:r w:rsidRPr="00975349">
        <w:t xml:space="preserve"> to manage the </w:t>
      </w:r>
      <w:r w:rsidR="00863008">
        <w:t>department</w:t>
      </w:r>
      <w:r w:rsidRPr="00975349">
        <w:t xml:space="preserve"> efficiently, effectively, economically and ethically.</w:t>
      </w:r>
    </w:p>
    <w:p w14:paraId="0B24BC3B" w14:textId="2494B272" w:rsidR="00B33B05" w:rsidRPr="00975349" w:rsidRDefault="00EA2D41" w:rsidP="00B33B05">
      <w:pPr>
        <w:pStyle w:val="PwCNormal"/>
      </w:pPr>
      <w:r w:rsidRPr="00975349">
        <w:t xml:space="preserve">Further details are included in </w:t>
      </w:r>
      <w:hyperlink w:anchor="_Appendices" w:history="1">
        <w:r w:rsidRPr="004335A7">
          <w:rPr>
            <w:rStyle w:val="Hyperlink"/>
            <w:bCs/>
          </w:rPr>
          <w:t>Appendix B</w:t>
        </w:r>
        <w:r w:rsidR="00D94565" w:rsidRPr="004335A7">
          <w:rPr>
            <w:rStyle w:val="Hyperlink"/>
            <w:bCs/>
          </w:rPr>
          <w:t xml:space="preserve"> – </w:t>
        </w:r>
        <w:r w:rsidRPr="004335A7">
          <w:rPr>
            <w:rStyle w:val="Hyperlink"/>
            <w:bCs/>
          </w:rPr>
          <w:t xml:space="preserve">Legislative </w:t>
        </w:r>
        <w:r w:rsidR="00F476C2" w:rsidRPr="004335A7">
          <w:rPr>
            <w:rStyle w:val="Hyperlink"/>
            <w:bCs/>
          </w:rPr>
          <w:t>r</w:t>
        </w:r>
        <w:r w:rsidRPr="004335A7">
          <w:rPr>
            <w:rStyle w:val="Hyperlink"/>
            <w:bCs/>
          </w:rPr>
          <w:t xml:space="preserve">equirements for the </w:t>
        </w:r>
        <w:r w:rsidR="00F476C2" w:rsidRPr="004335A7">
          <w:rPr>
            <w:rStyle w:val="Hyperlink"/>
            <w:bCs/>
          </w:rPr>
          <w:t>a</w:t>
        </w:r>
        <w:r w:rsidRPr="004335A7">
          <w:rPr>
            <w:rStyle w:val="Hyperlink"/>
            <w:bCs/>
          </w:rPr>
          <w:t xml:space="preserve">ssurance </w:t>
        </w:r>
        <w:r w:rsidR="00F476C2" w:rsidRPr="004335A7">
          <w:rPr>
            <w:rStyle w:val="Hyperlink"/>
            <w:bCs/>
          </w:rPr>
          <w:t>f</w:t>
        </w:r>
        <w:r w:rsidRPr="004335A7">
          <w:rPr>
            <w:rStyle w:val="Hyperlink"/>
            <w:bCs/>
          </w:rPr>
          <w:t>ramework</w:t>
        </w:r>
      </w:hyperlink>
      <w:r w:rsidRPr="005656E4">
        <w:rPr>
          <w:bCs/>
        </w:rPr>
        <w:t>.</w:t>
      </w:r>
    </w:p>
    <w:p w14:paraId="0AC1CB9A" w14:textId="77777777" w:rsidR="00B33B05" w:rsidRPr="00975349" w:rsidRDefault="00B33B05" w:rsidP="00B33B05">
      <w:pPr>
        <w:pStyle w:val="PwCNormal"/>
        <w:sectPr w:rsidR="00B33B05" w:rsidRPr="00975349" w:rsidSect="00C64BAE">
          <w:headerReference w:type="default" r:id="rId30"/>
          <w:headerReference w:type="first" r:id="rId31"/>
          <w:pgSz w:w="11907" w:h="16840" w:code="9"/>
          <w:pgMar w:top="1588" w:right="1021" w:bottom="1418" w:left="1021" w:header="567" w:footer="567" w:gutter="0"/>
          <w:pgNumType w:start="1"/>
          <w:cols w:space="227"/>
          <w:titlePg/>
          <w:docGrid w:linePitch="360"/>
        </w:sectPr>
      </w:pPr>
      <w:bookmarkStart w:id="11" w:name="_Toc83979997"/>
    </w:p>
    <w:p w14:paraId="329CA587" w14:textId="22EE69EE" w:rsidR="00EA2D41" w:rsidRPr="00975349" w:rsidRDefault="00EA2D41" w:rsidP="002311EE">
      <w:pPr>
        <w:pStyle w:val="Heading1"/>
      </w:pPr>
      <w:bookmarkStart w:id="12" w:name="_Toc158806609"/>
      <w:r w:rsidRPr="00975349">
        <w:lastRenderedPageBreak/>
        <w:t xml:space="preserve">Assurance </w:t>
      </w:r>
      <w:r w:rsidR="00AA364D">
        <w:t>f</w:t>
      </w:r>
      <w:r w:rsidRPr="00975349">
        <w:t>ramework overview</w:t>
      </w:r>
      <w:bookmarkEnd w:id="11"/>
      <w:bookmarkEnd w:id="12"/>
    </w:p>
    <w:p w14:paraId="3E86E823" w14:textId="466A64F2" w:rsidR="00EA2D41" w:rsidRPr="00975349" w:rsidRDefault="00EA2D41" w:rsidP="002311EE">
      <w:pPr>
        <w:pStyle w:val="Heading2"/>
      </w:pPr>
      <w:bookmarkStart w:id="13" w:name="_Toc83979998"/>
      <w:bookmarkStart w:id="14" w:name="_Toc158806610"/>
      <w:r w:rsidRPr="00975349">
        <w:t>Purpose</w:t>
      </w:r>
      <w:bookmarkEnd w:id="13"/>
      <w:bookmarkEnd w:id="14"/>
    </w:p>
    <w:p w14:paraId="02711FD4" w14:textId="67F4DAD7" w:rsidR="00CB3772" w:rsidRPr="00975349" w:rsidRDefault="00CB7FA8" w:rsidP="00CB3772">
      <w:pPr>
        <w:pStyle w:val="CalloutText"/>
      </w:pPr>
      <w:r>
        <w:t>O</w:t>
      </w:r>
      <w:r w:rsidR="00CB3772" w:rsidRPr="00975349">
        <w:t xml:space="preserve">utline the </w:t>
      </w:r>
      <w:r w:rsidR="00863008">
        <w:t>department</w:t>
      </w:r>
      <w:r w:rsidR="00CB3772" w:rsidRPr="00975349">
        <w:t xml:space="preserve">’s risk-based approach to protect the integrity of HCP Program funding through evidence-based </w:t>
      </w:r>
      <w:r w:rsidR="00B142A7">
        <w:t>a</w:t>
      </w:r>
      <w:r w:rsidR="00CB3772" w:rsidRPr="00975349">
        <w:t xml:space="preserve">ssurance </w:t>
      </w:r>
      <w:r w:rsidR="00B142A7">
        <w:t>a</w:t>
      </w:r>
      <w:r w:rsidR="00CB3772" w:rsidRPr="00975349">
        <w:t>ctivities focused on the HCP Program’s design, delivery and administration.</w:t>
      </w:r>
    </w:p>
    <w:p w14:paraId="48DEAD7B" w14:textId="7CCB745D" w:rsidR="00CB3772" w:rsidRPr="00975349" w:rsidRDefault="00CB3772" w:rsidP="00CB3772">
      <w:pPr>
        <w:pStyle w:val="CalloutText"/>
      </w:pPr>
      <w:r w:rsidRPr="00975349">
        <w:t xml:space="preserve">Assurance </w:t>
      </w:r>
      <w:r w:rsidR="00B142A7">
        <w:t>a</w:t>
      </w:r>
      <w:r w:rsidRPr="00975349">
        <w:t xml:space="preserve">ctivities under this </w:t>
      </w:r>
      <w:r w:rsidR="00B142A7">
        <w:t>f</w:t>
      </w:r>
      <w:r w:rsidRPr="00975349">
        <w:t xml:space="preserve">ramework will enhance value for money for care recipients and Australian taxpayers, support </w:t>
      </w:r>
      <w:r w:rsidR="00B142A7">
        <w:t>p</w:t>
      </w:r>
      <w:r w:rsidRPr="00975349">
        <w:t xml:space="preserve">roviders to uplift their program knowledge and share better practices, inform the continuous improvement of </w:t>
      </w:r>
      <w:r w:rsidR="00B142A7">
        <w:t>p</w:t>
      </w:r>
      <w:r w:rsidRPr="00975349">
        <w:t xml:space="preserve">roviders and the </w:t>
      </w:r>
      <w:r w:rsidR="00B142A7">
        <w:t>p</w:t>
      </w:r>
      <w:r w:rsidRPr="00975349">
        <w:t>rogram and support future development of home care policy and programs.</w:t>
      </w:r>
    </w:p>
    <w:p w14:paraId="43063DFF" w14:textId="78C17B4C" w:rsidR="00EA2D41" w:rsidRPr="00975349" w:rsidRDefault="00EA2D41" w:rsidP="002311EE">
      <w:pPr>
        <w:pStyle w:val="Heading2"/>
      </w:pPr>
      <w:bookmarkStart w:id="15" w:name="_Toc83979999"/>
      <w:bookmarkStart w:id="16" w:name="_Toc158806611"/>
      <w:r w:rsidRPr="00975349">
        <w:t>Objectives</w:t>
      </w:r>
      <w:bookmarkEnd w:id="15"/>
      <w:bookmarkEnd w:id="16"/>
    </w:p>
    <w:p w14:paraId="302B4CAB" w14:textId="1A7C5688" w:rsidR="00BF1AC0" w:rsidRDefault="009C7AF0" w:rsidP="00470519">
      <w:pPr>
        <w:pStyle w:val="PwCNormal"/>
      </w:pPr>
      <w:r>
        <w:t xml:space="preserve">In line </w:t>
      </w:r>
      <w:r w:rsidR="00887795">
        <w:t xml:space="preserve">with the amended </w:t>
      </w:r>
      <w:r w:rsidR="00887795" w:rsidRPr="00FC54C1">
        <w:rPr>
          <w:iCs/>
        </w:rPr>
        <w:t>Aged Care Act</w:t>
      </w:r>
      <w:r w:rsidR="00887795">
        <w:t>, t</w:t>
      </w:r>
      <w:r w:rsidR="00EA2D41" w:rsidRPr="00975349">
        <w:t xml:space="preserve">he objectives of the </w:t>
      </w:r>
      <w:r w:rsidR="00B142A7">
        <w:t>a</w:t>
      </w:r>
      <w:r w:rsidR="00EA2D41" w:rsidRPr="00975349">
        <w:t xml:space="preserve">ssurance </w:t>
      </w:r>
      <w:r w:rsidR="00B142A7">
        <w:t>f</w:t>
      </w:r>
      <w:r w:rsidR="00EA2D41" w:rsidRPr="00975349">
        <w:t xml:space="preserve">ramework are to conduct </w:t>
      </w:r>
      <w:r w:rsidR="00B142A7">
        <w:t>a</w:t>
      </w:r>
      <w:r w:rsidR="00EA2D41" w:rsidRPr="00975349">
        <w:t xml:space="preserve">ssurance </w:t>
      </w:r>
      <w:r w:rsidR="00B142A7">
        <w:t>a</w:t>
      </w:r>
      <w:r w:rsidR="00EA2D41" w:rsidRPr="00975349">
        <w:t>ctivities to:</w:t>
      </w:r>
    </w:p>
    <w:p w14:paraId="71E345E6" w14:textId="29E986BF" w:rsidR="004335A7" w:rsidRPr="00975349" w:rsidRDefault="008053FE" w:rsidP="00470519">
      <w:pPr>
        <w:pStyle w:val="PwCNormal"/>
      </w:pPr>
      <w:r>
        <w:rPr>
          <w:noProof/>
          <w:snapToGrid/>
        </w:rPr>
        <w:drawing>
          <wp:inline distT="0" distB="0" distL="0" distR="0" wp14:anchorId="7EE306B4" wp14:editId="4323C943">
            <wp:extent cx="6264275" cy="1703705"/>
            <wp:effectExtent l="0" t="0" r="3175" b="0"/>
            <wp:docPr id="51" name="Picture 51" descr="Assurance activities include:&#10;1. Assure that arrangements for the delivery and administration of home care are effective, efficient and transparent to support people’s choice, control and value for money&#10;2. Support provider education and continuous improvement in program delivery and sharing of best practice.&#10;3. Inform the continuous improvement and monitoring of HCP Program policies and delivery to achieve intended outcomes.&#10;4. Support mitigation of fraud and misuse of funds in the HC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ssurance activities include:&#10;1. Assure that arrangements for the delivery and administration of home care are effective, efficient and transparent to support people’s choice, control and value for money&#10;2. Support provider education and continuous improvement in program delivery and sharing of best practice.&#10;3. Inform the continuous improvement and monitoring of HCP Program policies and delivery to achieve intended outcomes.&#10;4. Support mitigation of fraud and misuse of funds in the HCP Program"/>
                    <pic:cNvPicPr/>
                  </pic:nvPicPr>
                  <pic:blipFill>
                    <a:blip r:embed="rId32"/>
                    <a:stretch>
                      <a:fillRect/>
                    </a:stretch>
                  </pic:blipFill>
                  <pic:spPr>
                    <a:xfrm>
                      <a:off x="0" y="0"/>
                      <a:ext cx="6264275" cy="1703705"/>
                    </a:xfrm>
                    <a:prstGeom prst="rect">
                      <a:avLst/>
                    </a:prstGeom>
                  </pic:spPr>
                </pic:pic>
              </a:graphicData>
            </a:graphic>
          </wp:inline>
        </w:drawing>
      </w:r>
    </w:p>
    <w:p w14:paraId="6E293317" w14:textId="1CC797F4" w:rsidR="00EA2D41" w:rsidRPr="00975349" w:rsidRDefault="00EA2D41" w:rsidP="002311EE">
      <w:pPr>
        <w:pStyle w:val="Heading2"/>
      </w:pPr>
      <w:bookmarkStart w:id="17" w:name="_Risk_context"/>
      <w:bookmarkStart w:id="18" w:name="_Toc83980000"/>
      <w:bookmarkStart w:id="19" w:name="_Toc158806612"/>
      <w:bookmarkEnd w:id="17"/>
      <w:r w:rsidRPr="00975349">
        <w:t xml:space="preserve">Risk </w:t>
      </w:r>
      <w:r w:rsidR="00C07F5F">
        <w:t>c</w:t>
      </w:r>
      <w:r w:rsidRPr="00975349">
        <w:t>ontext</w:t>
      </w:r>
      <w:bookmarkEnd w:id="18"/>
      <w:bookmarkEnd w:id="19"/>
    </w:p>
    <w:p w14:paraId="0A53F97A" w14:textId="1A0E276D" w:rsidR="00FB776F" w:rsidRDefault="00EA2D41" w:rsidP="00470519">
      <w:pPr>
        <w:pStyle w:val="PwCNormal"/>
      </w:pPr>
      <w:r w:rsidRPr="00975349">
        <w:t xml:space="preserve">There are four key risks relevant to the objectives for the </w:t>
      </w:r>
      <w:r w:rsidR="00C07F5F">
        <w:t>a</w:t>
      </w:r>
      <w:r w:rsidRPr="00975349">
        <w:t xml:space="preserve">ssurance </w:t>
      </w:r>
      <w:r w:rsidR="00C07F5F">
        <w:t>f</w:t>
      </w:r>
      <w:r w:rsidRPr="00975349">
        <w:t>ramework for the HCP Program:</w:t>
      </w:r>
    </w:p>
    <w:p w14:paraId="0F744475" w14:textId="1C6A569D" w:rsidR="00FB776F" w:rsidRPr="00975349" w:rsidRDefault="00E56B41" w:rsidP="00DD320C">
      <w:pPr>
        <w:pStyle w:val="PwCNormal"/>
      </w:pPr>
      <w:r>
        <w:rPr>
          <w:noProof/>
          <w:snapToGrid/>
        </w:rPr>
        <w:drawing>
          <wp:inline distT="0" distB="0" distL="0" distR="0" wp14:anchorId="618844FE" wp14:editId="0132F736">
            <wp:extent cx="6264275" cy="1363345"/>
            <wp:effectExtent l="0" t="0" r="3175" b="8255"/>
            <wp:docPr id="521" name="Picture 521" descr="The 4 key risks relevant for the HCP program are:&#10;1. People cannot exercise choice and control due to provider processes or a lack of transparency or accuracy in pricing information/arrangements&#10;2. The HCP Program does not achieve value for money for Australian taxpayers and/or care recipients.&#10;3. HCP Program funds are inappropriately or inadvertently used by a provider or care recipient.&#10;4. HCP Program funds are fraudulently used by a provider or care recip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descr="The 4 key risks relevant for the HCP program are:&#10;1. People cannot exercise choice and control due to provider processes or a lack of transparency or accuracy in pricing information/arrangements&#10;2. The HCP Program does not achieve value for money for Australian taxpayers and/or care recipients.&#10;3. HCP Program funds are inappropriately or inadvertently used by a provider or care recipient.&#10;4. HCP Program funds are fraudulently used by a provider or care recipient."/>
                    <pic:cNvPicPr/>
                  </pic:nvPicPr>
                  <pic:blipFill>
                    <a:blip r:embed="rId33"/>
                    <a:stretch>
                      <a:fillRect/>
                    </a:stretch>
                  </pic:blipFill>
                  <pic:spPr>
                    <a:xfrm>
                      <a:off x="0" y="0"/>
                      <a:ext cx="6264275" cy="1363345"/>
                    </a:xfrm>
                    <a:prstGeom prst="rect">
                      <a:avLst/>
                    </a:prstGeom>
                  </pic:spPr>
                </pic:pic>
              </a:graphicData>
            </a:graphic>
          </wp:inline>
        </w:drawing>
      </w:r>
    </w:p>
    <w:p w14:paraId="6653F93A" w14:textId="294B60FD" w:rsidR="00EA2D41" w:rsidRPr="0092764F" w:rsidRDefault="00EA2D41" w:rsidP="0092764F">
      <w:pPr>
        <w:pStyle w:val="PwCNormal"/>
      </w:pPr>
      <w:r w:rsidRPr="0092764F">
        <w:t xml:space="preserve">In relation to value for money, the Aged Care and Other Legislation Amendment (Royal Commission Response No. 1) Act 2021 outlines the need to consider efficiency, effectiveness and justification in assessing value for money and the delivery of the HCP Program. For the purposes of this </w:t>
      </w:r>
      <w:r w:rsidR="0096098C" w:rsidRPr="0092764F">
        <w:t>a</w:t>
      </w:r>
      <w:r w:rsidRPr="0092764F">
        <w:t xml:space="preserve">ssurance </w:t>
      </w:r>
      <w:r w:rsidR="0096098C" w:rsidRPr="0092764F">
        <w:t>f</w:t>
      </w:r>
      <w:r w:rsidRPr="0092764F">
        <w:t>ramework, these are defined as:</w:t>
      </w:r>
    </w:p>
    <w:p w14:paraId="3E8D1244" w14:textId="1FA9F689" w:rsidR="00EA2D41" w:rsidRPr="00975349" w:rsidRDefault="00944AA7" w:rsidP="00E84EAF">
      <w:pPr>
        <w:pStyle w:val="ListBullet"/>
      </w:pPr>
      <w:r>
        <w:t>e</w:t>
      </w:r>
      <w:r w:rsidR="00EA2D41" w:rsidRPr="00975349">
        <w:t>fficient: the achievement of the maximum value for the resources used</w:t>
      </w:r>
    </w:p>
    <w:p w14:paraId="45029FA2" w14:textId="5663B4BE" w:rsidR="00EA2D41" w:rsidRPr="00975349" w:rsidRDefault="00944AA7" w:rsidP="00E84EAF">
      <w:pPr>
        <w:pStyle w:val="ListBullet"/>
      </w:pPr>
      <w:r>
        <w:t>e</w:t>
      </w:r>
      <w:r w:rsidR="00EA2D41" w:rsidRPr="00975349">
        <w:t>ffective: the extent to which intended outcomes or results are achieved</w:t>
      </w:r>
    </w:p>
    <w:p w14:paraId="10B2D708" w14:textId="4A19C818" w:rsidR="00EA2D41" w:rsidRPr="00975349" w:rsidRDefault="00944AA7" w:rsidP="00E84EAF">
      <w:pPr>
        <w:pStyle w:val="ListBullet"/>
      </w:pPr>
      <w:r>
        <w:t>j</w:t>
      </w:r>
      <w:r w:rsidR="00EA2D41" w:rsidRPr="00975349">
        <w:t xml:space="preserve">ustified: </w:t>
      </w:r>
      <w:r w:rsidR="0096098C">
        <w:t>p</w:t>
      </w:r>
      <w:r w:rsidR="00EA2D41" w:rsidRPr="00975349">
        <w:t xml:space="preserve">roviders are able to justify (through verifiable information provided to the </w:t>
      </w:r>
      <w:r w:rsidR="0096098C">
        <w:t>r</w:t>
      </w:r>
      <w:r w:rsidR="00EA2D41" w:rsidRPr="00975349">
        <w:t xml:space="preserve">eview </w:t>
      </w:r>
      <w:r w:rsidR="00334CDB">
        <w:t>te</w:t>
      </w:r>
      <w:r w:rsidR="00EA2D41" w:rsidRPr="00975349">
        <w:t>am) their charges to care</w:t>
      </w:r>
      <w:r w:rsidR="000A613B" w:rsidRPr="00975349">
        <w:t> </w:t>
      </w:r>
      <w:r w:rsidR="00EA2D41" w:rsidRPr="00975349">
        <w:t>recipients.</w:t>
      </w:r>
    </w:p>
    <w:p w14:paraId="37F004D4" w14:textId="5A1E3036" w:rsidR="00EA2D41" w:rsidRPr="00975349" w:rsidRDefault="00EA2D41" w:rsidP="00E84EAF">
      <w:pPr>
        <w:pStyle w:val="PwCNormal"/>
      </w:pPr>
      <w:r w:rsidRPr="00975349">
        <w:t xml:space="preserve">The </w:t>
      </w:r>
      <w:r w:rsidR="00863008">
        <w:t>department</w:t>
      </w:r>
      <w:r w:rsidRPr="00975349">
        <w:t xml:space="preserve"> will assess these </w:t>
      </w:r>
      <w:r w:rsidR="00944AA7">
        <w:t>4</w:t>
      </w:r>
      <w:r w:rsidRPr="00975349">
        <w:t xml:space="preserve"> HCP </w:t>
      </w:r>
      <w:r w:rsidR="00907B91">
        <w:t>p</w:t>
      </w:r>
      <w:r w:rsidRPr="00975349">
        <w:t xml:space="preserve">rogram </w:t>
      </w:r>
      <w:r w:rsidR="005174E4">
        <w:t xml:space="preserve">assurance </w:t>
      </w:r>
      <w:r w:rsidRPr="00975349">
        <w:t xml:space="preserve">risks, in line with the </w:t>
      </w:r>
      <w:r w:rsidR="00863008">
        <w:t>department</w:t>
      </w:r>
      <w:r w:rsidRPr="00975349">
        <w:t xml:space="preserve">’s </w:t>
      </w:r>
      <w:r w:rsidRPr="00DF4EF8">
        <w:t>Risk Management Policy</w:t>
      </w:r>
      <w:r w:rsidRPr="00975349">
        <w:t xml:space="preserve">, to identify </w:t>
      </w:r>
      <w:r w:rsidR="005174E4">
        <w:t>a</w:t>
      </w:r>
      <w:r w:rsidRPr="00975349">
        <w:t xml:space="preserve">reas of </w:t>
      </w:r>
      <w:r w:rsidR="005174E4">
        <w:t>f</w:t>
      </w:r>
      <w:r w:rsidRPr="00975349">
        <w:t xml:space="preserve">ocus to mitigate </w:t>
      </w:r>
      <w:r w:rsidR="00AF7B09">
        <w:t xml:space="preserve">these </w:t>
      </w:r>
      <w:r w:rsidRPr="00975349">
        <w:t xml:space="preserve">risks. </w:t>
      </w:r>
    </w:p>
    <w:p w14:paraId="0DF61854" w14:textId="45D274D6" w:rsidR="00EA2D41" w:rsidRPr="00975349" w:rsidRDefault="00EA2D41" w:rsidP="00E84EAF">
      <w:pPr>
        <w:pStyle w:val="PwCNormal"/>
      </w:pPr>
      <w:r w:rsidRPr="00975349">
        <w:lastRenderedPageBreak/>
        <w:t xml:space="preserve">The </w:t>
      </w:r>
      <w:r w:rsidR="00F35008">
        <w:t>d</w:t>
      </w:r>
      <w:r w:rsidRPr="00975349">
        <w:t xml:space="preserve">epartment is responsible for the prevention, detection and mitigation of fraud risks. As such, the </w:t>
      </w:r>
      <w:r w:rsidR="00863008">
        <w:t>department</w:t>
      </w:r>
      <w:r w:rsidRPr="00975349">
        <w:t xml:space="preserve">’s HCP Program Fraud Control Management Plan is within the </w:t>
      </w:r>
      <w:r w:rsidR="00F35008">
        <w:t>s</w:t>
      </w:r>
      <w:r w:rsidRPr="00975349">
        <w:t xml:space="preserve">cope of this </w:t>
      </w:r>
      <w:r w:rsidR="00F35008">
        <w:t>a</w:t>
      </w:r>
      <w:r w:rsidRPr="00975349">
        <w:t xml:space="preserve">ssurance </w:t>
      </w:r>
      <w:r w:rsidR="00F35008">
        <w:t>f</w:t>
      </w:r>
      <w:r w:rsidRPr="00975349">
        <w:t>ramework.</w:t>
      </w:r>
    </w:p>
    <w:p w14:paraId="426E3BD7" w14:textId="242367B3" w:rsidR="00EA2D41" w:rsidRPr="00975349" w:rsidRDefault="00EA2D41" w:rsidP="00E84EAF">
      <w:pPr>
        <w:pStyle w:val="PwCNormal"/>
      </w:pPr>
      <w:r w:rsidRPr="00975349">
        <w:t xml:space="preserve">The </w:t>
      </w:r>
      <w:r w:rsidR="00863008">
        <w:t>department</w:t>
      </w:r>
      <w:r w:rsidRPr="00975349">
        <w:t xml:space="preserve">’s </w:t>
      </w:r>
      <w:r w:rsidR="007E633E">
        <w:t>a</w:t>
      </w:r>
      <w:r w:rsidRPr="00975349">
        <w:t xml:space="preserve">ssurance </w:t>
      </w:r>
      <w:r w:rsidR="007E633E">
        <w:t>r</w:t>
      </w:r>
      <w:r w:rsidRPr="00975349">
        <w:t xml:space="preserve">eview </w:t>
      </w:r>
      <w:r w:rsidR="007E633E">
        <w:t>a</w:t>
      </w:r>
      <w:r w:rsidRPr="00975349">
        <w:t xml:space="preserve">ctivities (Program Assurance Branch) </w:t>
      </w:r>
      <w:r w:rsidR="0020709A">
        <w:t>and fraud management activities (</w:t>
      </w:r>
      <w:r w:rsidR="00117507">
        <w:t>Fraud</w:t>
      </w:r>
      <w:r w:rsidR="00B12C2F">
        <w:t xml:space="preserve"> Control and Investigation Branch) </w:t>
      </w:r>
      <w:r w:rsidRPr="00975349">
        <w:t xml:space="preserve">will complement and inform each other to maximise the impact of both sets of activities. For example, relevant information gleaned during </w:t>
      </w:r>
      <w:r w:rsidR="00324768">
        <w:t>HCP P</w:t>
      </w:r>
      <w:r w:rsidRPr="00975349">
        <w:t xml:space="preserve">rogram </w:t>
      </w:r>
      <w:r w:rsidR="00C84C73">
        <w:t>a</w:t>
      </w:r>
      <w:r w:rsidRPr="00975349">
        <w:t xml:space="preserve">ssurance </w:t>
      </w:r>
      <w:r w:rsidR="00C84C73">
        <w:t>r</w:t>
      </w:r>
      <w:r w:rsidRPr="00975349">
        <w:t xml:space="preserve">eviews will be shared with the </w:t>
      </w:r>
      <w:r w:rsidR="0039583F">
        <w:t>Fraud Control and Investigation Branch</w:t>
      </w:r>
      <w:r w:rsidR="0039583F" w:rsidRPr="00975349" w:rsidDel="0039583F">
        <w:t xml:space="preserve"> </w:t>
      </w:r>
      <w:r w:rsidRPr="00975349">
        <w:t>and vice</w:t>
      </w:r>
      <w:r w:rsidR="004F7751" w:rsidRPr="00975349">
        <w:noBreakHyphen/>
      </w:r>
      <w:r w:rsidRPr="00975349">
        <w:t>versa.</w:t>
      </w:r>
    </w:p>
    <w:p w14:paraId="19FA90AF" w14:textId="69A69A40" w:rsidR="00EA2D41" w:rsidRPr="00975349" w:rsidRDefault="00EA2D41" w:rsidP="002311EE">
      <w:pPr>
        <w:pStyle w:val="Heading2"/>
      </w:pPr>
      <w:bookmarkStart w:id="20" w:name="_Toc83980001"/>
      <w:bookmarkStart w:id="21" w:name="_Toc158806613"/>
      <w:r w:rsidRPr="00975349">
        <w:t xml:space="preserve">Program </w:t>
      </w:r>
      <w:r w:rsidR="004E01B7">
        <w:t>a</w:t>
      </w:r>
      <w:r w:rsidRPr="00975349">
        <w:t xml:space="preserve">ssurance </w:t>
      </w:r>
      <w:r w:rsidR="004E01B7">
        <w:t>r</w:t>
      </w:r>
      <w:r w:rsidRPr="00975349">
        <w:t xml:space="preserve">oles and </w:t>
      </w:r>
      <w:r w:rsidR="004E01B7">
        <w:t>r</w:t>
      </w:r>
      <w:r w:rsidRPr="00975349">
        <w:t>esponsibilities</w:t>
      </w:r>
      <w:bookmarkEnd w:id="20"/>
      <w:bookmarkEnd w:id="21"/>
    </w:p>
    <w:p w14:paraId="3C8D3A6E" w14:textId="483A5E48" w:rsidR="00EA2D41" w:rsidRPr="0092764F" w:rsidRDefault="00EA2D41" w:rsidP="0092764F">
      <w:pPr>
        <w:pStyle w:val="PwCNormal"/>
      </w:pPr>
      <w:r w:rsidRPr="0092764F">
        <w:t xml:space="preserve">The </w:t>
      </w:r>
      <w:r w:rsidR="00907B91" w:rsidRPr="0092764F">
        <w:t>a</w:t>
      </w:r>
      <w:r w:rsidRPr="0092764F">
        <w:t xml:space="preserve">ssurance </w:t>
      </w:r>
      <w:r w:rsidR="00907B91" w:rsidRPr="0092764F">
        <w:t>f</w:t>
      </w:r>
      <w:r w:rsidRPr="0092764F">
        <w:t>ramework recognises roles and responsibilities of:</w:t>
      </w:r>
    </w:p>
    <w:p w14:paraId="110751ED" w14:textId="023FC5F4" w:rsidR="00EA2D41" w:rsidRPr="00975349" w:rsidRDefault="00EA2D41" w:rsidP="00C37106">
      <w:pPr>
        <w:pStyle w:val="ListNumber"/>
        <w:numPr>
          <w:ilvl w:val="0"/>
          <w:numId w:val="35"/>
        </w:numPr>
        <w:ind w:left="360" w:hanging="360"/>
      </w:pPr>
      <w:r w:rsidRPr="00975349">
        <w:t xml:space="preserve">the </w:t>
      </w:r>
      <w:r w:rsidR="005232AF">
        <w:t>de</w:t>
      </w:r>
      <w:r w:rsidR="00F64619">
        <w:t>partment</w:t>
      </w:r>
      <w:r w:rsidRPr="00975349">
        <w:t xml:space="preserve"> (as relevant to HCP program assurance only) </w:t>
      </w:r>
    </w:p>
    <w:p w14:paraId="60DE9AE8" w14:textId="6592DB40" w:rsidR="00EA2D41" w:rsidRPr="00975349" w:rsidRDefault="00F56143" w:rsidP="00E84EAF">
      <w:pPr>
        <w:pStyle w:val="ListNumber"/>
      </w:pPr>
      <w:r>
        <w:t>p</w:t>
      </w:r>
      <w:r w:rsidR="00EA2D41" w:rsidRPr="00975349">
        <w:t>roviders</w:t>
      </w:r>
    </w:p>
    <w:p w14:paraId="56E99DC2" w14:textId="4DF21990" w:rsidR="00EA2D41" w:rsidRPr="00975349" w:rsidRDefault="00EA2D41" w:rsidP="00E84EAF">
      <w:pPr>
        <w:pStyle w:val="ListNumber"/>
      </w:pPr>
      <w:r w:rsidRPr="00975349">
        <w:t>care recipients.</w:t>
      </w:r>
    </w:p>
    <w:p w14:paraId="0ACDE051" w14:textId="77777777" w:rsidR="00EA2D41" w:rsidRPr="00975349" w:rsidRDefault="00EA2D41" w:rsidP="00E84EAF">
      <w:pPr>
        <w:pStyle w:val="PwCNormal"/>
      </w:pPr>
      <w:r w:rsidRPr="00975349">
        <w:t>These roles and responsibilities are outlined below.</w:t>
      </w:r>
    </w:p>
    <w:p w14:paraId="3FB88E2A" w14:textId="2279EF66" w:rsidR="00EA2D41" w:rsidRPr="00975349" w:rsidRDefault="00E84EAF" w:rsidP="00E84EAF">
      <w:pPr>
        <w:pStyle w:val="Caption"/>
      </w:pPr>
      <w:r w:rsidRPr="00975349">
        <w:t xml:space="preserve">Table </w:t>
      </w:r>
      <w:fldSimple w:instr=" SEQ Table \* ARABIC ">
        <w:r w:rsidR="00F87264">
          <w:rPr>
            <w:noProof/>
          </w:rPr>
          <w:t>1</w:t>
        </w:r>
      </w:fldSimple>
      <w:r w:rsidRPr="00975349">
        <w:t xml:space="preserve">: </w:t>
      </w:r>
      <w:r w:rsidR="00EA2D41" w:rsidRPr="00975349">
        <w:t xml:space="preserve">Roles and responsibilities within the </w:t>
      </w:r>
      <w:r w:rsidR="00AB6794">
        <w:t>a</w:t>
      </w:r>
      <w:r w:rsidR="00EA2D41" w:rsidRPr="00975349">
        <w:t xml:space="preserve">ssurance </w:t>
      </w:r>
      <w:r w:rsidR="00AB6794">
        <w:t>f</w:t>
      </w:r>
      <w:r w:rsidR="00EA2D41" w:rsidRPr="00975349">
        <w:t>ramework</w:t>
      </w:r>
    </w:p>
    <w:tbl>
      <w:tblPr>
        <w:tblStyle w:val="PwCBasic"/>
        <w:tblW w:w="5000" w:type="pct"/>
        <w:tblLook w:val="04A0" w:firstRow="1" w:lastRow="0" w:firstColumn="1" w:lastColumn="0" w:noHBand="0" w:noVBand="1"/>
      </w:tblPr>
      <w:tblGrid>
        <w:gridCol w:w="1555"/>
        <w:gridCol w:w="1882"/>
        <w:gridCol w:w="6428"/>
      </w:tblGrid>
      <w:tr w:rsidR="00EA2D41" w:rsidRPr="00975349" w14:paraId="79949156" w14:textId="77777777" w:rsidTr="004335A7">
        <w:trPr>
          <w:cnfStyle w:val="100000000000" w:firstRow="1" w:lastRow="0" w:firstColumn="0" w:lastColumn="0" w:oddVBand="0" w:evenVBand="0" w:oddHBand="0" w:evenHBand="0" w:firstRowFirstColumn="0" w:firstRowLastColumn="0" w:lastRowFirstColumn="0" w:lastRowLastColumn="0"/>
        </w:trPr>
        <w:tc>
          <w:tcPr>
            <w:tcW w:w="788" w:type="pct"/>
          </w:tcPr>
          <w:p w14:paraId="0296E763" w14:textId="77777777" w:rsidR="00EA2D41" w:rsidRPr="00975349" w:rsidRDefault="00EA2D41" w:rsidP="00E84EAF">
            <w:pPr>
              <w:pStyle w:val="TableTextNormal"/>
            </w:pPr>
            <w:r w:rsidRPr="00975349">
              <w:t>Role</w:t>
            </w:r>
          </w:p>
        </w:tc>
        <w:tc>
          <w:tcPr>
            <w:tcW w:w="954" w:type="pct"/>
          </w:tcPr>
          <w:p w14:paraId="723780F3" w14:textId="77777777" w:rsidR="00EA2D41" w:rsidRPr="00975349" w:rsidRDefault="00EA2D41" w:rsidP="00E84EAF">
            <w:pPr>
              <w:pStyle w:val="TableTextNormal"/>
            </w:pPr>
            <w:r w:rsidRPr="00975349">
              <w:t>Responsibility</w:t>
            </w:r>
          </w:p>
        </w:tc>
        <w:tc>
          <w:tcPr>
            <w:tcW w:w="3259" w:type="pct"/>
          </w:tcPr>
          <w:p w14:paraId="565AEF20" w14:textId="77777777" w:rsidR="00EA2D41" w:rsidRPr="00975349" w:rsidRDefault="00EA2D41" w:rsidP="00E84EAF">
            <w:pPr>
              <w:pStyle w:val="TableTextNormal"/>
            </w:pPr>
            <w:r w:rsidRPr="00975349">
              <w:t>Description</w:t>
            </w:r>
          </w:p>
        </w:tc>
      </w:tr>
      <w:tr w:rsidR="00EA2D41" w:rsidRPr="00975349" w14:paraId="63188C57" w14:textId="77777777" w:rsidTr="004335A7">
        <w:tc>
          <w:tcPr>
            <w:tcW w:w="788" w:type="pct"/>
          </w:tcPr>
          <w:p w14:paraId="539893F7" w14:textId="6F18A84F" w:rsidR="00EA2D41" w:rsidRPr="00975349" w:rsidRDefault="00A85FDA" w:rsidP="00E84EAF">
            <w:pPr>
              <w:pStyle w:val="TableTextNormal"/>
              <w:rPr>
                <w:b/>
                <w:bCs/>
              </w:rPr>
            </w:pPr>
            <w:r>
              <w:rPr>
                <w:b/>
                <w:bCs/>
              </w:rPr>
              <w:t>The department</w:t>
            </w:r>
            <w:r w:rsidR="00EA2D41" w:rsidRPr="00975349">
              <w:rPr>
                <w:b/>
                <w:bCs/>
              </w:rPr>
              <w:t xml:space="preserve"> – Program Assurance Branch</w:t>
            </w:r>
          </w:p>
        </w:tc>
        <w:tc>
          <w:tcPr>
            <w:tcW w:w="954" w:type="pct"/>
          </w:tcPr>
          <w:p w14:paraId="594350FC" w14:textId="778A18CC" w:rsidR="00EA2D41" w:rsidRPr="0092764F" w:rsidRDefault="00EA2D41" w:rsidP="0092764F">
            <w:pPr>
              <w:pStyle w:val="TableColumnHeadingNormal"/>
            </w:pPr>
            <w:r w:rsidRPr="0092764F">
              <w:t xml:space="preserve">Responsible for the management and implementation of the </w:t>
            </w:r>
            <w:r w:rsidR="00010D8C" w:rsidRPr="0092764F">
              <w:t>a</w:t>
            </w:r>
            <w:r w:rsidRPr="0092764F">
              <w:t xml:space="preserve">ssurance </w:t>
            </w:r>
            <w:r w:rsidR="00010D8C" w:rsidRPr="0092764F">
              <w:t>f</w:t>
            </w:r>
            <w:r w:rsidRPr="0092764F">
              <w:t>ramework and associated activities</w:t>
            </w:r>
            <w:r w:rsidR="00944AA7" w:rsidRPr="0092764F">
              <w:t>.</w:t>
            </w:r>
          </w:p>
        </w:tc>
        <w:tc>
          <w:tcPr>
            <w:tcW w:w="3259" w:type="pct"/>
          </w:tcPr>
          <w:p w14:paraId="0686AB24" w14:textId="77777777" w:rsidR="00EA2D41" w:rsidRPr="00975349" w:rsidRDefault="00EA2D41" w:rsidP="00E84EAF">
            <w:pPr>
              <w:pStyle w:val="TableTextNormal"/>
            </w:pPr>
            <w:r w:rsidRPr="00975349">
              <w:t>This includes:</w:t>
            </w:r>
          </w:p>
          <w:p w14:paraId="77604483" w14:textId="41120736" w:rsidR="00EA2D41" w:rsidRPr="00975349" w:rsidRDefault="00EA2D41" w:rsidP="0092764F">
            <w:pPr>
              <w:pStyle w:val="TableBullet1Normal"/>
            </w:pPr>
            <w:r w:rsidRPr="00975349">
              <w:t xml:space="preserve">identifying and assessing </w:t>
            </w:r>
            <w:r w:rsidR="00010D8C">
              <w:t>a</w:t>
            </w:r>
            <w:r w:rsidRPr="00975349">
              <w:t xml:space="preserve">ssurance </w:t>
            </w:r>
            <w:r w:rsidR="00010D8C">
              <w:t>a</w:t>
            </w:r>
            <w:r w:rsidRPr="00975349">
              <w:t xml:space="preserve">ctivity </w:t>
            </w:r>
            <w:r w:rsidR="00010D8C">
              <w:t>a</w:t>
            </w:r>
            <w:r w:rsidRPr="00975349">
              <w:t xml:space="preserve">reas of </w:t>
            </w:r>
            <w:r w:rsidR="00010D8C">
              <w:t>f</w:t>
            </w:r>
            <w:r w:rsidRPr="00975349">
              <w:t>ocus (refer</w:t>
            </w:r>
            <w:r w:rsidR="009B4A76" w:rsidRPr="00975349">
              <w:t> </w:t>
            </w:r>
            <w:r w:rsidRPr="00975349">
              <w:t>to</w:t>
            </w:r>
            <w:r w:rsidR="009B4A76" w:rsidRPr="00975349">
              <w:t> </w:t>
            </w:r>
            <w:hyperlink w:anchor="_HCP_Program_assurance_1" w:history="1">
              <w:r w:rsidR="00944AA7" w:rsidRPr="00F24F51">
                <w:rPr>
                  <w:rStyle w:val="Hyperlink"/>
                  <w:rFonts w:eastAsia="Times New Roman"/>
                  <w:szCs w:val="20"/>
                  <w:lang w:val="en-AU"/>
                </w:rPr>
                <w:t>S</w:t>
              </w:r>
              <w:r w:rsidRPr="00F24F51">
                <w:rPr>
                  <w:rStyle w:val="Hyperlink"/>
                </w:rPr>
                <w:t xml:space="preserve">ection 3. </w:t>
              </w:r>
              <w:r w:rsidR="00334F75" w:rsidRPr="00F24F51">
                <w:rPr>
                  <w:rStyle w:val="Hyperlink"/>
                </w:rPr>
                <w:t xml:space="preserve">HCP </w:t>
              </w:r>
              <w:r w:rsidR="00944AA7" w:rsidRPr="00F24F51">
                <w:rPr>
                  <w:rStyle w:val="Hyperlink"/>
                </w:rPr>
                <w:t>P</w:t>
              </w:r>
              <w:r w:rsidR="00334F75" w:rsidRPr="00F24F51">
                <w:rPr>
                  <w:rStyle w:val="Hyperlink"/>
                </w:rPr>
                <w:t xml:space="preserve">rogram </w:t>
              </w:r>
              <w:r w:rsidR="004B3472" w:rsidRPr="00F24F51">
                <w:rPr>
                  <w:rStyle w:val="Hyperlink"/>
                </w:rPr>
                <w:t>assurance plan</w:t>
              </w:r>
            </w:hyperlink>
            <w:r w:rsidRPr="00975349">
              <w:t xml:space="preserve">) relevant to the HCP </w:t>
            </w:r>
            <w:r w:rsidR="00625C58">
              <w:t>p</w:t>
            </w:r>
            <w:r w:rsidRPr="00975349">
              <w:t xml:space="preserve">rogram </w:t>
            </w:r>
            <w:r w:rsidR="00625C58">
              <w:t>a</w:t>
            </w:r>
            <w:r w:rsidR="003F2865">
              <w:t xml:space="preserve">ssurance risks </w:t>
            </w:r>
            <w:r w:rsidRPr="00975349">
              <w:t>through an evidence-based approach</w:t>
            </w:r>
          </w:p>
          <w:p w14:paraId="43315DE2" w14:textId="029EA2BB" w:rsidR="00EA2D41" w:rsidRPr="00975349" w:rsidRDefault="00CD1DD4" w:rsidP="0092764F">
            <w:pPr>
              <w:pStyle w:val="TableBullet1Normal"/>
            </w:pPr>
            <w:r>
              <w:t xml:space="preserve">developing </w:t>
            </w:r>
            <w:r w:rsidR="00EA2D41" w:rsidRPr="00975349">
              <w:t>a</w:t>
            </w:r>
            <w:r w:rsidR="00C83F42">
              <w:t xml:space="preserve"> </w:t>
            </w:r>
            <w:r w:rsidR="00C46813">
              <w:t>detailed</w:t>
            </w:r>
            <w:r w:rsidR="00C83F42">
              <w:t xml:space="preserve"> </w:t>
            </w:r>
            <w:r w:rsidR="00342541">
              <w:t xml:space="preserve">HCP </w:t>
            </w:r>
            <w:r w:rsidR="00394BE9">
              <w:t>p</w:t>
            </w:r>
            <w:r w:rsidR="00342541">
              <w:t xml:space="preserve">rogram </w:t>
            </w:r>
            <w:r w:rsidR="00C46813">
              <w:t>a</w:t>
            </w:r>
            <w:r w:rsidR="00EA2D41" w:rsidRPr="00975349">
              <w:t xml:space="preserve">ssurance </w:t>
            </w:r>
            <w:r w:rsidR="00C46813">
              <w:t>p</w:t>
            </w:r>
            <w:r w:rsidR="00EA2D41" w:rsidRPr="00975349">
              <w:t xml:space="preserve">lan </w:t>
            </w:r>
            <w:r w:rsidR="00040FAB">
              <w:t>following an assurance planning process</w:t>
            </w:r>
            <w:r w:rsidR="00EA2D41" w:rsidRPr="00975349">
              <w:t xml:space="preserve"> </w:t>
            </w:r>
            <w:r>
              <w:t xml:space="preserve">and </w:t>
            </w:r>
            <w:r w:rsidR="00A305BA">
              <w:t xml:space="preserve">publishing </w:t>
            </w:r>
            <w:r w:rsidR="00342541">
              <w:t>a</w:t>
            </w:r>
            <w:r w:rsidR="0000505E">
              <w:t>n</w:t>
            </w:r>
            <w:r w:rsidR="00342541">
              <w:t xml:space="preserve"> </w:t>
            </w:r>
            <w:r w:rsidR="00BA4F72">
              <w:t>a</w:t>
            </w:r>
            <w:r w:rsidR="00342541">
              <w:t xml:space="preserve">ssurance </w:t>
            </w:r>
            <w:r w:rsidR="00BA4F72">
              <w:t>p</w:t>
            </w:r>
            <w:r w:rsidR="00342541">
              <w:t xml:space="preserve">lan on a </w:t>
            </w:r>
            <w:r w:rsidR="00BA4F72">
              <w:t>p</w:t>
            </w:r>
            <w:r w:rsidR="00342541">
              <w:t>age</w:t>
            </w:r>
            <w:r w:rsidR="00F11056">
              <w:t xml:space="preserve"> that identifies planned and potential assurance reviews/activities</w:t>
            </w:r>
          </w:p>
          <w:p w14:paraId="57EB9086" w14:textId="2D73B966" w:rsidR="00EA2D41" w:rsidRPr="00975349" w:rsidRDefault="00EA2D41" w:rsidP="0092764F">
            <w:pPr>
              <w:pStyle w:val="TableBullet1Normal"/>
            </w:pPr>
            <w:r w:rsidRPr="00975349">
              <w:t xml:space="preserve">scoping and undertaking the respective </w:t>
            </w:r>
            <w:r w:rsidR="00113635">
              <w:t>a</w:t>
            </w:r>
            <w:r w:rsidRPr="00975349">
              <w:t xml:space="preserve">ssurance </w:t>
            </w:r>
            <w:r w:rsidR="00113635">
              <w:t>a</w:t>
            </w:r>
            <w:r w:rsidRPr="00975349">
              <w:t xml:space="preserve">ctivities including reporting </w:t>
            </w:r>
            <w:r w:rsidR="00DB32FA">
              <w:t>r</w:t>
            </w:r>
            <w:r w:rsidRPr="00975349">
              <w:t xml:space="preserve">eview findings </w:t>
            </w:r>
          </w:p>
          <w:p w14:paraId="03145454" w14:textId="43A06F02" w:rsidR="00EA2D41" w:rsidRPr="00975349" w:rsidRDefault="00EA2D41" w:rsidP="0092764F">
            <w:pPr>
              <w:pStyle w:val="TableBullet1Normal"/>
            </w:pPr>
            <w:r w:rsidRPr="00975349">
              <w:t xml:space="preserve">imposing civil penalties (as a last resort) if </w:t>
            </w:r>
            <w:r w:rsidR="00113635">
              <w:t>p</w:t>
            </w:r>
            <w:r w:rsidRPr="00975349">
              <w:t>roviders fail to respond to request</w:t>
            </w:r>
            <w:r w:rsidR="005E419E">
              <w:t>s</w:t>
            </w:r>
            <w:r w:rsidRPr="00975349">
              <w:t xml:space="preserve"> for documentation, information or </w:t>
            </w:r>
            <w:r w:rsidR="005E419E">
              <w:t xml:space="preserve">to </w:t>
            </w:r>
            <w:r w:rsidRPr="00975349">
              <w:t>answer questions</w:t>
            </w:r>
          </w:p>
          <w:p w14:paraId="3DF3C05B" w14:textId="18802F90" w:rsidR="00EA2D41" w:rsidRPr="00975349" w:rsidRDefault="00EA2D41" w:rsidP="0092764F">
            <w:pPr>
              <w:pStyle w:val="TableBullet1Normal"/>
            </w:pPr>
            <w:r w:rsidRPr="00975349">
              <w:t xml:space="preserve">collaborating and engaging with relevant stakeholders operating within the HCP Program to advise of </w:t>
            </w:r>
            <w:r w:rsidR="00DD3696">
              <w:t xml:space="preserve">areas for </w:t>
            </w:r>
            <w:r w:rsidRPr="00975349">
              <w:t xml:space="preserve">improvement, including convening a </w:t>
            </w:r>
            <w:r w:rsidR="00113635">
              <w:t>c</w:t>
            </w:r>
            <w:r w:rsidRPr="00975349">
              <w:t xml:space="preserve">ommunity of </w:t>
            </w:r>
            <w:r w:rsidR="00113635">
              <w:t>p</w:t>
            </w:r>
            <w:r w:rsidRPr="00975349">
              <w:t xml:space="preserve">ractice to help uplift </w:t>
            </w:r>
            <w:r w:rsidR="00113635">
              <w:t>p</w:t>
            </w:r>
            <w:r w:rsidRPr="00975349">
              <w:t>roviders’ program understanding</w:t>
            </w:r>
          </w:p>
          <w:p w14:paraId="4B27327C" w14:textId="011E5F6A" w:rsidR="00EA2D41" w:rsidRPr="00975349" w:rsidRDefault="00EA2D41" w:rsidP="0092764F">
            <w:pPr>
              <w:pStyle w:val="TableBullet1Normal"/>
            </w:pPr>
            <w:r w:rsidRPr="00975349">
              <w:t xml:space="preserve">being transparent in reporting on the findings and outcomes of </w:t>
            </w:r>
            <w:r w:rsidR="00857720">
              <w:t>a</w:t>
            </w:r>
            <w:r w:rsidRPr="00975349">
              <w:t xml:space="preserve">ssurance </w:t>
            </w:r>
            <w:r w:rsidR="00857720">
              <w:t>a</w:t>
            </w:r>
            <w:r w:rsidRPr="00975349">
              <w:t>ctivities</w:t>
            </w:r>
          </w:p>
          <w:p w14:paraId="39C89E35" w14:textId="79F1A3EC" w:rsidR="00EA2D41" w:rsidRPr="00975349" w:rsidRDefault="00EA2D41" w:rsidP="0092764F">
            <w:pPr>
              <w:pStyle w:val="TableBullet1Normal"/>
            </w:pPr>
            <w:r w:rsidRPr="00975349">
              <w:t>referring any suspected fraud</w:t>
            </w:r>
            <w:r w:rsidR="00D94565" w:rsidRPr="00975349">
              <w:t>/</w:t>
            </w:r>
            <w:r w:rsidRPr="00975349">
              <w:t xml:space="preserve">misuse of funds or non-compliance with regulations to appropriate areas of the </w:t>
            </w:r>
            <w:r w:rsidR="00863008">
              <w:t>department</w:t>
            </w:r>
            <w:r w:rsidRPr="00975349">
              <w:t xml:space="preserve"> and ACQ</w:t>
            </w:r>
            <w:r w:rsidR="00857720">
              <w:t>S</w:t>
            </w:r>
            <w:r w:rsidRPr="00975349">
              <w:t>C for action</w:t>
            </w:r>
          </w:p>
          <w:p w14:paraId="606A24F4" w14:textId="1AD57EBB" w:rsidR="00EA2D41" w:rsidRPr="00975349" w:rsidRDefault="00EA2D41" w:rsidP="0092764F">
            <w:pPr>
              <w:pStyle w:val="TableBullet1Normal"/>
            </w:pPr>
            <w:r w:rsidRPr="00975349">
              <w:t>monitoring the implementation of relevant post-</w:t>
            </w:r>
            <w:r w:rsidR="00DB32FA">
              <w:t>a</w:t>
            </w:r>
            <w:r w:rsidRPr="00975349">
              <w:t xml:space="preserve">ssurance </w:t>
            </w:r>
            <w:r w:rsidR="00DB32FA">
              <w:t>r</w:t>
            </w:r>
            <w:r w:rsidRPr="00975349">
              <w:t>eview actions at a HCP Program</w:t>
            </w:r>
            <w:r w:rsidR="00944AA7">
              <w:t xml:space="preserve"> </w:t>
            </w:r>
            <w:r w:rsidRPr="00975349">
              <w:t>level.</w:t>
            </w:r>
          </w:p>
        </w:tc>
      </w:tr>
      <w:tr w:rsidR="00EA2D41" w:rsidRPr="00975349" w14:paraId="348FC28F" w14:textId="77777777" w:rsidTr="004335A7">
        <w:tc>
          <w:tcPr>
            <w:tcW w:w="788" w:type="pct"/>
          </w:tcPr>
          <w:p w14:paraId="3FCCCE6E" w14:textId="7425AD71" w:rsidR="00EA2D41" w:rsidRPr="00975349" w:rsidRDefault="00A85FDA" w:rsidP="00E84EAF">
            <w:pPr>
              <w:pStyle w:val="TableTextNormal"/>
              <w:rPr>
                <w:b/>
                <w:bCs/>
              </w:rPr>
            </w:pPr>
            <w:r>
              <w:rPr>
                <w:b/>
                <w:bCs/>
              </w:rPr>
              <w:t>P</w:t>
            </w:r>
            <w:r w:rsidR="00EA2D41" w:rsidRPr="00975349">
              <w:rPr>
                <w:b/>
                <w:bCs/>
              </w:rPr>
              <w:t>roviders</w:t>
            </w:r>
          </w:p>
        </w:tc>
        <w:tc>
          <w:tcPr>
            <w:tcW w:w="954" w:type="pct"/>
          </w:tcPr>
          <w:p w14:paraId="4DFEC184" w14:textId="6C9C4D1C" w:rsidR="00EA2D41" w:rsidRPr="00975349" w:rsidRDefault="00EA2D41" w:rsidP="00E84EAF">
            <w:pPr>
              <w:pStyle w:val="TableTextNormal"/>
            </w:pPr>
            <w:r w:rsidRPr="00975349">
              <w:t xml:space="preserve">Participate in </w:t>
            </w:r>
            <w:r w:rsidR="00077CF2">
              <w:t>a</w:t>
            </w:r>
            <w:r w:rsidRPr="00975349">
              <w:t xml:space="preserve">ssurance </w:t>
            </w:r>
            <w:r w:rsidR="00077CF2">
              <w:t>a</w:t>
            </w:r>
            <w:r w:rsidRPr="00975349">
              <w:t>ctivities.</w:t>
            </w:r>
          </w:p>
        </w:tc>
        <w:tc>
          <w:tcPr>
            <w:tcW w:w="3259" w:type="pct"/>
          </w:tcPr>
          <w:p w14:paraId="4152B161" w14:textId="3A3DE1F0" w:rsidR="00EA2D41" w:rsidRPr="00975349" w:rsidRDefault="00EA2D41" w:rsidP="00E84EAF">
            <w:pPr>
              <w:pStyle w:val="TableTextNormal"/>
            </w:pPr>
            <w:r w:rsidRPr="00975349">
              <w:t xml:space="preserve">When a </w:t>
            </w:r>
            <w:r w:rsidR="00077CF2">
              <w:t>p</w:t>
            </w:r>
            <w:r w:rsidRPr="00975349">
              <w:t xml:space="preserve">rovider is selected to participate in </w:t>
            </w:r>
            <w:r w:rsidR="00077CF2">
              <w:t>a</w:t>
            </w:r>
            <w:r w:rsidRPr="00975349">
              <w:t xml:space="preserve">ssurance </w:t>
            </w:r>
            <w:r w:rsidR="00077CF2">
              <w:t>a</w:t>
            </w:r>
            <w:r w:rsidRPr="00975349">
              <w:t xml:space="preserve">ctivities including </w:t>
            </w:r>
            <w:r w:rsidR="00C84C73">
              <w:t>a</w:t>
            </w:r>
            <w:r w:rsidRPr="00975349">
              <w:t xml:space="preserve">ssurance </w:t>
            </w:r>
            <w:r w:rsidR="00C84C73">
              <w:t>r</w:t>
            </w:r>
            <w:r w:rsidRPr="00975349">
              <w:t xml:space="preserve">eviews, an incorporated </w:t>
            </w:r>
            <w:r w:rsidR="00077CF2">
              <w:t>p</w:t>
            </w:r>
            <w:r w:rsidRPr="00975349">
              <w:t xml:space="preserve">rovider is legally </w:t>
            </w:r>
            <w:r w:rsidR="00DD3696" w:rsidRPr="00975349">
              <w:t xml:space="preserve">obliged </w:t>
            </w:r>
            <w:r w:rsidRPr="00975349">
              <w:t xml:space="preserve">to participate in the </w:t>
            </w:r>
            <w:r w:rsidR="006768EB">
              <w:t>r</w:t>
            </w:r>
            <w:r w:rsidRPr="00975349">
              <w:t xml:space="preserve">eview. Selected </w:t>
            </w:r>
            <w:r w:rsidR="00AE59C6">
              <w:t>p</w:t>
            </w:r>
            <w:r w:rsidRPr="00975349">
              <w:t xml:space="preserve">roviders will receive a formal letter of notice to provide information and documentation and make available any staff required by the </w:t>
            </w:r>
            <w:r w:rsidR="00863008">
              <w:t>department</w:t>
            </w:r>
            <w:r w:rsidRPr="00975349">
              <w:t xml:space="preserve"> in the conduct of the </w:t>
            </w:r>
            <w:r w:rsidR="00AE59C6">
              <w:t>a</w:t>
            </w:r>
            <w:r w:rsidRPr="00975349">
              <w:t xml:space="preserve">ssurance </w:t>
            </w:r>
            <w:r w:rsidR="00AE59C6">
              <w:t>a</w:t>
            </w:r>
            <w:r w:rsidRPr="00975349">
              <w:t>ctivities.</w:t>
            </w:r>
          </w:p>
          <w:p w14:paraId="640F2873" w14:textId="08AC7666" w:rsidR="00EA2D41" w:rsidRPr="0092764F" w:rsidRDefault="00EA2D41" w:rsidP="0092764F">
            <w:pPr>
              <w:pStyle w:val="TableTextNormal"/>
            </w:pPr>
            <w:r w:rsidRPr="0092764F">
              <w:t>Should an incorporated</w:t>
            </w:r>
            <w:r w:rsidRPr="0092764F" w:rsidDel="00AE59C6">
              <w:t xml:space="preserve"> </w:t>
            </w:r>
            <w:r w:rsidR="00AE59C6" w:rsidRPr="0092764F">
              <w:t>p</w:t>
            </w:r>
            <w:r w:rsidRPr="0092764F">
              <w:t xml:space="preserve">rovider choose not to comply with the notice, the </w:t>
            </w:r>
            <w:r w:rsidR="00863008" w:rsidRPr="0092764F">
              <w:t>department</w:t>
            </w:r>
            <w:r w:rsidRPr="0092764F">
              <w:t xml:space="preserve"> may issue civil penalties under Division 95BA of the Aged Care and Other Legislation Amendment (Royal Commission Response No. 1)</w:t>
            </w:r>
            <w:r w:rsidR="00F74240" w:rsidRPr="0092764F">
              <w:t> </w:t>
            </w:r>
            <w:r w:rsidRPr="0092764F">
              <w:t xml:space="preserve">Act 2021 which amended the </w:t>
            </w:r>
            <w:r w:rsidR="00CB393F" w:rsidRPr="0092764F">
              <w:t>Aged Care Act</w:t>
            </w:r>
            <w:r w:rsidRPr="0092764F">
              <w:t>.</w:t>
            </w:r>
          </w:p>
        </w:tc>
      </w:tr>
      <w:tr w:rsidR="00132FAF" w:rsidRPr="00975349" w14:paraId="1FD3F943" w14:textId="77777777" w:rsidTr="004335A7">
        <w:tc>
          <w:tcPr>
            <w:tcW w:w="788" w:type="pct"/>
          </w:tcPr>
          <w:p w14:paraId="178B2AEC" w14:textId="77777777" w:rsidR="00132FAF" w:rsidRPr="00975349" w:rsidRDefault="00132FAF" w:rsidP="00E84EAF">
            <w:pPr>
              <w:pStyle w:val="TableTextNormal"/>
              <w:rPr>
                <w:b/>
                <w:bCs/>
              </w:rPr>
            </w:pPr>
          </w:p>
        </w:tc>
        <w:tc>
          <w:tcPr>
            <w:tcW w:w="954" w:type="pct"/>
          </w:tcPr>
          <w:p w14:paraId="50FA5C20" w14:textId="5293EACA" w:rsidR="00132FAF" w:rsidRPr="00975349" w:rsidRDefault="00132FAF" w:rsidP="00F74240">
            <w:pPr>
              <w:pStyle w:val="TableTextNormal"/>
            </w:pPr>
            <w:r w:rsidRPr="00975349">
              <w:t xml:space="preserve">Participate and engage within the </w:t>
            </w:r>
            <w:r w:rsidR="00DD1666">
              <w:t>c</w:t>
            </w:r>
            <w:r w:rsidRPr="00975349">
              <w:t xml:space="preserve">ommunity of </w:t>
            </w:r>
            <w:r w:rsidR="00DD1666">
              <w:t>p</w:t>
            </w:r>
            <w:r w:rsidRPr="00975349">
              <w:t>ractice.</w:t>
            </w:r>
          </w:p>
        </w:tc>
        <w:tc>
          <w:tcPr>
            <w:tcW w:w="3259" w:type="pct"/>
          </w:tcPr>
          <w:p w14:paraId="2FAD20E7" w14:textId="314C0A8A" w:rsidR="00132FAF" w:rsidRPr="00975349" w:rsidRDefault="00132FAF" w:rsidP="00E84EAF">
            <w:pPr>
              <w:pStyle w:val="TableTextNormal"/>
              <w:rPr>
                <w:spacing w:val="-2"/>
              </w:rPr>
            </w:pPr>
            <w:r w:rsidRPr="00975349">
              <w:t xml:space="preserve">The </w:t>
            </w:r>
            <w:r w:rsidR="000C0D55">
              <w:t>c</w:t>
            </w:r>
            <w:r w:rsidR="000C0D55" w:rsidRPr="00975349">
              <w:t xml:space="preserve">ommunity </w:t>
            </w:r>
            <w:r w:rsidRPr="00975349">
              <w:t xml:space="preserve">of </w:t>
            </w:r>
            <w:r w:rsidR="000C0D55">
              <w:t>p</w:t>
            </w:r>
            <w:r w:rsidR="000C0D55" w:rsidRPr="00975349">
              <w:t>ractice</w:t>
            </w:r>
            <w:r w:rsidRPr="00975349">
              <w:t xml:space="preserve"> is primarily to support </w:t>
            </w:r>
            <w:r w:rsidR="00945651">
              <w:t>p</w:t>
            </w:r>
            <w:r w:rsidRPr="00975349">
              <w:t xml:space="preserve">roviders to uplift their program understanding in relation to issues identified through </w:t>
            </w:r>
            <w:r w:rsidR="00945651">
              <w:t>a</w:t>
            </w:r>
            <w:r w:rsidRPr="00975349">
              <w:t xml:space="preserve">ssurance </w:t>
            </w:r>
            <w:r w:rsidR="00945651">
              <w:t>a</w:t>
            </w:r>
            <w:r w:rsidRPr="00975349">
              <w:t xml:space="preserve">ctivities. It will achieve this through a platform that facilitates sharing and discussing consolidated findings of </w:t>
            </w:r>
            <w:r w:rsidR="00945651">
              <w:t>a</w:t>
            </w:r>
            <w:r w:rsidRPr="00975349">
              <w:t xml:space="preserve">ssurance </w:t>
            </w:r>
            <w:r w:rsidR="00945651">
              <w:t>a</w:t>
            </w:r>
            <w:r w:rsidRPr="00975349">
              <w:t xml:space="preserve">ctivities and identifying areas for improvement for </w:t>
            </w:r>
            <w:r w:rsidR="00557626">
              <w:t>p</w:t>
            </w:r>
            <w:r w:rsidRPr="00975349">
              <w:t xml:space="preserve">roviders. It will also facilitate sharing of identified better practices. Participating </w:t>
            </w:r>
            <w:r w:rsidR="00557626">
              <w:t>p</w:t>
            </w:r>
            <w:r w:rsidRPr="00975349">
              <w:t xml:space="preserve">roviders can also use the </w:t>
            </w:r>
            <w:r w:rsidR="002150AB">
              <w:t>c</w:t>
            </w:r>
            <w:r w:rsidRPr="00975349">
              <w:t xml:space="preserve">ommunity of </w:t>
            </w:r>
            <w:r w:rsidR="002150AB">
              <w:t>p</w:t>
            </w:r>
            <w:r w:rsidRPr="00975349">
              <w:t xml:space="preserve">ractice to provide feedback to support the continuous improvement of the HCP Program and/or the program assurance approach of the </w:t>
            </w:r>
            <w:r w:rsidR="00863008">
              <w:t>department</w:t>
            </w:r>
            <w:r w:rsidRPr="00975349">
              <w:t>.</w:t>
            </w:r>
          </w:p>
        </w:tc>
      </w:tr>
      <w:tr w:rsidR="00EA2D41" w:rsidRPr="00975349" w14:paraId="258BE075" w14:textId="77777777" w:rsidTr="004335A7">
        <w:tc>
          <w:tcPr>
            <w:tcW w:w="788" w:type="pct"/>
          </w:tcPr>
          <w:p w14:paraId="0A27A851" w14:textId="08D2D71D" w:rsidR="00EA2D41" w:rsidRPr="00975349" w:rsidRDefault="00A85FDA" w:rsidP="00E84EAF">
            <w:pPr>
              <w:pStyle w:val="TableTextNormal"/>
              <w:rPr>
                <w:b/>
                <w:bCs/>
              </w:rPr>
            </w:pPr>
            <w:r>
              <w:rPr>
                <w:b/>
                <w:bCs/>
              </w:rPr>
              <w:t>C</w:t>
            </w:r>
            <w:r w:rsidR="00EA2D41" w:rsidRPr="00975349">
              <w:rPr>
                <w:b/>
                <w:bCs/>
              </w:rPr>
              <w:t>are recipients</w:t>
            </w:r>
          </w:p>
        </w:tc>
        <w:tc>
          <w:tcPr>
            <w:tcW w:w="954" w:type="pct"/>
          </w:tcPr>
          <w:p w14:paraId="3B4F33A7" w14:textId="1F5E3EE7" w:rsidR="00EA2D41" w:rsidRPr="00975349" w:rsidRDefault="00EA2D41" w:rsidP="00F74240">
            <w:pPr>
              <w:pStyle w:val="TableTextNormal"/>
            </w:pPr>
            <w:r w:rsidRPr="00975349">
              <w:t xml:space="preserve">Participate in </w:t>
            </w:r>
            <w:r w:rsidR="004E7EAF">
              <w:t>a</w:t>
            </w:r>
            <w:r w:rsidRPr="00975349">
              <w:t xml:space="preserve">ssurance </w:t>
            </w:r>
            <w:r w:rsidR="004E7EAF">
              <w:t>a</w:t>
            </w:r>
            <w:r w:rsidRPr="00975349">
              <w:t xml:space="preserve">ctivities (as appropriate, and </w:t>
            </w:r>
            <w:r w:rsidRPr="00975349">
              <w:rPr>
                <w:b/>
                <w:bCs/>
              </w:rPr>
              <w:t>not compulsory</w:t>
            </w:r>
            <w:r w:rsidRPr="00975349">
              <w:t>).</w:t>
            </w:r>
          </w:p>
        </w:tc>
        <w:tc>
          <w:tcPr>
            <w:tcW w:w="3259" w:type="pct"/>
          </w:tcPr>
          <w:p w14:paraId="687D4F9A" w14:textId="74EA169D" w:rsidR="00EA2D41" w:rsidRPr="00975349" w:rsidRDefault="00B76E20" w:rsidP="00E84EAF">
            <w:pPr>
              <w:pStyle w:val="TableTextNormal"/>
              <w:rPr>
                <w:spacing w:val="-2"/>
              </w:rPr>
            </w:pPr>
            <w:r>
              <w:rPr>
                <w:spacing w:val="-2"/>
              </w:rPr>
              <w:t>C</w:t>
            </w:r>
            <w:r w:rsidR="00EA2D41" w:rsidRPr="00975349">
              <w:rPr>
                <w:spacing w:val="-2"/>
              </w:rPr>
              <w:t xml:space="preserve">are recipients may have the opportunity to contribute to </w:t>
            </w:r>
            <w:r w:rsidR="0047383D">
              <w:rPr>
                <w:spacing w:val="-2"/>
              </w:rPr>
              <w:t>a</w:t>
            </w:r>
            <w:r w:rsidR="00EA2D41" w:rsidRPr="00975349">
              <w:rPr>
                <w:spacing w:val="-2"/>
              </w:rPr>
              <w:t xml:space="preserve">ssurance </w:t>
            </w:r>
            <w:r w:rsidR="0047383D">
              <w:rPr>
                <w:spacing w:val="-2"/>
              </w:rPr>
              <w:t>a</w:t>
            </w:r>
            <w:r w:rsidR="00EA2D41" w:rsidRPr="00975349">
              <w:rPr>
                <w:spacing w:val="-2"/>
              </w:rPr>
              <w:t xml:space="preserve">ctivities at their discretion. For example, the </w:t>
            </w:r>
            <w:r w:rsidR="00863008">
              <w:rPr>
                <w:spacing w:val="-2"/>
              </w:rPr>
              <w:t>department</w:t>
            </w:r>
            <w:r w:rsidR="00EA2D41" w:rsidRPr="00975349">
              <w:rPr>
                <w:spacing w:val="-2"/>
              </w:rPr>
              <w:t xml:space="preserve"> may engage with a</w:t>
            </w:r>
            <w:r w:rsidR="00EA2D41" w:rsidRPr="00975349" w:rsidDel="00D154AC">
              <w:rPr>
                <w:spacing w:val="-2"/>
              </w:rPr>
              <w:t xml:space="preserve"> </w:t>
            </w:r>
            <w:r w:rsidR="00EA2D41" w:rsidRPr="00975349">
              <w:rPr>
                <w:spacing w:val="-2"/>
              </w:rPr>
              <w:t xml:space="preserve">care recipient where the </w:t>
            </w:r>
            <w:r w:rsidR="00863008">
              <w:rPr>
                <w:spacing w:val="-2"/>
              </w:rPr>
              <w:t>department</w:t>
            </w:r>
            <w:r w:rsidR="00EA2D41" w:rsidRPr="00975349">
              <w:rPr>
                <w:spacing w:val="-2"/>
              </w:rPr>
              <w:t xml:space="preserve"> reasonably believes that a</w:t>
            </w:r>
            <w:r w:rsidR="00EA2D41" w:rsidRPr="00975349" w:rsidDel="004C4699">
              <w:rPr>
                <w:spacing w:val="-2"/>
              </w:rPr>
              <w:t xml:space="preserve"> </w:t>
            </w:r>
            <w:r w:rsidR="00EA2D41" w:rsidRPr="00975349">
              <w:rPr>
                <w:spacing w:val="-2"/>
              </w:rPr>
              <w:t xml:space="preserve">care recipient has information or documents relevant to the subject matter, or to obtain their perspective on a potential issue raised through the </w:t>
            </w:r>
            <w:r w:rsidR="006768EB">
              <w:rPr>
                <w:spacing w:val="-2"/>
              </w:rPr>
              <w:t>r</w:t>
            </w:r>
            <w:r w:rsidR="00EA2D41" w:rsidRPr="00975349">
              <w:rPr>
                <w:spacing w:val="-2"/>
              </w:rPr>
              <w:t xml:space="preserve">eview process. This is not compulsory and there are </w:t>
            </w:r>
            <w:r w:rsidR="00EA2D41" w:rsidRPr="00975349">
              <w:rPr>
                <w:b/>
                <w:bCs/>
                <w:spacing w:val="-2"/>
              </w:rPr>
              <w:t>no penalties</w:t>
            </w:r>
            <w:r w:rsidR="00EA2D41" w:rsidRPr="00975349">
              <w:rPr>
                <w:spacing w:val="-2"/>
              </w:rPr>
              <w:t xml:space="preserve"> for an individual should they choose not to provide the information requested by the </w:t>
            </w:r>
            <w:r w:rsidR="00863008">
              <w:rPr>
                <w:spacing w:val="-2"/>
              </w:rPr>
              <w:t>department</w:t>
            </w:r>
            <w:r w:rsidR="00EA2D41" w:rsidRPr="00975349">
              <w:rPr>
                <w:spacing w:val="-2"/>
              </w:rPr>
              <w:t>.</w:t>
            </w:r>
          </w:p>
          <w:p w14:paraId="4FF5D8D2" w14:textId="48909A46" w:rsidR="00EA2D41" w:rsidRPr="00975349" w:rsidRDefault="00B65EF7" w:rsidP="00E84EAF">
            <w:pPr>
              <w:pStyle w:val="TableTextNormal"/>
              <w:rPr>
                <w:highlight w:val="yellow"/>
              </w:rPr>
            </w:pPr>
            <w:r>
              <w:t>C</w:t>
            </w:r>
            <w:r w:rsidR="00EA2D41" w:rsidRPr="00975349">
              <w:t xml:space="preserve">are recipient peak bodies may also provide input to the </w:t>
            </w:r>
            <w:r w:rsidR="000E3DB1">
              <w:t>a</w:t>
            </w:r>
            <w:r w:rsidR="00EA2D41" w:rsidRPr="00975349">
              <w:t xml:space="preserve">ssurance </w:t>
            </w:r>
            <w:r w:rsidR="000E3DB1">
              <w:t>p</w:t>
            </w:r>
            <w:r w:rsidR="00EA2D41" w:rsidRPr="00975349">
              <w:t>lan</w:t>
            </w:r>
            <w:r w:rsidR="000E3DB1">
              <w:t>ning process</w:t>
            </w:r>
            <w:r w:rsidR="00EA2D41" w:rsidRPr="00975349">
              <w:t xml:space="preserve"> and participate in the </w:t>
            </w:r>
            <w:r w:rsidR="0021330A">
              <w:t>c</w:t>
            </w:r>
            <w:r w:rsidR="00EA2D41" w:rsidRPr="00975349">
              <w:t xml:space="preserve">ommunity of </w:t>
            </w:r>
            <w:r w:rsidR="0021330A">
              <w:t>p</w:t>
            </w:r>
            <w:r w:rsidR="00EA2D41" w:rsidRPr="00975349">
              <w:t xml:space="preserve">ractice to support the continuous improvement of the HCP Program. Consumer peak bodies will be engaged by the </w:t>
            </w:r>
            <w:r w:rsidR="00863008">
              <w:t>department</w:t>
            </w:r>
            <w:r w:rsidR="00EA2D41" w:rsidRPr="00975349">
              <w:t xml:space="preserve"> during the </w:t>
            </w:r>
            <w:r w:rsidR="006768EB">
              <w:t>r</w:t>
            </w:r>
            <w:r w:rsidR="00EA2D41" w:rsidRPr="00975349">
              <w:t>eview process as appropriate.</w:t>
            </w:r>
          </w:p>
        </w:tc>
      </w:tr>
    </w:tbl>
    <w:p w14:paraId="5666E133" w14:textId="1DE4CDFD" w:rsidR="00EA2D41" w:rsidRPr="00975349" w:rsidRDefault="00EA2D41" w:rsidP="00A13AE3">
      <w:pPr>
        <w:pStyle w:val="PwCNormal"/>
      </w:pPr>
      <w:r w:rsidRPr="00975349">
        <w:t xml:space="preserve">The </w:t>
      </w:r>
      <w:r w:rsidR="00863008">
        <w:t>department</w:t>
      </w:r>
      <w:r w:rsidRPr="00975349">
        <w:t xml:space="preserve"> may refer </w:t>
      </w:r>
      <w:r w:rsidR="003A288C">
        <w:t>p</w:t>
      </w:r>
      <w:r w:rsidRPr="00975349">
        <w:t xml:space="preserve">roviders to the ACQSC, in its capacity as the national regulator of approved providers of </w:t>
      </w:r>
      <w:r w:rsidR="00A9343E">
        <w:t>h</w:t>
      </w:r>
      <w:r w:rsidRPr="00975349">
        <w:t xml:space="preserve">ome </w:t>
      </w:r>
      <w:r w:rsidR="00A9343E">
        <w:t>c</w:t>
      </w:r>
      <w:r w:rsidRPr="00975349">
        <w:t xml:space="preserve">are, where potential non-compliance with the </w:t>
      </w:r>
      <w:r w:rsidRPr="00CA1DDF">
        <w:rPr>
          <w:bCs/>
        </w:rPr>
        <w:t>amended</w:t>
      </w:r>
      <w:r w:rsidRPr="00975349">
        <w:rPr>
          <w:b/>
          <w:i/>
          <w:iCs/>
        </w:rPr>
        <w:t xml:space="preserve"> </w:t>
      </w:r>
      <w:r w:rsidRPr="00A85FDA">
        <w:rPr>
          <w:iCs/>
        </w:rPr>
        <w:t>Aged Care Act</w:t>
      </w:r>
      <w:r w:rsidRPr="00CA1DDF">
        <w:rPr>
          <w:bCs/>
          <w:i/>
        </w:rPr>
        <w:t>,</w:t>
      </w:r>
      <w:r w:rsidRPr="00975349">
        <w:rPr>
          <w:b/>
          <w:i/>
        </w:rPr>
        <w:t xml:space="preserve"> </w:t>
      </w:r>
      <w:r w:rsidRPr="00CA1DDF">
        <w:rPr>
          <w:bCs/>
          <w:iCs/>
        </w:rPr>
        <w:t>the</w:t>
      </w:r>
      <w:r w:rsidRPr="00975349">
        <w:rPr>
          <w:b/>
          <w:i/>
        </w:rPr>
        <w:t xml:space="preserve"> </w:t>
      </w:r>
      <w:r w:rsidR="00F21B4C">
        <w:rPr>
          <w:bCs/>
          <w:iCs/>
        </w:rPr>
        <w:t xml:space="preserve">Commission </w:t>
      </w:r>
      <w:r w:rsidR="0004504C">
        <w:rPr>
          <w:bCs/>
          <w:iCs/>
        </w:rPr>
        <w:t>Act</w:t>
      </w:r>
      <w:r w:rsidRPr="00975349">
        <w:rPr>
          <w:bCs/>
          <w:i/>
        </w:rPr>
        <w:t xml:space="preserve">, </w:t>
      </w:r>
      <w:r w:rsidRPr="00CA1DDF">
        <w:rPr>
          <w:bCs/>
          <w:iCs/>
        </w:rPr>
        <w:t>the</w:t>
      </w:r>
      <w:r w:rsidRPr="00975349">
        <w:rPr>
          <w:bCs/>
          <w:i/>
        </w:rPr>
        <w:t xml:space="preserve"> </w:t>
      </w:r>
      <w:r w:rsidRPr="00DD320C">
        <w:rPr>
          <w:rStyle w:val="Emphasis"/>
        </w:rPr>
        <w:t>Aged Care Quality and Safety Commission Rules 2018</w:t>
      </w:r>
      <w:r w:rsidRPr="00975349">
        <w:rPr>
          <w:bCs/>
          <w:i/>
        </w:rPr>
        <w:t xml:space="preserve"> </w:t>
      </w:r>
      <w:r w:rsidRPr="00975349">
        <w:t xml:space="preserve">or other supporting legislation is identified. </w:t>
      </w:r>
      <w:r w:rsidR="00D0120C">
        <w:t xml:space="preserve">In addition to sharing </w:t>
      </w:r>
      <w:r w:rsidR="006768EB">
        <w:t>r</w:t>
      </w:r>
      <w:r w:rsidR="00D0120C">
        <w:t>eview findings/information as appropriate, t</w:t>
      </w:r>
      <w:r w:rsidRPr="00975349">
        <w:t xml:space="preserve">he </w:t>
      </w:r>
      <w:r w:rsidR="00863008">
        <w:t>department</w:t>
      </w:r>
      <w:r w:rsidRPr="00975349">
        <w:t xml:space="preserve"> will also refer any cases where there are concerns raised for </w:t>
      </w:r>
      <w:r w:rsidR="00472F6F">
        <w:t xml:space="preserve">the </w:t>
      </w:r>
      <w:r w:rsidRPr="00975349">
        <w:t xml:space="preserve">health, safety, wellbeing or welfare of care recipients. The extent to which this information is used by the ACQSC is subject to the ACQSC’s </w:t>
      </w:r>
      <w:r w:rsidRPr="009053C8">
        <w:t xml:space="preserve">independent </w:t>
      </w:r>
      <w:r w:rsidR="009053C8" w:rsidRPr="00CA1DDF">
        <w:t>R</w:t>
      </w:r>
      <w:r w:rsidRPr="009053C8">
        <w:t xml:space="preserve">egulatory </w:t>
      </w:r>
      <w:r w:rsidR="009053C8" w:rsidRPr="00CA1DDF">
        <w:t>S</w:t>
      </w:r>
      <w:r w:rsidRPr="009053C8">
        <w:t>trategy. At</w:t>
      </w:r>
      <w:r w:rsidRPr="00975349">
        <w:t xml:space="preserve"> its discretion, it may use such information as an input into its risk assessment processes, conduct an investigation, deliver educational activities to the sector and/or take compliance and enforcement actions. </w:t>
      </w:r>
    </w:p>
    <w:p w14:paraId="29A2659B" w14:textId="07A3433B" w:rsidR="00EA2D41" w:rsidRPr="00975349" w:rsidRDefault="00EA2D41" w:rsidP="00A13AE3">
      <w:pPr>
        <w:pStyle w:val="PwCNormal"/>
      </w:pPr>
      <w:r w:rsidRPr="00975349">
        <w:t xml:space="preserve">The </w:t>
      </w:r>
      <w:r w:rsidR="00863008">
        <w:t>department</w:t>
      </w:r>
      <w:r w:rsidRPr="00975349">
        <w:t xml:space="preserve"> acknowledges a </w:t>
      </w:r>
      <w:r w:rsidR="00B417FE">
        <w:t>p</w:t>
      </w:r>
      <w:r w:rsidRPr="00975349">
        <w:t xml:space="preserve">rovider could be subject to activities by both the </w:t>
      </w:r>
      <w:r w:rsidR="00863008">
        <w:t>department</w:t>
      </w:r>
      <w:r w:rsidRPr="00975349">
        <w:t xml:space="preserve"> and the ACQSC during the year. The </w:t>
      </w:r>
      <w:r w:rsidR="00863008">
        <w:t>department</w:t>
      </w:r>
      <w:r w:rsidRPr="00975349">
        <w:t xml:space="preserve"> will work with the ACQSC to minimise the administrative burden placed on </w:t>
      </w:r>
      <w:r w:rsidR="004D1A71">
        <w:t>p</w:t>
      </w:r>
      <w:r w:rsidRPr="00975349">
        <w:t>roviders where possible.</w:t>
      </w:r>
    </w:p>
    <w:p w14:paraId="3E723FEE" w14:textId="54B36B02" w:rsidR="00EA2D41" w:rsidRPr="00975349" w:rsidRDefault="00EA2D41" w:rsidP="00A13AE3">
      <w:pPr>
        <w:pStyle w:val="PwCNormal"/>
      </w:pPr>
      <w:r w:rsidRPr="00975349">
        <w:t xml:space="preserve">If opportunities for improvement are identified through this </w:t>
      </w:r>
      <w:r w:rsidR="00D73BF8">
        <w:t>a</w:t>
      </w:r>
      <w:r w:rsidRPr="00975349">
        <w:t xml:space="preserve">ssurance </w:t>
      </w:r>
      <w:r w:rsidR="00D73BF8">
        <w:t>f</w:t>
      </w:r>
      <w:r w:rsidRPr="00975349">
        <w:t>ramework which are relevant to Services Australia’s functions, these will be referred to Services Australia for consideration.</w:t>
      </w:r>
    </w:p>
    <w:p w14:paraId="31E8E4D8" w14:textId="77777777" w:rsidR="00A13AE3" w:rsidRPr="00975349" w:rsidRDefault="00A13AE3" w:rsidP="00B33B05">
      <w:pPr>
        <w:pStyle w:val="PwCNormal"/>
        <w:sectPr w:rsidR="00A13AE3" w:rsidRPr="00975349" w:rsidSect="0000649B">
          <w:pgSz w:w="11907" w:h="16840" w:code="9"/>
          <w:pgMar w:top="1588" w:right="1021" w:bottom="1418" w:left="1021" w:header="567" w:footer="567" w:gutter="0"/>
          <w:cols w:space="227"/>
          <w:titlePg/>
          <w:docGrid w:linePitch="360"/>
        </w:sectPr>
      </w:pPr>
      <w:bookmarkStart w:id="22" w:name="_fnrshl14pv7p" w:colFirst="0" w:colLast="0"/>
      <w:bookmarkStart w:id="23" w:name="_Toc83980002"/>
      <w:bookmarkEnd w:id="22"/>
    </w:p>
    <w:p w14:paraId="350CE0BD" w14:textId="307921FF" w:rsidR="00EA2D41" w:rsidRPr="00975349" w:rsidRDefault="00B54B65" w:rsidP="002311EE">
      <w:pPr>
        <w:pStyle w:val="Heading1"/>
      </w:pPr>
      <w:bookmarkStart w:id="24" w:name="_HCP_Program_assurance_1"/>
      <w:bookmarkStart w:id="25" w:name="_Toc158806614"/>
      <w:bookmarkEnd w:id="24"/>
      <w:r>
        <w:lastRenderedPageBreak/>
        <w:t xml:space="preserve">HCP </w:t>
      </w:r>
      <w:r w:rsidR="00776CE0">
        <w:t xml:space="preserve">Program </w:t>
      </w:r>
      <w:r w:rsidR="002541D2">
        <w:t>a</w:t>
      </w:r>
      <w:r w:rsidR="002541D2" w:rsidRPr="00975349">
        <w:t xml:space="preserve">ssurance </w:t>
      </w:r>
      <w:bookmarkEnd w:id="23"/>
      <w:r w:rsidR="002541D2">
        <w:t>p</w:t>
      </w:r>
      <w:r w:rsidR="002541D2" w:rsidRPr="00975349">
        <w:t>lan</w:t>
      </w:r>
      <w:bookmarkEnd w:id="25"/>
    </w:p>
    <w:p w14:paraId="4A16909F" w14:textId="01207C35" w:rsidR="00EA2D41" w:rsidRPr="00975349" w:rsidRDefault="00EA2D41" w:rsidP="002311EE">
      <w:pPr>
        <w:pStyle w:val="Heading2"/>
      </w:pPr>
      <w:bookmarkStart w:id="26" w:name="_Toc83980003"/>
      <w:bookmarkStart w:id="27" w:name="_Toc158806615"/>
      <w:r w:rsidRPr="00975349">
        <w:t>Overview</w:t>
      </w:r>
      <w:bookmarkEnd w:id="26"/>
      <w:bookmarkEnd w:id="27"/>
    </w:p>
    <w:p w14:paraId="5EB6F50F" w14:textId="36E2AA8D" w:rsidR="00EA2D41" w:rsidRPr="0092764F" w:rsidRDefault="00EA2D41" w:rsidP="0092764F">
      <w:pPr>
        <w:pStyle w:val="PwCNormal"/>
      </w:pPr>
      <w:r w:rsidRPr="0092764F">
        <w:t xml:space="preserve">The </w:t>
      </w:r>
      <w:r w:rsidR="005132D8" w:rsidRPr="0092764F">
        <w:t xml:space="preserve">HCP Program </w:t>
      </w:r>
      <w:r w:rsidR="00AE41CF" w:rsidRPr="0092764F">
        <w:t xml:space="preserve">assurance plan </w:t>
      </w:r>
      <w:r w:rsidRPr="0092764F">
        <w:t xml:space="preserve">is the guiding document for the conduct of </w:t>
      </w:r>
      <w:r w:rsidR="00AE41CF" w:rsidRPr="0092764F">
        <w:t>a</w:t>
      </w:r>
      <w:r w:rsidRPr="0092764F">
        <w:t xml:space="preserve">ssurance </w:t>
      </w:r>
      <w:r w:rsidR="00AE41CF" w:rsidRPr="0092764F">
        <w:t>a</w:t>
      </w:r>
      <w:r w:rsidRPr="0092764F">
        <w:t>ctivities</w:t>
      </w:r>
      <w:r w:rsidR="00436549" w:rsidRPr="0092764F">
        <w:t>.</w:t>
      </w:r>
      <w:r w:rsidR="0029551B" w:rsidRPr="0092764F">
        <w:t xml:space="preserve"> </w:t>
      </w:r>
      <w:r w:rsidRPr="0092764F">
        <w:t xml:space="preserve">The </w:t>
      </w:r>
      <w:r w:rsidR="009D5D3B" w:rsidRPr="0092764F">
        <w:t>a</w:t>
      </w:r>
      <w:r w:rsidRPr="0092764F">
        <w:t xml:space="preserve">ssurance </w:t>
      </w:r>
      <w:r w:rsidR="009D5D3B" w:rsidRPr="0092764F">
        <w:t>p</w:t>
      </w:r>
      <w:r w:rsidRPr="0092764F">
        <w:t xml:space="preserve">lan </w:t>
      </w:r>
      <w:r w:rsidR="00A216C0" w:rsidRPr="0092764F">
        <w:t>identifies</w:t>
      </w:r>
      <w:r w:rsidRPr="0092764F">
        <w:t xml:space="preserve">: </w:t>
      </w:r>
    </w:p>
    <w:p w14:paraId="5BE2F109" w14:textId="30B5A277" w:rsidR="00A216C0" w:rsidRDefault="008953E5" w:rsidP="00A13AE3">
      <w:pPr>
        <w:pStyle w:val="ListBullet"/>
      </w:pPr>
      <w:r>
        <w:t xml:space="preserve">the risks </w:t>
      </w:r>
      <w:r w:rsidR="00DE4C0F">
        <w:t>and</w:t>
      </w:r>
      <w:r w:rsidR="00207034">
        <w:t xml:space="preserve"> areas of focus</w:t>
      </w:r>
      <w:r>
        <w:t xml:space="preserve"> </w:t>
      </w:r>
      <w:r w:rsidR="00207034">
        <w:t>identified for</w:t>
      </w:r>
      <w:r w:rsidR="00372FF3">
        <w:t xml:space="preserve"> the </w:t>
      </w:r>
      <w:r w:rsidR="00684EF6">
        <w:t>relevant</w:t>
      </w:r>
      <w:r w:rsidR="00372FF3">
        <w:t xml:space="preserve"> period</w:t>
      </w:r>
    </w:p>
    <w:p w14:paraId="4CBAC714" w14:textId="43266E65" w:rsidR="00372FF3" w:rsidRDefault="00372FF3" w:rsidP="00A13AE3">
      <w:pPr>
        <w:pStyle w:val="ListBullet"/>
      </w:pPr>
      <w:r>
        <w:t>the potential scope of assurance activities</w:t>
      </w:r>
      <w:r w:rsidR="008F7BA9">
        <w:t xml:space="preserve"> to be conducted for the duration of the plan</w:t>
      </w:r>
    </w:p>
    <w:p w14:paraId="28174BDB" w14:textId="78900259" w:rsidR="008F7BA9" w:rsidRDefault="008F7BA9" w:rsidP="00A13AE3">
      <w:pPr>
        <w:pStyle w:val="ListBullet"/>
      </w:pPr>
      <w:r>
        <w:t>the proposed timing of the assurance</w:t>
      </w:r>
      <w:r w:rsidR="00A770F3">
        <w:t xml:space="preserve"> activities.</w:t>
      </w:r>
    </w:p>
    <w:p w14:paraId="0F80E9B3" w14:textId="3A117457" w:rsidR="00EA2D41" w:rsidRPr="00975349" w:rsidRDefault="00EA2D41" w:rsidP="00A13AE3">
      <w:pPr>
        <w:pStyle w:val="PwCNormal"/>
      </w:pPr>
      <w:r w:rsidRPr="00975349">
        <w:t xml:space="preserve">The </w:t>
      </w:r>
      <w:r w:rsidR="0056359C">
        <w:t>a</w:t>
      </w:r>
      <w:r w:rsidRPr="00975349">
        <w:t xml:space="preserve">ssurance </w:t>
      </w:r>
      <w:r w:rsidR="0056359C">
        <w:t>p</w:t>
      </w:r>
      <w:r w:rsidRPr="00975349">
        <w:t xml:space="preserve">lan will be </w:t>
      </w:r>
      <w:r w:rsidR="009F1869">
        <w:t xml:space="preserve">developed using the </w:t>
      </w:r>
      <w:r w:rsidR="008855F2">
        <w:t>a</w:t>
      </w:r>
      <w:r w:rsidR="009F1869">
        <w:t xml:space="preserve">ssurance </w:t>
      </w:r>
      <w:r w:rsidR="008855F2">
        <w:t>p</w:t>
      </w:r>
      <w:r w:rsidR="009F1869">
        <w:t xml:space="preserve">lan </w:t>
      </w:r>
      <w:r w:rsidR="008855F2">
        <w:t>a</w:t>
      </w:r>
      <w:r w:rsidR="009F1869">
        <w:t xml:space="preserve">pproach detailed in </w:t>
      </w:r>
      <w:r w:rsidR="00BD35C5">
        <w:fldChar w:fldCharType="begin"/>
      </w:r>
      <w:r w:rsidR="00BD35C5">
        <w:instrText xml:space="preserve"> REF _Ref158805533 \h </w:instrText>
      </w:r>
      <w:r w:rsidR="00BD35C5">
        <w:fldChar w:fldCharType="separate"/>
      </w:r>
      <w:r w:rsidR="00BD35C5" w:rsidRPr="00975349">
        <w:t xml:space="preserve">Figure </w:t>
      </w:r>
      <w:r w:rsidR="00BD35C5">
        <w:rPr>
          <w:noProof/>
        </w:rPr>
        <w:t>3</w:t>
      </w:r>
      <w:r w:rsidR="00BD35C5">
        <w:fldChar w:fldCharType="end"/>
      </w:r>
      <w:r w:rsidR="00402B02">
        <w:rPr>
          <w:b/>
        </w:rPr>
        <w:t xml:space="preserve"> </w:t>
      </w:r>
      <w:r w:rsidR="00402B02" w:rsidRPr="007D0B68">
        <w:rPr>
          <w:bCs/>
        </w:rPr>
        <w:t>below</w:t>
      </w:r>
      <w:r w:rsidRPr="00975349">
        <w:t>.</w:t>
      </w:r>
    </w:p>
    <w:p w14:paraId="05E9620C" w14:textId="42467DCC" w:rsidR="00EA2D41" w:rsidRDefault="00A13AE3" w:rsidP="00A13AE3">
      <w:pPr>
        <w:pStyle w:val="Caption"/>
      </w:pPr>
      <w:bookmarkStart w:id="28" w:name="_Ref158805533"/>
      <w:r w:rsidRPr="00975349">
        <w:t xml:space="preserve">Figure </w:t>
      </w:r>
      <w:fldSimple w:instr=" SEQ Figure \* ARABIC ">
        <w:r w:rsidR="00F87264">
          <w:rPr>
            <w:noProof/>
          </w:rPr>
          <w:t>3</w:t>
        </w:r>
      </w:fldSimple>
      <w:bookmarkEnd w:id="28"/>
      <w:r w:rsidRPr="00975349">
        <w:t xml:space="preserve">: </w:t>
      </w:r>
      <w:r w:rsidR="00EA2D41" w:rsidRPr="00975349">
        <w:t xml:space="preserve">Assurance </w:t>
      </w:r>
      <w:r w:rsidR="008855F2">
        <w:t>p</w:t>
      </w:r>
      <w:r w:rsidR="00EA2D41" w:rsidRPr="00975349">
        <w:t xml:space="preserve">lan </w:t>
      </w:r>
      <w:r w:rsidR="008855F2">
        <w:t>a</w:t>
      </w:r>
      <w:r w:rsidR="00402B02">
        <w:t>pproach</w:t>
      </w:r>
    </w:p>
    <w:p w14:paraId="5714BCA1" w14:textId="70890E10" w:rsidR="00CD754E" w:rsidRDefault="00401F0F" w:rsidP="003D7EB1">
      <w:pPr>
        <w:pStyle w:val="PwCNormal"/>
      </w:pPr>
      <w:r>
        <w:rPr>
          <w:noProof/>
          <w:snapToGrid/>
        </w:rPr>
        <w:drawing>
          <wp:inline distT="0" distB="0" distL="0" distR="0" wp14:anchorId="54ED7798" wp14:editId="7F7F3BE4">
            <wp:extent cx="6264275" cy="4358640"/>
            <wp:effectExtent l="0" t="0" r="3175" b="3810"/>
            <wp:docPr id="523" name="Picture 523" descr="Figure 3 is a diagram showing the Assurance plan approach.&#10;1. Review the HCP Program’s operating environment to ensure risk-based areas of focus are captured and considered. This step also reconfirms the risk causes relevant to the 4 HCP Program assurance risks.&#10;2. Gather key information to further contextualise the areas of focus identified, determine the extent to which these may be addressed through the assurance plan, and refine the scope of the proposed assurance activities through:&#10;a. prioritising potential areas of focus (using a bespoke prioritisation matrix)&#10;b. considering the practicality of reviewing the &#10;3. Draft the detailed assurance plan, including developing fit-for-purpose assurance activities to address the identified areas of focus and develop a schedule. This involves:&#10;a. drafting the detailed assurance plan and finalising supporting documentation (prioritisation matrix)&#10;b. drafting the assurance plan on a page for publication &#10;c. Seeking internal approvals.&#10;4. Seek stakeholder feedback to identify any gaps or issues with the proposed review activities as represented in the assurance plan on a page. &#10;5. Refine the draft assurance plan on a page based on the internal and external stakeholder feedback. &#10;6. Publish the final plan on a page for sector and public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descr="Figure 3 is a diagram showing the Assurance plan approach.&#10;1. Review the HCP Program’s operating environment to ensure risk-based areas of focus are captured and considered. This step also reconfirms the risk causes relevant to the 4 HCP Program assurance risks.&#10;2. Gather key information to further contextualise the areas of focus identified, determine the extent to which these may be addressed through the assurance plan, and refine the scope of the proposed assurance activities through:&#10;a. prioritising potential areas of focus (using a bespoke prioritisation matrix)&#10;b. considering the practicality of reviewing the &#10;3. Draft the detailed assurance plan, including developing fit-for-purpose assurance activities to address the identified areas of focus and develop a schedule. This involves:&#10;a. drafting the detailed assurance plan and finalising supporting documentation (prioritisation matrix)&#10;b. drafting the assurance plan on a page for publication &#10;c. Seeking internal approvals.&#10;4. Seek stakeholder feedback to identify any gaps or issues with the proposed review activities as represented in the assurance plan on a page. &#10;5. Refine the draft assurance plan on a page based on the internal and external stakeholder feedback. &#10;6. Publish the final plan on a page for sector and public awareness."/>
                    <pic:cNvPicPr/>
                  </pic:nvPicPr>
                  <pic:blipFill>
                    <a:blip r:embed="rId34"/>
                    <a:stretch>
                      <a:fillRect/>
                    </a:stretch>
                  </pic:blipFill>
                  <pic:spPr>
                    <a:xfrm>
                      <a:off x="0" y="0"/>
                      <a:ext cx="6264275" cy="4358640"/>
                    </a:xfrm>
                    <a:prstGeom prst="rect">
                      <a:avLst/>
                    </a:prstGeom>
                  </pic:spPr>
                </pic:pic>
              </a:graphicData>
            </a:graphic>
          </wp:inline>
        </w:drawing>
      </w:r>
    </w:p>
    <w:p w14:paraId="4B6D4CD6" w14:textId="3A0FF9A1" w:rsidR="00401F0F" w:rsidRDefault="00401F0F" w:rsidP="003D7EB1">
      <w:pPr>
        <w:pStyle w:val="PwCNormal"/>
      </w:pPr>
      <w:r>
        <w:br w:type="page"/>
      </w:r>
    </w:p>
    <w:p w14:paraId="26645299" w14:textId="4883D13A" w:rsidR="00EA2D41" w:rsidRPr="00975349" w:rsidRDefault="00EA2D41" w:rsidP="002311EE">
      <w:pPr>
        <w:pStyle w:val="Heading2"/>
      </w:pPr>
      <w:bookmarkStart w:id="29" w:name="_Toc83980004"/>
      <w:bookmarkStart w:id="30" w:name="_Toc158806616"/>
      <w:r w:rsidRPr="00975349">
        <w:lastRenderedPageBreak/>
        <w:t>Environmental scan</w:t>
      </w:r>
      <w:bookmarkEnd w:id="29"/>
      <w:bookmarkEnd w:id="30"/>
    </w:p>
    <w:p w14:paraId="71C170F9" w14:textId="1D004651" w:rsidR="00EA2D41" w:rsidRPr="00975349" w:rsidRDefault="00EA2D41" w:rsidP="00A13AE3">
      <w:pPr>
        <w:pStyle w:val="PwCNormal"/>
      </w:pPr>
      <w:r w:rsidRPr="00975349">
        <w:rPr>
          <w:highlight w:val="white"/>
        </w:rPr>
        <w:t xml:space="preserve">As part of developing the </w:t>
      </w:r>
      <w:r w:rsidR="00531011">
        <w:rPr>
          <w:highlight w:val="white"/>
        </w:rPr>
        <w:t>a</w:t>
      </w:r>
      <w:r w:rsidRPr="00975349">
        <w:rPr>
          <w:highlight w:val="white"/>
        </w:rPr>
        <w:t xml:space="preserve">ssurance </w:t>
      </w:r>
      <w:r w:rsidR="00531011">
        <w:rPr>
          <w:highlight w:val="white"/>
        </w:rPr>
        <w:t>p</w:t>
      </w:r>
      <w:r w:rsidRPr="00975349">
        <w:rPr>
          <w:highlight w:val="white"/>
        </w:rPr>
        <w:t xml:space="preserve">lan, the </w:t>
      </w:r>
      <w:r w:rsidR="00863008">
        <w:rPr>
          <w:highlight w:val="white"/>
        </w:rPr>
        <w:t>department</w:t>
      </w:r>
      <w:r w:rsidRPr="00975349">
        <w:rPr>
          <w:highlight w:val="white"/>
        </w:rPr>
        <w:t xml:space="preserve"> will conduct a scan of the HCP Program</w:t>
      </w:r>
      <w:r w:rsidR="00FB5808">
        <w:rPr>
          <w:highlight w:val="white"/>
        </w:rPr>
        <w:t>’s operating</w:t>
      </w:r>
      <w:r w:rsidRPr="00975349">
        <w:rPr>
          <w:highlight w:val="white"/>
        </w:rPr>
        <w:t xml:space="preserve"> environment</w:t>
      </w:r>
      <w:r w:rsidR="00FA5AF5">
        <w:rPr>
          <w:highlight w:val="white"/>
        </w:rPr>
        <w:t xml:space="preserve"> </w:t>
      </w:r>
      <w:r w:rsidR="00FA5AF5">
        <w:t>to ensure risk-based areas of focus are captured and considered for assurance planning purposes</w:t>
      </w:r>
      <w:r w:rsidR="00AB63BE">
        <w:t>.</w:t>
      </w:r>
      <w:r w:rsidRPr="00975349">
        <w:rPr>
          <w:highlight w:val="white"/>
        </w:rPr>
        <w:t xml:space="preserve"> </w:t>
      </w:r>
      <w:r w:rsidR="00B4053E" w:rsidRPr="00997267">
        <w:t>This conside</w:t>
      </w:r>
      <w:r w:rsidR="00B4053E">
        <w:t>rs</w:t>
      </w:r>
      <w:r w:rsidR="00B4053E" w:rsidRPr="00997267">
        <w:t xml:space="preserve"> a range of information from both internal and external sources relevan</w:t>
      </w:r>
      <w:r w:rsidR="007D3BBD">
        <w:t xml:space="preserve">t </w:t>
      </w:r>
      <w:r w:rsidR="00B4053E" w:rsidRPr="00997267">
        <w:t xml:space="preserve">to </w:t>
      </w:r>
      <w:r w:rsidRPr="00975349">
        <w:rPr>
          <w:highlight w:val="white"/>
        </w:rPr>
        <w:t xml:space="preserve">the </w:t>
      </w:r>
      <w:r w:rsidR="00902D88">
        <w:rPr>
          <w:highlight w:val="white"/>
        </w:rPr>
        <w:t>4</w:t>
      </w:r>
      <w:r w:rsidR="00593F27">
        <w:rPr>
          <w:highlight w:val="white"/>
        </w:rPr>
        <w:t xml:space="preserve"> </w:t>
      </w:r>
      <w:r w:rsidR="003A26AB">
        <w:rPr>
          <w:highlight w:val="white"/>
        </w:rPr>
        <w:t xml:space="preserve">HCP Program </w:t>
      </w:r>
      <w:r w:rsidR="0005504E">
        <w:rPr>
          <w:highlight w:val="white"/>
        </w:rPr>
        <w:t>a</w:t>
      </w:r>
      <w:r w:rsidR="003A26AB">
        <w:rPr>
          <w:highlight w:val="white"/>
        </w:rPr>
        <w:t>ssurance</w:t>
      </w:r>
      <w:r w:rsidRPr="00975349">
        <w:rPr>
          <w:highlight w:val="white"/>
        </w:rPr>
        <w:t xml:space="preserve"> risks (refer to </w:t>
      </w:r>
      <w:hyperlink w:anchor="_Risk_context" w:history="1">
        <w:r w:rsidR="00902D88" w:rsidRPr="00F24F51">
          <w:rPr>
            <w:rStyle w:val="Hyperlink"/>
          </w:rPr>
          <w:t>S</w:t>
        </w:r>
        <w:r w:rsidRPr="00F24F51">
          <w:rPr>
            <w:rStyle w:val="Hyperlink"/>
          </w:rPr>
          <w:t>ection 2.3</w:t>
        </w:r>
        <w:r w:rsidR="00716399" w:rsidRPr="00F24F51">
          <w:rPr>
            <w:rStyle w:val="Hyperlink"/>
          </w:rPr>
          <w:t>.</w:t>
        </w:r>
        <w:r w:rsidRPr="00F24F51">
          <w:rPr>
            <w:rStyle w:val="Hyperlink"/>
          </w:rPr>
          <w:t xml:space="preserve"> Risk context</w:t>
        </w:r>
      </w:hyperlink>
      <w:r w:rsidRPr="00975349">
        <w:rPr>
          <w:highlight w:val="white"/>
        </w:rPr>
        <w:t xml:space="preserve">). </w:t>
      </w:r>
      <w:r w:rsidRPr="00975349">
        <w:t xml:space="preserve">A range of information sources will be collated as depicted in </w:t>
      </w:r>
      <w:r w:rsidR="00BD35C5">
        <w:fldChar w:fldCharType="begin"/>
      </w:r>
      <w:r w:rsidR="00BD35C5">
        <w:instrText xml:space="preserve"> REF _Ref158805518 \h </w:instrText>
      </w:r>
      <w:r w:rsidR="00BD35C5">
        <w:fldChar w:fldCharType="separate"/>
      </w:r>
      <w:r w:rsidR="00BD35C5" w:rsidRPr="00B97266">
        <w:t xml:space="preserve">Figure </w:t>
      </w:r>
      <w:r w:rsidR="00BD35C5" w:rsidRPr="00B97266">
        <w:rPr>
          <w:noProof/>
        </w:rPr>
        <w:t>4</w:t>
      </w:r>
      <w:r w:rsidR="00BD35C5">
        <w:fldChar w:fldCharType="end"/>
      </w:r>
      <w:r w:rsidRPr="00975349">
        <w:t>.</w:t>
      </w:r>
      <w:r w:rsidR="00062DC9">
        <w:t xml:space="preserve"> </w:t>
      </w:r>
      <w:r w:rsidR="00062DC9">
        <w:rPr>
          <w:highlight w:val="white"/>
        </w:rPr>
        <w:t xml:space="preserve">The scan </w:t>
      </w:r>
      <w:r w:rsidR="00062DC9">
        <w:t xml:space="preserve">will </w:t>
      </w:r>
      <w:r w:rsidR="00497915">
        <w:t xml:space="preserve">then </w:t>
      </w:r>
      <w:r w:rsidR="00062DC9">
        <w:t xml:space="preserve">inform the assessment </w:t>
      </w:r>
      <w:r w:rsidR="00C04606">
        <w:t>of available information and data/evidence against the risk causes</w:t>
      </w:r>
      <w:r w:rsidR="00062DC9">
        <w:t xml:space="preserve"> to </w:t>
      </w:r>
      <w:r w:rsidR="00062DC9" w:rsidRPr="00990D06">
        <w:t xml:space="preserve">identify potential </w:t>
      </w:r>
      <w:r w:rsidR="00062DC9">
        <w:t>a</w:t>
      </w:r>
      <w:r w:rsidR="00062DC9" w:rsidRPr="00990D06">
        <w:t xml:space="preserve">reas of </w:t>
      </w:r>
      <w:r w:rsidR="00062DC9">
        <w:t>f</w:t>
      </w:r>
      <w:r w:rsidR="00062DC9" w:rsidRPr="00990D06">
        <w:t>ocus</w:t>
      </w:r>
      <w:r w:rsidR="00B222DA">
        <w:t xml:space="preserve"> and relevant assurance </w:t>
      </w:r>
      <w:r w:rsidR="006850A5">
        <w:t>reviews/</w:t>
      </w:r>
      <w:r w:rsidR="00B222DA">
        <w:t>activities</w:t>
      </w:r>
      <w:r w:rsidR="00062DC9" w:rsidRPr="00990D06">
        <w:rPr>
          <w:color w:val="1155CC"/>
        </w:rPr>
        <w:t>.</w:t>
      </w:r>
    </w:p>
    <w:p w14:paraId="25A75C17" w14:textId="69DC7F86" w:rsidR="00EA2D41" w:rsidRDefault="00A13AE3" w:rsidP="00A13AE3">
      <w:pPr>
        <w:pStyle w:val="Caption"/>
      </w:pPr>
      <w:bookmarkStart w:id="31" w:name="_Ref158805518"/>
      <w:r w:rsidRPr="00B97266">
        <w:t xml:space="preserve">Figure </w:t>
      </w:r>
      <w:fldSimple w:instr=" SEQ Figure \* ARABIC ">
        <w:r w:rsidR="00F87264" w:rsidRPr="00B97266">
          <w:rPr>
            <w:noProof/>
          </w:rPr>
          <w:t>4</w:t>
        </w:r>
      </w:fldSimple>
      <w:bookmarkEnd w:id="31"/>
      <w:r w:rsidRPr="00B97266">
        <w:t xml:space="preserve">: </w:t>
      </w:r>
      <w:r w:rsidR="00EA2D41" w:rsidRPr="00B97266">
        <w:t>Information sources for use in the environment scan</w:t>
      </w:r>
    </w:p>
    <w:p w14:paraId="3D9EA707" w14:textId="2E2D8F03" w:rsidR="000A021D" w:rsidRPr="000A021D" w:rsidRDefault="000A021D" w:rsidP="003D7EB1">
      <w:pPr>
        <w:pStyle w:val="PwCNormal"/>
      </w:pPr>
      <w:r>
        <w:rPr>
          <w:noProof/>
          <w:snapToGrid/>
        </w:rPr>
        <w:drawing>
          <wp:inline distT="0" distB="0" distL="0" distR="0" wp14:anchorId="24D43704" wp14:editId="362E379F">
            <wp:extent cx="5153025" cy="5086350"/>
            <wp:effectExtent l="0" t="0" r="9525" b="0"/>
            <wp:docPr id="524" name="Picture 524" descr="Identification of HCP Program areas of focus are:&#10;1. HCP Program policy changes and new budget measures&#10;2. Quantitative data&#10;3. Feedback/ complaints/ referrals (e.g., from providers and care recipients)&#10;4. Previous assurance activities&#10;5. Stakeholder engagement (e.g. peak bodies, Services Australia, care recipients)&#10;6. Other sources of assurance within the department (e.g. internal audit)&#10;7. External assurance or regulatory activity (e.g., ANAO, ACQSC)&#10;8. Enterprise and emerging HCP Program risk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descr="Identification of HCP Program areas of focus are:&#10;1. HCP Program policy changes and new budget measures&#10;2. Quantitative data&#10;3. Feedback/ complaints/ referrals (e.g., from providers and care recipients)&#10;4. Previous assurance activities&#10;5. Stakeholder engagement (e.g. peak bodies, Services Australia, care recipients)&#10;6. Other sources of assurance within the department (e.g. internal audit)&#10;7. External assurance or regulatory activity (e.g., ANAO, ACQSC)&#10;8. Enterprise and emerging HCP Program risks&#10;"/>
                    <pic:cNvPicPr/>
                  </pic:nvPicPr>
                  <pic:blipFill>
                    <a:blip r:embed="rId35"/>
                    <a:stretch>
                      <a:fillRect/>
                    </a:stretch>
                  </pic:blipFill>
                  <pic:spPr>
                    <a:xfrm>
                      <a:off x="0" y="0"/>
                      <a:ext cx="5153025" cy="5086350"/>
                    </a:xfrm>
                    <a:prstGeom prst="rect">
                      <a:avLst/>
                    </a:prstGeom>
                  </pic:spPr>
                </pic:pic>
              </a:graphicData>
            </a:graphic>
          </wp:inline>
        </w:drawing>
      </w:r>
    </w:p>
    <w:p w14:paraId="04C63169" w14:textId="46DCA158" w:rsidR="00F577D0" w:rsidRPr="0092764F" w:rsidRDefault="00F577D0" w:rsidP="003D7EB1">
      <w:pPr>
        <w:pStyle w:val="PwCNormal"/>
      </w:pPr>
    </w:p>
    <w:p w14:paraId="4A29AA2B" w14:textId="79C97845" w:rsidR="00ED0DF3" w:rsidRDefault="00F944AA" w:rsidP="002311EE">
      <w:pPr>
        <w:pStyle w:val="Heading2"/>
      </w:pPr>
      <w:bookmarkStart w:id="32" w:name="_Toc158806617"/>
      <w:bookmarkStart w:id="33" w:name="_Toc83980005"/>
      <w:r>
        <w:t>Prioriti</w:t>
      </w:r>
      <w:r w:rsidR="006A4242">
        <w:t>sation</w:t>
      </w:r>
      <w:r>
        <w:t xml:space="preserve"> </w:t>
      </w:r>
      <w:r w:rsidR="0017023C">
        <w:t>m</w:t>
      </w:r>
      <w:r>
        <w:t>atrix</w:t>
      </w:r>
      <w:bookmarkEnd w:id="32"/>
    </w:p>
    <w:p w14:paraId="28B07D99" w14:textId="1C78EB6E" w:rsidR="00F944AA" w:rsidRPr="00257A83" w:rsidRDefault="00216A52" w:rsidP="00CA1DDF">
      <w:pPr>
        <w:pStyle w:val="PwCNormal"/>
      </w:pPr>
      <w:r w:rsidRPr="00257A83">
        <w:t xml:space="preserve">The recommended reviews/activities for </w:t>
      </w:r>
      <w:r w:rsidR="00A960DB" w:rsidRPr="00257A83">
        <w:t xml:space="preserve">the </w:t>
      </w:r>
      <w:r w:rsidR="004000D1">
        <w:t>planned</w:t>
      </w:r>
      <w:r w:rsidR="00A960DB" w:rsidRPr="00257A83">
        <w:t xml:space="preserve"> period will be </w:t>
      </w:r>
      <w:r w:rsidRPr="00257A83">
        <w:t>prioritised using a weighted score model</w:t>
      </w:r>
      <w:r w:rsidR="00B625D3" w:rsidRPr="00257A83">
        <w:t xml:space="preserve"> (</w:t>
      </w:r>
      <w:r w:rsidR="007543B1" w:rsidRPr="00257A83">
        <w:t xml:space="preserve">prioritisation </w:t>
      </w:r>
      <w:r w:rsidR="00B625D3" w:rsidRPr="00257A83">
        <w:t>matrix)</w:t>
      </w:r>
      <w:r w:rsidR="00A960DB" w:rsidRPr="00257A83">
        <w:t>.</w:t>
      </w:r>
      <w:r w:rsidR="00AB3B70" w:rsidRPr="00257A83">
        <w:t xml:space="preserve"> </w:t>
      </w:r>
      <w:r w:rsidR="00A4094D" w:rsidRPr="00257A83">
        <w:t xml:space="preserve">The </w:t>
      </w:r>
      <w:r w:rsidR="007543B1" w:rsidRPr="00257A83">
        <w:t>prioritisation</w:t>
      </w:r>
      <w:r w:rsidR="00A4094D" w:rsidRPr="00257A83">
        <w:t xml:space="preserve"> matrix </w:t>
      </w:r>
      <w:r w:rsidR="009B6DE3" w:rsidRPr="00257A83">
        <w:t xml:space="preserve">will consider </w:t>
      </w:r>
      <w:r w:rsidR="005B0B80" w:rsidRPr="00257A83">
        <w:t>a range of</w:t>
      </w:r>
      <w:r w:rsidR="009B6DE3" w:rsidRPr="00257A83">
        <w:t xml:space="preserve"> </w:t>
      </w:r>
      <w:r w:rsidR="003951F5" w:rsidRPr="00257A83">
        <w:t>criteria</w:t>
      </w:r>
      <w:r w:rsidR="009C6452" w:rsidRPr="00257A83">
        <w:t xml:space="preserve"> that are assigned relevant weights</w:t>
      </w:r>
      <w:r w:rsidR="000A529A" w:rsidRPr="00257A83">
        <w:t xml:space="preserve"> and </w:t>
      </w:r>
      <w:r w:rsidR="00303A11" w:rsidRPr="00257A83">
        <w:t xml:space="preserve">the </w:t>
      </w:r>
      <w:r w:rsidR="00F335EA" w:rsidRPr="00257A83">
        <w:t>re</w:t>
      </w:r>
      <w:r w:rsidR="00815E47" w:rsidRPr="00257A83">
        <w:t>commended review</w:t>
      </w:r>
      <w:r w:rsidR="00E03CA3" w:rsidRPr="00257A83">
        <w:t>s</w:t>
      </w:r>
      <w:r w:rsidR="00815E47" w:rsidRPr="00257A83">
        <w:t>/activit</w:t>
      </w:r>
      <w:r w:rsidR="00E03CA3" w:rsidRPr="00257A83">
        <w:t>ies</w:t>
      </w:r>
      <w:r w:rsidR="00815E47" w:rsidRPr="00257A83">
        <w:t xml:space="preserve"> will be scored </w:t>
      </w:r>
      <w:r w:rsidR="00AF5BC3" w:rsidRPr="00257A83">
        <w:t>for each criterion.</w:t>
      </w:r>
      <w:r w:rsidR="0083202E" w:rsidRPr="00257A83">
        <w:t xml:space="preserve"> The overall weighted scores </w:t>
      </w:r>
      <w:r w:rsidR="0021123B" w:rsidRPr="00257A83">
        <w:t>will be</w:t>
      </w:r>
      <w:r w:rsidR="00621F9B" w:rsidRPr="00257A83">
        <w:t xml:space="preserve"> used to rank the recommended reviews</w:t>
      </w:r>
      <w:r w:rsidR="00F1741E" w:rsidRPr="00257A83">
        <w:t>/</w:t>
      </w:r>
      <w:r w:rsidR="00B81C79" w:rsidRPr="00257A83">
        <w:t xml:space="preserve">activities </w:t>
      </w:r>
      <w:r w:rsidR="00B80343" w:rsidRPr="00257A83">
        <w:t>and</w:t>
      </w:r>
      <w:r w:rsidR="00B81C79" w:rsidRPr="00257A83">
        <w:t xml:space="preserve"> determine the</w:t>
      </w:r>
      <w:r w:rsidR="00973963" w:rsidRPr="00257A83">
        <w:t>ir</w:t>
      </w:r>
      <w:r w:rsidR="00B81C79" w:rsidRPr="00257A83">
        <w:t xml:space="preserve"> priority</w:t>
      </w:r>
      <w:r w:rsidR="00973963" w:rsidRPr="00257A83">
        <w:t>.</w:t>
      </w:r>
    </w:p>
    <w:p w14:paraId="26180BB4" w14:textId="4F94FBBF" w:rsidR="00EA2D41" w:rsidRPr="00975349" w:rsidRDefault="00EA2D41" w:rsidP="002311EE">
      <w:pPr>
        <w:pStyle w:val="Heading2"/>
      </w:pPr>
      <w:bookmarkStart w:id="34" w:name="_Toc158806618"/>
      <w:r w:rsidRPr="00975349">
        <w:lastRenderedPageBreak/>
        <w:t xml:space="preserve">Publishing </w:t>
      </w:r>
      <w:r w:rsidR="003F5543">
        <w:t>the</w:t>
      </w:r>
      <w:r w:rsidR="00FE1410">
        <w:t xml:space="preserve"> </w:t>
      </w:r>
      <w:r w:rsidR="00356A6D">
        <w:t>a</w:t>
      </w:r>
      <w:r w:rsidR="00FE1410">
        <w:t>ssurance</w:t>
      </w:r>
      <w:r w:rsidR="003F5543">
        <w:t xml:space="preserve"> </w:t>
      </w:r>
      <w:r w:rsidR="00356A6D">
        <w:t>p</w:t>
      </w:r>
      <w:r w:rsidR="003F5543">
        <w:t xml:space="preserve">lan on a </w:t>
      </w:r>
      <w:r w:rsidR="00356A6D">
        <w:t>p</w:t>
      </w:r>
      <w:r w:rsidR="003F5543">
        <w:t>age</w:t>
      </w:r>
      <w:bookmarkEnd w:id="33"/>
      <w:bookmarkEnd w:id="34"/>
    </w:p>
    <w:p w14:paraId="0385D049" w14:textId="790DEC1E" w:rsidR="00EA2D41" w:rsidRPr="00975349" w:rsidRDefault="00EA2D41" w:rsidP="00A13AE3">
      <w:pPr>
        <w:pStyle w:val="PwCNormal"/>
      </w:pPr>
      <w:r w:rsidRPr="00975349">
        <w:t xml:space="preserve">A summary of the </w:t>
      </w:r>
      <w:r w:rsidR="00356A6D">
        <w:t>a</w:t>
      </w:r>
      <w:r w:rsidRPr="00975349">
        <w:t xml:space="preserve">ssurance </w:t>
      </w:r>
      <w:r w:rsidR="00356A6D">
        <w:t>p</w:t>
      </w:r>
      <w:r w:rsidRPr="00975349">
        <w:t xml:space="preserve">lan </w:t>
      </w:r>
      <w:r w:rsidR="00B16C42">
        <w:t>(</w:t>
      </w:r>
      <w:r w:rsidR="00356A6D">
        <w:t>a</w:t>
      </w:r>
      <w:r w:rsidR="008F381E">
        <w:t xml:space="preserve">ssurance </w:t>
      </w:r>
      <w:r w:rsidR="00356A6D">
        <w:t>p</w:t>
      </w:r>
      <w:r w:rsidR="008F381E">
        <w:t xml:space="preserve">lan on a </w:t>
      </w:r>
      <w:r w:rsidR="00356A6D">
        <w:t>p</w:t>
      </w:r>
      <w:r w:rsidR="008F381E">
        <w:t xml:space="preserve">age) </w:t>
      </w:r>
      <w:r w:rsidRPr="00975349">
        <w:t xml:space="preserve">will be published to provide the sector </w:t>
      </w:r>
      <w:r w:rsidR="00737BE7">
        <w:t xml:space="preserve">with </w:t>
      </w:r>
      <w:r w:rsidRPr="00975349">
        <w:t xml:space="preserve">an overview of the </w:t>
      </w:r>
      <w:r w:rsidR="008A1166">
        <w:t>a</w:t>
      </w:r>
      <w:r w:rsidRPr="00975349">
        <w:t xml:space="preserve">reas of </w:t>
      </w:r>
      <w:r w:rsidR="008A1166">
        <w:t>f</w:t>
      </w:r>
      <w:r w:rsidRPr="00975349">
        <w:t xml:space="preserve">ocus for </w:t>
      </w:r>
      <w:r w:rsidR="008A1166">
        <w:t>a</w:t>
      </w:r>
      <w:r w:rsidRPr="00975349">
        <w:t xml:space="preserve">ssurance </w:t>
      </w:r>
      <w:r w:rsidR="008A1166">
        <w:t>a</w:t>
      </w:r>
      <w:r w:rsidRPr="00975349">
        <w:t xml:space="preserve">ctivities which will be undertaken throughout the </w:t>
      </w:r>
      <w:r w:rsidR="00283EAD">
        <w:t>relevant</w:t>
      </w:r>
      <w:r w:rsidR="000814E5">
        <w:t xml:space="preserve"> period</w:t>
      </w:r>
      <w:r w:rsidRPr="00975349">
        <w:t xml:space="preserve">. </w:t>
      </w:r>
    </w:p>
    <w:p w14:paraId="3560357E" w14:textId="1F8FBB45" w:rsidR="00A13AE3" w:rsidRPr="00975349" w:rsidRDefault="00EA2D41" w:rsidP="00CA1DDF">
      <w:pPr>
        <w:pStyle w:val="PwCNormal"/>
        <w:sectPr w:rsidR="00A13AE3" w:rsidRPr="00975349" w:rsidSect="009D4DBD">
          <w:pgSz w:w="11907" w:h="16840" w:code="9"/>
          <w:pgMar w:top="1588" w:right="1021" w:bottom="1418" w:left="1021" w:header="567" w:footer="567" w:gutter="0"/>
          <w:cols w:space="227"/>
          <w:titlePg/>
          <w:docGrid w:linePitch="360"/>
        </w:sectPr>
      </w:pPr>
      <w:r w:rsidRPr="00975349">
        <w:t xml:space="preserve">The </w:t>
      </w:r>
      <w:r w:rsidR="008A1166">
        <w:t>a</w:t>
      </w:r>
      <w:r w:rsidRPr="00975349">
        <w:t xml:space="preserve">ssurance </w:t>
      </w:r>
      <w:r w:rsidR="008A1166">
        <w:t>p</w:t>
      </w:r>
      <w:r w:rsidRPr="00975349">
        <w:t xml:space="preserve">lan </w:t>
      </w:r>
      <w:r w:rsidR="00CC1854">
        <w:t xml:space="preserve">on a </w:t>
      </w:r>
      <w:r w:rsidR="008A1166">
        <w:t>p</w:t>
      </w:r>
      <w:r w:rsidR="00CC1854">
        <w:t xml:space="preserve">age </w:t>
      </w:r>
      <w:r w:rsidRPr="00975349">
        <w:t>may be amended</w:t>
      </w:r>
      <w:r w:rsidR="00CC1854">
        <w:t xml:space="preserve"> </w:t>
      </w:r>
      <w:r w:rsidR="007455F0" w:rsidRPr="00501BAB">
        <w:t xml:space="preserve">due to </w:t>
      </w:r>
      <w:r w:rsidR="007455F0">
        <w:t xml:space="preserve">further </w:t>
      </w:r>
      <w:r w:rsidR="007455F0" w:rsidRPr="00501BAB">
        <w:t>intelligence, changing risk profiles or program need/priorities</w:t>
      </w:r>
      <w:r w:rsidR="00044B8E">
        <w:t>, including to support the transition to Support at Home</w:t>
      </w:r>
      <w:r w:rsidR="007455F0">
        <w:t>.</w:t>
      </w:r>
      <w:r w:rsidRPr="00975349">
        <w:t xml:space="preserve"> </w:t>
      </w:r>
      <w:bookmarkStart w:id="35" w:name="_Toc83980006"/>
    </w:p>
    <w:p w14:paraId="18B4CE46" w14:textId="4C182ACD" w:rsidR="00EA2D41" w:rsidRPr="00975349" w:rsidRDefault="00EA2D41" w:rsidP="002311EE">
      <w:pPr>
        <w:pStyle w:val="Heading1"/>
      </w:pPr>
      <w:bookmarkStart w:id="36" w:name="_Assurance_approach_and"/>
      <w:bookmarkStart w:id="37" w:name="_Toc158806619"/>
      <w:bookmarkEnd w:id="36"/>
      <w:r w:rsidRPr="00975349">
        <w:lastRenderedPageBreak/>
        <w:t xml:space="preserve">Assurance </w:t>
      </w:r>
      <w:r w:rsidR="008A1166">
        <w:t>a</w:t>
      </w:r>
      <w:r w:rsidRPr="00975349">
        <w:t xml:space="preserve">pproach and </w:t>
      </w:r>
      <w:r w:rsidR="008A1166">
        <w:t>a</w:t>
      </w:r>
      <w:r w:rsidRPr="00975349">
        <w:t>ctivities</w:t>
      </w:r>
      <w:bookmarkEnd w:id="35"/>
      <w:bookmarkEnd w:id="37"/>
    </w:p>
    <w:p w14:paraId="6B5A1E0E" w14:textId="4AB901A9" w:rsidR="00EA2D41" w:rsidRPr="00975349" w:rsidRDefault="00EA2D41" w:rsidP="002311EE">
      <w:pPr>
        <w:pStyle w:val="Heading2"/>
      </w:pPr>
      <w:bookmarkStart w:id="38" w:name="_Toc83980007"/>
      <w:bookmarkStart w:id="39" w:name="_Toc158806620"/>
      <w:r w:rsidRPr="00975349">
        <w:t>Assurance principles</w:t>
      </w:r>
      <w:bookmarkEnd w:id="38"/>
      <w:bookmarkEnd w:id="39"/>
    </w:p>
    <w:p w14:paraId="7B3FFBFD" w14:textId="01CB8302" w:rsidR="00EA2D41" w:rsidRPr="00975349" w:rsidRDefault="00EA2D41" w:rsidP="00A13AE3">
      <w:pPr>
        <w:pStyle w:val="PwCNormal"/>
      </w:pPr>
      <w:r w:rsidRPr="00975349">
        <w:t xml:space="preserve">The </w:t>
      </w:r>
      <w:r w:rsidR="007322BF">
        <w:t>a</w:t>
      </w:r>
      <w:r w:rsidRPr="00975349">
        <w:t xml:space="preserve">ssurance </w:t>
      </w:r>
      <w:r w:rsidR="007322BF">
        <w:t>a</w:t>
      </w:r>
      <w:r w:rsidRPr="00975349">
        <w:t xml:space="preserve">ctivities conducted under the </w:t>
      </w:r>
      <w:r w:rsidR="007322BF">
        <w:t>a</w:t>
      </w:r>
      <w:r w:rsidRPr="00975349">
        <w:t xml:space="preserve">ssurance </w:t>
      </w:r>
      <w:r w:rsidR="007322BF">
        <w:t>f</w:t>
      </w:r>
      <w:r w:rsidRPr="00975349">
        <w:t xml:space="preserve">ramework will be guided by </w:t>
      </w:r>
      <w:r w:rsidR="000E7A14">
        <w:t>3</w:t>
      </w:r>
      <w:r w:rsidRPr="00975349">
        <w:t xml:space="preserve"> key assurance principles. These principles and how they will be achieved are outlined in </w:t>
      </w:r>
      <w:r w:rsidR="00BD35C5">
        <w:fldChar w:fldCharType="begin"/>
      </w:r>
      <w:r w:rsidR="00BD35C5">
        <w:instrText xml:space="preserve"> REF _Ref158805499 \h </w:instrText>
      </w:r>
      <w:r w:rsidR="00BD35C5">
        <w:fldChar w:fldCharType="separate"/>
      </w:r>
      <w:r w:rsidR="00BD35C5" w:rsidRPr="00975349">
        <w:t xml:space="preserve">Figure </w:t>
      </w:r>
      <w:r w:rsidR="00BD35C5">
        <w:rPr>
          <w:noProof/>
        </w:rPr>
        <w:t>5</w:t>
      </w:r>
      <w:r w:rsidR="00BD35C5">
        <w:fldChar w:fldCharType="end"/>
      </w:r>
      <w:r w:rsidRPr="00975349">
        <w:rPr>
          <w:bCs/>
        </w:rPr>
        <w:t xml:space="preserve"> </w:t>
      </w:r>
      <w:r w:rsidRPr="00975349">
        <w:t>below.</w:t>
      </w:r>
    </w:p>
    <w:p w14:paraId="50AC4CBB" w14:textId="09AB1097" w:rsidR="00EA2D41" w:rsidRPr="00975349" w:rsidRDefault="00A13AE3" w:rsidP="00A13AE3">
      <w:pPr>
        <w:pStyle w:val="Caption"/>
      </w:pPr>
      <w:bookmarkStart w:id="40" w:name="_Ref158805499"/>
      <w:r w:rsidRPr="00975349">
        <w:t xml:space="preserve">Figure </w:t>
      </w:r>
      <w:fldSimple w:instr=" SEQ Figure \* ARABIC ">
        <w:r w:rsidR="00F87264">
          <w:rPr>
            <w:noProof/>
          </w:rPr>
          <w:t>5</w:t>
        </w:r>
      </w:fldSimple>
      <w:bookmarkEnd w:id="40"/>
      <w:r w:rsidRPr="00975349">
        <w:t xml:space="preserve">: </w:t>
      </w:r>
      <w:r w:rsidR="00EA2D41" w:rsidRPr="00975349">
        <w:t xml:space="preserve">Assurance </w:t>
      </w:r>
      <w:r w:rsidR="007322BF">
        <w:t>p</w:t>
      </w:r>
      <w:r w:rsidR="00EA2D41" w:rsidRPr="00975349">
        <w:t>rinciples</w:t>
      </w:r>
    </w:p>
    <w:tbl>
      <w:tblPr>
        <w:tblStyle w:val="PwCColour"/>
        <w:tblW w:w="0" w:type="auto"/>
        <w:tblLook w:val="04A0" w:firstRow="1" w:lastRow="0" w:firstColumn="1" w:lastColumn="0" w:noHBand="0" w:noVBand="1"/>
      </w:tblPr>
      <w:tblGrid>
        <w:gridCol w:w="972"/>
        <w:gridCol w:w="3887"/>
        <w:gridCol w:w="4996"/>
      </w:tblGrid>
      <w:tr w:rsidR="004A4C47" w:rsidRPr="00975349" w14:paraId="39135D63" w14:textId="77777777" w:rsidTr="0097534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97" w:type="dxa"/>
          </w:tcPr>
          <w:p w14:paraId="43551E1A" w14:textId="73D558E9" w:rsidR="004A4C47" w:rsidRPr="0092764F" w:rsidRDefault="004A4C47" w:rsidP="0092764F">
            <w:pPr>
              <w:pStyle w:val="TableColumnHeadingNormal"/>
            </w:pPr>
            <w:r w:rsidRPr="0092764F">
              <w:t>Number</w:t>
            </w:r>
          </w:p>
        </w:tc>
        <w:tc>
          <w:tcPr>
            <w:tcW w:w="3918" w:type="dxa"/>
          </w:tcPr>
          <w:p w14:paraId="3370B22C" w14:textId="02A82C0E" w:rsidR="004A4C47" w:rsidRPr="0092764F" w:rsidRDefault="004A4C47" w:rsidP="0092764F">
            <w:pPr>
              <w:pStyle w:val="TableColumnHeadingNormal"/>
              <w:cnfStyle w:val="100000000000" w:firstRow="1" w:lastRow="0" w:firstColumn="0" w:lastColumn="0" w:oddVBand="0" w:evenVBand="0" w:oddHBand="0" w:evenHBand="0" w:firstRowFirstColumn="0" w:firstRowLastColumn="0" w:lastRowFirstColumn="0" w:lastRowLastColumn="0"/>
            </w:pPr>
            <w:r w:rsidRPr="0092764F">
              <w:t xml:space="preserve">Assurance </w:t>
            </w:r>
            <w:r w:rsidR="00C57C74" w:rsidRPr="0092764F">
              <w:t>p</w:t>
            </w:r>
            <w:r w:rsidRPr="0092764F">
              <w:t>rinciple</w:t>
            </w:r>
          </w:p>
        </w:tc>
        <w:tc>
          <w:tcPr>
            <w:tcW w:w="5040" w:type="dxa"/>
          </w:tcPr>
          <w:p w14:paraId="05701CF4" w14:textId="7BAA041B" w:rsidR="004A4C47" w:rsidRPr="0092764F" w:rsidRDefault="004A4C47" w:rsidP="0092764F">
            <w:pPr>
              <w:pStyle w:val="TableColumnHeadingNormal"/>
              <w:cnfStyle w:val="100000000000" w:firstRow="1" w:lastRow="0" w:firstColumn="0" w:lastColumn="0" w:oddVBand="0" w:evenVBand="0" w:oddHBand="0" w:evenHBand="0" w:firstRowFirstColumn="0" w:firstRowLastColumn="0" w:lastRowFirstColumn="0" w:lastRowLastColumn="0"/>
            </w:pPr>
            <w:r w:rsidRPr="0092764F">
              <w:t>How we will do this</w:t>
            </w:r>
          </w:p>
        </w:tc>
      </w:tr>
      <w:tr w:rsidR="004A4C47" w:rsidRPr="00975349" w14:paraId="74FC96F0" w14:textId="77777777" w:rsidTr="00975349">
        <w:tc>
          <w:tcPr>
            <w:tcW w:w="897" w:type="dxa"/>
            <w:shd w:val="clear" w:color="auto" w:fill="004C91" w:themeFill="accent1"/>
          </w:tcPr>
          <w:p w14:paraId="36F260E7" w14:textId="7E542E14" w:rsidR="004A4C47" w:rsidRPr="004F335A" w:rsidRDefault="004A4C47" w:rsidP="00E52631">
            <w:pPr>
              <w:pStyle w:val="TableTextNormal"/>
              <w:rPr>
                <w:color w:val="FFFFFF" w:themeColor="background1"/>
                <w:sz w:val="60"/>
                <w:szCs w:val="60"/>
              </w:rPr>
            </w:pPr>
            <w:r w:rsidRPr="004F335A">
              <w:rPr>
                <w:color w:val="FFFFFF" w:themeColor="background1"/>
                <w:sz w:val="60"/>
                <w:szCs w:val="60"/>
              </w:rPr>
              <w:t>01</w:t>
            </w:r>
          </w:p>
        </w:tc>
        <w:tc>
          <w:tcPr>
            <w:tcW w:w="3918" w:type="dxa"/>
          </w:tcPr>
          <w:p w14:paraId="21674241" w14:textId="77777777" w:rsidR="004A4C47" w:rsidRPr="004A4C47" w:rsidRDefault="004A4C47" w:rsidP="004A4C47">
            <w:pPr>
              <w:pStyle w:val="TableTextNormal"/>
            </w:pPr>
            <w:r w:rsidRPr="004A4C47">
              <w:rPr>
                <w:b/>
                <w:bCs/>
              </w:rPr>
              <w:t>Continuous improvement</w:t>
            </w:r>
          </w:p>
          <w:p w14:paraId="0B7C51C4" w14:textId="08AEB53C" w:rsidR="004A4C47" w:rsidRPr="00975349" w:rsidRDefault="004A4C47" w:rsidP="004A4C47">
            <w:pPr>
              <w:pStyle w:val="TableTextNormal"/>
            </w:pPr>
            <w:r w:rsidRPr="004A4C47">
              <w:t xml:space="preserve">The </w:t>
            </w:r>
            <w:r w:rsidR="00863008">
              <w:t>department</w:t>
            </w:r>
            <w:r w:rsidRPr="004A4C47">
              <w:t xml:space="preserve"> will adopt a whole-of-program perspective, continuously improving performance, capability and culture of providers and its assurance approach. </w:t>
            </w:r>
          </w:p>
        </w:tc>
        <w:tc>
          <w:tcPr>
            <w:tcW w:w="5040" w:type="dxa"/>
          </w:tcPr>
          <w:p w14:paraId="51EC63F0" w14:textId="77777777" w:rsidR="004A4C47" w:rsidRPr="004A4C47" w:rsidRDefault="004A4C47" w:rsidP="004A4C47">
            <w:pPr>
              <w:pStyle w:val="TableTextNormal"/>
            </w:pPr>
            <w:r w:rsidRPr="004A4C47">
              <w:t xml:space="preserve">We will do this by: </w:t>
            </w:r>
          </w:p>
          <w:p w14:paraId="74C2D7AF" w14:textId="4D0895AD" w:rsidR="004A4C47" w:rsidRPr="004A4C47" w:rsidRDefault="00125DC5" w:rsidP="0092764F">
            <w:pPr>
              <w:pStyle w:val="TableBullet1Normal"/>
            </w:pPr>
            <w:r>
              <w:t>b</w:t>
            </w:r>
            <w:r w:rsidR="004A4C47" w:rsidRPr="004A4C47">
              <w:t>eing prevention-focused</w:t>
            </w:r>
          </w:p>
          <w:p w14:paraId="71D94B2F" w14:textId="3CB33BA7" w:rsidR="004A4C47" w:rsidRPr="004A4C47" w:rsidRDefault="00125DC5" w:rsidP="0092764F">
            <w:pPr>
              <w:pStyle w:val="TableBullet1Normal"/>
            </w:pPr>
            <w:r>
              <w:t>p</w:t>
            </w:r>
            <w:r w:rsidR="004A4C47" w:rsidRPr="004A4C47">
              <w:t xml:space="preserve">roviding education to </w:t>
            </w:r>
            <w:r w:rsidR="003D3C65">
              <w:t>p</w:t>
            </w:r>
            <w:r w:rsidR="004A4C47" w:rsidRPr="004A4C47">
              <w:t xml:space="preserve">roviders </w:t>
            </w:r>
            <w:r w:rsidR="004A4C47" w:rsidRPr="005C6DA1">
              <w:t>and</w:t>
            </w:r>
            <w:r w:rsidR="004A4C47" w:rsidRPr="004A4C47">
              <w:t xml:space="preserve"> care recipients to support clear and consistent understanding of HCP Program </w:t>
            </w:r>
            <w:r w:rsidR="0087517E" w:rsidRPr="004A4C47">
              <w:t>requirements.</w:t>
            </w:r>
          </w:p>
          <w:p w14:paraId="3B59897F" w14:textId="381CA891" w:rsidR="004A4C47" w:rsidRPr="00975349" w:rsidRDefault="00A81857" w:rsidP="0092764F">
            <w:pPr>
              <w:pStyle w:val="TableBullet1Normal"/>
            </w:pPr>
            <w:r>
              <w:t>b</w:t>
            </w:r>
            <w:r w:rsidR="004A4C47" w:rsidRPr="004A4C47">
              <w:t>eing open to feedback and continuously improving our assurance approach</w:t>
            </w:r>
            <w:r>
              <w:t>.</w:t>
            </w:r>
          </w:p>
        </w:tc>
      </w:tr>
      <w:tr w:rsidR="004A4C47" w:rsidRPr="00975349" w14:paraId="0B932DFD" w14:textId="77777777" w:rsidTr="00975349">
        <w:tc>
          <w:tcPr>
            <w:tcW w:w="897" w:type="dxa"/>
            <w:shd w:val="clear" w:color="auto" w:fill="7D7D7D" w:themeFill="accent4"/>
          </w:tcPr>
          <w:p w14:paraId="1937722C" w14:textId="7C9E2A12" w:rsidR="004A4C47" w:rsidRPr="004F335A" w:rsidRDefault="004A4C47" w:rsidP="00E52631">
            <w:pPr>
              <w:pStyle w:val="TableTextNormal"/>
              <w:rPr>
                <w:color w:val="FFFFFF" w:themeColor="background1"/>
                <w:sz w:val="60"/>
                <w:szCs w:val="60"/>
              </w:rPr>
            </w:pPr>
            <w:r w:rsidRPr="004F335A">
              <w:rPr>
                <w:color w:val="FFFFFF" w:themeColor="background1"/>
                <w:sz w:val="60"/>
                <w:szCs w:val="60"/>
              </w:rPr>
              <w:t>02</w:t>
            </w:r>
          </w:p>
        </w:tc>
        <w:tc>
          <w:tcPr>
            <w:tcW w:w="3918" w:type="dxa"/>
          </w:tcPr>
          <w:p w14:paraId="10C88279" w14:textId="77777777" w:rsidR="004A4C47" w:rsidRPr="004A4C47" w:rsidRDefault="004A4C47" w:rsidP="004A4C47">
            <w:pPr>
              <w:pStyle w:val="TableTextNormal"/>
              <w:rPr>
                <w:color w:val="000000" w:themeColor="text1"/>
              </w:rPr>
            </w:pPr>
            <w:r w:rsidRPr="004A4C47">
              <w:rPr>
                <w:b/>
                <w:bCs/>
                <w:color w:val="000000" w:themeColor="text1"/>
              </w:rPr>
              <w:t>Risk-based and data driven</w:t>
            </w:r>
          </w:p>
          <w:p w14:paraId="7F23B48F" w14:textId="5F29716A" w:rsidR="004A4C47" w:rsidRPr="00975349" w:rsidRDefault="004A4C47" w:rsidP="004A4C47">
            <w:pPr>
              <w:pStyle w:val="TableTextNormal"/>
              <w:rPr>
                <w:color w:val="000000" w:themeColor="text1"/>
              </w:rPr>
            </w:pPr>
            <w:r w:rsidRPr="004A4C47">
              <w:rPr>
                <w:color w:val="000000" w:themeColor="text1"/>
              </w:rPr>
              <w:t xml:space="preserve">The </w:t>
            </w:r>
            <w:r w:rsidR="00863008">
              <w:rPr>
                <w:color w:val="000000" w:themeColor="text1"/>
              </w:rPr>
              <w:t>department</w:t>
            </w:r>
            <w:r w:rsidRPr="004A4C47">
              <w:rPr>
                <w:color w:val="000000" w:themeColor="text1"/>
              </w:rPr>
              <w:t xml:space="preserve"> will manage risks proportionately and maintain essential safeguards while minimising administrative burden and leveraging data and digital technology to support the HCP Program </w:t>
            </w:r>
            <w:r w:rsidR="00404F6D">
              <w:rPr>
                <w:color w:val="000000" w:themeColor="text1"/>
              </w:rPr>
              <w:t>a</w:t>
            </w:r>
            <w:r w:rsidRPr="004A4C47">
              <w:rPr>
                <w:color w:val="000000" w:themeColor="text1"/>
              </w:rPr>
              <w:t xml:space="preserve">ssurance </w:t>
            </w:r>
            <w:r w:rsidR="00404F6D">
              <w:rPr>
                <w:color w:val="000000" w:themeColor="text1"/>
              </w:rPr>
              <w:t>a</w:t>
            </w:r>
            <w:r w:rsidRPr="004A4C47">
              <w:rPr>
                <w:color w:val="000000" w:themeColor="text1"/>
              </w:rPr>
              <w:t>ctivities.</w:t>
            </w:r>
          </w:p>
        </w:tc>
        <w:tc>
          <w:tcPr>
            <w:tcW w:w="5040" w:type="dxa"/>
          </w:tcPr>
          <w:p w14:paraId="736B586C" w14:textId="77777777" w:rsidR="004A4C47" w:rsidRPr="004A4C47" w:rsidRDefault="004A4C47" w:rsidP="004A4C47">
            <w:pPr>
              <w:pStyle w:val="TableTextNormal"/>
            </w:pPr>
            <w:r w:rsidRPr="004A4C47">
              <w:t xml:space="preserve">We will do this by: </w:t>
            </w:r>
          </w:p>
          <w:p w14:paraId="782C10A8" w14:textId="581E3230" w:rsidR="004A4C47" w:rsidRPr="00975349" w:rsidRDefault="00A81857" w:rsidP="0092764F">
            <w:pPr>
              <w:pStyle w:val="TableBullet1Normal"/>
            </w:pPr>
            <w:r>
              <w:t>t</w:t>
            </w:r>
            <w:r w:rsidR="004A4C47" w:rsidRPr="00975349">
              <w:t xml:space="preserve">aking a proportionate and risk-based approach to identifying and prioritising risks for </w:t>
            </w:r>
            <w:r w:rsidR="00404F6D">
              <w:t>a</w:t>
            </w:r>
            <w:r w:rsidR="004A4C47" w:rsidRPr="00975349">
              <w:t xml:space="preserve">ssurance </w:t>
            </w:r>
            <w:r w:rsidR="00404F6D">
              <w:t>a</w:t>
            </w:r>
            <w:r w:rsidR="004A4C47" w:rsidRPr="00975349">
              <w:t>ctivities</w:t>
            </w:r>
          </w:p>
          <w:p w14:paraId="4D87ECC0" w14:textId="19782E03" w:rsidR="004A4C47" w:rsidRPr="00975349" w:rsidRDefault="00A81857" w:rsidP="0092764F">
            <w:pPr>
              <w:pStyle w:val="TableBullet1Normal"/>
            </w:pPr>
            <w:r>
              <w:t>t</w:t>
            </w:r>
            <w:r w:rsidR="004A4C47" w:rsidRPr="00975349">
              <w:t>aking an evidenced-based and data-driven approach</w:t>
            </w:r>
          </w:p>
          <w:p w14:paraId="17D2C318" w14:textId="3289E303" w:rsidR="004A4C47" w:rsidRPr="00975349" w:rsidRDefault="00A81857" w:rsidP="0092764F">
            <w:pPr>
              <w:pStyle w:val="TableBullet1Normal"/>
            </w:pPr>
            <w:r>
              <w:t>m</w:t>
            </w:r>
            <w:r w:rsidR="004A4C47" w:rsidRPr="00975349">
              <w:t>inimising the administrative burden</w:t>
            </w:r>
            <w:r>
              <w:t>.</w:t>
            </w:r>
          </w:p>
        </w:tc>
      </w:tr>
      <w:tr w:rsidR="004A4C47" w:rsidRPr="00975349" w14:paraId="50DCF745" w14:textId="77777777" w:rsidTr="00975349">
        <w:tc>
          <w:tcPr>
            <w:tcW w:w="897" w:type="dxa"/>
            <w:shd w:val="clear" w:color="auto" w:fill="00727E" w:themeFill="accent3"/>
          </w:tcPr>
          <w:p w14:paraId="4D128228" w14:textId="7A80150A" w:rsidR="004A4C47" w:rsidRPr="004F335A" w:rsidRDefault="004A4C47" w:rsidP="00E52631">
            <w:pPr>
              <w:pStyle w:val="TableTextNormal"/>
              <w:rPr>
                <w:color w:val="FFFFFF" w:themeColor="background1"/>
                <w:sz w:val="60"/>
                <w:szCs w:val="60"/>
              </w:rPr>
            </w:pPr>
            <w:r w:rsidRPr="004F335A">
              <w:rPr>
                <w:color w:val="FFFFFF" w:themeColor="background1"/>
                <w:sz w:val="60"/>
                <w:szCs w:val="60"/>
              </w:rPr>
              <w:t>03</w:t>
            </w:r>
          </w:p>
        </w:tc>
        <w:tc>
          <w:tcPr>
            <w:tcW w:w="3918" w:type="dxa"/>
          </w:tcPr>
          <w:p w14:paraId="2EFD3FEF" w14:textId="77777777" w:rsidR="004A4C47" w:rsidRPr="004A4C47" w:rsidRDefault="004A4C47" w:rsidP="004A4C47">
            <w:pPr>
              <w:pStyle w:val="TableTextNormal"/>
            </w:pPr>
            <w:r w:rsidRPr="004A4C47">
              <w:rPr>
                <w:b/>
                <w:bCs/>
              </w:rPr>
              <w:t>Collaboration, engagement and trust</w:t>
            </w:r>
          </w:p>
          <w:p w14:paraId="5A18057B" w14:textId="4F839547" w:rsidR="004A4C47" w:rsidRPr="00975349" w:rsidRDefault="004A4C47" w:rsidP="004A4C47">
            <w:pPr>
              <w:pStyle w:val="TableTextNormal"/>
            </w:pPr>
            <w:r w:rsidRPr="004A4C47">
              <w:t xml:space="preserve">The </w:t>
            </w:r>
            <w:r w:rsidR="00863008">
              <w:t>department</w:t>
            </w:r>
            <w:r w:rsidRPr="004A4C47">
              <w:t xml:space="preserve"> will be a transparent and responsive communicator in conducting </w:t>
            </w:r>
            <w:r w:rsidR="004879B8">
              <w:t>a</w:t>
            </w:r>
            <w:r w:rsidRPr="004A4C47">
              <w:t xml:space="preserve">ssurance </w:t>
            </w:r>
            <w:r w:rsidR="004879B8">
              <w:t>a</w:t>
            </w:r>
            <w:r w:rsidRPr="004A4C47">
              <w:t>ctivities to build trust and confidence in the assurance of the HCP Program.</w:t>
            </w:r>
          </w:p>
        </w:tc>
        <w:tc>
          <w:tcPr>
            <w:tcW w:w="5040" w:type="dxa"/>
          </w:tcPr>
          <w:p w14:paraId="5517AA6A" w14:textId="77777777" w:rsidR="004A4C47" w:rsidRPr="004A4C47" w:rsidRDefault="004A4C47" w:rsidP="004A4C47">
            <w:pPr>
              <w:pStyle w:val="TableTextNormal"/>
            </w:pPr>
            <w:r w:rsidRPr="004A4C47">
              <w:t xml:space="preserve">We will do this by: </w:t>
            </w:r>
          </w:p>
          <w:p w14:paraId="07F18BB0" w14:textId="2B1D25BF" w:rsidR="004A4C47" w:rsidRPr="00975349" w:rsidRDefault="00274B9F" w:rsidP="0092764F">
            <w:pPr>
              <w:pStyle w:val="TableBullet1Normal"/>
            </w:pPr>
            <w:r>
              <w:t>b</w:t>
            </w:r>
            <w:r w:rsidR="004A4C47" w:rsidRPr="00975349">
              <w:t xml:space="preserve">eing consistent with our </w:t>
            </w:r>
            <w:r w:rsidR="004879B8">
              <w:t>a</w:t>
            </w:r>
            <w:r w:rsidR="004A4C47" w:rsidRPr="00975349">
              <w:t xml:space="preserve">ssurance </w:t>
            </w:r>
            <w:r w:rsidR="004879B8">
              <w:t>a</w:t>
            </w:r>
            <w:r w:rsidR="004A4C47" w:rsidRPr="00975349">
              <w:t>ctivity approach and findings</w:t>
            </w:r>
          </w:p>
          <w:p w14:paraId="588896FC" w14:textId="183DEAE7" w:rsidR="004A4C47" w:rsidRPr="00975349" w:rsidRDefault="00274B9F" w:rsidP="0092764F">
            <w:pPr>
              <w:pStyle w:val="TableBullet1Normal"/>
            </w:pPr>
            <w:r>
              <w:t>b</w:t>
            </w:r>
            <w:r w:rsidR="004A4C47" w:rsidRPr="00975349">
              <w:t>eing transparent about the rationale for our findings</w:t>
            </w:r>
          </w:p>
          <w:p w14:paraId="0B15164B" w14:textId="1A696395" w:rsidR="004A4C47" w:rsidRPr="00975349" w:rsidRDefault="00274B9F" w:rsidP="0092764F">
            <w:pPr>
              <w:pStyle w:val="TableBullet1Normal"/>
            </w:pPr>
            <w:r>
              <w:t>a</w:t>
            </w:r>
            <w:r w:rsidR="004A4C47" w:rsidRPr="00975349">
              <w:t xml:space="preserve">dhering to natural justice in how we conduct our </w:t>
            </w:r>
            <w:r w:rsidR="004879B8">
              <w:t>a</w:t>
            </w:r>
            <w:r w:rsidR="004A4C47" w:rsidRPr="00975349">
              <w:t>ctivities</w:t>
            </w:r>
          </w:p>
          <w:p w14:paraId="4304FF6E" w14:textId="11DCF090" w:rsidR="004A4C47" w:rsidRPr="00975349" w:rsidRDefault="00274B9F" w:rsidP="0092764F">
            <w:pPr>
              <w:pStyle w:val="TableBullet1Normal"/>
            </w:pPr>
            <w:r>
              <w:t>b</w:t>
            </w:r>
            <w:r w:rsidR="004A4C47" w:rsidRPr="00975349">
              <w:t>eing collaborative with the sector</w:t>
            </w:r>
            <w:r>
              <w:t xml:space="preserve"> and</w:t>
            </w:r>
            <w:r w:rsidR="004A4C47" w:rsidRPr="00975349">
              <w:t xml:space="preserve"> avoiding surprises</w:t>
            </w:r>
          </w:p>
          <w:p w14:paraId="66972E6D" w14:textId="6405705E" w:rsidR="004A4C47" w:rsidRPr="00975349" w:rsidRDefault="00274B9F" w:rsidP="0092764F">
            <w:pPr>
              <w:pStyle w:val="TableBullet1Normal"/>
            </w:pPr>
            <w:r>
              <w:t>b</w:t>
            </w:r>
            <w:r w:rsidR="004A4C47" w:rsidRPr="00975349">
              <w:t>eing responsive to stakeholders</w:t>
            </w:r>
            <w:r>
              <w:t>.</w:t>
            </w:r>
          </w:p>
        </w:tc>
      </w:tr>
    </w:tbl>
    <w:p w14:paraId="0007A8D1" w14:textId="15B8A0B6" w:rsidR="00EA2D41" w:rsidRPr="00975349" w:rsidRDefault="00EA2D41" w:rsidP="002311EE">
      <w:pPr>
        <w:pStyle w:val="Heading2"/>
      </w:pPr>
      <w:bookmarkStart w:id="41" w:name="_Assurance_activities"/>
      <w:bookmarkStart w:id="42" w:name="_Toc83980008"/>
      <w:bookmarkStart w:id="43" w:name="_Toc158806621"/>
      <w:bookmarkEnd w:id="41"/>
      <w:r w:rsidRPr="00975349">
        <w:t xml:space="preserve">Assurance </w:t>
      </w:r>
      <w:r w:rsidR="004879B8">
        <w:t>a</w:t>
      </w:r>
      <w:r w:rsidRPr="00975349">
        <w:t>ctivities</w:t>
      </w:r>
      <w:bookmarkEnd w:id="42"/>
      <w:bookmarkEnd w:id="43"/>
    </w:p>
    <w:p w14:paraId="40E40037" w14:textId="6991EF5A" w:rsidR="00EA2D41" w:rsidRPr="00975349" w:rsidRDefault="00EA2D41" w:rsidP="009B3DC0">
      <w:pPr>
        <w:pStyle w:val="PwCNormal"/>
      </w:pPr>
      <w:r w:rsidRPr="00975349">
        <w:t xml:space="preserve">The </w:t>
      </w:r>
      <w:r w:rsidR="00863008">
        <w:t>department</w:t>
      </w:r>
      <w:r w:rsidRPr="00975349">
        <w:t xml:space="preserve">’s selection of </w:t>
      </w:r>
      <w:r w:rsidR="00393AF3">
        <w:t>a</w:t>
      </w:r>
      <w:r w:rsidRPr="00975349">
        <w:t xml:space="preserve">ssurance </w:t>
      </w:r>
      <w:r w:rsidR="00393AF3">
        <w:t>a</w:t>
      </w:r>
      <w:r w:rsidRPr="00975349">
        <w:t xml:space="preserve">ctivities will vary, with </w:t>
      </w:r>
      <w:r w:rsidR="00393AF3">
        <w:t>a</w:t>
      </w:r>
      <w:r w:rsidRPr="00975349">
        <w:t xml:space="preserve">ctivities proportionate to the HCP Program risks identified. In principle, as the risk increases, the extent of </w:t>
      </w:r>
      <w:r w:rsidR="00393AF3">
        <w:t>a</w:t>
      </w:r>
      <w:r w:rsidRPr="00975349">
        <w:t xml:space="preserve">ssurance </w:t>
      </w:r>
      <w:r w:rsidR="00393AF3">
        <w:t>a</w:t>
      </w:r>
      <w:r w:rsidRPr="00975349">
        <w:t xml:space="preserve">ctivities being conducted will also increase proportionately as described in </w:t>
      </w:r>
      <w:r w:rsidR="0087517E" w:rsidRPr="00BD35C5">
        <w:fldChar w:fldCharType="begin"/>
      </w:r>
      <w:r w:rsidR="0087517E" w:rsidRPr="00BD35C5">
        <w:instrText xml:space="preserve"> REF _Ref158804247 \h </w:instrText>
      </w:r>
      <w:r w:rsidR="00BD35C5">
        <w:instrText xml:space="preserve"> \* MERGEFORMAT </w:instrText>
      </w:r>
      <w:r w:rsidR="0087517E" w:rsidRPr="00BD35C5">
        <w:fldChar w:fldCharType="separate"/>
      </w:r>
      <w:r w:rsidR="00BD35C5" w:rsidRPr="00BD35C5">
        <w:fldChar w:fldCharType="begin"/>
      </w:r>
      <w:r w:rsidR="00BD35C5" w:rsidRPr="00BD35C5">
        <w:instrText xml:space="preserve"> REF _Ref158804247 \h </w:instrText>
      </w:r>
      <w:r w:rsidR="00BD35C5" w:rsidRPr="00BD35C5">
        <w:fldChar w:fldCharType="separate"/>
      </w:r>
      <w:r w:rsidR="00BD35C5" w:rsidRPr="00BD35C5">
        <w:t>Figure 6</w:t>
      </w:r>
      <w:r w:rsidR="00BD35C5" w:rsidRPr="00BD35C5">
        <w:fldChar w:fldCharType="end"/>
      </w:r>
      <w:r w:rsidR="0087517E" w:rsidRPr="00BD35C5">
        <w:t xml:space="preserve"> </w:t>
      </w:r>
      <w:r w:rsidR="0087517E" w:rsidRPr="00BD35C5">
        <w:fldChar w:fldCharType="end"/>
      </w:r>
      <w:r w:rsidRPr="00975349">
        <w:t>below.</w:t>
      </w:r>
    </w:p>
    <w:p w14:paraId="59385EA0" w14:textId="791E938B" w:rsidR="00EA2D41" w:rsidRDefault="009B3DC0" w:rsidP="009B3DC0">
      <w:pPr>
        <w:pStyle w:val="Caption"/>
      </w:pPr>
      <w:bookmarkStart w:id="44" w:name="_Ref158804247"/>
      <w:r w:rsidRPr="00975349">
        <w:lastRenderedPageBreak/>
        <w:t xml:space="preserve">Figure </w:t>
      </w:r>
      <w:fldSimple w:instr=" SEQ Figure \* ARABIC ">
        <w:r w:rsidR="00F87264">
          <w:rPr>
            <w:noProof/>
          </w:rPr>
          <w:t>6</w:t>
        </w:r>
      </w:fldSimple>
      <w:bookmarkEnd w:id="44"/>
      <w:r w:rsidRPr="00975349">
        <w:t xml:space="preserve">: </w:t>
      </w:r>
      <w:r w:rsidR="00EA2D41" w:rsidRPr="00975349">
        <w:t xml:space="preserve">Assurance </w:t>
      </w:r>
      <w:r w:rsidR="002C67F5">
        <w:t>a</w:t>
      </w:r>
      <w:r w:rsidR="00EA2D41" w:rsidRPr="00975349">
        <w:t>ctivities model</w:t>
      </w:r>
    </w:p>
    <w:p w14:paraId="2E3A7BF5" w14:textId="3C4A97F4" w:rsidR="00CA3EFB" w:rsidRPr="00CA3EFB" w:rsidRDefault="004E5B9A" w:rsidP="003D7EB1">
      <w:pPr>
        <w:pStyle w:val="PwCNormal"/>
      </w:pPr>
      <w:r>
        <w:rPr>
          <w:noProof/>
          <w:snapToGrid/>
        </w:rPr>
        <w:drawing>
          <wp:inline distT="0" distB="0" distL="0" distR="0" wp14:anchorId="14B44495" wp14:editId="31F44BDF">
            <wp:extent cx="5457825" cy="3933825"/>
            <wp:effectExtent l="0" t="0" r="9525" b="9525"/>
            <wp:docPr id="526" name="Picture 526" descr="Figure 6 is a pyramid showing the Assurance activities model. The RIsk profiles are: &#10;Low: Risks with a lower consequence to achieving objectives.&#10;High and extreme: Risks that could stop the achievement of the HCP Program goals and objectives&#10;Medium: Risks which could threaten an element or require an adjustment to the overall HCP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descr="Figure 6 is a pyramid showing the Assurance activities model. The RIsk profiles are: &#10;Low: Risks with a lower consequence to achieving objectives.&#10;High and extreme: Risks that could stop the achievement of the HCP Program goals and objectives&#10;Medium: Risks which could threaten an element or require an adjustment to the overall HCP Program"/>
                    <pic:cNvPicPr/>
                  </pic:nvPicPr>
                  <pic:blipFill>
                    <a:blip r:embed="rId36"/>
                    <a:stretch>
                      <a:fillRect/>
                    </a:stretch>
                  </pic:blipFill>
                  <pic:spPr>
                    <a:xfrm>
                      <a:off x="0" y="0"/>
                      <a:ext cx="5457825" cy="3933825"/>
                    </a:xfrm>
                    <a:prstGeom prst="rect">
                      <a:avLst/>
                    </a:prstGeom>
                  </pic:spPr>
                </pic:pic>
              </a:graphicData>
            </a:graphic>
          </wp:inline>
        </w:drawing>
      </w:r>
    </w:p>
    <w:p w14:paraId="6F940946" w14:textId="7418F402" w:rsidR="00EA2D41" w:rsidRPr="00975349" w:rsidRDefault="00EA2D41" w:rsidP="009B3DC0">
      <w:pPr>
        <w:pStyle w:val="PwCNormal"/>
      </w:pPr>
      <w:r w:rsidRPr="00975349">
        <w:t xml:space="preserve">To address the </w:t>
      </w:r>
      <w:r w:rsidR="008E54F2">
        <w:t>a</w:t>
      </w:r>
      <w:r w:rsidRPr="00975349">
        <w:t xml:space="preserve">reas of </w:t>
      </w:r>
      <w:r w:rsidR="008E54F2">
        <w:t>f</w:t>
      </w:r>
      <w:r w:rsidRPr="00975349">
        <w:t xml:space="preserve">ocus identified in </w:t>
      </w:r>
      <w:r w:rsidR="00E03F33">
        <w:t>the</w:t>
      </w:r>
      <w:r w:rsidRPr="00975349">
        <w:t xml:space="preserve"> </w:t>
      </w:r>
      <w:r w:rsidR="008E54F2">
        <w:t>a</w:t>
      </w:r>
      <w:r w:rsidRPr="00975349">
        <w:t xml:space="preserve">ssurance </w:t>
      </w:r>
      <w:r w:rsidR="008E54F2">
        <w:t>p</w:t>
      </w:r>
      <w:r w:rsidRPr="00975349">
        <w:t>lan</w:t>
      </w:r>
      <w:r w:rsidR="005700E3">
        <w:t xml:space="preserve"> on a </w:t>
      </w:r>
      <w:r w:rsidR="008E54F2">
        <w:t>p</w:t>
      </w:r>
      <w:r w:rsidR="005700E3">
        <w:t>age</w:t>
      </w:r>
      <w:r w:rsidRPr="00975349">
        <w:t xml:space="preserve">, the </w:t>
      </w:r>
      <w:r w:rsidR="00863008">
        <w:t>department</w:t>
      </w:r>
      <w:r w:rsidRPr="00975349">
        <w:t xml:space="preserve"> will define the </w:t>
      </w:r>
      <w:r w:rsidR="008E54F2">
        <w:t>a</w:t>
      </w:r>
      <w:r w:rsidRPr="00975349">
        <w:t xml:space="preserve">ssurance </w:t>
      </w:r>
      <w:r w:rsidR="008E54F2">
        <w:t>a</w:t>
      </w:r>
      <w:r w:rsidRPr="00975349">
        <w:t xml:space="preserve">ctivities to be performed within the </w:t>
      </w:r>
      <w:r w:rsidR="008E54F2">
        <w:t>a</w:t>
      </w:r>
      <w:r w:rsidRPr="00975349">
        <w:t xml:space="preserve">ssurance </w:t>
      </w:r>
      <w:r w:rsidR="008E54F2">
        <w:t>s</w:t>
      </w:r>
      <w:r w:rsidRPr="00975349">
        <w:t xml:space="preserve">cope, as outlined in </w:t>
      </w:r>
      <w:hyperlink w:anchor="_Assurance_approach_and" w:history="1">
        <w:r w:rsidR="00274B9F" w:rsidRPr="00F24F51">
          <w:rPr>
            <w:rStyle w:val="Hyperlink"/>
          </w:rPr>
          <w:t>S</w:t>
        </w:r>
        <w:r w:rsidRPr="00F24F51">
          <w:rPr>
            <w:rStyle w:val="Hyperlink"/>
          </w:rPr>
          <w:t>ection 5.2</w:t>
        </w:r>
        <w:r w:rsidR="004D3E02" w:rsidRPr="00F24F51">
          <w:rPr>
            <w:rStyle w:val="Hyperlink"/>
          </w:rPr>
          <w:t>.</w:t>
        </w:r>
        <w:r w:rsidRPr="00F24F51">
          <w:rPr>
            <w:rStyle w:val="Hyperlink"/>
          </w:rPr>
          <w:t xml:space="preserve"> Approach to </w:t>
        </w:r>
        <w:r w:rsidR="00186B29" w:rsidRPr="00F24F51">
          <w:rPr>
            <w:rStyle w:val="Hyperlink"/>
          </w:rPr>
          <w:t>a</w:t>
        </w:r>
        <w:r w:rsidRPr="00F24F51">
          <w:rPr>
            <w:rStyle w:val="Hyperlink"/>
          </w:rPr>
          <w:t xml:space="preserve">ssurance </w:t>
        </w:r>
        <w:r w:rsidR="00186B29" w:rsidRPr="00F24F51">
          <w:rPr>
            <w:rStyle w:val="Hyperlink"/>
          </w:rPr>
          <w:t>a</w:t>
        </w:r>
        <w:r w:rsidRPr="00F24F51">
          <w:rPr>
            <w:rStyle w:val="Hyperlink"/>
          </w:rPr>
          <w:t>ctivities</w:t>
        </w:r>
      </w:hyperlink>
      <w:r w:rsidRPr="00975349">
        <w:rPr>
          <w:b/>
        </w:rPr>
        <w:t>.</w:t>
      </w:r>
      <w:r w:rsidRPr="00975349">
        <w:t xml:space="preserve"> These </w:t>
      </w:r>
      <w:r w:rsidR="00186B29">
        <w:t>a</w:t>
      </w:r>
      <w:r w:rsidRPr="00975349">
        <w:t xml:space="preserve">ssurance </w:t>
      </w:r>
      <w:r w:rsidR="00186B29">
        <w:t>a</w:t>
      </w:r>
      <w:r w:rsidRPr="00975349">
        <w:t>ctivities may include one, or a combination</w:t>
      </w:r>
      <w:r w:rsidR="00906846">
        <w:t>,</w:t>
      </w:r>
      <w:r w:rsidRPr="00975349">
        <w:t xml:space="preserve"> of the following:</w:t>
      </w:r>
    </w:p>
    <w:p w14:paraId="0B77BA0C" w14:textId="77EE89F4" w:rsidR="00EA2D41" w:rsidRPr="00975349" w:rsidRDefault="009B3DC0" w:rsidP="009B3DC0">
      <w:pPr>
        <w:pStyle w:val="Caption"/>
      </w:pPr>
      <w:r w:rsidRPr="00975349">
        <w:t xml:space="preserve">Table </w:t>
      </w:r>
      <w:fldSimple w:instr=" SEQ Table \* ARABIC ">
        <w:r w:rsidR="00F87264">
          <w:rPr>
            <w:noProof/>
          </w:rPr>
          <w:t>2</w:t>
        </w:r>
      </w:fldSimple>
      <w:r w:rsidRPr="00975349">
        <w:t xml:space="preserve">: </w:t>
      </w:r>
      <w:r w:rsidR="00EA2D41" w:rsidRPr="00975349">
        <w:t xml:space="preserve">Examples of </w:t>
      </w:r>
      <w:r w:rsidR="00186B29">
        <w:t>a</w:t>
      </w:r>
      <w:r w:rsidR="00EA2D41" w:rsidRPr="00975349">
        <w:t xml:space="preserve">ssurance </w:t>
      </w:r>
      <w:r w:rsidR="00186B29">
        <w:t>a</w:t>
      </w:r>
      <w:r w:rsidR="00EA2D41" w:rsidRPr="00975349">
        <w:t>ctivities</w:t>
      </w:r>
    </w:p>
    <w:tbl>
      <w:tblPr>
        <w:tblStyle w:val="Tables-APbase"/>
        <w:tblW w:w="5000" w:type="pct"/>
        <w:tblLook w:val="04A0" w:firstRow="1" w:lastRow="0" w:firstColumn="1" w:lastColumn="0" w:noHBand="0" w:noVBand="1"/>
      </w:tblPr>
      <w:tblGrid>
        <w:gridCol w:w="1917"/>
        <w:gridCol w:w="2617"/>
        <w:gridCol w:w="2731"/>
        <w:gridCol w:w="2600"/>
      </w:tblGrid>
      <w:tr w:rsidR="008835C7" w:rsidRPr="008835C7" w14:paraId="0A002264" w14:textId="77777777" w:rsidTr="008835C7">
        <w:trPr>
          <w:cnfStyle w:val="100000000000" w:firstRow="1" w:lastRow="0" w:firstColumn="0" w:lastColumn="0" w:oddVBand="0" w:evenVBand="0" w:oddHBand="0" w:evenHBand="0" w:firstRowFirstColumn="0" w:firstRowLastColumn="0" w:lastRowFirstColumn="0" w:lastRowLastColumn="0"/>
        </w:trPr>
        <w:tc>
          <w:tcPr>
            <w:tcW w:w="793" w:type="pct"/>
            <w:shd w:val="clear" w:color="auto" w:fill="00727E" w:themeFill="accent3"/>
            <w:vAlign w:val="bottom"/>
          </w:tcPr>
          <w:p w14:paraId="445890FD" w14:textId="77777777" w:rsidR="00EA2D41" w:rsidRPr="008835C7" w:rsidRDefault="00EA2D41" w:rsidP="00361BEF">
            <w:pPr>
              <w:pStyle w:val="TableTextNormal"/>
              <w:rPr>
                <w:color w:val="FFFFFF" w:themeColor="background1"/>
              </w:rPr>
            </w:pPr>
            <w:r w:rsidRPr="008835C7">
              <w:rPr>
                <w:color w:val="FFFFFF" w:themeColor="background1"/>
              </w:rPr>
              <w:t>Risk</w:t>
            </w:r>
          </w:p>
        </w:tc>
        <w:tc>
          <w:tcPr>
            <w:tcW w:w="1386" w:type="pct"/>
            <w:shd w:val="clear" w:color="auto" w:fill="00727E" w:themeFill="accent3"/>
            <w:vAlign w:val="bottom"/>
          </w:tcPr>
          <w:p w14:paraId="14BF0F55" w14:textId="549B2A2D" w:rsidR="00EA2D41" w:rsidRPr="008835C7" w:rsidRDefault="00EA2D41" w:rsidP="00361BEF">
            <w:pPr>
              <w:pStyle w:val="TableTextNormal"/>
              <w:rPr>
                <w:color w:val="FFFFFF" w:themeColor="background1"/>
              </w:rPr>
            </w:pPr>
            <w:r w:rsidRPr="008835C7">
              <w:rPr>
                <w:color w:val="FFFFFF" w:themeColor="background1"/>
              </w:rPr>
              <w:t xml:space="preserve">Description of </w:t>
            </w:r>
            <w:r w:rsidR="00186B29">
              <w:rPr>
                <w:color w:val="FFFFFF" w:themeColor="background1"/>
              </w:rPr>
              <w:t>a</w:t>
            </w:r>
            <w:r w:rsidRPr="008835C7">
              <w:rPr>
                <w:color w:val="FFFFFF" w:themeColor="background1"/>
              </w:rPr>
              <w:t xml:space="preserve">ssurance </w:t>
            </w:r>
            <w:r w:rsidR="00186B29">
              <w:rPr>
                <w:color w:val="FFFFFF" w:themeColor="background1"/>
              </w:rPr>
              <w:t>a</w:t>
            </w:r>
            <w:r w:rsidRPr="008835C7">
              <w:rPr>
                <w:color w:val="FFFFFF" w:themeColor="background1"/>
              </w:rPr>
              <w:t>ctivities which may be undertaken</w:t>
            </w:r>
          </w:p>
        </w:tc>
        <w:tc>
          <w:tcPr>
            <w:tcW w:w="1444" w:type="pct"/>
            <w:shd w:val="clear" w:color="auto" w:fill="00727E" w:themeFill="accent3"/>
            <w:vAlign w:val="bottom"/>
          </w:tcPr>
          <w:p w14:paraId="00BBE60E" w14:textId="2E24B7C1" w:rsidR="00EA2D41" w:rsidRPr="008835C7" w:rsidRDefault="00EA2D41" w:rsidP="00361BEF">
            <w:pPr>
              <w:pStyle w:val="TableTextNormal"/>
              <w:rPr>
                <w:color w:val="FFFFFF" w:themeColor="background1"/>
              </w:rPr>
            </w:pPr>
            <w:r w:rsidRPr="008835C7">
              <w:rPr>
                <w:color w:val="FFFFFF" w:themeColor="background1"/>
              </w:rPr>
              <w:t xml:space="preserve">Potential outcomes of the </w:t>
            </w:r>
            <w:r w:rsidR="00186B29">
              <w:rPr>
                <w:color w:val="FFFFFF" w:themeColor="background1"/>
              </w:rPr>
              <w:t>a</w:t>
            </w:r>
            <w:r w:rsidRPr="008835C7">
              <w:rPr>
                <w:color w:val="FFFFFF" w:themeColor="background1"/>
              </w:rPr>
              <w:t xml:space="preserve">ssurance </w:t>
            </w:r>
            <w:r w:rsidR="00186B29">
              <w:rPr>
                <w:color w:val="FFFFFF" w:themeColor="background1"/>
              </w:rPr>
              <w:t>a</w:t>
            </w:r>
            <w:r w:rsidRPr="008835C7">
              <w:rPr>
                <w:color w:val="FFFFFF" w:themeColor="background1"/>
              </w:rPr>
              <w:t>ctivity</w:t>
            </w:r>
          </w:p>
        </w:tc>
        <w:tc>
          <w:tcPr>
            <w:tcW w:w="1377" w:type="pct"/>
            <w:shd w:val="clear" w:color="auto" w:fill="00727E" w:themeFill="accent3"/>
            <w:vAlign w:val="bottom"/>
          </w:tcPr>
          <w:p w14:paraId="43756713" w14:textId="09431C92" w:rsidR="00EA2D41" w:rsidRPr="008835C7" w:rsidRDefault="00EA2D41" w:rsidP="00361BEF">
            <w:pPr>
              <w:pStyle w:val="TableTextNormal"/>
              <w:rPr>
                <w:color w:val="FFFFFF" w:themeColor="background1"/>
              </w:rPr>
            </w:pPr>
            <w:r w:rsidRPr="008835C7">
              <w:rPr>
                <w:color w:val="FFFFFF" w:themeColor="background1"/>
              </w:rPr>
              <w:t xml:space="preserve">What can </w:t>
            </w:r>
            <w:r w:rsidR="00186B29">
              <w:rPr>
                <w:color w:val="FFFFFF" w:themeColor="background1"/>
              </w:rPr>
              <w:t>p</w:t>
            </w:r>
            <w:r w:rsidRPr="008835C7">
              <w:rPr>
                <w:color w:val="FFFFFF" w:themeColor="background1"/>
              </w:rPr>
              <w:t>roviders expect?</w:t>
            </w:r>
          </w:p>
        </w:tc>
      </w:tr>
      <w:tr w:rsidR="00EA2D41" w:rsidRPr="00975349" w14:paraId="12AF1C7E" w14:textId="77777777" w:rsidTr="00361BEF">
        <w:tc>
          <w:tcPr>
            <w:tcW w:w="793" w:type="pct"/>
            <w:shd w:val="clear" w:color="auto" w:fill="175C2C"/>
          </w:tcPr>
          <w:p w14:paraId="3F94F628" w14:textId="168091B8" w:rsidR="00EA2D41" w:rsidRPr="00975349" w:rsidRDefault="00EA2D41" w:rsidP="004E5B9A">
            <w:pPr>
              <w:pStyle w:val="TableTextNormal"/>
            </w:pPr>
            <w:r w:rsidRPr="00975349">
              <w:rPr>
                <w:color w:val="FFFFFF" w:themeColor="background1"/>
              </w:rPr>
              <w:t>Low</w:t>
            </w:r>
            <w:r w:rsidR="004E5B9A">
              <w:rPr>
                <w:color w:val="FFFFFF" w:themeColor="background1"/>
              </w:rPr>
              <w:t xml:space="preserve"> </w:t>
            </w:r>
            <w:r w:rsidRPr="00975349">
              <w:rPr>
                <w:color w:val="FFFFFF" w:themeColor="background1"/>
              </w:rPr>
              <w:t>(</w:t>
            </w:r>
            <w:r w:rsidR="00B7662E">
              <w:rPr>
                <w:color w:val="FFFFFF" w:themeColor="background1"/>
              </w:rPr>
              <w:t>l</w:t>
            </w:r>
            <w:r w:rsidR="00B7662E" w:rsidRPr="00975349">
              <w:rPr>
                <w:color w:val="FFFFFF" w:themeColor="background1"/>
              </w:rPr>
              <w:t>ight</w:t>
            </w:r>
            <w:r w:rsidRPr="00975349">
              <w:rPr>
                <w:color w:val="FFFFFF" w:themeColor="background1"/>
              </w:rPr>
              <w:t>-touch assurance)</w:t>
            </w:r>
          </w:p>
        </w:tc>
        <w:tc>
          <w:tcPr>
            <w:tcW w:w="1386" w:type="pct"/>
          </w:tcPr>
          <w:p w14:paraId="50B420B7" w14:textId="6EC60404" w:rsidR="00EA2D41" w:rsidRPr="00975349" w:rsidRDefault="00EA2D41" w:rsidP="009B3DC0">
            <w:pPr>
              <w:pStyle w:val="TableTextNormal"/>
            </w:pPr>
            <w:r w:rsidRPr="00975349">
              <w:t>Focused data analytics may be used, for example, to:</w:t>
            </w:r>
          </w:p>
          <w:p w14:paraId="2957F18F" w14:textId="4CD78734" w:rsidR="00EA2D41" w:rsidRPr="00975349" w:rsidRDefault="00EA2D41" w:rsidP="0092764F">
            <w:pPr>
              <w:pStyle w:val="TableBullet1Normal"/>
            </w:pPr>
            <w:r w:rsidRPr="00975349">
              <w:t>understand trends</w:t>
            </w:r>
          </w:p>
          <w:p w14:paraId="2DDAD610" w14:textId="036ABA13" w:rsidR="00EA2D41" w:rsidRPr="00975349" w:rsidRDefault="00EA2D41" w:rsidP="0092764F">
            <w:pPr>
              <w:pStyle w:val="TableBullet1Normal"/>
            </w:pPr>
            <w:r w:rsidRPr="00975349">
              <w:t>identify anomalies and outliers</w:t>
            </w:r>
          </w:p>
          <w:p w14:paraId="3F52F8DB" w14:textId="22D0FE3D" w:rsidR="00EA2D41" w:rsidRPr="00975349" w:rsidRDefault="00EA2D41" w:rsidP="0092764F">
            <w:pPr>
              <w:pStyle w:val="TableBullet1Normal"/>
            </w:pPr>
            <w:r w:rsidRPr="00975349">
              <w:t xml:space="preserve">interrogate the integrity of reporting by </w:t>
            </w:r>
            <w:r w:rsidR="00186B29">
              <w:t>p</w:t>
            </w:r>
            <w:r w:rsidRPr="00975349">
              <w:t>roviders</w:t>
            </w:r>
            <w:r w:rsidR="000323D9">
              <w:t>.</w:t>
            </w:r>
          </w:p>
        </w:tc>
        <w:tc>
          <w:tcPr>
            <w:tcW w:w="1444" w:type="pct"/>
          </w:tcPr>
          <w:p w14:paraId="6D21C99D" w14:textId="488B24C5" w:rsidR="00EA2D41" w:rsidRPr="00975349" w:rsidRDefault="00EA2D41" w:rsidP="0092764F">
            <w:pPr>
              <w:pStyle w:val="TableBullet1Normal"/>
            </w:pPr>
            <w:r w:rsidRPr="00975349">
              <w:t xml:space="preserve">Letters outlining findings and suggested actions for self-correction by </w:t>
            </w:r>
            <w:r w:rsidR="008E6744">
              <w:t>p</w:t>
            </w:r>
            <w:r w:rsidRPr="00975349">
              <w:t>roviders</w:t>
            </w:r>
          </w:p>
          <w:p w14:paraId="444086FE" w14:textId="04C19FDF" w:rsidR="00EA2D41" w:rsidRPr="00975349" w:rsidRDefault="00EA2D41" w:rsidP="0092764F">
            <w:pPr>
              <w:pStyle w:val="TableBullet1Normal"/>
            </w:pPr>
            <w:r w:rsidRPr="00975349">
              <w:t xml:space="preserve">Targeted </w:t>
            </w:r>
            <w:r w:rsidR="008E6744">
              <w:t>p</w:t>
            </w:r>
            <w:r w:rsidRPr="00975349">
              <w:t>rovider education sessions</w:t>
            </w:r>
          </w:p>
          <w:p w14:paraId="7A879AF5" w14:textId="3D94FCDF" w:rsidR="00EA2D41" w:rsidRPr="00975349" w:rsidRDefault="00EA2D41" w:rsidP="0092764F">
            <w:pPr>
              <w:pStyle w:val="TableBullet1Normal"/>
            </w:pPr>
            <w:r w:rsidRPr="00975349">
              <w:t xml:space="preserve">Engagement of </w:t>
            </w:r>
            <w:r w:rsidR="001A05EB">
              <w:t>p</w:t>
            </w:r>
            <w:r w:rsidRPr="00975349">
              <w:t xml:space="preserve">rovider through the </w:t>
            </w:r>
            <w:r w:rsidR="001A05EB">
              <w:t>c</w:t>
            </w:r>
            <w:r w:rsidRPr="00975349">
              <w:t xml:space="preserve">ommunity of </w:t>
            </w:r>
            <w:r w:rsidR="001A05EB">
              <w:t>p</w:t>
            </w:r>
            <w:r w:rsidRPr="00975349">
              <w:t>ractice</w:t>
            </w:r>
          </w:p>
        </w:tc>
        <w:tc>
          <w:tcPr>
            <w:tcW w:w="1377" w:type="pct"/>
          </w:tcPr>
          <w:p w14:paraId="3F509D4B" w14:textId="1AD7A183" w:rsidR="00EA2D41" w:rsidRPr="00975349" w:rsidRDefault="00EA2D41" w:rsidP="0092764F">
            <w:pPr>
              <w:pStyle w:val="TableTextNormal"/>
            </w:pPr>
            <w:r w:rsidRPr="00975349">
              <w:t xml:space="preserve">As a prevention-focused approach, a </w:t>
            </w:r>
            <w:r w:rsidR="00695AA4">
              <w:t>p</w:t>
            </w:r>
            <w:r w:rsidRPr="00975349">
              <w:t>rovider may receive a letter outlining they have been identified as an outlier in data with suggested actions or may be invited to education sessions to support capability uplift</w:t>
            </w:r>
            <w:r w:rsidR="000323D9">
              <w:t>.</w:t>
            </w:r>
          </w:p>
        </w:tc>
      </w:tr>
      <w:tr w:rsidR="00EA2D41" w:rsidRPr="00975349" w14:paraId="2F5E8570" w14:textId="77777777" w:rsidTr="003D7BCB">
        <w:tc>
          <w:tcPr>
            <w:tcW w:w="793" w:type="pct"/>
            <w:shd w:val="clear" w:color="auto" w:fill="FFB600"/>
          </w:tcPr>
          <w:p w14:paraId="607D024C" w14:textId="690E8424" w:rsidR="00EA2D41" w:rsidRPr="00975349" w:rsidRDefault="00EA2D41" w:rsidP="004E5B9A">
            <w:pPr>
              <w:pStyle w:val="TableTextNormal"/>
            </w:pPr>
            <w:r w:rsidRPr="00975349">
              <w:t>Medium(</w:t>
            </w:r>
            <w:r w:rsidR="00FF1C97">
              <w:t>a</w:t>
            </w:r>
            <w:r w:rsidR="00FF1C97" w:rsidRPr="00975349">
              <w:t xml:space="preserve">ssurance </w:t>
            </w:r>
            <w:r w:rsidR="00C84C73">
              <w:t>r</w:t>
            </w:r>
            <w:r w:rsidRPr="00975349">
              <w:t>eviews)</w:t>
            </w:r>
          </w:p>
        </w:tc>
        <w:tc>
          <w:tcPr>
            <w:tcW w:w="1386" w:type="pct"/>
          </w:tcPr>
          <w:p w14:paraId="36CDF8F3" w14:textId="5300A549" w:rsidR="00EA2D41" w:rsidRPr="00975349" w:rsidRDefault="00EA2D41" w:rsidP="009B3DC0">
            <w:pPr>
              <w:pStyle w:val="TableTextNormal"/>
            </w:pPr>
            <w:r w:rsidRPr="00975349">
              <w:t xml:space="preserve">Assurance </w:t>
            </w:r>
            <w:r w:rsidR="00C84C73">
              <w:t>r</w:t>
            </w:r>
            <w:r w:rsidRPr="00975349">
              <w:t>eviews</w:t>
            </w:r>
            <w:r w:rsidRPr="00975349">
              <w:rPr>
                <w:rStyle w:val="FootnoteReference"/>
              </w:rPr>
              <w:footnoteReference w:id="12"/>
            </w:r>
            <w:r w:rsidRPr="00975349">
              <w:t xml:space="preserve"> will be undertaken, with a </w:t>
            </w:r>
            <w:r w:rsidR="00695AA4">
              <w:t>s</w:t>
            </w:r>
            <w:r w:rsidRPr="00975349">
              <w:t xml:space="preserve">cope defined to address the </w:t>
            </w:r>
            <w:r w:rsidR="00695AA4">
              <w:t>a</w:t>
            </w:r>
            <w:r w:rsidRPr="00975349">
              <w:t xml:space="preserve">reas of </w:t>
            </w:r>
            <w:r w:rsidR="00695AA4">
              <w:t>f</w:t>
            </w:r>
            <w:r w:rsidRPr="00975349">
              <w:t xml:space="preserve">ocus. This may involve the collection and review of information </w:t>
            </w:r>
            <w:r w:rsidRPr="00975349">
              <w:lastRenderedPageBreak/>
              <w:t xml:space="preserve">and documentation, as well as the conduct of interviews. </w:t>
            </w:r>
          </w:p>
        </w:tc>
        <w:tc>
          <w:tcPr>
            <w:tcW w:w="1444" w:type="pct"/>
          </w:tcPr>
          <w:p w14:paraId="16D445DE" w14:textId="135E4532" w:rsidR="00EA2D41" w:rsidRPr="00975349" w:rsidRDefault="00EA2D41" w:rsidP="0092764F">
            <w:pPr>
              <w:pStyle w:val="TableBullet1Normal"/>
            </w:pPr>
            <w:r w:rsidRPr="00975349">
              <w:lastRenderedPageBreak/>
              <w:t xml:space="preserve">A </w:t>
            </w:r>
            <w:r w:rsidR="00695AA4">
              <w:t>p</w:t>
            </w:r>
            <w:r w:rsidRPr="00975349">
              <w:t xml:space="preserve">rovider </w:t>
            </w:r>
            <w:r w:rsidR="00BE2C88">
              <w:t>may</w:t>
            </w:r>
            <w:r w:rsidRPr="00975349">
              <w:t xml:space="preserve"> receive a report which specifies the findings from the </w:t>
            </w:r>
            <w:r w:rsidR="00396A20">
              <w:t>a</w:t>
            </w:r>
            <w:r w:rsidRPr="00975349">
              <w:t xml:space="preserve">ssurance </w:t>
            </w:r>
            <w:r w:rsidR="00396A20">
              <w:t>a</w:t>
            </w:r>
            <w:r w:rsidRPr="00975349">
              <w:t xml:space="preserve">ctivity relevant to them and might recommend areas </w:t>
            </w:r>
            <w:r w:rsidRPr="00975349">
              <w:lastRenderedPageBreak/>
              <w:t xml:space="preserve">for improvement. Observations from this report will be published by the </w:t>
            </w:r>
            <w:r w:rsidR="00863008">
              <w:t>department</w:t>
            </w:r>
            <w:r w:rsidRPr="00975349">
              <w:t xml:space="preserve"> in an over-arching </w:t>
            </w:r>
            <w:r w:rsidR="00E96C29">
              <w:t>r</w:t>
            </w:r>
            <w:r w:rsidRPr="00975349">
              <w:t xml:space="preserve">eview </w:t>
            </w:r>
            <w:r w:rsidR="0053254C">
              <w:t>s</w:t>
            </w:r>
            <w:r w:rsidRPr="00975349">
              <w:t xml:space="preserve">ummary </w:t>
            </w:r>
            <w:r w:rsidR="0053254C">
              <w:t>r</w:t>
            </w:r>
            <w:r w:rsidRPr="00975349">
              <w:t>eport.</w:t>
            </w:r>
          </w:p>
          <w:p w14:paraId="688902FA" w14:textId="3D2BB76B" w:rsidR="00EA2D41" w:rsidRPr="00975349" w:rsidRDefault="00EA2D41" w:rsidP="0092764F">
            <w:pPr>
              <w:pStyle w:val="TableBullet1Normal"/>
            </w:pPr>
            <w:r w:rsidRPr="00975349">
              <w:t xml:space="preserve">Targeted </w:t>
            </w:r>
            <w:r w:rsidR="0053254C">
              <w:t>p</w:t>
            </w:r>
            <w:r w:rsidRPr="00975349">
              <w:t>rovider education sessions</w:t>
            </w:r>
          </w:p>
          <w:p w14:paraId="6B442CE6" w14:textId="15479605" w:rsidR="00EA2D41" w:rsidRPr="00975349" w:rsidRDefault="00EA2D41" w:rsidP="0092764F">
            <w:pPr>
              <w:pStyle w:val="TableBullet1Normal"/>
            </w:pPr>
            <w:r w:rsidRPr="00975349">
              <w:t xml:space="preserve">Engagement of </w:t>
            </w:r>
            <w:r w:rsidR="0053254C">
              <w:t>p</w:t>
            </w:r>
            <w:r w:rsidRPr="00975349">
              <w:t xml:space="preserve">roviders through the </w:t>
            </w:r>
            <w:r w:rsidR="0053254C">
              <w:t>c</w:t>
            </w:r>
            <w:r w:rsidRPr="00975349">
              <w:t xml:space="preserve">ommunity of </w:t>
            </w:r>
            <w:r w:rsidR="0053254C">
              <w:t>p</w:t>
            </w:r>
            <w:r w:rsidRPr="00975349">
              <w:t>ractice</w:t>
            </w:r>
          </w:p>
          <w:p w14:paraId="317B6BF7" w14:textId="3417073D" w:rsidR="00EA2D41" w:rsidRPr="00975349" w:rsidRDefault="00EA2D41" w:rsidP="0092764F">
            <w:pPr>
              <w:pStyle w:val="TableBullet1Normal"/>
            </w:pPr>
            <w:r w:rsidRPr="00975349">
              <w:t>Changes to HCP Program policy, guidance, practices and processes</w:t>
            </w:r>
          </w:p>
        </w:tc>
        <w:tc>
          <w:tcPr>
            <w:tcW w:w="1377" w:type="pct"/>
          </w:tcPr>
          <w:p w14:paraId="66E9B8AC" w14:textId="353CBC7F" w:rsidR="00EA2D41" w:rsidRPr="00975349" w:rsidRDefault="00EA2D41" w:rsidP="009B3DC0">
            <w:pPr>
              <w:pStyle w:val="TableTextNormal"/>
            </w:pPr>
            <w:r w:rsidRPr="00975349">
              <w:lastRenderedPageBreak/>
              <w:t xml:space="preserve">To receive a notice from the </w:t>
            </w:r>
            <w:r w:rsidR="00863008">
              <w:t>department</w:t>
            </w:r>
            <w:r w:rsidRPr="00975349">
              <w:t xml:space="preserve"> informing relevant </w:t>
            </w:r>
            <w:r w:rsidR="002448C6">
              <w:t>p</w:t>
            </w:r>
            <w:r w:rsidRPr="00975349">
              <w:t xml:space="preserve">roviders of their selection to be a part of the </w:t>
            </w:r>
            <w:r w:rsidR="008C1B25">
              <w:t>a</w:t>
            </w:r>
            <w:r w:rsidRPr="00975349">
              <w:t xml:space="preserve">ssurance </w:t>
            </w:r>
            <w:r w:rsidR="008C1B25">
              <w:t>r</w:t>
            </w:r>
            <w:r w:rsidRPr="00975349">
              <w:t xml:space="preserve">eview. Further, the notice will </w:t>
            </w:r>
            <w:r w:rsidRPr="00975349">
              <w:lastRenderedPageBreak/>
              <w:t xml:space="preserve">outline the requirements to submit information or documents relevant to the </w:t>
            </w:r>
            <w:r w:rsidR="00E96C29">
              <w:t>a</w:t>
            </w:r>
            <w:r w:rsidRPr="00975349">
              <w:t xml:space="preserve">ssurance </w:t>
            </w:r>
            <w:r w:rsidR="00E96C29">
              <w:t>r</w:t>
            </w:r>
            <w:r w:rsidRPr="00975349">
              <w:t xml:space="preserve">eview. By notice, the </w:t>
            </w:r>
            <w:r w:rsidR="00863008">
              <w:t>department</w:t>
            </w:r>
            <w:r w:rsidRPr="00975349">
              <w:t xml:space="preserve"> may also require the </w:t>
            </w:r>
            <w:r w:rsidR="002448C6">
              <w:t>p</w:t>
            </w:r>
            <w:r w:rsidRPr="00975349">
              <w:t xml:space="preserve">rovider to make available appropriate staff to answer questions from the </w:t>
            </w:r>
            <w:r w:rsidR="00863008">
              <w:t>department</w:t>
            </w:r>
            <w:r w:rsidRPr="00975349">
              <w:t xml:space="preserve">. </w:t>
            </w:r>
          </w:p>
        </w:tc>
      </w:tr>
      <w:tr w:rsidR="00EA2D41" w:rsidRPr="00975349" w14:paraId="5AEE7F08" w14:textId="77777777" w:rsidTr="003D7BCB">
        <w:tc>
          <w:tcPr>
            <w:tcW w:w="793" w:type="pct"/>
            <w:shd w:val="clear" w:color="auto" w:fill="E0301E"/>
          </w:tcPr>
          <w:p w14:paraId="629A40B4" w14:textId="76979180" w:rsidR="00EA2D41" w:rsidRPr="00975349" w:rsidRDefault="00EA2D41" w:rsidP="004E5B9A">
            <w:pPr>
              <w:pStyle w:val="TableTextNormal"/>
            </w:pPr>
            <w:r w:rsidRPr="00975349">
              <w:rPr>
                <w:color w:val="FFFFFF" w:themeColor="background1"/>
              </w:rPr>
              <w:lastRenderedPageBreak/>
              <w:t>High and extreme</w:t>
            </w:r>
            <w:r w:rsidR="004E5B9A">
              <w:rPr>
                <w:color w:val="FFFFFF" w:themeColor="background1"/>
              </w:rPr>
              <w:t xml:space="preserve"> </w:t>
            </w:r>
            <w:r w:rsidRPr="00975349">
              <w:rPr>
                <w:color w:val="FFFFFF" w:themeColor="background1"/>
              </w:rPr>
              <w:t>(</w:t>
            </w:r>
            <w:r w:rsidR="00B7662E">
              <w:rPr>
                <w:color w:val="FFFFFF" w:themeColor="background1"/>
              </w:rPr>
              <w:t>t</w:t>
            </w:r>
            <w:r w:rsidR="00B7662E" w:rsidRPr="00975349">
              <w:rPr>
                <w:color w:val="FFFFFF" w:themeColor="background1"/>
              </w:rPr>
              <w:t xml:space="preserve">argeted </w:t>
            </w:r>
            <w:r w:rsidR="001C3324">
              <w:rPr>
                <w:color w:val="FFFFFF" w:themeColor="background1"/>
              </w:rPr>
              <w:t>a</w:t>
            </w:r>
            <w:r w:rsidRPr="00975349">
              <w:rPr>
                <w:color w:val="FFFFFF" w:themeColor="background1"/>
              </w:rPr>
              <w:t xml:space="preserve">ssurance </w:t>
            </w:r>
            <w:r w:rsidR="001C3324">
              <w:rPr>
                <w:color w:val="FFFFFF" w:themeColor="background1"/>
              </w:rPr>
              <w:t>r</w:t>
            </w:r>
            <w:r w:rsidRPr="00975349">
              <w:rPr>
                <w:color w:val="FFFFFF" w:themeColor="background1"/>
              </w:rPr>
              <w:t>eviews)</w:t>
            </w:r>
          </w:p>
        </w:tc>
        <w:tc>
          <w:tcPr>
            <w:tcW w:w="1386" w:type="pct"/>
          </w:tcPr>
          <w:p w14:paraId="52B12908" w14:textId="3BC0585C" w:rsidR="00EA2D41" w:rsidRPr="00975349" w:rsidRDefault="00EA2D41" w:rsidP="009B3DC0">
            <w:pPr>
              <w:pStyle w:val="TableTextNormal"/>
            </w:pPr>
            <w:r w:rsidRPr="00975349">
              <w:t xml:space="preserve">Targeted </w:t>
            </w:r>
            <w:r w:rsidR="001C3324">
              <w:t>a</w:t>
            </w:r>
            <w:r w:rsidRPr="00975349">
              <w:t xml:space="preserve">ssurance </w:t>
            </w:r>
            <w:r w:rsidR="001C3324">
              <w:t>r</w:t>
            </w:r>
            <w:r w:rsidRPr="00975349">
              <w:t xml:space="preserve">eviews will be undertaken with a </w:t>
            </w:r>
            <w:r w:rsidR="00D1153E">
              <w:t>s</w:t>
            </w:r>
            <w:r w:rsidRPr="00975349">
              <w:t xml:space="preserve">cope defined to address high priority </w:t>
            </w:r>
            <w:r w:rsidR="00D1153E">
              <w:t>a</w:t>
            </w:r>
            <w:r w:rsidRPr="00975349">
              <w:t xml:space="preserve">reas of </w:t>
            </w:r>
            <w:r w:rsidR="00D1153E">
              <w:t>f</w:t>
            </w:r>
            <w:r w:rsidRPr="00975349">
              <w:t xml:space="preserve">ocus identified in the HCP Program. They may also result from an </w:t>
            </w:r>
            <w:r w:rsidR="00C86852">
              <w:t>a</w:t>
            </w:r>
            <w:r w:rsidRPr="00975349">
              <w:t xml:space="preserve">ssurance </w:t>
            </w:r>
            <w:r w:rsidR="00C86852">
              <w:t>r</w:t>
            </w:r>
            <w:r w:rsidRPr="00975349">
              <w:t xml:space="preserve">eview where risks are evident that require further and focused </w:t>
            </w:r>
            <w:r w:rsidR="00C86852">
              <w:t>r</w:t>
            </w:r>
            <w:r w:rsidRPr="00975349">
              <w:t>eview. This may involve the collection and review of information and documentation, as well as the conduct of interviews.</w:t>
            </w:r>
          </w:p>
          <w:p w14:paraId="581E9361" w14:textId="6235F292" w:rsidR="00EA2D41" w:rsidRPr="00975349" w:rsidRDefault="00EA2D41" w:rsidP="009B3DC0">
            <w:pPr>
              <w:pStyle w:val="TableTextNormal"/>
            </w:pPr>
            <w:r w:rsidRPr="00975349">
              <w:t xml:space="preserve">Given its nature, a </w:t>
            </w:r>
            <w:r w:rsidR="00C86852">
              <w:t>t</w:t>
            </w:r>
            <w:r w:rsidRPr="00975349">
              <w:t xml:space="preserve">argeted </w:t>
            </w:r>
            <w:r w:rsidR="00C86852">
              <w:t>a</w:t>
            </w:r>
            <w:r w:rsidRPr="00975349">
              <w:t xml:space="preserve">ssurance </w:t>
            </w:r>
            <w:r w:rsidR="00C86852">
              <w:t>r</w:t>
            </w:r>
            <w:r w:rsidRPr="00975349">
              <w:t xml:space="preserve">eview will generally be deeper and more targeted than an </w:t>
            </w:r>
            <w:r w:rsidR="00C86852">
              <w:t>a</w:t>
            </w:r>
            <w:r w:rsidRPr="00975349">
              <w:t>ssurance</w:t>
            </w:r>
            <w:r w:rsidR="00361BEF" w:rsidRPr="00975349">
              <w:t> </w:t>
            </w:r>
            <w:r w:rsidR="00C86852">
              <w:t>r</w:t>
            </w:r>
            <w:r w:rsidRPr="00975349">
              <w:t>eview.</w:t>
            </w:r>
          </w:p>
          <w:p w14:paraId="77568F3E" w14:textId="1E3348FB" w:rsidR="00EA2D41" w:rsidRPr="00975349" w:rsidRDefault="00EA2D41" w:rsidP="009B3DC0">
            <w:pPr>
              <w:pStyle w:val="TableTextNormal"/>
            </w:pPr>
            <w:r w:rsidRPr="00975349">
              <w:t xml:space="preserve">Fraud (or misuse of funds) management activities will also be undertaken where an indicator of potential fraud is identified through </w:t>
            </w:r>
            <w:r w:rsidR="00C86852">
              <w:t>a</w:t>
            </w:r>
            <w:r w:rsidRPr="00975349">
              <w:t xml:space="preserve">ssurance </w:t>
            </w:r>
            <w:r w:rsidR="00C86852">
              <w:t>a</w:t>
            </w:r>
            <w:r w:rsidRPr="00975349">
              <w:t xml:space="preserve">ctivities. </w:t>
            </w:r>
          </w:p>
        </w:tc>
        <w:tc>
          <w:tcPr>
            <w:tcW w:w="1444" w:type="pct"/>
          </w:tcPr>
          <w:p w14:paraId="4EC22466" w14:textId="17DC8AA0" w:rsidR="00EA2D41" w:rsidRPr="00975349" w:rsidRDefault="00EA2D41" w:rsidP="009B3DC0">
            <w:pPr>
              <w:pStyle w:val="TableTextNormal"/>
            </w:pPr>
            <w:r w:rsidRPr="00975349">
              <w:t xml:space="preserve">In addition to those outcomes for </w:t>
            </w:r>
            <w:r w:rsidR="003D0A59">
              <w:t>m</w:t>
            </w:r>
            <w:r w:rsidRPr="00975349">
              <w:t xml:space="preserve">edium </w:t>
            </w:r>
            <w:r w:rsidR="003D0A59">
              <w:t>r</w:t>
            </w:r>
            <w:r w:rsidRPr="00975349">
              <w:t xml:space="preserve">isk </w:t>
            </w:r>
            <w:r w:rsidR="003D0A59">
              <w:t>a</w:t>
            </w:r>
            <w:r w:rsidRPr="00975349">
              <w:t xml:space="preserve">ssurance </w:t>
            </w:r>
            <w:r w:rsidR="003D0A59">
              <w:t>a</w:t>
            </w:r>
            <w:r w:rsidRPr="00975349">
              <w:t xml:space="preserve">ctivities, the outcomes and actions of matters relating to fraud will be undertaken in alignment with the </w:t>
            </w:r>
            <w:r w:rsidR="00863008">
              <w:t>department</w:t>
            </w:r>
            <w:r w:rsidRPr="00975349">
              <w:t xml:space="preserve">’s </w:t>
            </w:r>
            <w:r w:rsidRPr="00622EF0">
              <w:t xml:space="preserve">Fraud and Corruption Control Plan </w:t>
            </w:r>
            <w:r w:rsidR="62582DF9" w:rsidRPr="00622EF0">
              <w:t>2023-25</w:t>
            </w:r>
            <w:r w:rsidRPr="00622EF0">
              <w:t xml:space="preserve"> and the HCP Program Fraud Control Management Plan</w:t>
            </w:r>
            <w:r w:rsidRPr="00975349">
              <w:t>.</w:t>
            </w:r>
          </w:p>
        </w:tc>
        <w:tc>
          <w:tcPr>
            <w:tcW w:w="1377" w:type="pct"/>
          </w:tcPr>
          <w:p w14:paraId="4C044597" w14:textId="42D9F250" w:rsidR="00EA2D41" w:rsidRPr="00975349" w:rsidRDefault="00EA2D41" w:rsidP="00361BEF">
            <w:pPr>
              <w:pStyle w:val="TableTextNormal"/>
            </w:pPr>
            <w:r w:rsidRPr="00975349">
              <w:t xml:space="preserve">To receive a notice from the </w:t>
            </w:r>
            <w:r w:rsidR="00863008">
              <w:t>department</w:t>
            </w:r>
            <w:r w:rsidRPr="00975349">
              <w:t xml:space="preserve"> informing </w:t>
            </w:r>
            <w:r w:rsidR="00D1153E">
              <w:t>p</w:t>
            </w:r>
            <w:r w:rsidRPr="00975349">
              <w:t xml:space="preserve">roviders of their selection to be a part of the </w:t>
            </w:r>
            <w:r w:rsidR="00C86852">
              <w:t>t</w:t>
            </w:r>
            <w:r w:rsidRPr="00975349">
              <w:t xml:space="preserve">argeted </w:t>
            </w:r>
            <w:r w:rsidR="00C86852">
              <w:t>a</w:t>
            </w:r>
            <w:r w:rsidRPr="00975349">
              <w:t xml:space="preserve">ssurance </w:t>
            </w:r>
            <w:r w:rsidR="00C86852">
              <w:t>r</w:t>
            </w:r>
            <w:r w:rsidRPr="00975349">
              <w:t xml:space="preserve">eview. Further, the notice will outline the requirements to submit information or documents relevant to </w:t>
            </w:r>
            <w:r w:rsidR="000D522E">
              <w:t xml:space="preserve">the </w:t>
            </w:r>
            <w:r w:rsidR="00C86852">
              <w:t>a</w:t>
            </w:r>
            <w:r w:rsidRPr="00975349">
              <w:t xml:space="preserve">ssurance </w:t>
            </w:r>
            <w:r w:rsidR="00C86852">
              <w:t>r</w:t>
            </w:r>
            <w:r w:rsidRPr="00975349">
              <w:t xml:space="preserve">eview. By notice, the </w:t>
            </w:r>
            <w:r w:rsidR="00863008">
              <w:t>department</w:t>
            </w:r>
            <w:r w:rsidRPr="00975349">
              <w:t xml:space="preserve"> may also require the </w:t>
            </w:r>
            <w:r w:rsidR="00CD281F">
              <w:t>p</w:t>
            </w:r>
            <w:r w:rsidRPr="00975349">
              <w:t xml:space="preserve">rovider to make available appropriate staff to answer questions from the </w:t>
            </w:r>
            <w:r w:rsidR="00863008">
              <w:t>department</w:t>
            </w:r>
            <w:r w:rsidRPr="00975349">
              <w:t>.</w:t>
            </w:r>
            <w:r w:rsidR="00D94565" w:rsidRPr="00975349">
              <w:t xml:space="preserve"> </w:t>
            </w:r>
          </w:p>
        </w:tc>
      </w:tr>
    </w:tbl>
    <w:p w14:paraId="3F94BE1C" w14:textId="2F220842" w:rsidR="00EA2D41" w:rsidRPr="00975349" w:rsidRDefault="00EA2D41" w:rsidP="00361BEF">
      <w:pPr>
        <w:pStyle w:val="PwCNormal"/>
      </w:pPr>
      <w:r w:rsidRPr="00975349">
        <w:t xml:space="preserve">Documents and information gathered for the purpose of </w:t>
      </w:r>
      <w:r w:rsidR="0074597D">
        <w:t>a</w:t>
      </w:r>
      <w:r w:rsidRPr="00975349">
        <w:t xml:space="preserve">ssurance </w:t>
      </w:r>
      <w:r w:rsidR="0074597D">
        <w:t>a</w:t>
      </w:r>
      <w:r w:rsidRPr="00975349">
        <w:t xml:space="preserve">ctivities will be managed in accordance with the </w:t>
      </w:r>
      <w:r w:rsidRPr="00CA1DDF">
        <w:rPr>
          <w:bCs/>
        </w:rPr>
        <w:t>amended</w:t>
      </w:r>
      <w:r w:rsidRPr="00975349">
        <w:rPr>
          <w:b/>
          <w:i/>
          <w:iCs/>
        </w:rPr>
        <w:t xml:space="preserve"> </w:t>
      </w:r>
      <w:r w:rsidRPr="00A85FDA">
        <w:rPr>
          <w:iCs/>
        </w:rPr>
        <w:t>Aged Care Act</w:t>
      </w:r>
      <w:r w:rsidRPr="006D5119">
        <w:rPr>
          <w:i/>
        </w:rPr>
        <w:t xml:space="preserve"> </w:t>
      </w:r>
      <w:r w:rsidRPr="00975349">
        <w:t xml:space="preserve">and supporting legislation, </w:t>
      </w:r>
      <w:r w:rsidRPr="00CA1DDF">
        <w:rPr>
          <w:bCs/>
          <w:i/>
        </w:rPr>
        <w:t>Privacy Act 1988</w:t>
      </w:r>
      <w:r w:rsidRPr="00CA1DDF">
        <w:rPr>
          <w:bCs/>
        </w:rPr>
        <w:t xml:space="preserve">, </w:t>
      </w:r>
      <w:r w:rsidRPr="00CA1DDF">
        <w:rPr>
          <w:bCs/>
          <w:i/>
        </w:rPr>
        <w:t>Archives Act</w:t>
      </w:r>
      <w:r w:rsidR="00361BEF" w:rsidRPr="00CA1DDF">
        <w:rPr>
          <w:bCs/>
          <w:i/>
        </w:rPr>
        <w:t> </w:t>
      </w:r>
      <w:r w:rsidRPr="00CA1DDF">
        <w:rPr>
          <w:bCs/>
          <w:i/>
        </w:rPr>
        <w:t>1983</w:t>
      </w:r>
      <w:r w:rsidRPr="00975349">
        <w:t xml:space="preserve"> and the </w:t>
      </w:r>
      <w:r w:rsidR="00863008">
        <w:t>department</w:t>
      </w:r>
      <w:r w:rsidRPr="00975349">
        <w:t xml:space="preserve">’s Records Management Policy. </w:t>
      </w:r>
    </w:p>
    <w:p w14:paraId="484E13CF" w14:textId="0A14C9C3" w:rsidR="00EA2D41" w:rsidRPr="00975349" w:rsidRDefault="00EA2D41" w:rsidP="002311EE">
      <w:pPr>
        <w:pStyle w:val="Heading2"/>
      </w:pPr>
      <w:bookmarkStart w:id="45" w:name="_Toc83980009"/>
      <w:bookmarkStart w:id="46" w:name="_Toc158806622"/>
      <w:r w:rsidRPr="00975349">
        <w:t xml:space="preserve">Approach to </w:t>
      </w:r>
      <w:r w:rsidR="00D60BDD">
        <w:t>a</w:t>
      </w:r>
      <w:r w:rsidRPr="00975349">
        <w:t xml:space="preserve">ssurance </w:t>
      </w:r>
      <w:r w:rsidR="00D60BDD">
        <w:t>r</w:t>
      </w:r>
      <w:r w:rsidRPr="00975349">
        <w:t>eviews</w:t>
      </w:r>
      <w:bookmarkEnd w:id="45"/>
      <w:bookmarkEnd w:id="46"/>
    </w:p>
    <w:p w14:paraId="1443D59C" w14:textId="4E2E1C82" w:rsidR="00EA2D41" w:rsidRPr="000F2982" w:rsidRDefault="00BD35C5" w:rsidP="00361BEF">
      <w:pPr>
        <w:pStyle w:val="PwCNormal"/>
      </w:pPr>
      <w:r>
        <w:rPr>
          <w:b/>
        </w:rPr>
        <w:fldChar w:fldCharType="begin"/>
      </w:r>
      <w:r>
        <w:instrText xml:space="preserve"> REF _Ref158805455 \h </w:instrText>
      </w:r>
      <w:r>
        <w:rPr>
          <w:b/>
        </w:rPr>
      </w:r>
      <w:r>
        <w:rPr>
          <w:b/>
        </w:rPr>
        <w:fldChar w:fldCharType="separate"/>
      </w:r>
      <w:r w:rsidRPr="00975349">
        <w:t xml:space="preserve">Figure </w:t>
      </w:r>
      <w:r>
        <w:rPr>
          <w:noProof/>
        </w:rPr>
        <w:t>7</w:t>
      </w:r>
      <w:r>
        <w:rPr>
          <w:b/>
        </w:rPr>
        <w:fldChar w:fldCharType="end"/>
      </w:r>
      <w:r w:rsidR="00EA2D41" w:rsidRPr="000F2982">
        <w:t xml:space="preserve">outlines the overarching process for </w:t>
      </w:r>
      <w:r w:rsidR="00882D8B" w:rsidRPr="000F2982">
        <w:t>a</w:t>
      </w:r>
      <w:r w:rsidR="00EA2D41" w:rsidRPr="000F2982">
        <w:t xml:space="preserve">ssurance </w:t>
      </w:r>
      <w:r w:rsidR="00882D8B" w:rsidRPr="000F2982">
        <w:t>r</w:t>
      </w:r>
      <w:r w:rsidR="00EA2D41" w:rsidRPr="000F2982">
        <w:t xml:space="preserve">eviews. This approach to undertaking these </w:t>
      </w:r>
      <w:r w:rsidR="001D4B01" w:rsidRPr="000F2982">
        <w:t>a</w:t>
      </w:r>
      <w:r w:rsidR="00EA2D41" w:rsidRPr="000F2982">
        <w:t xml:space="preserve">ssurance </w:t>
      </w:r>
      <w:r w:rsidR="001D4B01" w:rsidRPr="000F2982">
        <w:t>r</w:t>
      </w:r>
      <w:r w:rsidR="00EA2D41" w:rsidRPr="000F2982">
        <w:t xml:space="preserve">eviews reflects better practice described by </w:t>
      </w:r>
      <w:r w:rsidR="00EA2D41" w:rsidRPr="00715BC4">
        <w:rPr>
          <w:rStyle w:val="Emphasis"/>
        </w:rPr>
        <w:t xml:space="preserve">ISO19011:2019 Guidelines for auditing management systems </w:t>
      </w:r>
      <w:r w:rsidR="00EA2D41" w:rsidRPr="000F2982">
        <w:t xml:space="preserve">and </w:t>
      </w:r>
      <w:r w:rsidR="00EA2D41" w:rsidRPr="00715BC4">
        <w:rPr>
          <w:rStyle w:val="Emphasis"/>
        </w:rPr>
        <w:t>ISO17021-1:2015 Conformity assessment — Requirements for bodies providing audit and certification of management systems — Part 1: Requirements.</w:t>
      </w:r>
    </w:p>
    <w:p w14:paraId="08362995" w14:textId="77777777" w:rsidR="00752D79" w:rsidRDefault="00361BEF" w:rsidP="00752D79">
      <w:pPr>
        <w:pStyle w:val="Caption"/>
      </w:pPr>
      <w:bookmarkStart w:id="47" w:name="_Ref158805455"/>
      <w:r w:rsidRPr="00975349">
        <w:lastRenderedPageBreak/>
        <w:t xml:space="preserve">Figure </w:t>
      </w:r>
      <w:fldSimple w:instr=" SEQ Figure \* ARABIC ">
        <w:r w:rsidR="00F87264">
          <w:rPr>
            <w:noProof/>
          </w:rPr>
          <w:t>7</w:t>
        </w:r>
      </w:fldSimple>
      <w:bookmarkEnd w:id="47"/>
      <w:r w:rsidRPr="00975349">
        <w:t xml:space="preserve">: </w:t>
      </w:r>
      <w:r w:rsidR="00EA2D41" w:rsidRPr="00975349">
        <w:t xml:space="preserve">Assurance </w:t>
      </w:r>
      <w:r w:rsidR="00D60BDD">
        <w:t>r</w:t>
      </w:r>
      <w:r w:rsidR="00EA2D41" w:rsidRPr="00975349">
        <w:t xml:space="preserve">eview </w:t>
      </w:r>
      <w:r w:rsidR="00D60BDD">
        <w:t>p</w:t>
      </w:r>
      <w:r w:rsidR="00EA2D41" w:rsidRPr="00975349">
        <w:t>rocess</w:t>
      </w:r>
    </w:p>
    <w:p w14:paraId="0924CB6C" w14:textId="5B7E0188" w:rsidR="003F3E56" w:rsidRPr="0092764F" w:rsidRDefault="0095553E" w:rsidP="003D7EB1">
      <w:pPr>
        <w:pStyle w:val="PwCNormal"/>
      </w:pPr>
      <w:r>
        <w:rPr>
          <w:noProof/>
        </w:rPr>
        <w:drawing>
          <wp:inline distT="0" distB="0" distL="0" distR="0" wp14:anchorId="7C769CEB" wp14:editId="01A0DAC7">
            <wp:extent cx="6228080" cy="3390265"/>
            <wp:effectExtent l="0" t="0" r="1270" b="635"/>
            <wp:docPr id="531" name="Picture 531" descr="Figure 7 is a flow chart showing the Assurance review process. The steps are: &#10;Scope&#10;Information collection &#10;Analysis&#10;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Picture 531" descr="Figure 7 is a flow chart showing the Assurance review process. The steps are: &#10;Scope&#10;Information collection &#10;Analysis&#10;Repor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28080" cy="3390265"/>
                    </a:xfrm>
                    <a:prstGeom prst="rect">
                      <a:avLst/>
                    </a:prstGeom>
                    <a:noFill/>
                    <a:ln>
                      <a:noFill/>
                    </a:ln>
                  </pic:spPr>
                </pic:pic>
              </a:graphicData>
            </a:graphic>
          </wp:inline>
        </w:drawing>
      </w:r>
    </w:p>
    <w:p w14:paraId="777D6E70" w14:textId="10F103A0" w:rsidR="00EA2D41" w:rsidRPr="00975349" w:rsidRDefault="00EA2D41" w:rsidP="002311EE">
      <w:pPr>
        <w:pStyle w:val="Heading3"/>
      </w:pPr>
      <w:r w:rsidRPr="00975349">
        <w:t>Scope</w:t>
      </w:r>
    </w:p>
    <w:p w14:paraId="2202B3A7" w14:textId="132459CE" w:rsidR="00EA2D41" w:rsidRPr="0092764F" w:rsidRDefault="00EA2D41" w:rsidP="0092764F">
      <w:pPr>
        <w:pStyle w:val="PwCNormal"/>
      </w:pPr>
      <w:r w:rsidRPr="0092764F">
        <w:t xml:space="preserve">For each </w:t>
      </w:r>
      <w:r w:rsidR="00C8317C" w:rsidRPr="0092764F">
        <w:t>a</w:t>
      </w:r>
      <w:r w:rsidRPr="0092764F">
        <w:t xml:space="preserve">ssurance </w:t>
      </w:r>
      <w:r w:rsidR="00C8317C" w:rsidRPr="0092764F">
        <w:t>r</w:t>
      </w:r>
      <w:r w:rsidRPr="0092764F">
        <w:t xml:space="preserve">eview, the </w:t>
      </w:r>
      <w:r w:rsidR="00863008" w:rsidRPr="0092764F">
        <w:t>department</w:t>
      </w:r>
      <w:r w:rsidRPr="0092764F">
        <w:t xml:space="preserve"> will define the </w:t>
      </w:r>
      <w:r w:rsidR="00C8317C" w:rsidRPr="0092764F">
        <w:t>s</w:t>
      </w:r>
      <w:r w:rsidRPr="0092764F">
        <w:t xml:space="preserve">cope including the subject matter, </w:t>
      </w:r>
      <w:r w:rsidR="00C8317C" w:rsidRPr="0092764F">
        <w:t>p</w:t>
      </w:r>
      <w:r w:rsidRPr="0092764F">
        <w:t xml:space="preserve">roviders selected, and the information and documentation required. Each </w:t>
      </w:r>
      <w:r w:rsidR="00871A38" w:rsidRPr="0092764F">
        <w:t>s</w:t>
      </w:r>
      <w:r w:rsidRPr="0092764F">
        <w:t>cope will include:</w:t>
      </w:r>
    </w:p>
    <w:p w14:paraId="5CB2D5F9" w14:textId="7BE6AC21" w:rsidR="00EA2D41" w:rsidRPr="008835C7" w:rsidRDefault="00EA2D41" w:rsidP="008835C7">
      <w:pPr>
        <w:pStyle w:val="ListBullet"/>
      </w:pPr>
      <w:r w:rsidRPr="008835C7">
        <w:t xml:space="preserve">the purpose and objectives of the </w:t>
      </w:r>
      <w:r w:rsidR="00871A38">
        <w:t>a</w:t>
      </w:r>
      <w:r w:rsidRPr="008835C7">
        <w:t xml:space="preserve">ssurance </w:t>
      </w:r>
      <w:r w:rsidR="00871A38">
        <w:t>r</w:t>
      </w:r>
      <w:r w:rsidRPr="008835C7">
        <w:t xml:space="preserve">eview, as defined within the </w:t>
      </w:r>
      <w:r w:rsidR="009004B4">
        <w:t>a</w:t>
      </w:r>
      <w:r w:rsidRPr="008835C7">
        <w:t xml:space="preserve">ssurance </w:t>
      </w:r>
      <w:r w:rsidR="009004B4">
        <w:t>p</w:t>
      </w:r>
      <w:r w:rsidRPr="008835C7">
        <w:t>lan</w:t>
      </w:r>
    </w:p>
    <w:p w14:paraId="53C79629" w14:textId="0D350DB3" w:rsidR="00EA2D41" w:rsidRPr="008835C7" w:rsidRDefault="00EA2D41" w:rsidP="008835C7">
      <w:pPr>
        <w:pStyle w:val="ListBullet"/>
      </w:pPr>
      <w:r w:rsidRPr="008835C7">
        <w:t xml:space="preserve">the </w:t>
      </w:r>
      <w:r w:rsidR="009004B4">
        <w:t>a</w:t>
      </w:r>
      <w:r w:rsidRPr="008835C7">
        <w:t xml:space="preserve">reas of </w:t>
      </w:r>
      <w:r w:rsidR="009004B4">
        <w:t>f</w:t>
      </w:r>
      <w:r w:rsidRPr="008835C7">
        <w:t xml:space="preserve">ocus of the </w:t>
      </w:r>
      <w:r w:rsidR="009004B4">
        <w:t>a</w:t>
      </w:r>
      <w:r w:rsidRPr="008835C7">
        <w:t xml:space="preserve">ssurance </w:t>
      </w:r>
      <w:r w:rsidR="009004B4">
        <w:t>r</w:t>
      </w:r>
      <w:r w:rsidRPr="008835C7">
        <w:t xml:space="preserve">eview </w:t>
      </w:r>
    </w:p>
    <w:p w14:paraId="2AD88188" w14:textId="7802364E" w:rsidR="00EA2D41" w:rsidRPr="008835C7" w:rsidRDefault="00EA2D41" w:rsidP="008835C7">
      <w:pPr>
        <w:pStyle w:val="ListBullet"/>
      </w:pPr>
      <w:r w:rsidRPr="008835C7">
        <w:t xml:space="preserve">the </w:t>
      </w:r>
      <w:r w:rsidR="009004B4">
        <w:t>a</w:t>
      </w:r>
      <w:r w:rsidRPr="008835C7">
        <w:t xml:space="preserve">ssurance </w:t>
      </w:r>
      <w:r w:rsidR="009004B4">
        <w:t>r</w:t>
      </w:r>
      <w:r w:rsidRPr="008835C7">
        <w:t xml:space="preserve">eview </w:t>
      </w:r>
      <w:r w:rsidR="00CF4299">
        <w:t>c</w:t>
      </w:r>
      <w:r w:rsidRPr="008835C7">
        <w:t>riteria (</w:t>
      </w:r>
      <w:r w:rsidR="00CF4299">
        <w:t>r</w:t>
      </w:r>
      <w:r w:rsidRPr="008835C7">
        <w:t xml:space="preserve">eview </w:t>
      </w:r>
      <w:r w:rsidR="00CF4299">
        <w:t>c</w:t>
      </w:r>
      <w:r w:rsidRPr="008835C7">
        <w:t>riteria)</w:t>
      </w:r>
    </w:p>
    <w:p w14:paraId="4EEE01B1" w14:textId="425DFB42" w:rsidR="00EA2D41" w:rsidRPr="008835C7" w:rsidRDefault="00EA2D41" w:rsidP="008835C7">
      <w:pPr>
        <w:pStyle w:val="ListBullet"/>
      </w:pPr>
      <w:r w:rsidRPr="008835C7">
        <w:t xml:space="preserve">the methodology for the </w:t>
      </w:r>
      <w:r w:rsidR="00CF4299">
        <w:t>a</w:t>
      </w:r>
      <w:r w:rsidRPr="008835C7">
        <w:t xml:space="preserve">ssurance </w:t>
      </w:r>
      <w:r w:rsidR="00CF4299">
        <w:t>r</w:t>
      </w:r>
      <w:r w:rsidRPr="008835C7">
        <w:t>eview</w:t>
      </w:r>
    </w:p>
    <w:p w14:paraId="3FE29840" w14:textId="0CE7A5DE" w:rsidR="00EA2D41" w:rsidRPr="008835C7" w:rsidRDefault="00EA2D41" w:rsidP="008835C7">
      <w:pPr>
        <w:pStyle w:val="ListBullet"/>
      </w:pPr>
      <w:r w:rsidRPr="008835C7">
        <w:t xml:space="preserve">the selection of </w:t>
      </w:r>
      <w:r w:rsidR="00CF4299">
        <w:t>p</w:t>
      </w:r>
      <w:r w:rsidRPr="008835C7">
        <w:t xml:space="preserve">roviders, and any sample of care recipients’ documentation. An overview of the sampling methodology is included at </w:t>
      </w:r>
      <w:r w:rsidR="00B554BC">
        <w:fldChar w:fldCharType="begin"/>
      </w:r>
      <w:r w:rsidR="00B554BC">
        <w:instrText xml:space="preserve"> REF Appendix_C \r \h </w:instrText>
      </w:r>
      <w:r w:rsidR="00B554BC">
        <w:fldChar w:fldCharType="separate"/>
      </w:r>
      <w:r w:rsidR="00B554BC">
        <w:t>Appendix C</w:t>
      </w:r>
      <w:r w:rsidR="00B554BC">
        <w:fldChar w:fldCharType="end"/>
      </w:r>
      <w:r w:rsidR="00D94565" w:rsidRPr="00126643">
        <w:t xml:space="preserve">– </w:t>
      </w:r>
      <w:r w:rsidRPr="00126643">
        <w:t>Sampling methodology</w:t>
      </w:r>
    </w:p>
    <w:p w14:paraId="13E0589A" w14:textId="4B7D8B48" w:rsidR="00DD3696" w:rsidRDefault="00DD3696" w:rsidP="008835C7">
      <w:pPr>
        <w:pStyle w:val="ListBullet"/>
      </w:pPr>
      <w:r>
        <w:t>key stakeholders</w:t>
      </w:r>
    </w:p>
    <w:p w14:paraId="72F79FCC" w14:textId="1E0C0331" w:rsidR="00EA2D41" w:rsidRPr="008835C7" w:rsidRDefault="00EA2D41" w:rsidP="008835C7">
      <w:pPr>
        <w:pStyle w:val="ListBullet"/>
      </w:pPr>
      <w:r w:rsidRPr="008835C7">
        <w:t xml:space="preserve">timeline for the completion of the </w:t>
      </w:r>
      <w:r w:rsidR="00E85E77">
        <w:t>a</w:t>
      </w:r>
      <w:r w:rsidRPr="008835C7">
        <w:t xml:space="preserve">ssurance </w:t>
      </w:r>
      <w:r w:rsidR="00E85E77">
        <w:t>r</w:t>
      </w:r>
      <w:r w:rsidRPr="008835C7">
        <w:t>eview.</w:t>
      </w:r>
    </w:p>
    <w:p w14:paraId="232C00A4" w14:textId="3A24CE71" w:rsidR="00EA2D41" w:rsidRPr="0092764F" w:rsidRDefault="00EA2D41" w:rsidP="0092764F">
      <w:pPr>
        <w:pStyle w:val="PwCNormal"/>
      </w:pPr>
      <w:r w:rsidRPr="0092764F">
        <w:t xml:space="preserve">Relevant stakeholders will be consulted on the proposed </w:t>
      </w:r>
      <w:r w:rsidR="00E85E77" w:rsidRPr="0092764F">
        <w:t>s</w:t>
      </w:r>
      <w:r w:rsidRPr="0092764F">
        <w:t xml:space="preserve">cope and methodology prior to finalisation by the </w:t>
      </w:r>
      <w:r w:rsidR="00863008" w:rsidRPr="0092764F">
        <w:t>department</w:t>
      </w:r>
      <w:r w:rsidRPr="0092764F">
        <w:t>.</w:t>
      </w:r>
    </w:p>
    <w:p w14:paraId="1E921D81" w14:textId="6D6E8780" w:rsidR="00EA2D41" w:rsidRPr="0092764F" w:rsidRDefault="00EA2D41" w:rsidP="0092764F">
      <w:pPr>
        <w:pStyle w:val="PwCNormal"/>
      </w:pPr>
      <w:r w:rsidRPr="0092764F">
        <w:t xml:space="preserve">Following the development of the </w:t>
      </w:r>
      <w:r w:rsidR="00A66B5F" w:rsidRPr="0092764F">
        <w:t>s</w:t>
      </w:r>
      <w:r w:rsidRPr="0092764F">
        <w:t xml:space="preserve">cope, a notice will be issued to each selected </w:t>
      </w:r>
      <w:r w:rsidR="00A66B5F" w:rsidRPr="0092764F">
        <w:t>p</w:t>
      </w:r>
      <w:r w:rsidRPr="0092764F">
        <w:t>rovider which specifies:</w:t>
      </w:r>
    </w:p>
    <w:p w14:paraId="66829B4D" w14:textId="67287789" w:rsidR="00EA2D41" w:rsidRPr="008835C7" w:rsidRDefault="00EA2D41" w:rsidP="008835C7">
      <w:pPr>
        <w:pStyle w:val="ListBullet"/>
      </w:pPr>
      <w:r w:rsidRPr="008835C7">
        <w:t xml:space="preserve">the scope and intent of the </w:t>
      </w:r>
      <w:r w:rsidR="009A0DDA">
        <w:t>a</w:t>
      </w:r>
      <w:r w:rsidRPr="008835C7">
        <w:t xml:space="preserve">ssurance </w:t>
      </w:r>
      <w:r w:rsidR="009A0DDA">
        <w:t>r</w:t>
      </w:r>
      <w:r w:rsidRPr="008835C7">
        <w:t xml:space="preserve">eview </w:t>
      </w:r>
    </w:p>
    <w:p w14:paraId="3B8CD714" w14:textId="3A509C1F" w:rsidR="00EA2D41" w:rsidRPr="008835C7" w:rsidRDefault="00EA2D41" w:rsidP="008835C7">
      <w:pPr>
        <w:pStyle w:val="ListBullet"/>
      </w:pPr>
      <w:r w:rsidRPr="008835C7">
        <w:t xml:space="preserve">the activities the </w:t>
      </w:r>
      <w:r w:rsidR="00863008">
        <w:t>department</w:t>
      </w:r>
      <w:r w:rsidRPr="008835C7">
        <w:t xml:space="preserve"> will undertake in conducting the </w:t>
      </w:r>
      <w:r w:rsidR="009A0DDA">
        <w:t>a</w:t>
      </w:r>
      <w:r w:rsidRPr="008835C7">
        <w:t xml:space="preserve">ssurance </w:t>
      </w:r>
      <w:r w:rsidR="009A0DDA">
        <w:t>r</w:t>
      </w:r>
      <w:r w:rsidRPr="008835C7">
        <w:t>eview</w:t>
      </w:r>
    </w:p>
    <w:p w14:paraId="2523E8A5" w14:textId="77777777" w:rsidR="00EA2D41" w:rsidRPr="00975349" w:rsidRDefault="00EA2D41" w:rsidP="008835C7">
      <w:pPr>
        <w:pStyle w:val="ListBullet"/>
      </w:pPr>
      <w:r w:rsidRPr="00975349">
        <w:t>the information and documentation required to be provided, and any questions to be answered</w:t>
      </w:r>
    </w:p>
    <w:p w14:paraId="6DA0B544" w14:textId="1997FB71" w:rsidR="00EA2D41" w:rsidRPr="008835C7" w:rsidRDefault="00EA2D41" w:rsidP="008835C7">
      <w:pPr>
        <w:pStyle w:val="ListBullet"/>
      </w:pPr>
      <w:r w:rsidRPr="008835C7">
        <w:t xml:space="preserve">the </w:t>
      </w:r>
      <w:r w:rsidR="00863008">
        <w:t>department</w:t>
      </w:r>
      <w:r w:rsidRPr="008835C7">
        <w:t xml:space="preserve">’s representatives conducting the </w:t>
      </w:r>
      <w:r w:rsidR="00915063">
        <w:t>a</w:t>
      </w:r>
      <w:r w:rsidRPr="008835C7">
        <w:t xml:space="preserve">ssurance </w:t>
      </w:r>
      <w:r w:rsidR="00915063">
        <w:t>r</w:t>
      </w:r>
      <w:r w:rsidRPr="008835C7">
        <w:t>eview who will be asking the questions, and the means by which these will be asked</w:t>
      </w:r>
    </w:p>
    <w:p w14:paraId="2144B703" w14:textId="4B498B21" w:rsidR="004B0CE3" w:rsidRPr="008835C7" w:rsidRDefault="00EA2D41" w:rsidP="008835C7">
      <w:pPr>
        <w:pStyle w:val="ListBullet"/>
      </w:pPr>
      <w:r w:rsidRPr="008835C7">
        <w:t xml:space="preserve">the timeframes for the </w:t>
      </w:r>
      <w:r w:rsidR="00915063">
        <w:t>a</w:t>
      </w:r>
      <w:r w:rsidRPr="008835C7">
        <w:t xml:space="preserve">ssurance </w:t>
      </w:r>
      <w:r w:rsidR="00915063">
        <w:t>r</w:t>
      </w:r>
      <w:r w:rsidRPr="008835C7">
        <w:t>eview</w:t>
      </w:r>
    </w:p>
    <w:p w14:paraId="243B291B" w14:textId="68005E2D" w:rsidR="00EA2D41" w:rsidRPr="008835C7" w:rsidRDefault="00EA2D41" w:rsidP="008835C7">
      <w:pPr>
        <w:pStyle w:val="ListBullet"/>
      </w:pPr>
      <w:r w:rsidRPr="008835C7">
        <w:t xml:space="preserve">if the notice is being issued to a </w:t>
      </w:r>
      <w:r w:rsidR="00A66B5F">
        <w:t>p</w:t>
      </w:r>
      <w:r w:rsidRPr="008835C7">
        <w:t xml:space="preserve">rovider, the application of penalties should a </w:t>
      </w:r>
      <w:r w:rsidR="00A66B5F">
        <w:t>p</w:t>
      </w:r>
      <w:r w:rsidRPr="008835C7">
        <w:t xml:space="preserve">rovider not respond to the </w:t>
      </w:r>
      <w:r w:rsidR="00863008">
        <w:t>department</w:t>
      </w:r>
      <w:r w:rsidRPr="008835C7">
        <w:t>.</w:t>
      </w:r>
    </w:p>
    <w:p w14:paraId="2724C951" w14:textId="077B4A76" w:rsidR="00EA2D41" w:rsidRPr="0092764F" w:rsidRDefault="00EA2D41" w:rsidP="0092764F">
      <w:pPr>
        <w:pStyle w:val="PwCNormal"/>
      </w:pPr>
      <w:r w:rsidRPr="0092764F">
        <w:t xml:space="preserve">Each </w:t>
      </w:r>
      <w:r w:rsidR="0052454F" w:rsidRPr="0092764F">
        <w:t>p</w:t>
      </w:r>
      <w:r w:rsidRPr="0092764F">
        <w:t>rovider will be invited to a</w:t>
      </w:r>
      <w:r w:rsidR="00BA3519" w:rsidRPr="0092764F">
        <w:t>n</w:t>
      </w:r>
      <w:r w:rsidR="00750B6A" w:rsidRPr="0092764F">
        <w:t xml:space="preserve"> </w:t>
      </w:r>
      <w:r w:rsidRPr="0092764F">
        <w:t xml:space="preserve">entry interview </w:t>
      </w:r>
      <w:r w:rsidR="001344F5" w:rsidRPr="0092764F">
        <w:t>(generally voluntary)</w:t>
      </w:r>
      <w:r w:rsidRPr="0092764F">
        <w:t xml:space="preserve"> to discuss the notice issued with the relevant member(s) of the </w:t>
      </w:r>
      <w:r w:rsidR="0052454F" w:rsidRPr="0092764F">
        <w:t>r</w:t>
      </w:r>
      <w:r w:rsidRPr="0092764F">
        <w:t xml:space="preserve">eview </w:t>
      </w:r>
      <w:r w:rsidR="0052454F" w:rsidRPr="0092764F">
        <w:t>t</w:t>
      </w:r>
      <w:r w:rsidRPr="0092764F">
        <w:t xml:space="preserve">eam and will be provided the opportunity to raise any concerns. </w:t>
      </w:r>
    </w:p>
    <w:p w14:paraId="02592F64" w14:textId="77777777" w:rsidR="00EA2D41" w:rsidRPr="00975349" w:rsidRDefault="00EA2D41" w:rsidP="002311EE">
      <w:pPr>
        <w:pStyle w:val="Heading3"/>
      </w:pPr>
      <w:r w:rsidRPr="00975349">
        <w:lastRenderedPageBreak/>
        <w:t>Information collection</w:t>
      </w:r>
    </w:p>
    <w:p w14:paraId="327BBA57" w14:textId="4E95A408" w:rsidR="00EA2D41" w:rsidRDefault="00EA2D41" w:rsidP="00DA2669">
      <w:pPr>
        <w:pStyle w:val="PwCNormal"/>
        <w:rPr>
          <w:spacing w:val="-2"/>
        </w:rPr>
      </w:pPr>
      <w:r w:rsidRPr="00975349">
        <w:rPr>
          <w:spacing w:val="-2"/>
        </w:rPr>
        <w:t xml:space="preserve">A notice </w:t>
      </w:r>
      <w:r w:rsidR="003B7FD6">
        <w:rPr>
          <w:spacing w:val="-2"/>
        </w:rPr>
        <w:t>to give</w:t>
      </w:r>
      <w:r w:rsidR="003B7FD6" w:rsidRPr="00975349">
        <w:rPr>
          <w:spacing w:val="-2"/>
        </w:rPr>
        <w:t xml:space="preserve"> </w:t>
      </w:r>
      <w:r w:rsidRPr="00975349">
        <w:rPr>
          <w:spacing w:val="-2"/>
        </w:rPr>
        <w:t xml:space="preserve">information </w:t>
      </w:r>
      <w:r w:rsidR="003B7FD6">
        <w:rPr>
          <w:spacing w:val="-2"/>
        </w:rPr>
        <w:t>or</w:t>
      </w:r>
      <w:r w:rsidR="003B7FD6" w:rsidRPr="00975349">
        <w:rPr>
          <w:spacing w:val="-2"/>
        </w:rPr>
        <w:t xml:space="preserve"> </w:t>
      </w:r>
      <w:r w:rsidRPr="00975349">
        <w:rPr>
          <w:spacing w:val="-2"/>
        </w:rPr>
        <w:t xml:space="preserve">documents </w:t>
      </w:r>
      <w:r w:rsidR="003B7FD6">
        <w:rPr>
          <w:spacing w:val="-2"/>
        </w:rPr>
        <w:t xml:space="preserve">and/or a notice to answer questions </w:t>
      </w:r>
      <w:r w:rsidRPr="00975349">
        <w:rPr>
          <w:spacing w:val="-2"/>
        </w:rPr>
        <w:t xml:space="preserve">will be issued to a </w:t>
      </w:r>
      <w:r w:rsidR="0052454F">
        <w:rPr>
          <w:spacing w:val="-2"/>
        </w:rPr>
        <w:t>p</w:t>
      </w:r>
      <w:r w:rsidRPr="00975349">
        <w:rPr>
          <w:spacing w:val="-2"/>
        </w:rPr>
        <w:t>rovider</w:t>
      </w:r>
      <w:r w:rsidR="003B7FD6">
        <w:rPr>
          <w:spacing w:val="-2"/>
        </w:rPr>
        <w:t xml:space="preserve"> by the department to support the assurance review</w:t>
      </w:r>
      <w:r w:rsidRPr="00975349">
        <w:rPr>
          <w:spacing w:val="-2"/>
        </w:rPr>
        <w:t xml:space="preserve">. These requests are supported by </w:t>
      </w:r>
      <w:r w:rsidRPr="007D0B68">
        <w:rPr>
          <w:bCs/>
          <w:spacing w:val="-2"/>
        </w:rPr>
        <w:t>section</w:t>
      </w:r>
      <w:r w:rsidR="0095418A">
        <w:rPr>
          <w:bCs/>
          <w:spacing w:val="-2"/>
        </w:rPr>
        <w:t>s</w:t>
      </w:r>
      <w:r w:rsidRPr="007D0B68">
        <w:rPr>
          <w:bCs/>
          <w:spacing w:val="-2"/>
        </w:rPr>
        <w:t xml:space="preserve"> 95BA-5 &amp; 95BA-6</w:t>
      </w:r>
      <w:r w:rsidRPr="00975349">
        <w:rPr>
          <w:spacing w:val="-2"/>
        </w:rPr>
        <w:t xml:space="preserve"> in the </w:t>
      </w:r>
      <w:r w:rsidRPr="007D0B68">
        <w:rPr>
          <w:bCs/>
          <w:spacing w:val="-2"/>
        </w:rPr>
        <w:t>amended</w:t>
      </w:r>
      <w:r w:rsidRPr="00975349">
        <w:rPr>
          <w:b/>
          <w:i/>
          <w:iCs/>
          <w:spacing w:val="-2"/>
        </w:rPr>
        <w:t xml:space="preserve"> </w:t>
      </w:r>
      <w:r w:rsidRPr="002C3A21">
        <w:rPr>
          <w:iCs/>
          <w:spacing w:val="-2"/>
        </w:rPr>
        <w:t xml:space="preserve">Aged Care Act </w:t>
      </w:r>
      <w:r w:rsidRPr="00975349">
        <w:rPr>
          <w:spacing w:val="-2"/>
        </w:rPr>
        <w:t xml:space="preserve">allowing the </w:t>
      </w:r>
      <w:r w:rsidR="003B7FD6">
        <w:rPr>
          <w:spacing w:val="-2"/>
        </w:rPr>
        <w:t>d</w:t>
      </w:r>
      <w:r w:rsidRPr="00975349">
        <w:rPr>
          <w:spacing w:val="-2"/>
        </w:rPr>
        <w:t xml:space="preserve">epartment to </w:t>
      </w:r>
      <w:r w:rsidR="003B7FD6">
        <w:rPr>
          <w:spacing w:val="-2"/>
        </w:rPr>
        <w:t>require</w:t>
      </w:r>
      <w:r w:rsidR="003B7FD6" w:rsidRPr="00975349">
        <w:rPr>
          <w:spacing w:val="-2"/>
        </w:rPr>
        <w:t xml:space="preserve"> </w:t>
      </w:r>
      <w:r w:rsidRPr="00975349">
        <w:rPr>
          <w:spacing w:val="-2"/>
        </w:rPr>
        <w:t xml:space="preserve">information and documents, and </w:t>
      </w:r>
      <w:r w:rsidR="003B7FD6">
        <w:rPr>
          <w:spacing w:val="-2"/>
        </w:rPr>
        <w:t>require</w:t>
      </w:r>
      <w:r w:rsidR="003B7FD6" w:rsidRPr="00975349">
        <w:rPr>
          <w:spacing w:val="-2"/>
        </w:rPr>
        <w:t xml:space="preserve"> </w:t>
      </w:r>
      <w:r w:rsidRPr="00975349">
        <w:rPr>
          <w:spacing w:val="-2"/>
        </w:rPr>
        <w:t xml:space="preserve">questions </w:t>
      </w:r>
      <w:r w:rsidR="003B7FD6">
        <w:rPr>
          <w:spacing w:val="-2"/>
        </w:rPr>
        <w:t xml:space="preserve">be answered </w:t>
      </w:r>
      <w:r w:rsidRPr="00975349">
        <w:rPr>
          <w:spacing w:val="-2"/>
        </w:rPr>
        <w:t>relat</w:t>
      </w:r>
      <w:r w:rsidR="00C31BFF">
        <w:rPr>
          <w:spacing w:val="-2"/>
        </w:rPr>
        <w:t>ing</w:t>
      </w:r>
      <w:r w:rsidRPr="00975349">
        <w:rPr>
          <w:spacing w:val="-2"/>
        </w:rPr>
        <w:t xml:space="preserve"> to the subject matter of </w:t>
      </w:r>
      <w:r w:rsidR="00C46490">
        <w:rPr>
          <w:spacing w:val="-2"/>
        </w:rPr>
        <w:t>a</w:t>
      </w:r>
      <w:r w:rsidRPr="00975349">
        <w:rPr>
          <w:spacing w:val="-2"/>
        </w:rPr>
        <w:t xml:space="preserve">ssurance </w:t>
      </w:r>
      <w:r w:rsidR="00C46490">
        <w:rPr>
          <w:spacing w:val="-2"/>
        </w:rPr>
        <w:t>a</w:t>
      </w:r>
      <w:r w:rsidRPr="00975349">
        <w:rPr>
          <w:spacing w:val="-2"/>
        </w:rPr>
        <w:t>ctivity.</w:t>
      </w:r>
    </w:p>
    <w:p w14:paraId="43698F66" w14:textId="5DC2B3A0" w:rsidR="00727D0B" w:rsidRPr="003B7FD6" w:rsidRDefault="003B7FD6" w:rsidP="003B7FD6">
      <w:pPr>
        <w:pStyle w:val="PwCNormal"/>
        <w:rPr>
          <w:rFonts w:ascii="Arial" w:eastAsia="Arial" w:hAnsi="Arial"/>
        </w:rPr>
      </w:pPr>
      <w:r w:rsidRPr="003B7FD6">
        <w:rPr>
          <w:rFonts w:ascii="Arial" w:eastAsia="Arial" w:hAnsi="Arial"/>
        </w:rPr>
        <w:t xml:space="preserve">Under the </w:t>
      </w:r>
      <w:r w:rsidRPr="002C3A21">
        <w:rPr>
          <w:rFonts w:ascii="Arial" w:eastAsia="Arial" w:hAnsi="Arial"/>
          <w:iCs/>
        </w:rPr>
        <w:t>Aged Care Act</w:t>
      </w:r>
      <w:r>
        <w:rPr>
          <w:rFonts w:ascii="Arial" w:eastAsia="Arial" w:hAnsi="Arial"/>
          <w:i/>
          <w:iCs/>
        </w:rPr>
        <w:t>,</w:t>
      </w:r>
      <w:r w:rsidRPr="003B7FD6">
        <w:rPr>
          <w:rFonts w:ascii="Arial" w:eastAsia="Arial" w:hAnsi="Arial"/>
        </w:rPr>
        <w:t xml:space="preserve"> government providers are not legally bound to participate in program assurance reviews. </w:t>
      </w:r>
      <w:r>
        <w:rPr>
          <w:rFonts w:ascii="Arial" w:eastAsia="Arial" w:hAnsi="Arial"/>
        </w:rPr>
        <w:t>As such, government entities will receive a letter of invitation to participate in the review.</w:t>
      </w:r>
    </w:p>
    <w:p w14:paraId="086FEFFA" w14:textId="733CD111" w:rsidR="00EA2D41" w:rsidRPr="00975349" w:rsidRDefault="00EA2D41" w:rsidP="00DA2669">
      <w:pPr>
        <w:pStyle w:val="PwCNormal"/>
      </w:pPr>
      <w:r w:rsidRPr="00975349">
        <w:t xml:space="preserve">Information from </w:t>
      </w:r>
      <w:r w:rsidR="00915063">
        <w:t>a</w:t>
      </w:r>
      <w:r w:rsidRPr="00975349">
        <w:t xml:space="preserve">ssurance </w:t>
      </w:r>
      <w:r w:rsidR="00915063">
        <w:t>r</w:t>
      </w:r>
      <w:r w:rsidRPr="00975349">
        <w:t xml:space="preserve">eviews will be retained. Information obtained during </w:t>
      </w:r>
      <w:r w:rsidR="00915063">
        <w:t>a</w:t>
      </w:r>
      <w:r w:rsidRPr="00975349">
        <w:t xml:space="preserve">ssurance </w:t>
      </w:r>
      <w:r w:rsidR="00915063">
        <w:t>r</w:t>
      </w:r>
      <w:r w:rsidRPr="00975349">
        <w:t xml:space="preserve">eviews which is confidential or proprietary will be appropriately stored by the </w:t>
      </w:r>
      <w:r w:rsidR="00863008">
        <w:t>department</w:t>
      </w:r>
      <w:r w:rsidRPr="00975349">
        <w:t>.</w:t>
      </w:r>
    </w:p>
    <w:p w14:paraId="04F1269E" w14:textId="11307385" w:rsidR="00EA2D41" w:rsidRPr="00975349" w:rsidRDefault="00EA2D41" w:rsidP="00DA2669">
      <w:pPr>
        <w:pStyle w:val="PwCNormal"/>
      </w:pPr>
      <w:r w:rsidRPr="00975349">
        <w:t xml:space="preserve">Where necessary, after an initial review, the </w:t>
      </w:r>
      <w:r w:rsidR="00863008">
        <w:t>department</w:t>
      </w:r>
      <w:r w:rsidRPr="00975349">
        <w:t xml:space="preserve"> may request additional information and documentation, and for the </w:t>
      </w:r>
      <w:r w:rsidR="001C5699">
        <w:t>p</w:t>
      </w:r>
      <w:r w:rsidRPr="00975349">
        <w:t xml:space="preserve">rovider to make staff available for interviews. Where the </w:t>
      </w:r>
      <w:r w:rsidR="00863008">
        <w:t>department</w:t>
      </w:r>
      <w:r w:rsidRPr="00975349">
        <w:t xml:space="preserve"> issues a notice to make staff available, then civil penalties can be applied by the </w:t>
      </w:r>
      <w:r w:rsidR="00863008">
        <w:t>department</w:t>
      </w:r>
      <w:r w:rsidRPr="00975349">
        <w:t xml:space="preserve"> as a last resort where a </w:t>
      </w:r>
      <w:r w:rsidR="003E4D22">
        <w:t>p</w:t>
      </w:r>
      <w:r w:rsidRPr="00975349">
        <w:t xml:space="preserve">rovider refuses to cooperate. The </w:t>
      </w:r>
      <w:r w:rsidR="00863008">
        <w:t>department</w:t>
      </w:r>
      <w:r w:rsidRPr="00975349">
        <w:t xml:space="preserve"> will only request the information and documentation relevant to the </w:t>
      </w:r>
      <w:r w:rsidR="003E4D22">
        <w:t>s</w:t>
      </w:r>
      <w:r w:rsidRPr="00975349">
        <w:t xml:space="preserve">cope of the </w:t>
      </w:r>
      <w:r w:rsidR="003E4D22">
        <w:t>a</w:t>
      </w:r>
      <w:r w:rsidRPr="00975349">
        <w:t xml:space="preserve">ssurance </w:t>
      </w:r>
      <w:r w:rsidR="003E4D22">
        <w:t>r</w:t>
      </w:r>
      <w:r w:rsidRPr="00975349">
        <w:t xml:space="preserve">eview and will seek to leverage information already available to reduce the burden of the </w:t>
      </w:r>
      <w:r w:rsidR="003B5EB2">
        <w:t>a</w:t>
      </w:r>
      <w:r w:rsidRPr="00975349">
        <w:t xml:space="preserve">ssurance </w:t>
      </w:r>
      <w:r w:rsidR="003B5EB2">
        <w:t>r</w:t>
      </w:r>
      <w:r w:rsidRPr="00975349">
        <w:t xml:space="preserve">eview on </w:t>
      </w:r>
      <w:r w:rsidR="003B5EB2">
        <w:t>p</w:t>
      </w:r>
      <w:r w:rsidRPr="00975349">
        <w:t>roviders.</w:t>
      </w:r>
    </w:p>
    <w:p w14:paraId="23EFE331" w14:textId="135E2E30" w:rsidR="00EA2D41" w:rsidRPr="00975349" w:rsidRDefault="00EA2D41" w:rsidP="00DA2669">
      <w:pPr>
        <w:pStyle w:val="PwCNormal"/>
      </w:pPr>
      <w:r w:rsidRPr="00975349">
        <w:t xml:space="preserve">For some </w:t>
      </w:r>
      <w:r w:rsidR="00915063">
        <w:t>a</w:t>
      </w:r>
      <w:r w:rsidRPr="00975349">
        <w:t xml:space="preserve">ssurance </w:t>
      </w:r>
      <w:r w:rsidR="00915063">
        <w:t>r</w:t>
      </w:r>
      <w:r w:rsidRPr="00975349">
        <w:t xml:space="preserve">eviews, the </w:t>
      </w:r>
      <w:r w:rsidR="00863008">
        <w:t>department</w:t>
      </w:r>
      <w:r w:rsidRPr="00975349">
        <w:t xml:space="preserve"> may approach specific care recipients for additional information.</w:t>
      </w:r>
    </w:p>
    <w:p w14:paraId="1EBD183F" w14:textId="5986AE05" w:rsidR="00EA2D41" w:rsidRPr="00975349" w:rsidRDefault="00EA2D41" w:rsidP="00DA2669">
      <w:pPr>
        <w:pStyle w:val="PwCNormal"/>
        <w:rPr>
          <w:rFonts w:eastAsiaTheme="minorHAnsi"/>
        </w:rPr>
      </w:pPr>
      <w:r w:rsidRPr="00975349">
        <w:t xml:space="preserve">The notice to </w:t>
      </w:r>
      <w:r w:rsidR="002C0C04">
        <w:t>p</w:t>
      </w:r>
      <w:r w:rsidRPr="00975349">
        <w:t xml:space="preserve">roviders will contain details of how </w:t>
      </w:r>
      <w:r w:rsidR="000733F8">
        <w:t>r</w:t>
      </w:r>
      <w:r w:rsidRPr="00975349">
        <w:t xml:space="preserve">eview information will be handled. For general information about the </w:t>
      </w:r>
      <w:r w:rsidR="00863008">
        <w:t>department</w:t>
      </w:r>
      <w:r w:rsidRPr="00975349">
        <w:t xml:space="preserve">’s privacy practices please see the </w:t>
      </w:r>
      <w:r w:rsidR="00863008">
        <w:t>department</w:t>
      </w:r>
      <w:r w:rsidRPr="00975349">
        <w:t xml:space="preserve">'s </w:t>
      </w:r>
      <w:hyperlink r:id="rId38" w:history="1">
        <w:r w:rsidRPr="00B554BC">
          <w:rPr>
            <w:rStyle w:val="Hyperlink"/>
          </w:rPr>
          <w:t>Privacy Policy</w:t>
        </w:r>
      </w:hyperlink>
      <w:r w:rsidRPr="00975349">
        <w:t>.</w:t>
      </w:r>
    </w:p>
    <w:p w14:paraId="4F8E5183" w14:textId="4B8B65D5" w:rsidR="004F525D" w:rsidRPr="004F525D" w:rsidRDefault="004F525D" w:rsidP="002311EE">
      <w:pPr>
        <w:pStyle w:val="Heading3"/>
      </w:pPr>
      <w:r>
        <w:t>Analysis</w:t>
      </w:r>
    </w:p>
    <w:p w14:paraId="48AB7639" w14:textId="358A1B82" w:rsidR="00EA2D41" w:rsidRPr="004F525D" w:rsidRDefault="00EA2D41" w:rsidP="00FD3E8F">
      <w:pPr>
        <w:pStyle w:val="PwCNormal"/>
      </w:pPr>
      <w:r w:rsidRPr="004F525D">
        <w:t xml:space="preserve">The purpose of the </w:t>
      </w:r>
      <w:r w:rsidR="009054E2">
        <w:t>a</w:t>
      </w:r>
      <w:r w:rsidR="00FA64E0" w:rsidRPr="004F525D">
        <w:t xml:space="preserve">nalysis </w:t>
      </w:r>
      <w:r w:rsidRPr="004F525D">
        <w:t>stage is to:</w:t>
      </w:r>
    </w:p>
    <w:p w14:paraId="74E34DC8" w14:textId="7AAA3571" w:rsidR="00EA2D41" w:rsidRPr="00975349" w:rsidRDefault="00EA2D41" w:rsidP="00DA2669">
      <w:pPr>
        <w:pStyle w:val="ListBullet"/>
      </w:pPr>
      <w:r w:rsidRPr="00975349">
        <w:t xml:space="preserve">evaluate the information and documentation provided against the </w:t>
      </w:r>
      <w:r w:rsidR="009054E2">
        <w:t>r</w:t>
      </w:r>
      <w:r w:rsidRPr="00975349">
        <w:t xml:space="preserve">eview </w:t>
      </w:r>
      <w:r w:rsidR="009054E2">
        <w:t>c</w:t>
      </w:r>
      <w:r w:rsidRPr="00975349">
        <w:t xml:space="preserve">riteria outlined within the </w:t>
      </w:r>
      <w:r w:rsidR="009054E2">
        <w:t>s</w:t>
      </w:r>
      <w:r w:rsidRPr="00975349">
        <w:t>cope</w:t>
      </w:r>
    </w:p>
    <w:p w14:paraId="4F2BF322" w14:textId="206E3744" w:rsidR="00EA2D41" w:rsidRPr="00975349" w:rsidRDefault="00EA2D41" w:rsidP="00DA2669">
      <w:pPr>
        <w:pStyle w:val="ListBullet"/>
      </w:pPr>
      <w:r w:rsidRPr="00975349">
        <w:t>identify and explore any possible findings and related verifiable information (e.g</w:t>
      </w:r>
      <w:r w:rsidR="00280B8E">
        <w:t>.</w:t>
      </w:r>
      <w:r w:rsidRPr="00975349">
        <w:t xml:space="preserve"> deficiencies, omissions or conflicts)</w:t>
      </w:r>
    </w:p>
    <w:p w14:paraId="641B3465" w14:textId="77777777" w:rsidR="00EA2D41" w:rsidRPr="00975349" w:rsidRDefault="00EA2D41" w:rsidP="00DA2669">
      <w:pPr>
        <w:pStyle w:val="ListBullet"/>
      </w:pPr>
      <w:r w:rsidRPr="00975349">
        <w:t>summarise key findings.</w:t>
      </w:r>
    </w:p>
    <w:p w14:paraId="17622859" w14:textId="0067C63A" w:rsidR="00EA2D41" w:rsidRPr="00975349" w:rsidRDefault="00EA2D41" w:rsidP="00DA2669">
      <w:pPr>
        <w:pStyle w:val="PwCNormal"/>
      </w:pPr>
      <w:r w:rsidRPr="00975349">
        <w:t xml:space="preserve">All </w:t>
      </w:r>
      <w:r w:rsidR="00B362AB">
        <w:t>r</w:t>
      </w:r>
      <w:r w:rsidRPr="00975349">
        <w:t xml:space="preserve">eview </w:t>
      </w:r>
      <w:r w:rsidR="00B362AB">
        <w:t>o</w:t>
      </w:r>
      <w:r w:rsidRPr="00975349">
        <w:t xml:space="preserve">fficers undertaking </w:t>
      </w:r>
      <w:r w:rsidR="00915063">
        <w:t>a</w:t>
      </w:r>
      <w:r w:rsidRPr="00975349">
        <w:t xml:space="preserve">ssurance </w:t>
      </w:r>
      <w:r w:rsidR="00915063">
        <w:t>r</w:t>
      </w:r>
      <w:r w:rsidRPr="00975349">
        <w:t xml:space="preserve">eviews as part of the </w:t>
      </w:r>
      <w:r w:rsidR="009054E2">
        <w:t>a</w:t>
      </w:r>
      <w:r w:rsidRPr="00975349">
        <w:t xml:space="preserve">ssurance </w:t>
      </w:r>
      <w:r w:rsidR="009054E2">
        <w:t>f</w:t>
      </w:r>
      <w:r w:rsidRPr="00975349">
        <w:t>ramework will be qualified under the International Standards Organisation in relation to:</w:t>
      </w:r>
    </w:p>
    <w:p w14:paraId="2BB29496" w14:textId="7B6952F3" w:rsidR="00EA2D41" w:rsidRPr="00B554BC" w:rsidRDefault="00EA2D41" w:rsidP="00DA2669">
      <w:pPr>
        <w:pStyle w:val="ListBullet"/>
        <w:rPr>
          <w:rStyle w:val="Emphasis"/>
        </w:rPr>
      </w:pPr>
      <w:r w:rsidRPr="00B554BC">
        <w:rPr>
          <w:rStyle w:val="Emphasis"/>
        </w:rPr>
        <w:t>ISO 9001:2015 Quality management systems</w:t>
      </w:r>
    </w:p>
    <w:p w14:paraId="7CFAF616" w14:textId="31AB24E2" w:rsidR="00EA2D41" w:rsidRPr="00B554BC" w:rsidRDefault="00EA2D41" w:rsidP="00DA2669">
      <w:pPr>
        <w:pStyle w:val="ListBullet"/>
        <w:rPr>
          <w:rStyle w:val="Emphasis"/>
        </w:rPr>
      </w:pPr>
      <w:r w:rsidRPr="00B554BC">
        <w:rPr>
          <w:rStyle w:val="Emphasis"/>
        </w:rPr>
        <w:t>ISO 19011:2019</w:t>
      </w:r>
      <w:r w:rsidR="00085CDC" w:rsidRPr="00B554BC">
        <w:rPr>
          <w:rStyle w:val="Emphasis"/>
        </w:rPr>
        <w:t xml:space="preserve"> G</w:t>
      </w:r>
      <w:r w:rsidRPr="00B554BC">
        <w:rPr>
          <w:rStyle w:val="Emphasis"/>
        </w:rPr>
        <w:t>uidelines for auditing management systems</w:t>
      </w:r>
    </w:p>
    <w:p w14:paraId="4CA960A7" w14:textId="3448D724" w:rsidR="00EA2D41" w:rsidRPr="00975349" w:rsidRDefault="00EA2D41" w:rsidP="00DA2669">
      <w:pPr>
        <w:pStyle w:val="PwCNormal"/>
        <w:rPr>
          <w:spacing w:val="-2"/>
        </w:rPr>
      </w:pPr>
      <w:r w:rsidRPr="00975349">
        <w:rPr>
          <w:spacing w:val="-2"/>
        </w:rPr>
        <w:t xml:space="preserve">Review </w:t>
      </w:r>
      <w:r w:rsidR="00B362AB">
        <w:rPr>
          <w:spacing w:val="-2"/>
        </w:rPr>
        <w:t>o</w:t>
      </w:r>
      <w:r w:rsidRPr="00975349">
        <w:rPr>
          <w:spacing w:val="-2"/>
        </w:rPr>
        <w:t xml:space="preserve">fficers will follow the principles and methodologies outlined in </w:t>
      </w:r>
      <w:r w:rsidRPr="00F123B1">
        <w:rPr>
          <w:i/>
          <w:iCs/>
          <w:spacing w:val="-2"/>
        </w:rPr>
        <w:t>AS/NZ ISO 9001:2016 Quality management systems</w:t>
      </w:r>
      <w:r w:rsidRPr="00975349">
        <w:rPr>
          <w:spacing w:val="-2"/>
        </w:rPr>
        <w:t xml:space="preserve"> and </w:t>
      </w:r>
      <w:r w:rsidRPr="00F123B1">
        <w:rPr>
          <w:i/>
          <w:iCs/>
          <w:spacing w:val="-2"/>
        </w:rPr>
        <w:t>AS/NZS ISO 19011:2019 Guidelines for auditing management systems</w:t>
      </w:r>
      <w:r w:rsidRPr="00975349">
        <w:rPr>
          <w:spacing w:val="-2"/>
        </w:rPr>
        <w:t xml:space="preserve">. This includes using their training and professional judgement to determine the degree of reliance that can be placed on the information and documentation obtained, and responses to questions raised. Further, each </w:t>
      </w:r>
      <w:r w:rsidR="009D1F2B">
        <w:rPr>
          <w:spacing w:val="-2"/>
        </w:rPr>
        <w:t>r</w:t>
      </w:r>
      <w:r w:rsidRPr="00975349">
        <w:rPr>
          <w:spacing w:val="-2"/>
        </w:rPr>
        <w:t xml:space="preserve">eview will have an effective moderation process to encourage consistency and identify outliers early in </w:t>
      </w:r>
      <w:r w:rsidR="00FA64E0">
        <w:rPr>
          <w:spacing w:val="-2"/>
        </w:rPr>
        <w:t>analysis</w:t>
      </w:r>
      <w:r w:rsidR="00FA64E0" w:rsidRPr="00975349">
        <w:rPr>
          <w:spacing w:val="-2"/>
        </w:rPr>
        <w:t xml:space="preserve"> </w:t>
      </w:r>
      <w:r w:rsidRPr="00975349">
        <w:rPr>
          <w:spacing w:val="-2"/>
        </w:rPr>
        <w:t xml:space="preserve">to support transparency and consistency in </w:t>
      </w:r>
      <w:r w:rsidR="00B362AB">
        <w:rPr>
          <w:spacing w:val="-2"/>
        </w:rPr>
        <w:t>r</w:t>
      </w:r>
      <w:r w:rsidRPr="00975349">
        <w:rPr>
          <w:spacing w:val="-2"/>
        </w:rPr>
        <w:t xml:space="preserve">eview </w:t>
      </w:r>
      <w:r w:rsidR="00B362AB">
        <w:rPr>
          <w:spacing w:val="-2"/>
        </w:rPr>
        <w:t>o</w:t>
      </w:r>
      <w:r w:rsidRPr="00975349">
        <w:rPr>
          <w:spacing w:val="-2"/>
        </w:rPr>
        <w:t>fficers’ findings and decisions.</w:t>
      </w:r>
    </w:p>
    <w:p w14:paraId="76635159" w14:textId="77777777" w:rsidR="00EA2D41" w:rsidRPr="00975349" w:rsidRDefault="00EA2D41" w:rsidP="002311EE">
      <w:pPr>
        <w:pStyle w:val="Heading3"/>
      </w:pPr>
      <w:r w:rsidRPr="00975349">
        <w:t>Report</w:t>
      </w:r>
    </w:p>
    <w:p w14:paraId="5B34C7A7" w14:textId="66BC0327" w:rsidR="00EA2D41" w:rsidRPr="00975349" w:rsidRDefault="00EA2D41" w:rsidP="00DA2669">
      <w:pPr>
        <w:pStyle w:val="PwCNormal"/>
      </w:pPr>
      <w:r w:rsidRPr="00975349">
        <w:t xml:space="preserve">The purpose of the </w:t>
      </w:r>
      <w:r w:rsidR="00E0122F">
        <w:t>r</w:t>
      </w:r>
      <w:r w:rsidRPr="00975349">
        <w:t xml:space="preserve">eporting stage is to support transparency in the </w:t>
      </w:r>
      <w:r w:rsidR="00863008">
        <w:t>department</w:t>
      </w:r>
      <w:r w:rsidRPr="00975349">
        <w:t xml:space="preserve">’s </w:t>
      </w:r>
      <w:r w:rsidR="00915063">
        <w:t>a</w:t>
      </w:r>
      <w:r w:rsidRPr="00975349">
        <w:t xml:space="preserve">ssurance </w:t>
      </w:r>
      <w:r w:rsidR="00915063">
        <w:t>r</w:t>
      </w:r>
      <w:r w:rsidRPr="00975349">
        <w:t>eviews, explain why findings/observations have been raised, and to support continuous improvement.</w:t>
      </w:r>
      <w:r w:rsidR="00D94565" w:rsidRPr="00975349">
        <w:t xml:space="preserve"> </w:t>
      </w:r>
    </w:p>
    <w:p w14:paraId="27FBB82B" w14:textId="7A838633" w:rsidR="00EA2D41" w:rsidRPr="00975349" w:rsidRDefault="00EA2D41" w:rsidP="00DA2669">
      <w:pPr>
        <w:pStyle w:val="PwCNormal"/>
      </w:pPr>
      <w:r w:rsidRPr="00975349">
        <w:t xml:space="preserve">The </w:t>
      </w:r>
      <w:r w:rsidR="00915063">
        <w:t>a</w:t>
      </w:r>
      <w:r w:rsidRPr="00975349">
        <w:t xml:space="preserve">ssurance </w:t>
      </w:r>
      <w:r w:rsidR="00915063">
        <w:t>r</w:t>
      </w:r>
      <w:r w:rsidRPr="00975349">
        <w:t>eview</w:t>
      </w:r>
      <w:r w:rsidR="00662AF5">
        <w:t>’</w:t>
      </w:r>
      <w:r w:rsidRPr="00975349">
        <w:t xml:space="preserve">s management and team will work together to share learnings and insights to drive consistency in the </w:t>
      </w:r>
      <w:r w:rsidR="00863008">
        <w:t>department</w:t>
      </w:r>
      <w:r w:rsidRPr="00975349">
        <w:t xml:space="preserve">’s reports. The lessons from </w:t>
      </w:r>
      <w:r w:rsidR="00915063">
        <w:t>a</w:t>
      </w:r>
      <w:r w:rsidRPr="00975349">
        <w:t xml:space="preserve">ssurance </w:t>
      </w:r>
      <w:r w:rsidR="00915063">
        <w:t>r</w:t>
      </w:r>
      <w:r w:rsidRPr="00975349">
        <w:t xml:space="preserve">eviews will inform the scoping, </w:t>
      </w:r>
      <w:r w:rsidR="00FA64E0">
        <w:t>analysis</w:t>
      </w:r>
      <w:r w:rsidR="00FA64E0" w:rsidRPr="00975349">
        <w:t xml:space="preserve"> </w:t>
      </w:r>
      <w:r w:rsidRPr="00975349">
        <w:t xml:space="preserve">and reporting of subsequent </w:t>
      </w:r>
      <w:r w:rsidR="00860D6A">
        <w:t>a</w:t>
      </w:r>
      <w:r w:rsidRPr="00975349">
        <w:t xml:space="preserve">ssurance </w:t>
      </w:r>
      <w:r w:rsidR="00860D6A">
        <w:t>a</w:t>
      </w:r>
      <w:r w:rsidRPr="00975349">
        <w:t xml:space="preserve">ctivities (refer to </w:t>
      </w:r>
      <w:hyperlink w:anchor="_Continuous_improvement" w:history="1">
        <w:r w:rsidR="00662AF5" w:rsidRPr="006D0982">
          <w:rPr>
            <w:rStyle w:val="Hyperlink"/>
          </w:rPr>
          <w:t>S</w:t>
        </w:r>
        <w:r w:rsidRPr="006D0982">
          <w:rPr>
            <w:rStyle w:val="Hyperlink"/>
          </w:rPr>
          <w:t xml:space="preserve">ection 6. Continuous </w:t>
        </w:r>
        <w:r w:rsidR="00EF2D8B" w:rsidRPr="006D0982">
          <w:rPr>
            <w:rStyle w:val="Hyperlink"/>
          </w:rPr>
          <w:t>i</w:t>
        </w:r>
        <w:r w:rsidRPr="006D0982">
          <w:rPr>
            <w:rStyle w:val="Hyperlink"/>
          </w:rPr>
          <w:t>mprovement</w:t>
        </w:r>
      </w:hyperlink>
      <w:r w:rsidRPr="00975349">
        <w:t xml:space="preserve">). </w:t>
      </w:r>
    </w:p>
    <w:p w14:paraId="51DAF63F" w14:textId="5E00EDBD" w:rsidR="00EA2D41" w:rsidRPr="00975349" w:rsidRDefault="00EA2D41" w:rsidP="00DA2669">
      <w:pPr>
        <w:pStyle w:val="PwCNormal"/>
      </w:pPr>
      <w:r w:rsidRPr="00975349">
        <w:t>All reports will be checked for accuracy, objectivity, evidence-base and consistency. Consultation will occur with relevant stakeholders and the reports will be finalised through relevant senior managers.</w:t>
      </w:r>
      <w:r w:rsidR="00D94565" w:rsidRPr="00975349">
        <w:t xml:space="preserve"> </w:t>
      </w:r>
    </w:p>
    <w:p w14:paraId="37483EEF" w14:textId="1C6DFC6C" w:rsidR="00EA2D41" w:rsidRPr="00975349" w:rsidRDefault="00A53037" w:rsidP="004F335A">
      <w:pPr>
        <w:pStyle w:val="PwCNormal"/>
      </w:pPr>
      <w:r>
        <w:lastRenderedPageBreak/>
        <w:t xml:space="preserve">The </w:t>
      </w:r>
      <w:r w:rsidR="004442B5">
        <w:t>reporting of</w:t>
      </w:r>
      <w:r w:rsidR="00BC67A0">
        <w:t xml:space="preserve"> review/activity findings will vary depending on need.</w:t>
      </w:r>
    </w:p>
    <w:p w14:paraId="32EB0E50" w14:textId="41EB01B3" w:rsidR="00EA2D41" w:rsidRPr="00975349" w:rsidRDefault="00EA2D41" w:rsidP="00DA2669">
      <w:pPr>
        <w:pStyle w:val="ListBullet"/>
        <w:rPr>
          <w:spacing w:val="-2"/>
        </w:rPr>
      </w:pPr>
      <w:r w:rsidRPr="008F49B0" w:rsidDel="0077679E">
        <w:rPr>
          <w:spacing w:val="-2"/>
        </w:rPr>
        <w:t>P</w:t>
      </w:r>
      <w:r w:rsidRPr="008F49B0">
        <w:rPr>
          <w:spacing w:val="-2"/>
        </w:rPr>
        <w:t xml:space="preserve">rovider </w:t>
      </w:r>
      <w:r w:rsidR="0077679E" w:rsidRPr="008F49B0">
        <w:rPr>
          <w:spacing w:val="-2"/>
        </w:rPr>
        <w:t>r</w:t>
      </w:r>
      <w:r w:rsidRPr="008F49B0">
        <w:rPr>
          <w:spacing w:val="-2"/>
        </w:rPr>
        <w:t>eport</w:t>
      </w:r>
      <w:r w:rsidR="00871A82" w:rsidRPr="008F49B0">
        <w:rPr>
          <w:rStyle w:val="FootnoteReference"/>
          <w:spacing w:val="-2"/>
        </w:rPr>
        <w:footnoteReference w:id="13"/>
      </w:r>
      <w:r w:rsidRPr="008F49B0">
        <w:rPr>
          <w:spacing w:val="-2"/>
        </w:rPr>
        <w:t xml:space="preserve">: </w:t>
      </w:r>
      <w:r w:rsidR="00BC67A0">
        <w:t xml:space="preserve">Generally, providers will </w:t>
      </w:r>
      <w:r w:rsidR="004442B5">
        <w:t>either receive a</w:t>
      </w:r>
      <w:r w:rsidR="00BC67A0">
        <w:t xml:space="preserve"> full report, an abridged report, or a letter of findings.</w:t>
      </w:r>
      <w:r w:rsidR="00B063EE">
        <w:rPr>
          <w:color w:val="3F4A75"/>
          <w:spacing w:val="-2"/>
        </w:rPr>
        <w:t xml:space="preserve"> </w:t>
      </w:r>
      <w:r w:rsidRPr="00975349">
        <w:rPr>
          <w:spacing w:val="-2"/>
        </w:rPr>
        <w:t xml:space="preserve">Following the completion of an </w:t>
      </w:r>
      <w:r w:rsidR="00B063EE">
        <w:rPr>
          <w:spacing w:val="-2"/>
        </w:rPr>
        <w:t>a</w:t>
      </w:r>
      <w:r w:rsidRPr="00975349">
        <w:rPr>
          <w:spacing w:val="-2"/>
        </w:rPr>
        <w:t xml:space="preserve">ssurance </w:t>
      </w:r>
      <w:r w:rsidR="00B063EE">
        <w:rPr>
          <w:spacing w:val="-2"/>
        </w:rPr>
        <w:t>r</w:t>
      </w:r>
      <w:r w:rsidRPr="00975349">
        <w:rPr>
          <w:spacing w:val="-2"/>
        </w:rPr>
        <w:t xml:space="preserve">eview, a report summarising the </w:t>
      </w:r>
      <w:r w:rsidR="003B1C05">
        <w:rPr>
          <w:spacing w:val="-2"/>
        </w:rPr>
        <w:t>s</w:t>
      </w:r>
      <w:r w:rsidRPr="00975349">
        <w:rPr>
          <w:spacing w:val="-2"/>
        </w:rPr>
        <w:t xml:space="preserve">cope, key findings, better practices identified, and any identified areas for improvement </w:t>
      </w:r>
      <w:r w:rsidR="000257F1">
        <w:rPr>
          <w:spacing w:val="-2"/>
        </w:rPr>
        <w:t>may</w:t>
      </w:r>
      <w:r w:rsidRPr="00975349">
        <w:rPr>
          <w:spacing w:val="-2"/>
        </w:rPr>
        <w:t xml:space="preserve"> be</w:t>
      </w:r>
      <w:r w:rsidRPr="007D0B68">
        <w:rPr>
          <w:spacing w:val="-2"/>
        </w:rPr>
        <w:t xml:space="preserve"> </w:t>
      </w:r>
      <w:r w:rsidRPr="00975349">
        <w:rPr>
          <w:spacing w:val="-2"/>
        </w:rPr>
        <w:t xml:space="preserve">given to each </w:t>
      </w:r>
      <w:r w:rsidR="008F66E2">
        <w:rPr>
          <w:spacing w:val="-2"/>
        </w:rPr>
        <w:t>p</w:t>
      </w:r>
      <w:r w:rsidRPr="00975349">
        <w:rPr>
          <w:spacing w:val="-2"/>
        </w:rPr>
        <w:t xml:space="preserve">rovider in the </w:t>
      </w:r>
      <w:r w:rsidR="008F66E2">
        <w:rPr>
          <w:spacing w:val="-2"/>
        </w:rPr>
        <w:t>r</w:t>
      </w:r>
      <w:r w:rsidRPr="00975349">
        <w:rPr>
          <w:spacing w:val="-2"/>
        </w:rPr>
        <w:t xml:space="preserve">eview. The report </w:t>
      </w:r>
      <w:r w:rsidR="008839D2">
        <w:rPr>
          <w:spacing w:val="-2"/>
        </w:rPr>
        <w:t>may</w:t>
      </w:r>
      <w:r w:rsidRPr="00975349">
        <w:rPr>
          <w:spacing w:val="-2"/>
        </w:rPr>
        <w:t xml:space="preserve"> also note whether any matters will be referred to the AC</w:t>
      </w:r>
      <w:r w:rsidR="00BC79D4">
        <w:rPr>
          <w:spacing w:val="-2"/>
        </w:rPr>
        <w:t>QS</w:t>
      </w:r>
      <w:r w:rsidRPr="00975349">
        <w:rPr>
          <w:spacing w:val="-2"/>
        </w:rPr>
        <w:t xml:space="preserve">C for further consideration. Providers will have the opportunity to </w:t>
      </w:r>
      <w:r w:rsidR="006B1381">
        <w:rPr>
          <w:spacing w:val="-2"/>
        </w:rPr>
        <w:t xml:space="preserve">confirm any factual errors </w:t>
      </w:r>
      <w:r w:rsidR="00973A2D">
        <w:rPr>
          <w:spacing w:val="-2"/>
        </w:rPr>
        <w:t>in the</w:t>
      </w:r>
      <w:r w:rsidR="000F00F0">
        <w:rPr>
          <w:spacing w:val="-2"/>
        </w:rPr>
        <w:t>ir</w:t>
      </w:r>
      <w:r w:rsidR="00973A2D">
        <w:rPr>
          <w:spacing w:val="-2"/>
        </w:rPr>
        <w:t xml:space="preserve"> </w:t>
      </w:r>
      <w:r w:rsidR="004F1013">
        <w:rPr>
          <w:spacing w:val="-2"/>
        </w:rPr>
        <w:t xml:space="preserve">report via a voluntary exit meeting or through correspondence </w:t>
      </w:r>
      <w:r w:rsidRPr="00975349">
        <w:rPr>
          <w:spacing w:val="-2"/>
        </w:rPr>
        <w:t xml:space="preserve">prior to </w:t>
      </w:r>
      <w:r w:rsidR="000F00F0">
        <w:rPr>
          <w:spacing w:val="-2"/>
        </w:rPr>
        <w:t>the report’s</w:t>
      </w:r>
      <w:r w:rsidR="000F00F0" w:rsidRPr="00975349">
        <w:rPr>
          <w:spacing w:val="-2"/>
        </w:rPr>
        <w:t xml:space="preserve"> </w:t>
      </w:r>
      <w:r w:rsidRPr="00975349">
        <w:rPr>
          <w:spacing w:val="-2"/>
        </w:rPr>
        <w:t>finalisation</w:t>
      </w:r>
      <w:r w:rsidR="00CF3F85">
        <w:rPr>
          <w:spacing w:val="-2"/>
        </w:rPr>
        <w:t>.</w:t>
      </w:r>
      <w:r w:rsidRPr="00975349">
        <w:rPr>
          <w:spacing w:val="-2"/>
        </w:rPr>
        <w:t xml:space="preserve"> </w:t>
      </w:r>
      <w:r w:rsidR="00F34F51">
        <w:rPr>
          <w:spacing w:val="-2"/>
        </w:rPr>
        <w:t>For some reviews</w:t>
      </w:r>
      <w:r w:rsidR="000F00F0">
        <w:rPr>
          <w:spacing w:val="-2"/>
        </w:rPr>
        <w:t xml:space="preserve"> or some providers in a review</w:t>
      </w:r>
      <w:r w:rsidR="00D42BF6">
        <w:rPr>
          <w:spacing w:val="-2"/>
        </w:rPr>
        <w:t>,</w:t>
      </w:r>
      <w:r w:rsidR="00F34F51">
        <w:rPr>
          <w:spacing w:val="-2"/>
        </w:rPr>
        <w:t xml:space="preserve"> an abridged report may be issued that will have inci</w:t>
      </w:r>
      <w:r w:rsidR="00755113">
        <w:rPr>
          <w:spacing w:val="-2"/>
        </w:rPr>
        <w:t xml:space="preserve">dental findings outside the review scope but </w:t>
      </w:r>
      <w:r w:rsidR="00367F9F">
        <w:rPr>
          <w:spacing w:val="-2"/>
        </w:rPr>
        <w:t xml:space="preserve">identifying where providers are </w:t>
      </w:r>
      <w:r w:rsidR="00755113">
        <w:rPr>
          <w:spacing w:val="-2"/>
        </w:rPr>
        <w:t>non-compliant with</w:t>
      </w:r>
      <w:r w:rsidR="00350694">
        <w:rPr>
          <w:spacing w:val="-2"/>
        </w:rPr>
        <w:t xml:space="preserve"> program guidelines.</w:t>
      </w:r>
      <w:r w:rsidR="00367F9F">
        <w:rPr>
          <w:spacing w:val="-2"/>
        </w:rPr>
        <w:t xml:space="preserve"> A letter of findings may be issued to providers where there are no findings of concern.</w:t>
      </w:r>
    </w:p>
    <w:p w14:paraId="16FA4152" w14:textId="65723F46" w:rsidR="00EA2D41" w:rsidRPr="00975349" w:rsidRDefault="00EA2D41" w:rsidP="00DA2669">
      <w:pPr>
        <w:pStyle w:val="ListBullet"/>
      </w:pPr>
      <w:r w:rsidRPr="008F49B0">
        <w:t xml:space="preserve">Review </w:t>
      </w:r>
      <w:r w:rsidR="0090380A" w:rsidRPr="008F49B0">
        <w:t>s</w:t>
      </w:r>
      <w:r w:rsidRPr="008F49B0">
        <w:t xml:space="preserve">ummary </w:t>
      </w:r>
      <w:r w:rsidR="0090380A" w:rsidRPr="008F49B0">
        <w:t>r</w:t>
      </w:r>
      <w:r w:rsidRPr="008F49B0">
        <w:t xml:space="preserve">eport: </w:t>
      </w:r>
      <w:r w:rsidRPr="00975349">
        <w:t xml:space="preserve">In addition to the </w:t>
      </w:r>
      <w:r w:rsidR="008F66E2">
        <w:t>p</w:t>
      </w:r>
      <w:r w:rsidRPr="00975349">
        <w:t xml:space="preserve">rovider </w:t>
      </w:r>
      <w:r w:rsidR="008F66E2">
        <w:t>r</w:t>
      </w:r>
      <w:r w:rsidRPr="00975349">
        <w:t xml:space="preserve">eports, the </w:t>
      </w:r>
      <w:r w:rsidR="00863008">
        <w:t>department</w:t>
      </w:r>
      <w:r w:rsidRPr="00975349">
        <w:t xml:space="preserve"> will prepare a </w:t>
      </w:r>
      <w:r w:rsidR="008C38EE">
        <w:t>r</w:t>
      </w:r>
      <w:r w:rsidRPr="00975349">
        <w:t xml:space="preserve">eview </w:t>
      </w:r>
      <w:r w:rsidR="008C38EE">
        <w:t>s</w:t>
      </w:r>
      <w:r w:rsidRPr="00975349">
        <w:t xml:space="preserve">ummary </w:t>
      </w:r>
      <w:r w:rsidR="008C38EE">
        <w:t>r</w:t>
      </w:r>
      <w:r w:rsidRPr="00975349">
        <w:t xml:space="preserve">eport, which may include aggregated findings, observations in relation to relevant </w:t>
      </w:r>
      <w:r w:rsidR="008C38EE">
        <w:t>p</w:t>
      </w:r>
      <w:r w:rsidRPr="00975349">
        <w:t xml:space="preserve">roviders, better practices identified, areas for improvement and key themes from all </w:t>
      </w:r>
      <w:r w:rsidR="008C38EE">
        <w:t>p</w:t>
      </w:r>
      <w:r w:rsidRPr="00975349">
        <w:t xml:space="preserve">roviders involved in the </w:t>
      </w:r>
      <w:r w:rsidR="008C38EE">
        <w:t>a</w:t>
      </w:r>
      <w:r w:rsidRPr="00975349">
        <w:t xml:space="preserve">ssurance </w:t>
      </w:r>
      <w:r w:rsidR="008C38EE">
        <w:t>r</w:t>
      </w:r>
      <w:r w:rsidRPr="00975349">
        <w:t xml:space="preserve">eview. Observations for this report will be drawn from the content of the </w:t>
      </w:r>
      <w:r w:rsidR="00E07244">
        <w:t>p</w:t>
      </w:r>
      <w:r w:rsidRPr="00975349">
        <w:t xml:space="preserve">rovider </w:t>
      </w:r>
      <w:r w:rsidR="00E07244">
        <w:t>r</w:t>
      </w:r>
      <w:r w:rsidRPr="00975349">
        <w:t>eport</w:t>
      </w:r>
      <w:r w:rsidR="00AE21AA">
        <w:t>s</w:t>
      </w:r>
      <w:r w:rsidRPr="00975349">
        <w:t xml:space="preserve">. </w:t>
      </w:r>
      <w:r w:rsidR="00FB0347">
        <w:t>This report is likely to be published</w:t>
      </w:r>
      <w:r w:rsidRPr="00975349">
        <w:t xml:space="preserve">. </w:t>
      </w:r>
    </w:p>
    <w:p w14:paraId="746C71C9" w14:textId="49E18BCB" w:rsidR="00EA2D41" w:rsidRDefault="00EA2D41" w:rsidP="00DA2669">
      <w:pPr>
        <w:pStyle w:val="PwCNormal"/>
      </w:pPr>
      <w:r w:rsidRPr="00975349">
        <w:t xml:space="preserve">Following the </w:t>
      </w:r>
      <w:r w:rsidR="00955022">
        <w:t>publication</w:t>
      </w:r>
      <w:r w:rsidRPr="00975349">
        <w:t xml:space="preserve"> of the </w:t>
      </w:r>
      <w:r w:rsidR="00E07244">
        <w:t>r</w:t>
      </w:r>
      <w:r w:rsidRPr="00975349">
        <w:t xml:space="preserve">eview </w:t>
      </w:r>
      <w:r w:rsidR="00E07244">
        <w:t>s</w:t>
      </w:r>
      <w:r w:rsidRPr="00975349">
        <w:t xml:space="preserve">ummary </w:t>
      </w:r>
      <w:r w:rsidR="00E07244">
        <w:t>r</w:t>
      </w:r>
      <w:r w:rsidRPr="00975349">
        <w:t xml:space="preserve">eport, the </w:t>
      </w:r>
      <w:r w:rsidR="00E07244">
        <w:t>c</w:t>
      </w:r>
      <w:r w:rsidRPr="00975349">
        <w:t xml:space="preserve">ommunity of </w:t>
      </w:r>
      <w:r w:rsidR="00E07244">
        <w:t>p</w:t>
      </w:r>
      <w:r w:rsidRPr="00975349">
        <w:t>ractice will be used to share systemic HCP Program issues</w:t>
      </w:r>
      <w:r w:rsidR="00D94565" w:rsidRPr="00975349">
        <w:t>/</w:t>
      </w:r>
      <w:r w:rsidRPr="00975349">
        <w:t xml:space="preserve">findings and obtain feedback from </w:t>
      </w:r>
      <w:r w:rsidR="0015493B">
        <w:t>p</w:t>
      </w:r>
      <w:r w:rsidRPr="00975349">
        <w:t xml:space="preserve">roviders on the process of conducting </w:t>
      </w:r>
      <w:r w:rsidR="00915063">
        <w:t>a</w:t>
      </w:r>
      <w:r w:rsidRPr="00975349">
        <w:t xml:space="preserve">ssurance </w:t>
      </w:r>
      <w:r w:rsidR="00915063">
        <w:t>r</w:t>
      </w:r>
      <w:r w:rsidRPr="00975349">
        <w:t xml:space="preserve">eviews, including what worked well and areas for improvement. The </w:t>
      </w:r>
      <w:r w:rsidR="0015493B">
        <w:t>c</w:t>
      </w:r>
      <w:r w:rsidRPr="00975349">
        <w:t xml:space="preserve">ommunity of </w:t>
      </w:r>
      <w:r w:rsidR="0015493B">
        <w:t>p</w:t>
      </w:r>
      <w:r w:rsidRPr="00975349">
        <w:t xml:space="preserve">ractice will also be an opportunity for </w:t>
      </w:r>
      <w:r w:rsidR="0015493B">
        <w:t>p</w:t>
      </w:r>
      <w:r w:rsidRPr="00975349">
        <w:t>roviders to help improve the HCP Program guidance and requirements.</w:t>
      </w:r>
    </w:p>
    <w:p w14:paraId="597E2C0E" w14:textId="7D87EDFE" w:rsidR="0077679E" w:rsidRPr="00975349" w:rsidRDefault="0077679E" w:rsidP="002311EE">
      <w:pPr>
        <w:pStyle w:val="Heading3"/>
      </w:pPr>
      <w:r>
        <w:t>Dispute resolution</w:t>
      </w:r>
    </w:p>
    <w:p w14:paraId="26FFA30F" w14:textId="0288534D" w:rsidR="00EA2D41" w:rsidRPr="0092764F" w:rsidRDefault="00EA2D41" w:rsidP="0092764F">
      <w:pPr>
        <w:pStyle w:val="PwCNormal"/>
      </w:pPr>
      <w:r w:rsidRPr="0092764F">
        <w:t xml:space="preserve">Where a </w:t>
      </w:r>
      <w:r w:rsidR="0015493B" w:rsidRPr="0092764F">
        <w:t>p</w:t>
      </w:r>
      <w:r w:rsidRPr="0092764F">
        <w:t xml:space="preserve">rovider needs to dispute any part of the </w:t>
      </w:r>
      <w:r w:rsidR="00915063" w:rsidRPr="0092764F">
        <w:t>a</w:t>
      </w:r>
      <w:r w:rsidRPr="0092764F">
        <w:t xml:space="preserve">ssurance </w:t>
      </w:r>
      <w:r w:rsidR="00915063" w:rsidRPr="0092764F">
        <w:t>r</w:t>
      </w:r>
      <w:r w:rsidRPr="0092764F">
        <w:t xml:space="preserve">eviews undertaken, including where a </w:t>
      </w:r>
      <w:r w:rsidR="00FF4639" w:rsidRPr="0092764F">
        <w:t>p</w:t>
      </w:r>
      <w:r w:rsidRPr="0092764F">
        <w:t xml:space="preserve">rovider disagrees with the findings of the </w:t>
      </w:r>
      <w:r w:rsidR="00915063" w:rsidRPr="0092764F">
        <w:t>a</w:t>
      </w:r>
      <w:r w:rsidRPr="0092764F">
        <w:t xml:space="preserve">ssurance </w:t>
      </w:r>
      <w:r w:rsidR="00915063" w:rsidRPr="0092764F">
        <w:t>r</w:t>
      </w:r>
      <w:r w:rsidRPr="0092764F">
        <w:t xml:space="preserve">eviews, the </w:t>
      </w:r>
      <w:r w:rsidR="00FF4639" w:rsidRPr="0092764F">
        <w:t>p</w:t>
      </w:r>
      <w:r w:rsidRPr="0092764F">
        <w:t>rovider will be able to raise concerns:</w:t>
      </w:r>
    </w:p>
    <w:p w14:paraId="381F4F8A" w14:textId="4467181A" w:rsidR="00EA2D41" w:rsidRPr="00975349" w:rsidRDefault="00EA2D41" w:rsidP="00DA2669">
      <w:pPr>
        <w:pStyle w:val="ListBullet"/>
      </w:pPr>
      <w:r w:rsidRPr="00975349">
        <w:t xml:space="preserve">initially directly with their assigned </w:t>
      </w:r>
      <w:r w:rsidR="00B362AB">
        <w:t>r</w:t>
      </w:r>
      <w:r w:rsidRPr="00975349">
        <w:t xml:space="preserve">eview </w:t>
      </w:r>
      <w:r w:rsidR="00B362AB">
        <w:t>o</w:t>
      </w:r>
      <w:r w:rsidRPr="00975349">
        <w:t>fficers</w:t>
      </w:r>
      <w:r w:rsidR="00F67FC0">
        <w:t>. T</w:t>
      </w:r>
      <w:r w:rsidRPr="00975349">
        <w:t>he Director of the</w:t>
      </w:r>
      <w:r w:rsidR="00C86952">
        <w:t xml:space="preserve"> relevant</w:t>
      </w:r>
      <w:r w:rsidRPr="00975349">
        <w:t xml:space="preserve"> Program Assurance Reviews Section will work in good faith to resolve the issues</w:t>
      </w:r>
      <w:r w:rsidR="00F67FC0">
        <w:t>,</w:t>
      </w:r>
      <w:r w:rsidRPr="00975349">
        <w:t xml:space="preserve"> however, if unresolved, then </w:t>
      </w:r>
    </w:p>
    <w:p w14:paraId="243B39DA" w14:textId="51E88F2B" w:rsidR="00EA2D41" w:rsidRPr="00975349" w:rsidRDefault="00EA2D41" w:rsidP="00DA2669">
      <w:pPr>
        <w:pStyle w:val="ListBullet"/>
      </w:pPr>
      <w:r w:rsidRPr="00975349">
        <w:t>with the Assistant Secretary</w:t>
      </w:r>
      <w:r w:rsidR="00F67FC0">
        <w:t xml:space="preserve"> (AS)</w:t>
      </w:r>
      <w:r w:rsidRPr="00975349">
        <w:t>, Program Assurance Branch (PAB), and, if still dissatisfied,</w:t>
      </w:r>
    </w:p>
    <w:p w14:paraId="0F271612" w14:textId="2F3B380A" w:rsidR="00EA2D41" w:rsidRPr="00975349" w:rsidRDefault="00EA2D41" w:rsidP="00DA2669">
      <w:pPr>
        <w:pStyle w:val="ListBullet"/>
      </w:pPr>
      <w:r w:rsidRPr="00975349">
        <w:t>with the First Assistant Secretary</w:t>
      </w:r>
      <w:r w:rsidR="00F67FC0">
        <w:t xml:space="preserve"> (FAS)</w:t>
      </w:r>
      <w:r w:rsidRPr="00975349">
        <w:t xml:space="preserve">, Quality and Assurance Division (QAD). </w:t>
      </w:r>
    </w:p>
    <w:p w14:paraId="672A376B" w14:textId="1ED4EE11" w:rsidR="00EA2D41" w:rsidRPr="00975349" w:rsidRDefault="00EA2D41" w:rsidP="00DA2669">
      <w:pPr>
        <w:pStyle w:val="PwCNormal"/>
      </w:pPr>
      <w:r w:rsidRPr="00975349">
        <w:t xml:space="preserve">Requests will need to be made in writing (within 10 business days of the </w:t>
      </w:r>
      <w:r w:rsidR="00863008">
        <w:t>department</w:t>
      </w:r>
      <w:r w:rsidRPr="00975349">
        <w:t xml:space="preserve">’s decision/outcome being known to the </w:t>
      </w:r>
      <w:r w:rsidR="00FF4639">
        <w:t>p</w:t>
      </w:r>
      <w:r w:rsidRPr="00975349">
        <w:t>rovider) and include the following:</w:t>
      </w:r>
    </w:p>
    <w:p w14:paraId="599D0472" w14:textId="055EECDD" w:rsidR="00EA2D41" w:rsidRPr="00975349" w:rsidRDefault="00EA2D41" w:rsidP="00DA2669">
      <w:pPr>
        <w:pStyle w:val="ListBullet"/>
      </w:pPr>
      <w:r w:rsidRPr="00975349">
        <w:t xml:space="preserve">a clear request for an internal review of the decision/finding, advising the reason for disputing the </w:t>
      </w:r>
      <w:r w:rsidR="00B554BC" w:rsidRPr="00975349">
        <w:t>finding.</w:t>
      </w:r>
    </w:p>
    <w:p w14:paraId="77C07DED" w14:textId="2398FB11" w:rsidR="00EA2D41" w:rsidRPr="00975349" w:rsidRDefault="00EA2D41" w:rsidP="00DA2669">
      <w:pPr>
        <w:pStyle w:val="ListBullet"/>
      </w:pPr>
      <w:r w:rsidRPr="00975349">
        <w:t>verifiable information to support the claims/rationale for seeking a review.</w:t>
      </w:r>
    </w:p>
    <w:p w14:paraId="1193B923" w14:textId="7F629420" w:rsidR="00EA2D41" w:rsidRPr="00975349" w:rsidRDefault="00EA2D41" w:rsidP="00DA2669">
      <w:pPr>
        <w:pStyle w:val="PwCNormal"/>
      </w:pPr>
      <w:r w:rsidRPr="00975349">
        <w:t>A written response by the relevant Delegate (AS PAB/FAS QAD) will be provided within 10 business days of a valid request being received.</w:t>
      </w:r>
    </w:p>
    <w:p w14:paraId="012CD0EA" w14:textId="3EE48D73" w:rsidR="00EA2D41" w:rsidRPr="00975349" w:rsidRDefault="00EA2D41" w:rsidP="00DA2669">
      <w:pPr>
        <w:pStyle w:val="PwCNormal"/>
      </w:pPr>
      <w:r w:rsidRPr="00975349">
        <w:rPr>
          <w:spacing w:val="-4"/>
        </w:rPr>
        <w:t xml:space="preserve">Once the FAS QAD has made a decision as the final </w:t>
      </w:r>
      <w:r w:rsidR="00F67FC0">
        <w:rPr>
          <w:spacing w:val="-4"/>
        </w:rPr>
        <w:t>d</w:t>
      </w:r>
      <w:r w:rsidRPr="00975349">
        <w:rPr>
          <w:spacing w:val="-4"/>
        </w:rPr>
        <w:t>elegate in a dispute resolution process, no further requests will be possible</w:t>
      </w:r>
      <w:r w:rsidRPr="00975349">
        <w:t>.</w:t>
      </w:r>
    </w:p>
    <w:p w14:paraId="077CA03A" w14:textId="77777777" w:rsidR="00DA2669" w:rsidRPr="00975349" w:rsidRDefault="00DA2669" w:rsidP="00B33B05">
      <w:pPr>
        <w:pStyle w:val="PwCNormal"/>
        <w:sectPr w:rsidR="00DA2669" w:rsidRPr="00975349" w:rsidSect="00C84D9B">
          <w:pgSz w:w="11907" w:h="16840" w:code="9"/>
          <w:pgMar w:top="1588" w:right="1021" w:bottom="1134" w:left="1021" w:header="567" w:footer="567" w:gutter="0"/>
          <w:cols w:space="227"/>
          <w:titlePg/>
          <w:docGrid w:linePitch="360"/>
        </w:sectPr>
      </w:pPr>
      <w:bookmarkStart w:id="48" w:name="_Toc83980010"/>
    </w:p>
    <w:p w14:paraId="41264F31" w14:textId="26EA22DC" w:rsidR="00EA2D41" w:rsidRPr="00975349" w:rsidRDefault="00EA2D41" w:rsidP="002311EE">
      <w:pPr>
        <w:pStyle w:val="Heading1"/>
      </w:pPr>
      <w:bookmarkStart w:id="49" w:name="_Toc158806623"/>
      <w:r w:rsidRPr="00975349">
        <w:lastRenderedPageBreak/>
        <w:t xml:space="preserve">Assurance </w:t>
      </w:r>
      <w:r w:rsidR="00D1054F">
        <w:t>f</w:t>
      </w:r>
      <w:r w:rsidRPr="00975349">
        <w:t>ramework benefits</w:t>
      </w:r>
      <w:bookmarkEnd w:id="48"/>
      <w:bookmarkEnd w:id="49"/>
    </w:p>
    <w:p w14:paraId="75B8D491" w14:textId="23DD37F4" w:rsidR="00EA2D41" w:rsidRPr="00975349" w:rsidRDefault="00EA2D41" w:rsidP="002311EE">
      <w:pPr>
        <w:pStyle w:val="Heading2"/>
      </w:pPr>
      <w:bookmarkStart w:id="50" w:name="_Toc158806624"/>
      <w:r w:rsidRPr="00975349">
        <w:t>Benefits overview</w:t>
      </w:r>
      <w:bookmarkEnd w:id="50"/>
    </w:p>
    <w:p w14:paraId="4EBFA507" w14:textId="39CBC3D8" w:rsidR="00EA2D41" w:rsidRPr="00975349" w:rsidRDefault="00EA2D41" w:rsidP="00DA2669">
      <w:pPr>
        <w:pStyle w:val="PwCNormal"/>
      </w:pPr>
      <w:r w:rsidRPr="00975349">
        <w:t xml:space="preserve">Through </w:t>
      </w:r>
      <w:r w:rsidR="005468D9">
        <w:t>a</w:t>
      </w:r>
      <w:r w:rsidRPr="00975349">
        <w:t xml:space="preserve">ssurance </w:t>
      </w:r>
      <w:r w:rsidR="005468D9">
        <w:t>a</w:t>
      </w:r>
      <w:r w:rsidRPr="00975349">
        <w:t xml:space="preserve">ctivities, the </w:t>
      </w:r>
      <w:r w:rsidR="00863008">
        <w:t>department</w:t>
      </w:r>
      <w:r w:rsidRPr="00975349">
        <w:t xml:space="preserve"> expects to realise </w:t>
      </w:r>
      <w:r w:rsidR="00D1054F">
        <w:t>4</w:t>
      </w:r>
      <w:r w:rsidRPr="00975349">
        <w:t xml:space="preserve"> key benefits outlined in </w:t>
      </w:r>
      <w:r w:rsidR="00BD35C5">
        <w:fldChar w:fldCharType="begin"/>
      </w:r>
      <w:r w:rsidR="00BD35C5">
        <w:instrText xml:space="preserve"> REF _Ref158805440 \h </w:instrText>
      </w:r>
      <w:r w:rsidR="00BD35C5">
        <w:fldChar w:fldCharType="separate"/>
      </w:r>
      <w:r w:rsidR="00BD35C5" w:rsidRPr="00975349">
        <w:t xml:space="preserve">Figure </w:t>
      </w:r>
      <w:r w:rsidR="00BD35C5">
        <w:rPr>
          <w:noProof/>
        </w:rPr>
        <w:t>8</w:t>
      </w:r>
      <w:r w:rsidR="00BD35C5">
        <w:fldChar w:fldCharType="end"/>
      </w:r>
      <w:r w:rsidR="00BD35C5">
        <w:t xml:space="preserve"> </w:t>
      </w:r>
      <w:r w:rsidRPr="00975349">
        <w:t xml:space="preserve">below. </w:t>
      </w:r>
    </w:p>
    <w:p w14:paraId="6C4D93FF" w14:textId="3D9579E6" w:rsidR="00EA2D41" w:rsidRDefault="00DA2669" w:rsidP="00DA2669">
      <w:pPr>
        <w:pStyle w:val="Caption"/>
      </w:pPr>
      <w:bookmarkStart w:id="51" w:name="_Ref158805440"/>
      <w:r w:rsidRPr="00975349">
        <w:t xml:space="preserve">Figure </w:t>
      </w:r>
      <w:fldSimple w:instr=" SEQ Figure \* ARABIC ">
        <w:r w:rsidR="00F87264">
          <w:rPr>
            <w:noProof/>
          </w:rPr>
          <w:t>8</w:t>
        </w:r>
      </w:fldSimple>
      <w:bookmarkEnd w:id="51"/>
      <w:r w:rsidRPr="00975349">
        <w:t xml:space="preserve">: </w:t>
      </w:r>
      <w:r w:rsidR="00EA2D41" w:rsidRPr="00975349">
        <w:t xml:space="preserve">Program </w:t>
      </w:r>
      <w:r w:rsidR="00D172C2">
        <w:t>a</w:t>
      </w:r>
      <w:r w:rsidR="00EA2D41" w:rsidRPr="00975349">
        <w:t xml:space="preserve">ssurance </w:t>
      </w:r>
      <w:r w:rsidR="00D172C2">
        <w:t>f</w:t>
      </w:r>
      <w:r w:rsidR="00EA2D41" w:rsidRPr="00975349">
        <w:t>ramework benefits</w:t>
      </w:r>
    </w:p>
    <w:p w14:paraId="53435C2B" w14:textId="71E3BBB1" w:rsidR="00DA2669" w:rsidRPr="00975349" w:rsidRDefault="004569DE" w:rsidP="00DA2669">
      <w:pPr>
        <w:pStyle w:val="PwCNormal"/>
      </w:pPr>
      <w:r>
        <w:rPr>
          <w:noProof/>
          <w:snapToGrid/>
        </w:rPr>
        <w:drawing>
          <wp:inline distT="0" distB="0" distL="0" distR="0" wp14:anchorId="48A45FB3" wp14:editId="655750C5">
            <wp:extent cx="3264619" cy="3140015"/>
            <wp:effectExtent l="0" t="0" r="0" b="3810"/>
            <wp:docPr id="528" name="Picture 528" descr="Figure 8 is a image showing the Program assurance framework benefits. These benefits are:&#10;1. Greater value for money for care recipients and taxpayers through enhanced program integrity&#10;2. Better informed providers through education and capability uplift, including through the community of practice&#10;3. Improved community confidence in the sector&#10;4. Ongoing improvements to the HCP Program, benefitting providers and care recip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Figure 8 is a image showing the Program assurance framework benefits. These benefits are:&#10;1. Greater value for money for care recipients and taxpayers through enhanced program integrity&#10;2. Better informed providers through education and capability uplift, including through the community of practice&#10;3. Improved community confidence in the sector&#10;4. Ongoing improvements to the HCP Program, benefitting providers and care recipients"/>
                    <pic:cNvPicPr/>
                  </pic:nvPicPr>
                  <pic:blipFill>
                    <a:blip r:embed="rId39"/>
                    <a:stretch>
                      <a:fillRect/>
                    </a:stretch>
                  </pic:blipFill>
                  <pic:spPr>
                    <a:xfrm>
                      <a:off x="0" y="0"/>
                      <a:ext cx="3269293" cy="3144511"/>
                    </a:xfrm>
                    <a:prstGeom prst="rect">
                      <a:avLst/>
                    </a:prstGeom>
                  </pic:spPr>
                </pic:pic>
              </a:graphicData>
            </a:graphic>
          </wp:inline>
        </w:drawing>
      </w:r>
    </w:p>
    <w:p w14:paraId="3EA75681" w14:textId="04162AFD" w:rsidR="00EA2D41" w:rsidRPr="00975349" w:rsidRDefault="00EA2D41" w:rsidP="002311EE">
      <w:pPr>
        <w:pStyle w:val="Heading2"/>
      </w:pPr>
      <w:bookmarkStart w:id="52" w:name="_Toc158806625"/>
      <w:r w:rsidRPr="00975349">
        <w:t>Greater value for money for care recipients and taxpayers through enhanced program integrity</w:t>
      </w:r>
      <w:bookmarkEnd w:id="52"/>
    </w:p>
    <w:p w14:paraId="23C37919" w14:textId="03E060E0" w:rsidR="00EA2D41" w:rsidRPr="002F24FF" w:rsidRDefault="00EA2D41" w:rsidP="00015621">
      <w:pPr>
        <w:pStyle w:val="PwCNormal"/>
      </w:pPr>
      <w:r w:rsidRPr="00975349">
        <w:t xml:space="preserve">This benefit will apply to all current and future care recipients under the HCP Program. Care recipients will benefit from increased cost transparency and value for money for their package funds. They will be empowered through information to secure the best value for money for their individual needs or change </w:t>
      </w:r>
      <w:r w:rsidR="00AE6761">
        <w:t>p</w:t>
      </w:r>
      <w:r w:rsidRPr="00975349">
        <w:t>roviders to achieve a better pricing outcome.</w:t>
      </w:r>
    </w:p>
    <w:p w14:paraId="0F0FD105" w14:textId="4F08DB9D" w:rsidR="00EA2D41" w:rsidRPr="0092764F" w:rsidRDefault="00EA2D41" w:rsidP="0092764F">
      <w:pPr>
        <w:pStyle w:val="PwCNormal"/>
      </w:pPr>
      <w:r w:rsidRPr="0092764F">
        <w:t xml:space="preserve">The findings and reports from the </w:t>
      </w:r>
      <w:r w:rsidR="00860D6A" w:rsidRPr="0092764F">
        <w:t>a</w:t>
      </w:r>
      <w:r w:rsidRPr="0092764F">
        <w:t xml:space="preserve">ssurance </w:t>
      </w:r>
      <w:r w:rsidR="00860D6A" w:rsidRPr="0092764F">
        <w:t>a</w:t>
      </w:r>
      <w:r w:rsidRPr="0092764F">
        <w:t xml:space="preserve">ctivities aim to improve the value for money of the services provided by </w:t>
      </w:r>
      <w:r w:rsidR="00BB6627" w:rsidRPr="0092764F">
        <w:t>p</w:t>
      </w:r>
      <w:r w:rsidRPr="0092764F">
        <w:t xml:space="preserve">roviders and aim to serve care recipients and the </w:t>
      </w:r>
      <w:r w:rsidR="00920596" w:rsidRPr="0092764F">
        <w:t xml:space="preserve">government </w:t>
      </w:r>
      <w:r w:rsidRPr="0092764F">
        <w:t>by assuring the use of funds are:</w:t>
      </w:r>
    </w:p>
    <w:p w14:paraId="6CD25580" w14:textId="21DDEC34" w:rsidR="00EA2D41" w:rsidRPr="00975349" w:rsidRDefault="00131269" w:rsidP="00015621">
      <w:pPr>
        <w:pStyle w:val="ListBullet"/>
      </w:pPr>
      <w:r>
        <w:t>e</w:t>
      </w:r>
      <w:r w:rsidR="00EA2D41" w:rsidRPr="00975349">
        <w:t>fficient</w:t>
      </w:r>
      <w:r w:rsidR="00D94565" w:rsidRPr="00975349">
        <w:t xml:space="preserve"> – </w:t>
      </w:r>
      <w:r w:rsidR="00EA2D41" w:rsidRPr="00975349">
        <w:t>the maximum value is provided for the cost of the goods and services</w:t>
      </w:r>
    </w:p>
    <w:p w14:paraId="5C27018A" w14:textId="59BB5C62" w:rsidR="00EA2D41" w:rsidRPr="00975349" w:rsidRDefault="00131269" w:rsidP="00015621">
      <w:pPr>
        <w:pStyle w:val="ListBullet"/>
      </w:pPr>
      <w:r>
        <w:t>e</w:t>
      </w:r>
      <w:r w:rsidR="00EA2D41" w:rsidRPr="00975349">
        <w:t>ffective</w:t>
      </w:r>
      <w:r w:rsidR="00D94565" w:rsidRPr="00975349">
        <w:t xml:space="preserve"> – </w:t>
      </w:r>
      <w:r w:rsidR="00EA2D41" w:rsidRPr="00975349">
        <w:t>meet</w:t>
      </w:r>
      <w:r>
        <w:t>s</w:t>
      </w:r>
      <w:r w:rsidR="00EA2D41" w:rsidRPr="00975349">
        <w:t xml:space="preserve"> the needs of the care recipient within the time they require it</w:t>
      </w:r>
    </w:p>
    <w:p w14:paraId="5F72F6A7" w14:textId="03D3FF1C" w:rsidR="00EA2D41" w:rsidRPr="00975349" w:rsidRDefault="00131269" w:rsidP="00015621">
      <w:pPr>
        <w:pStyle w:val="ListBullet"/>
      </w:pPr>
      <w:r>
        <w:t>j</w:t>
      </w:r>
      <w:r w:rsidR="00EA2D41" w:rsidRPr="00975349">
        <w:t>ustified</w:t>
      </w:r>
      <w:r w:rsidR="00D94565" w:rsidRPr="00975349">
        <w:t xml:space="preserve"> – </w:t>
      </w:r>
      <w:r w:rsidR="00B207EB">
        <w:t>p</w:t>
      </w:r>
      <w:r w:rsidR="00EA2D41" w:rsidRPr="00975349">
        <w:t xml:space="preserve">roviders are able to justify (through verifiable information provided to the </w:t>
      </w:r>
      <w:r w:rsidR="000B4A4C">
        <w:t>r</w:t>
      </w:r>
      <w:r w:rsidR="00EA2D41" w:rsidRPr="00975349">
        <w:t xml:space="preserve">eview </w:t>
      </w:r>
      <w:r w:rsidR="000B4A4C">
        <w:t>t</w:t>
      </w:r>
      <w:r w:rsidR="00EA2D41" w:rsidRPr="00975349">
        <w:t>eam) their charges to care</w:t>
      </w:r>
      <w:r w:rsidR="00E01FF4" w:rsidRPr="00975349">
        <w:t> </w:t>
      </w:r>
      <w:r w:rsidR="00EA2D41" w:rsidRPr="00975349">
        <w:t>recipients.</w:t>
      </w:r>
    </w:p>
    <w:p w14:paraId="75C6C792" w14:textId="77777777" w:rsidR="00EA2D41" w:rsidRPr="0092764F" w:rsidRDefault="00EA2D41" w:rsidP="0092764F">
      <w:pPr>
        <w:pStyle w:val="PwCNormal"/>
      </w:pPr>
      <w:r w:rsidRPr="0092764F">
        <w:t>This benefit will be measured by:</w:t>
      </w:r>
    </w:p>
    <w:p w14:paraId="65E32C50" w14:textId="19C56A85" w:rsidR="00EA2D41" w:rsidRPr="00975349" w:rsidRDefault="00EA2D41" w:rsidP="00015621">
      <w:pPr>
        <w:pStyle w:val="ListBullet"/>
      </w:pPr>
      <w:r w:rsidRPr="00975349">
        <w:t xml:space="preserve">subsequent </w:t>
      </w:r>
      <w:r w:rsidR="000B4A4C">
        <w:t>r</w:t>
      </w:r>
      <w:r w:rsidRPr="00975349">
        <w:t xml:space="preserve">eviews find minimal number of </w:t>
      </w:r>
      <w:r w:rsidR="000B4A4C">
        <w:t>p</w:t>
      </w:r>
      <w:r w:rsidRPr="00975349">
        <w:t>roviders who cannot justify, through verifiable information provide</w:t>
      </w:r>
      <w:r w:rsidR="00324768">
        <w:t>d</w:t>
      </w:r>
      <w:r w:rsidRPr="00975349">
        <w:t xml:space="preserve"> to the </w:t>
      </w:r>
      <w:r w:rsidR="00863008">
        <w:t>department</w:t>
      </w:r>
      <w:r w:rsidRPr="00975349">
        <w:t xml:space="preserve">’s </w:t>
      </w:r>
      <w:r w:rsidR="007E2B11">
        <w:t>r</w:t>
      </w:r>
      <w:r w:rsidRPr="00975349">
        <w:t xml:space="preserve">eview </w:t>
      </w:r>
      <w:r w:rsidR="007E2B11">
        <w:t>t</w:t>
      </w:r>
      <w:r w:rsidRPr="00975349">
        <w:t>eams, their charges to care recipients</w:t>
      </w:r>
    </w:p>
    <w:p w14:paraId="5727F811" w14:textId="677325AE" w:rsidR="00EA2D41" w:rsidRPr="00975349" w:rsidRDefault="00EA2D41" w:rsidP="00015621">
      <w:pPr>
        <w:pStyle w:val="ListBullet"/>
      </w:pPr>
      <w:r w:rsidRPr="00975349">
        <w:t xml:space="preserve">increased proportion of HCP Program funds going towards direct service delivery, measurable through </w:t>
      </w:r>
      <w:r w:rsidR="007E2B11">
        <w:t>r</w:t>
      </w:r>
      <w:r w:rsidRPr="00975349">
        <w:t xml:space="preserve">eview activity and/or existing sector </w:t>
      </w:r>
      <w:r w:rsidR="00FA64E0">
        <w:t>reports</w:t>
      </w:r>
      <w:r w:rsidR="00FA64E0" w:rsidRPr="00975349">
        <w:t xml:space="preserve"> </w:t>
      </w:r>
      <w:r w:rsidRPr="00975349">
        <w:t xml:space="preserve">(e.g. </w:t>
      </w:r>
      <w:r w:rsidR="00FA64E0">
        <w:t>Quarterly Financial Report</w:t>
      </w:r>
      <w:r w:rsidRPr="00975349">
        <w:t>)</w:t>
      </w:r>
    </w:p>
    <w:p w14:paraId="33647972" w14:textId="1856A07B" w:rsidR="00EA2D41" w:rsidRPr="00975349" w:rsidRDefault="00EA2D41" w:rsidP="00015621">
      <w:pPr>
        <w:pStyle w:val="ListBullet"/>
      </w:pPr>
      <w:r w:rsidRPr="00975349">
        <w:t>feedback from care recipients/consumer peak bodies (e.g. O</w:t>
      </w:r>
      <w:r w:rsidR="00131269">
        <w:t>lder Persons Advocacy Network</w:t>
      </w:r>
      <w:r w:rsidRPr="00975349">
        <w:t xml:space="preserve">) that </w:t>
      </w:r>
      <w:r w:rsidR="00AE6761">
        <w:t>p</w:t>
      </w:r>
      <w:r w:rsidRPr="00975349">
        <w:t>roviders’ pricing arrangements (including in relation to indirect charges) are clearer to care recipients.</w:t>
      </w:r>
    </w:p>
    <w:p w14:paraId="32F936AF" w14:textId="52928F0F" w:rsidR="00EA2D41" w:rsidRPr="00975349" w:rsidRDefault="00EA2D41" w:rsidP="002311EE">
      <w:pPr>
        <w:pStyle w:val="Heading2"/>
      </w:pPr>
      <w:bookmarkStart w:id="53" w:name="_Toc158806626"/>
      <w:r w:rsidRPr="00975349">
        <w:lastRenderedPageBreak/>
        <w:t xml:space="preserve">Better informed </w:t>
      </w:r>
      <w:r w:rsidR="002C75FE">
        <w:t>p</w:t>
      </w:r>
      <w:r w:rsidRPr="00975349">
        <w:t xml:space="preserve">roviders through education and capability uplift, including through the </w:t>
      </w:r>
      <w:r w:rsidR="002C75FE">
        <w:t>c</w:t>
      </w:r>
      <w:r w:rsidRPr="00975349">
        <w:t xml:space="preserve">ommunity of </w:t>
      </w:r>
      <w:r w:rsidR="002C75FE">
        <w:t>p</w:t>
      </w:r>
      <w:r w:rsidRPr="00975349">
        <w:t>ractice</w:t>
      </w:r>
      <w:bookmarkEnd w:id="53"/>
    </w:p>
    <w:p w14:paraId="123F7A75" w14:textId="114FF229" w:rsidR="00EA2D41" w:rsidRPr="00975349" w:rsidRDefault="00EA2D41" w:rsidP="00015621">
      <w:pPr>
        <w:pStyle w:val="PwCNormal"/>
      </w:pPr>
      <w:r w:rsidRPr="00975349">
        <w:t xml:space="preserve">A core benefit of this </w:t>
      </w:r>
      <w:r w:rsidR="00600799">
        <w:t>a</w:t>
      </w:r>
      <w:r w:rsidRPr="00975349">
        <w:t xml:space="preserve">ssurance </w:t>
      </w:r>
      <w:r w:rsidR="00600799">
        <w:t>f</w:t>
      </w:r>
      <w:r w:rsidRPr="00975349">
        <w:t xml:space="preserve">ramework will be the identification of areas which are not well understood by </w:t>
      </w:r>
      <w:r w:rsidR="00600799">
        <w:t>p</w:t>
      </w:r>
      <w:r w:rsidRPr="00975349">
        <w:t xml:space="preserve">roviders and refining the guidance material available. The </w:t>
      </w:r>
      <w:r w:rsidR="00863008">
        <w:t>department</w:t>
      </w:r>
      <w:r w:rsidRPr="00975349">
        <w:t xml:space="preserve">'s work will include education of </w:t>
      </w:r>
      <w:r w:rsidR="00307591">
        <w:t>p</w:t>
      </w:r>
      <w:r w:rsidRPr="00975349">
        <w:t xml:space="preserve">roviders to clarify misunderstanding about the application of the rules. Further, the establishment of a </w:t>
      </w:r>
      <w:r w:rsidR="00307591">
        <w:t>c</w:t>
      </w:r>
      <w:r w:rsidRPr="00975349">
        <w:t xml:space="preserve">ommunity of </w:t>
      </w:r>
      <w:r w:rsidR="00307591">
        <w:t>p</w:t>
      </w:r>
      <w:r w:rsidRPr="00975349">
        <w:t xml:space="preserve">ractice will support better practice information sharing across the industry and help to identify common areas requiring further clarity. Through these initiatives, there will be a capability uplift in </w:t>
      </w:r>
      <w:r w:rsidR="00307591">
        <w:t>p</w:t>
      </w:r>
      <w:r w:rsidRPr="00975349">
        <w:t>roviders being able to deliver the right support to care recipients within the requirements of the HCP Program.</w:t>
      </w:r>
    </w:p>
    <w:p w14:paraId="2B28CD37" w14:textId="77777777" w:rsidR="00EA2D41" w:rsidRPr="0092764F" w:rsidRDefault="00EA2D41" w:rsidP="0092764F">
      <w:pPr>
        <w:pStyle w:val="PwCNormal"/>
      </w:pPr>
      <w:r w:rsidRPr="0092764F">
        <w:t>This benefit will be measured by:</w:t>
      </w:r>
    </w:p>
    <w:p w14:paraId="57558B6C" w14:textId="27773AA1" w:rsidR="00EA2D41" w:rsidRPr="00975349" w:rsidRDefault="00EA2D41" w:rsidP="00015621">
      <w:pPr>
        <w:pStyle w:val="ListBullet"/>
      </w:pPr>
      <w:r w:rsidRPr="00975349">
        <w:t xml:space="preserve">the number of </w:t>
      </w:r>
      <w:r w:rsidR="003302EE">
        <w:t>p</w:t>
      </w:r>
      <w:r w:rsidRPr="00975349">
        <w:t xml:space="preserve">roviders engaging with the </w:t>
      </w:r>
      <w:r w:rsidR="00307591">
        <w:t>c</w:t>
      </w:r>
      <w:r w:rsidRPr="00975349">
        <w:t xml:space="preserve">ommunity of </w:t>
      </w:r>
      <w:r w:rsidR="00307591">
        <w:t>p</w:t>
      </w:r>
      <w:r w:rsidRPr="00975349">
        <w:t>ractice</w:t>
      </w:r>
    </w:p>
    <w:p w14:paraId="07D2A347" w14:textId="393BB06B" w:rsidR="00EA2D41" w:rsidRPr="00975349" w:rsidRDefault="00EA2D41" w:rsidP="00015621">
      <w:pPr>
        <w:pStyle w:val="ListBullet"/>
      </w:pPr>
      <w:r w:rsidRPr="00975349">
        <w:t xml:space="preserve">feedback from </w:t>
      </w:r>
      <w:r w:rsidR="003302EE">
        <w:t>p</w:t>
      </w:r>
      <w:r w:rsidRPr="00975349">
        <w:t>roviders/peak bodies of enhanced understanding of program requirements</w:t>
      </w:r>
    </w:p>
    <w:p w14:paraId="36CE83A1" w14:textId="42ACACC5" w:rsidR="00EA2D41" w:rsidRPr="00975349" w:rsidRDefault="00EA2D41" w:rsidP="00015621">
      <w:pPr>
        <w:pStyle w:val="ListBullet"/>
      </w:pPr>
      <w:r w:rsidRPr="00975349">
        <w:t xml:space="preserve">ongoing program </w:t>
      </w:r>
      <w:r w:rsidR="003302EE">
        <w:t>a</w:t>
      </w:r>
      <w:r w:rsidRPr="00975349">
        <w:t xml:space="preserve">ssurance </w:t>
      </w:r>
      <w:r w:rsidR="003302EE">
        <w:t>a</w:t>
      </w:r>
      <w:r w:rsidRPr="00975349">
        <w:t xml:space="preserve">ctivities by the </w:t>
      </w:r>
      <w:r w:rsidR="00863008">
        <w:t>department</w:t>
      </w:r>
      <w:r w:rsidRPr="00975349">
        <w:t xml:space="preserve"> yielding majority positive findings</w:t>
      </w:r>
    </w:p>
    <w:p w14:paraId="2B9C911B" w14:textId="69331898" w:rsidR="00EA2D41" w:rsidRPr="00975349" w:rsidRDefault="00EA2D41" w:rsidP="00015621">
      <w:pPr>
        <w:pStyle w:val="ListBullet"/>
      </w:pPr>
      <w:r w:rsidRPr="00975349">
        <w:t xml:space="preserve">the frequency and types of findings issued in the </w:t>
      </w:r>
      <w:r w:rsidR="003302EE">
        <w:t>a</w:t>
      </w:r>
      <w:r w:rsidRPr="00975349">
        <w:t xml:space="preserve">ssurance </w:t>
      </w:r>
      <w:r w:rsidR="003302EE">
        <w:t>a</w:t>
      </w:r>
      <w:r w:rsidRPr="00975349">
        <w:t>ctivities over time, including root cause analysis where</w:t>
      </w:r>
      <w:r w:rsidR="00E31CF2" w:rsidRPr="00975349">
        <w:t> </w:t>
      </w:r>
      <w:r w:rsidRPr="00975349">
        <w:t xml:space="preserve">appropriate. </w:t>
      </w:r>
    </w:p>
    <w:p w14:paraId="71E66E27" w14:textId="6A171577" w:rsidR="00EA2D41" w:rsidRPr="00975349" w:rsidRDefault="00EA2D41" w:rsidP="00015621">
      <w:pPr>
        <w:pStyle w:val="PwCNormal"/>
      </w:pPr>
      <w:r w:rsidRPr="00975349">
        <w:t xml:space="preserve">Providers should note that the </w:t>
      </w:r>
      <w:r w:rsidR="00863008">
        <w:t>department</w:t>
      </w:r>
      <w:r w:rsidRPr="00975349">
        <w:t xml:space="preserve"> is legally obliged to address any suspected intentional misuse of funds</w:t>
      </w:r>
      <w:r w:rsidR="00D94565" w:rsidRPr="00975349">
        <w:t>/</w:t>
      </w:r>
      <w:r w:rsidRPr="00975349">
        <w:t xml:space="preserve">fraud identified through the </w:t>
      </w:r>
      <w:r w:rsidR="00E54178">
        <w:t>a</w:t>
      </w:r>
      <w:r w:rsidRPr="00975349">
        <w:t xml:space="preserve">ssurance </w:t>
      </w:r>
      <w:r w:rsidR="00E54178">
        <w:t>a</w:t>
      </w:r>
      <w:r w:rsidRPr="00975349">
        <w:t>ctivities.</w:t>
      </w:r>
    </w:p>
    <w:p w14:paraId="5A3D3A3E" w14:textId="0BD83E64" w:rsidR="00EA2D41" w:rsidRPr="00975349" w:rsidRDefault="00EA2D41" w:rsidP="002311EE">
      <w:pPr>
        <w:pStyle w:val="Heading2"/>
      </w:pPr>
      <w:bookmarkStart w:id="54" w:name="_Toc158806627"/>
      <w:r w:rsidRPr="00975349">
        <w:t>Improved community confidence in the sector</w:t>
      </w:r>
      <w:bookmarkEnd w:id="54"/>
    </w:p>
    <w:p w14:paraId="11DDA2E1" w14:textId="6C188A29" w:rsidR="00EA2D41" w:rsidRPr="00975349" w:rsidRDefault="00EA2D41" w:rsidP="00015621">
      <w:pPr>
        <w:pStyle w:val="PwCNormal"/>
      </w:pPr>
      <w:r w:rsidRPr="00975349">
        <w:t xml:space="preserve">Activities under the </w:t>
      </w:r>
      <w:r w:rsidR="008D0C40">
        <w:t>a</w:t>
      </w:r>
      <w:r w:rsidRPr="00975349">
        <w:t xml:space="preserve">ssurance </w:t>
      </w:r>
      <w:r w:rsidR="008D0C40">
        <w:t>f</w:t>
      </w:r>
      <w:r w:rsidRPr="00975349">
        <w:t xml:space="preserve">ramework will benefit the entire sector, by improving community confidence in the many </w:t>
      </w:r>
      <w:r w:rsidR="00D85CF3">
        <w:t>p</w:t>
      </w:r>
      <w:r w:rsidRPr="00975349">
        <w:t>roviders offering quality, safe and reliable services. Community confidence is a key indicator of whether the HCP Program is designed, delivered and administered in a way that meets the needs of care recipients.</w:t>
      </w:r>
    </w:p>
    <w:p w14:paraId="65E21019" w14:textId="77777777" w:rsidR="00EA2D41" w:rsidRPr="0092764F" w:rsidRDefault="00EA2D41" w:rsidP="0092764F">
      <w:pPr>
        <w:pStyle w:val="PwCNormal"/>
      </w:pPr>
      <w:r w:rsidRPr="0092764F">
        <w:t>This benefit will be measured by:</w:t>
      </w:r>
    </w:p>
    <w:p w14:paraId="2C907237" w14:textId="3B673EBB" w:rsidR="00EA2D41" w:rsidRPr="00975349" w:rsidRDefault="00EA2D41" w:rsidP="00015621">
      <w:pPr>
        <w:pStyle w:val="ListBullet"/>
      </w:pPr>
      <w:r w:rsidRPr="00975349">
        <w:t xml:space="preserve">review reports demonstrating majority positive findings in relation to </w:t>
      </w:r>
      <w:r w:rsidR="0083773E">
        <w:t>p</w:t>
      </w:r>
      <w:r w:rsidRPr="00975349">
        <w:t>roviders</w:t>
      </w:r>
    </w:p>
    <w:p w14:paraId="3C7A675F" w14:textId="25D6F26D" w:rsidR="00EA2D41" w:rsidRPr="00975349" w:rsidRDefault="00EA2D41" w:rsidP="00015621">
      <w:pPr>
        <w:pStyle w:val="ListBullet"/>
      </w:pPr>
      <w:r w:rsidRPr="00975349">
        <w:t xml:space="preserve">over time, a reduction in complaints from care recipients/the public regarding the </w:t>
      </w:r>
      <w:r w:rsidR="00C030B2">
        <w:t>p</w:t>
      </w:r>
      <w:r w:rsidRPr="00975349">
        <w:t>roviders/sector</w:t>
      </w:r>
    </w:p>
    <w:p w14:paraId="3EDC749D" w14:textId="042881BF" w:rsidR="00EA2D41" w:rsidRPr="00975349" w:rsidRDefault="00EA2D41" w:rsidP="00015621">
      <w:pPr>
        <w:pStyle w:val="ListBullet"/>
      </w:pPr>
      <w:r w:rsidRPr="00975349">
        <w:t>feedback from consumer peak bodies</w:t>
      </w:r>
      <w:r w:rsidR="004211BD">
        <w:t>.</w:t>
      </w:r>
    </w:p>
    <w:p w14:paraId="05D93D21" w14:textId="41EEA03B" w:rsidR="00EA2D41" w:rsidRPr="00975349" w:rsidRDefault="00EA2D41" w:rsidP="002311EE">
      <w:pPr>
        <w:pStyle w:val="Heading2"/>
      </w:pPr>
      <w:bookmarkStart w:id="55" w:name="_Toc158806628"/>
      <w:r w:rsidRPr="00975349">
        <w:t xml:space="preserve">Ongoing improvements to the current HCP Program as well as informing future home care reforms, benefitting current and future </w:t>
      </w:r>
      <w:r w:rsidR="00E7637A">
        <w:t xml:space="preserve">home care </w:t>
      </w:r>
      <w:r w:rsidR="0083773E">
        <w:t>p</w:t>
      </w:r>
      <w:r w:rsidRPr="00975349">
        <w:t>roviders and care recipients</w:t>
      </w:r>
      <w:bookmarkEnd w:id="55"/>
    </w:p>
    <w:p w14:paraId="0BD61A73" w14:textId="752B45D2" w:rsidR="00EA2D41" w:rsidRPr="00975349" w:rsidRDefault="00EA2D41" w:rsidP="002E1BAC">
      <w:pPr>
        <w:pStyle w:val="PwCNormal"/>
      </w:pPr>
      <w:r w:rsidRPr="00975349">
        <w:t xml:space="preserve">The findings from the </w:t>
      </w:r>
      <w:r w:rsidR="008D0C40">
        <w:t>a</w:t>
      </w:r>
      <w:r w:rsidRPr="00975349">
        <w:t xml:space="preserve">ssurance </w:t>
      </w:r>
      <w:r w:rsidR="008D0C40">
        <w:t>a</w:t>
      </w:r>
      <w:r w:rsidRPr="00975349">
        <w:t>ctivities will be used to enhance the current HCP Program requirements</w:t>
      </w:r>
      <w:r w:rsidR="00D94565" w:rsidRPr="00975349">
        <w:t>/</w:t>
      </w:r>
      <w:r w:rsidRPr="00975349">
        <w:t xml:space="preserve">guidance. Relevant findings will also support future home care reforms. </w:t>
      </w:r>
    </w:p>
    <w:p w14:paraId="28720FA6" w14:textId="77777777" w:rsidR="00EA2D41" w:rsidRPr="00975349" w:rsidRDefault="00EA2D41" w:rsidP="002E1BAC">
      <w:pPr>
        <w:pStyle w:val="PwCNormal"/>
      </w:pPr>
      <w:r w:rsidRPr="00975349">
        <w:t>This benefit will be measured by:</w:t>
      </w:r>
    </w:p>
    <w:p w14:paraId="3ACF24C1" w14:textId="7E1BAE73" w:rsidR="00EA2D41" w:rsidRPr="00975349" w:rsidRDefault="00EA2D41" w:rsidP="002E1BAC">
      <w:pPr>
        <w:pStyle w:val="ListBullet"/>
      </w:pPr>
      <w:r w:rsidRPr="00975349">
        <w:t>improved guidance</w:t>
      </w:r>
      <w:r w:rsidR="00D94565" w:rsidRPr="00975349">
        <w:t>/</w:t>
      </w:r>
      <w:r w:rsidRPr="00975349">
        <w:t>requirements for the current HCP Program that reduces any ambiguities</w:t>
      </w:r>
      <w:r w:rsidR="00D94565" w:rsidRPr="00975349">
        <w:t>/</w:t>
      </w:r>
      <w:r w:rsidRPr="00975349">
        <w:t xml:space="preserve">confusion for </w:t>
      </w:r>
      <w:r w:rsidR="00C030B2">
        <w:t>p</w:t>
      </w:r>
      <w:r w:rsidRPr="00975349">
        <w:t>roviders</w:t>
      </w:r>
    </w:p>
    <w:p w14:paraId="76C72A1E" w14:textId="77777777" w:rsidR="002E1BAC" w:rsidRPr="00975349" w:rsidRDefault="00EA2D41" w:rsidP="002E1BAC">
      <w:pPr>
        <w:pStyle w:val="ListBullet"/>
      </w:pPr>
      <w:r w:rsidRPr="00975349">
        <w:t>enhancements evident in the reformed home care requirements.</w:t>
      </w:r>
    </w:p>
    <w:p w14:paraId="284B9AD9" w14:textId="77777777" w:rsidR="002E1BAC" w:rsidRPr="00975349" w:rsidRDefault="002E1BAC" w:rsidP="00B33B05">
      <w:pPr>
        <w:pStyle w:val="PwCNormal"/>
        <w:sectPr w:rsidR="002E1BAC" w:rsidRPr="00975349" w:rsidSect="009D4DBD">
          <w:pgSz w:w="11907" w:h="16840" w:code="9"/>
          <w:pgMar w:top="1588" w:right="1021" w:bottom="1418" w:left="1021" w:header="567" w:footer="567" w:gutter="0"/>
          <w:cols w:space="227"/>
          <w:titlePg/>
          <w:docGrid w:linePitch="360"/>
        </w:sectPr>
      </w:pPr>
      <w:bookmarkStart w:id="56" w:name="_Toc83980011"/>
    </w:p>
    <w:p w14:paraId="1F9FFC2C" w14:textId="204D4DD0" w:rsidR="00EA2D41" w:rsidRPr="00975349" w:rsidRDefault="00EA2D41" w:rsidP="002311EE">
      <w:pPr>
        <w:pStyle w:val="Heading1"/>
      </w:pPr>
      <w:bookmarkStart w:id="57" w:name="_Continuous_improvement"/>
      <w:bookmarkStart w:id="58" w:name="_Toc158806629"/>
      <w:bookmarkEnd w:id="57"/>
      <w:r w:rsidRPr="00975349">
        <w:lastRenderedPageBreak/>
        <w:t xml:space="preserve">Continuous </w:t>
      </w:r>
      <w:r w:rsidR="006A45E0">
        <w:t>i</w:t>
      </w:r>
      <w:r w:rsidRPr="00975349">
        <w:t>mprovement</w:t>
      </w:r>
      <w:bookmarkEnd w:id="56"/>
      <w:bookmarkEnd w:id="58"/>
    </w:p>
    <w:p w14:paraId="5799EE9D" w14:textId="4CB39CD2" w:rsidR="00EA2D41" w:rsidRPr="00975349" w:rsidRDefault="00EA2D41" w:rsidP="002E1BAC">
      <w:pPr>
        <w:pStyle w:val="PwCNormal"/>
      </w:pPr>
      <w:r w:rsidRPr="00975349">
        <w:t xml:space="preserve">To continuously improve </w:t>
      </w:r>
      <w:r w:rsidR="00E82FEF">
        <w:t>a</w:t>
      </w:r>
      <w:r w:rsidRPr="00975349">
        <w:t xml:space="preserve">ssurance </w:t>
      </w:r>
      <w:r w:rsidR="00E82FEF">
        <w:t>a</w:t>
      </w:r>
      <w:r w:rsidRPr="00975349">
        <w:t xml:space="preserve">ctivities and reflect changes in the HCP Program landscape, the </w:t>
      </w:r>
      <w:r w:rsidR="00863008">
        <w:t>department</w:t>
      </w:r>
      <w:r w:rsidRPr="00975349">
        <w:t xml:space="preserve"> will build on, develop and adapt this </w:t>
      </w:r>
      <w:r w:rsidR="006A45E0">
        <w:t>a</w:t>
      </w:r>
      <w:r w:rsidRPr="00975349">
        <w:t xml:space="preserve">ssurance </w:t>
      </w:r>
      <w:r w:rsidR="006A45E0">
        <w:t>f</w:t>
      </w:r>
      <w:r w:rsidRPr="00975349">
        <w:t xml:space="preserve">ramework towards meeting its intended objectives. The process of continuous improvement is described in </w:t>
      </w:r>
      <w:r w:rsidR="00234AB5">
        <w:fldChar w:fldCharType="begin"/>
      </w:r>
      <w:r w:rsidR="00234AB5">
        <w:instrText xml:space="preserve"> REF _Ref158805418 \h </w:instrText>
      </w:r>
      <w:r w:rsidR="00234AB5">
        <w:fldChar w:fldCharType="separate"/>
      </w:r>
      <w:r w:rsidR="00234AB5" w:rsidRPr="00975349">
        <w:t xml:space="preserve">Figure </w:t>
      </w:r>
      <w:r w:rsidR="00234AB5">
        <w:rPr>
          <w:noProof/>
        </w:rPr>
        <w:t>9</w:t>
      </w:r>
      <w:r w:rsidR="00234AB5">
        <w:fldChar w:fldCharType="end"/>
      </w:r>
      <w:r w:rsidRPr="00975349">
        <w:t xml:space="preserve"> below.</w:t>
      </w:r>
    </w:p>
    <w:p w14:paraId="5BB8A6BC" w14:textId="77715E2F" w:rsidR="00EA2D41" w:rsidRDefault="002E1BAC" w:rsidP="002E1BAC">
      <w:pPr>
        <w:pStyle w:val="Caption"/>
      </w:pPr>
      <w:bookmarkStart w:id="59" w:name="_Ref158805418"/>
      <w:r w:rsidRPr="00975349">
        <w:t xml:space="preserve">Figure </w:t>
      </w:r>
      <w:fldSimple w:instr=" SEQ Figure \* ARABIC ">
        <w:r w:rsidR="00F87264">
          <w:rPr>
            <w:noProof/>
          </w:rPr>
          <w:t>9</w:t>
        </w:r>
      </w:fldSimple>
      <w:bookmarkEnd w:id="59"/>
      <w:r w:rsidRPr="00975349">
        <w:t xml:space="preserve">: </w:t>
      </w:r>
      <w:r w:rsidR="00EA2D41" w:rsidRPr="00975349">
        <w:t>Continuous improvement cycle</w:t>
      </w:r>
    </w:p>
    <w:p w14:paraId="5BB1E0F0" w14:textId="77777777" w:rsidR="00456E6B" w:rsidRPr="00233BC1" w:rsidRDefault="00233BC1" w:rsidP="003D7EB1">
      <w:pPr>
        <w:pStyle w:val="PwCNormal"/>
      </w:pPr>
      <w:r>
        <w:rPr>
          <w:noProof/>
          <w:snapToGrid/>
        </w:rPr>
        <w:drawing>
          <wp:inline distT="0" distB="0" distL="0" distR="0" wp14:anchorId="417B34B8" wp14:editId="324E7273">
            <wp:extent cx="5029200" cy="4350724"/>
            <wp:effectExtent l="0" t="0" r="0" b="0"/>
            <wp:docPr id="529" name="Picture 529" descr="Plan: Establish required policies, processes, tools and templates to undertake assurance activities&#10;Do: Undertake analysis and reviews, and engage with providers&#10;Check: Through quality checking mechanisms, engage with providers and internal discussions, consider whether any changes are required&#10;Act: Initiate and implement the change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descr="Plan: Establish required policies, processes, tools and templates to undertake assurance activities&#10;Do: Undertake analysis and reviews, and engage with providers&#10;Check: Through quality checking mechanisms, engage with providers and internal discussions, consider whether any changes are required&#10;Act: Initiate and implement the changes identified"/>
                    <pic:cNvPicPr/>
                  </pic:nvPicPr>
                  <pic:blipFill>
                    <a:blip r:embed="rId40"/>
                    <a:stretch>
                      <a:fillRect/>
                    </a:stretch>
                  </pic:blipFill>
                  <pic:spPr>
                    <a:xfrm>
                      <a:off x="0" y="0"/>
                      <a:ext cx="5033700" cy="4354617"/>
                    </a:xfrm>
                    <a:prstGeom prst="rect">
                      <a:avLst/>
                    </a:prstGeom>
                  </pic:spPr>
                </pic:pic>
              </a:graphicData>
            </a:graphic>
          </wp:inline>
        </w:drawing>
      </w:r>
    </w:p>
    <w:p w14:paraId="4142E27F" w14:textId="09995DD8" w:rsidR="00EA2D41" w:rsidRPr="0092764F" w:rsidRDefault="00EA2D41" w:rsidP="0092764F">
      <w:pPr>
        <w:pStyle w:val="PwCNormal"/>
      </w:pPr>
      <w:r w:rsidRPr="0092764F">
        <w:t>The mechanisms of identifying potential areas for improvement include:</w:t>
      </w:r>
    </w:p>
    <w:p w14:paraId="3DF7FD53" w14:textId="2B62E091" w:rsidR="00EA2D41" w:rsidRPr="00975349" w:rsidRDefault="00EA2D41" w:rsidP="002E1BAC">
      <w:pPr>
        <w:pStyle w:val="ListBullet"/>
      </w:pPr>
      <w:r w:rsidRPr="00975349">
        <w:t xml:space="preserve">the </w:t>
      </w:r>
      <w:r w:rsidR="00445EBB">
        <w:t>c</w:t>
      </w:r>
      <w:r w:rsidR="00445EBB" w:rsidRPr="00975349">
        <w:t xml:space="preserve">ommunity </w:t>
      </w:r>
      <w:r w:rsidRPr="00975349">
        <w:t xml:space="preserve">of </w:t>
      </w:r>
      <w:r w:rsidR="00445EBB">
        <w:t>p</w:t>
      </w:r>
      <w:r w:rsidR="00445EBB" w:rsidRPr="00975349">
        <w:t>ractice</w:t>
      </w:r>
    </w:p>
    <w:p w14:paraId="6DBE3529" w14:textId="47262F15" w:rsidR="00EA2D41" w:rsidRPr="00975349" w:rsidRDefault="00445EBB" w:rsidP="002E1BAC">
      <w:pPr>
        <w:pStyle w:val="ListBullet"/>
      </w:pPr>
      <w:r>
        <w:t>a</w:t>
      </w:r>
      <w:r w:rsidRPr="00975349">
        <w:t xml:space="preserve">ssurance </w:t>
      </w:r>
      <w:r w:rsidR="004F2E12">
        <w:t>a</w:t>
      </w:r>
      <w:r w:rsidR="00EA2D41" w:rsidRPr="00975349">
        <w:t>ctivities</w:t>
      </w:r>
    </w:p>
    <w:p w14:paraId="350A6832" w14:textId="2688A77D" w:rsidR="00EA2D41" w:rsidRPr="00975349" w:rsidRDefault="00EA2D41" w:rsidP="002E1BAC">
      <w:pPr>
        <w:pStyle w:val="ListBullet"/>
      </w:pPr>
      <w:r w:rsidRPr="00975349">
        <w:t xml:space="preserve">feedback from participants in </w:t>
      </w:r>
      <w:r w:rsidR="004F2E12">
        <w:t>a</w:t>
      </w:r>
      <w:r w:rsidRPr="00975349">
        <w:t xml:space="preserve">ssurance </w:t>
      </w:r>
      <w:r w:rsidR="004F2E12">
        <w:t>a</w:t>
      </w:r>
      <w:r w:rsidRPr="00975349">
        <w:t>ctivities (e.g</w:t>
      </w:r>
      <w:r w:rsidR="00280B8E">
        <w:t>.</w:t>
      </w:r>
      <w:r w:rsidRPr="00975349">
        <w:t xml:space="preserve"> from </w:t>
      </w:r>
      <w:r w:rsidR="004F2E12">
        <w:t>p</w:t>
      </w:r>
      <w:r w:rsidRPr="00975349">
        <w:t>roviders)</w:t>
      </w:r>
    </w:p>
    <w:p w14:paraId="6B4C1B35" w14:textId="402F9C4C" w:rsidR="00EA2D41" w:rsidRPr="00975349" w:rsidRDefault="00EA2D41" w:rsidP="002E1BAC">
      <w:pPr>
        <w:pStyle w:val="ListBullet"/>
      </w:pPr>
      <w:r w:rsidRPr="00975349">
        <w:t xml:space="preserve">broader discussion with representative bodies, </w:t>
      </w:r>
      <w:r w:rsidR="007C0960">
        <w:t>p</w:t>
      </w:r>
      <w:r w:rsidRPr="00975349">
        <w:t>roviders, care recipients and other stakeholders</w:t>
      </w:r>
    </w:p>
    <w:p w14:paraId="61BCA04F" w14:textId="7D8BF7E8" w:rsidR="00EA2D41" w:rsidRPr="00975349" w:rsidRDefault="00EA2D41" w:rsidP="002E1BAC">
      <w:pPr>
        <w:pStyle w:val="ListBullet"/>
      </w:pPr>
      <w:r w:rsidRPr="00975349">
        <w:t>feedback from other relevant stakeholders</w:t>
      </w:r>
    </w:p>
    <w:p w14:paraId="1C5EF1CF" w14:textId="7DB2797C" w:rsidR="00EA2D41" w:rsidRPr="00975349" w:rsidRDefault="00EA2D41" w:rsidP="002E1BAC">
      <w:pPr>
        <w:pStyle w:val="ListBullet"/>
      </w:pPr>
      <w:r w:rsidRPr="00975349">
        <w:t xml:space="preserve">complaints and feedback lodged with the </w:t>
      </w:r>
      <w:r w:rsidR="00863008">
        <w:t>department</w:t>
      </w:r>
      <w:r w:rsidRPr="00975349">
        <w:t xml:space="preserve">. </w:t>
      </w:r>
    </w:p>
    <w:p w14:paraId="6FE2D12C" w14:textId="3D8ADBB5" w:rsidR="009064C5" w:rsidRDefault="00EA2D41" w:rsidP="00CA1DDF">
      <w:pPr>
        <w:pStyle w:val="PwCNormal"/>
        <w:numPr>
          <w:ilvl w:val="0"/>
          <w:numId w:val="0"/>
        </w:numPr>
      </w:pPr>
      <w:r w:rsidRPr="00975349">
        <w:t xml:space="preserve">These mechanisms will allow the </w:t>
      </w:r>
      <w:r w:rsidR="00863008">
        <w:t>department</w:t>
      </w:r>
      <w:r w:rsidRPr="00975349">
        <w:t xml:space="preserve"> to </w:t>
      </w:r>
      <w:r w:rsidR="00DD3696">
        <w:t>receive</w:t>
      </w:r>
      <w:r w:rsidRPr="00975349">
        <w:t xml:space="preserve"> feedback on the existing HCP Program </w:t>
      </w:r>
      <w:r w:rsidR="00FD0D67">
        <w:t>a</w:t>
      </w:r>
      <w:r w:rsidR="00FD0D67" w:rsidRPr="00975349">
        <w:t xml:space="preserve">ssurance </w:t>
      </w:r>
      <w:r w:rsidR="00FD0D67">
        <w:t>f</w:t>
      </w:r>
      <w:r w:rsidR="00FD0D67" w:rsidRPr="00975349">
        <w:t>ramework</w:t>
      </w:r>
      <w:r w:rsidRPr="00975349">
        <w:t xml:space="preserve"> and </w:t>
      </w:r>
      <w:r w:rsidR="008C7199">
        <w:t>a</w:t>
      </w:r>
      <w:r w:rsidRPr="00975349">
        <w:t xml:space="preserve">ssurance </w:t>
      </w:r>
      <w:r w:rsidR="008C7199">
        <w:t>a</w:t>
      </w:r>
      <w:r w:rsidRPr="00975349">
        <w:t>ctivities, consider and prioritise potential opportunities for improvement (including through feedback received) and provide further clarifications where required.</w:t>
      </w:r>
      <w:r w:rsidR="00C019BD">
        <w:t xml:space="preserve"> The</w:t>
      </w:r>
      <w:r w:rsidR="00FD0D67">
        <w:t xml:space="preserve"> assurance</w:t>
      </w:r>
      <w:r w:rsidR="00C019BD">
        <w:t xml:space="preserve"> </w:t>
      </w:r>
      <w:r w:rsidR="008C7199">
        <w:t>f</w:t>
      </w:r>
      <w:r w:rsidR="00C019BD">
        <w:t xml:space="preserve">ramework will be updated </w:t>
      </w:r>
      <w:r w:rsidR="008C5B06">
        <w:t xml:space="preserve">every </w:t>
      </w:r>
      <w:r w:rsidR="00247C34">
        <w:t>2</w:t>
      </w:r>
      <w:r w:rsidR="008C5B06">
        <w:t xml:space="preserve"> years, or </w:t>
      </w:r>
      <w:r w:rsidR="00C019BD">
        <w:t>when needed to reflect any changes in risks to the HCP Program and/or changes in the approach to undertaking assurance.</w:t>
      </w:r>
    </w:p>
    <w:p w14:paraId="131B8287" w14:textId="77777777" w:rsidR="009064C5" w:rsidRDefault="009064C5" w:rsidP="009064C5">
      <w:pPr>
        <w:pStyle w:val="PwCNormal"/>
      </w:pPr>
      <w:r>
        <w:br w:type="page"/>
      </w:r>
    </w:p>
    <w:p w14:paraId="196108DA" w14:textId="4C2800EC" w:rsidR="002E1BAC" w:rsidRPr="00975349" w:rsidRDefault="002E1BAC" w:rsidP="007C5B09">
      <w:pPr>
        <w:pStyle w:val="Heading1"/>
        <w:keepLines w:val="0"/>
        <w:ind w:left="431" w:hanging="431"/>
      </w:pPr>
      <w:bookmarkStart w:id="60" w:name="_Toc158806630"/>
      <w:r w:rsidRPr="00975349">
        <w:lastRenderedPageBreak/>
        <w:t>Appendices</w:t>
      </w:r>
      <w:bookmarkEnd w:id="60"/>
    </w:p>
    <w:p w14:paraId="68AD0288" w14:textId="23213B1C" w:rsidR="002800ED" w:rsidRPr="00975349" w:rsidRDefault="00D94565" w:rsidP="007C5B09">
      <w:pPr>
        <w:pStyle w:val="AppendixHeading"/>
        <w:keepLines w:val="0"/>
        <w:pageBreakBefore w:val="0"/>
      </w:pPr>
      <w:bookmarkStart w:id="61" w:name="Appendix_A"/>
      <w:bookmarkEnd w:id="61"/>
      <w:r w:rsidRPr="00975349">
        <w:t xml:space="preserve"> </w:t>
      </w:r>
      <w:bookmarkStart w:id="62" w:name="_Toc158806631"/>
      <w:r w:rsidRPr="00975349">
        <w:t xml:space="preserve">– </w:t>
      </w:r>
      <w:r w:rsidR="002E1BAC" w:rsidRPr="00975349">
        <w:t>Glossary of terms</w:t>
      </w:r>
      <w:bookmarkEnd w:id="62"/>
    </w:p>
    <w:tbl>
      <w:tblPr>
        <w:tblStyle w:val="PwCBasic"/>
        <w:tblW w:w="5000" w:type="pct"/>
        <w:tblLook w:val="04A0" w:firstRow="1" w:lastRow="0" w:firstColumn="1" w:lastColumn="0" w:noHBand="0" w:noVBand="1"/>
      </w:tblPr>
      <w:tblGrid>
        <w:gridCol w:w="2016"/>
        <w:gridCol w:w="7849"/>
      </w:tblGrid>
      <w:tr w:rsidR="002E1BAC" w:rsidRPr="00C57F9A" w14:paraId="4405DECF" w14:textId="77777777" w:rsidTr="00C57F9A">
        <w:trPr>
          <w:cnfStyle w:val="100000000000" w:firstRow="1" w:lastRow="0" w:firstColumn="0" w:lastColumn="0" w:oddVBand="0" w:evenVBand="0" w:oddHBand="0" w:evenHBand="0" w:firstRowFirstColumn="0" w:firstRowLastColumn="0" w:lastRowFirstColumn="0" w:lastRowLastColumn="0"/>
          <w:trHeight w:val="340"/>
        </w:trPr>
        <w:tc>
          <w:tcPr>
            <w:tcW w:w="1022" w:type="pct"/>
          </w:tcPr>
          <w:p w14:paraId="23B9DC44" w14:textId="77777777" w:rsidR="002E1BAC" w:rsidRPr="00C57F9A" w:rsidRDefault="002E1BAC" w:rsidP="00C57F9A">
            <w:pPr>
              <w:rPr>
                <w:sz w:val="22"/>
                <w:szCs w:val="22"/>
              </w:rPr>
            </w:pPr>
            <w:r w:rsidRPr="00C57F9A">
              <w:rPr>
                <w:sz w:val="22"/>
                <w:szCs w:val="22"/>
              </w:rPr>
              <w:t>Term</w:t>
            </w:r>
          </w:p>
        </w:tc>
        <w:tc>
          <w:tcPr>
            <w:tcW w:w="3978" w:type="pct"/>
          </w:tcPr>
          <w:p w14:paraId="2C43E71C" w14:textId="77777777" w:rsidR="002E1BAC" w:rsidRPr="00C57F9A" w:rsidRDefault="002E1BAC" w:rsidP="00C57F9A">
            <w:pPr>
              <w:rPr>
                <w:sz w:val="22"/>
                <w:szCs w:val="22"/>
              </w:rPr>
            </w:pPr>
            <w:r w:rsidRPr="00C57F9A">
              <w:rPr>
                <w:sz w:val="22"/>
                <w:szCs w:val="22"/>
              </w:rPr>
              <w:t>Definition</w:t>
            </w:r>
          </w:p>
        </w:tc>
      </w:tr>
      <w:tr w:rsidR="002E1BAC" w:rsidRPr="00975349" w14:paraId="6575352A" w14:textId="77777777" w:rsidTr="00C57F9A">
        <w:tc>
          <w:tcPr>
            <w:tcW w:w="1022" w:type="pct"/>
          </w:tcPr>
          <w:p w14:paraId="30418989" w14:textId="77777777" w:rsidR="002E1BAC" w:rsidRPr="00975349" w:rsidRDefault="002E1BAC" w:rsidP="002E1BAC">
            <w:pPr>
              <w:pStyle w:val="TableTextNormal"/>
            </w:pPr>
            <w:r w:rsidRPr="00975349">
              <w:t>ACQSC</w:t>
            </w:r>
          </w:p>
        </w:tc>
        <w:tc>
          <w:tcPr>
            <w:tcW w:w="3978" w:type="pct"/>
          </w:tcPr>
          <w:p w14:paraId="5D461A8B" w14:textId="77777777" w:rsidR="002E1BAC" w:rsidRPr="00975349" w:rsidRDefault="002E1BAC" w:rsidP="002E1BAC">
            <w:pPr>
              <w:pStyle w:val="TableTextNormal"/>
            </w:pPr>
            <w:r w:rsidRPr="00975349">
              <w:t>Aged Care Quality and Safety Commission</w:t>
            </w:r>
          </w:p>
        </w:tc>
      </w:tr>
      <w:tr w:rsidR="00891219" w:rsidRPr="00891219" w14:paraId="700A1151" w14:textId="77777777" w:rsidTr="00C57F9A">
        <w:tc>
          <w:tcPr>
            <w:tcW w:w="1022" w:type="pct"/>
          </w:tcPr>
          <w:p w14:paraId="5C8570F6" w14:textId="44B287A3" w:rsidR="002E1BAC" w:rsidRPr="00891219" w:rsidRDefault="002E1BAC" w:rsidP="002E1BAC">
            <w:pPr>
              <w:pStyle w:val="TableTextNormal"/>
            </w:pPr>
            <w:r w:rsidRPr="00891219">
              <w:t>Amended</w:t>
            </w:r>
            <w:r w:rsidRPr="00891219">
              <w:rPr>
                <w:i/>
              </w:rPr>
              <w:t xml:space="preserve"> </w:t>
            </w:r>
            <w:r w:rsidR="00CB393F" w:rsidRPr="008F44DA">
              <w:rPr>
                <w:iCs/>
              </w:rPr>
              <w:t>Aged Care Act</w:t>
            </w:r>
            <w:r w:rsidRPr="00891219">
              <w:t xml:space="preserve"> and supporting legislation</w:t>
            </w:r>
          </w:p>
        </w:tc>
        <w:tc>
          <w:tcPr>
            <w:tcW w:w="3978" w:type="pct"/>
          </w:tcPr>
          <w:p w14:paraId="064B6C01" w14:textId="77777777" w:rsidR="002E1BAC" w:rsidRPr="00891219" w:rsidRDefault="002E1BAC" w:rsidP="002E1BAC">
            <w:pPr>
              <w:pStyle w:val="TableTextNormal"/>
            </w:pPr>
            <w:r w:rsidRPr="00891219">
              <w:t>Means the following Acts relevant to the HCP Program:</w:t>
            </w:r>
          </w:p>
          <w:p w14:paraId="167B25A7" w14:textId="77777777" w:rsidR="002E1BAC" w:rsidRPr="00891219" w:rsidRDefault="002E1BAC" w:rsidP="00B47C07">
            <w:pPr>
              <w:pStyle w:val="TableBulletEmphasis"/>
            </w:pPr>
            <w:r w:rsidRPr="00891219">
              <w:t>Aged Care Act 1997</w:t>
            </w:r>
          </w:p>
          <w:p w14:paraId="0D602F7E" w14:textId="2C576112" w:rsidR="002E1BAC" w:rsidRPr="00891219" w:rsidRDefault="002E1BAC" w:rsidP="00B47C07">
            <w:pPr>
              <w:pStyle w:val="TableBulletEmphasis"/>
            </w:pPr>
            <w:r w:rsidRPr="00891219">
              <w:t>Aged Care and Other Legislation Amendment (Royal Commission Response No. 1) Act 2021 which amended the Aged Care Act 1997</w:t>
            </w:r>
          </w:p>
          <w:p w14:paraId="3E0AB49D" w14:textId="77777777" w:rsidR="002E1BAC" w:rsidRPr="00891219" w:rsidRDefault="002E1BAC" w:rsidP="00B47C07">
            <w:pPr>
              <w:pStyle w:val="TableBulletEmphasis"/>
            </w:pPr>
            <w:r w:rsidRPr="00891219">
              <w:t>Accountability Principles 2014</w:t>
            </w:r>
          </w:p>
          <w:p w14:paraId="3BBFBB95" w14:textId="77777777" w:rsidR="002E1BAC" w:rsidRPr="00891219" w:rsidRDefault="002E1BAC" w:rsidP="00B47C07">
            <w:pPr>
              <w:pStyle w:val="TableBulletEmphasis"/>
            </w:pPr>
            <w:r w:rsidRPr="00891219">
              <w:t>Fees and Payments Principles 2014</w:t>
            </w:r>
          </w:p>
          <w:p w14:paraId="458C2715" w14:textId="77777777" w:rsidR="002E1BAC" w:rsidRPr="00891219" w:rsidRDefault="002E1BAC" w:rsidP="00B47C07">
            <w:pPr>
              <w:pStyle w:val="TableBulletEmphasis"/>
            </w:pPr>
            <w:r w:rsidRPr="00891219">
              <w:t>Information Principles 2014</w:t>
            </w:r>
          </w:p>
          <w:p w14:paraId="2CC4364F" w14:textId="77777777" w:rsidR="002E1BAC" w:rsidRPr="00891219" w:rsidRDefault="002E1BAC" w:rsidP="00B47C07">
            <w:pPr>
              <w:pStyle w:val="TableBulletEmphasis"/>
            </w:pPr>
            <w:r w:rsidRPr="00891219">
              <w:t>Quality of Care Principles 2014</w:t>
            </w:r>
          </w:p>
          <w:p w14:paraId="7E643AD4" w14:textId="77777777" w:rsidR="002E1BAC" w:rsidRPr="00891219" w:rsidRDefault="002E1BAC" w:rsidP="00B47C07">
            <w:pPr>
              <w:pStyle w:val="TableBulletEmphasis"/>
            </w:pPr>
            <w:r w:rsidRPr="00891219">
              <w:t>Records Principles 2014</w:t>
            </w:r>
          </w:p>
          <w:p w14:paraId="6631D7D1" w14:textId="77777777" w:rsidR="002E1BAC" w:rsidRPr="00891219" w:rsidRDefault="002E1BAC" w:rsidP="00B47C07">
            <w:pPr>
              <w:pStyle w:val="TableBulletEmphasis"/>
            </w:pPr>
            <w:r w:rsidRPr="00891219">
              <w:t>Sanctions Principles 2014</w:t>
            </w:r>
          </w:p>
          <w:p w14:paraId="2131500F" w14:textId="77777777" w:rsidR="002E1BAC" w:rsidRPr="00891219" w:rsidRDefault="002E1BAC" w:rsidP="00B47C07">
            <w:pPr>
              <w:pStyle w:val="TableBulletEmphasis"/>
            </w:pPr>
            <w:r w:rsidRPr="00891219">
              <w:t>Subsidy Principles 2014</w:t>
            </w:r>
          </w:p>
          <w:p w14:paraId="7BD90ED6" w14:textId="77777777" w:rsidR="002E1BAC" w:rsidRPr="00891219" w:rsidRDefault="002E1BAC" w:rsidP="00B47C07">
            <w:pPr>
              <w:pStyle w:val="TableBulletEmphasis"/>
            </w:pPr>
            <w:r w:rsidRPr="00891219">
              <w:t>User Rights Principles 2014</w:t>
            </w:r>
          </w:p>
          <w:p w14:paraId="511B1B35" w14:textId="77777777" w:rsidR="002E1BAC" w:rsidRPr="00891219" w:rsidRDefault="002E1BAC" w:rsidP="00B47C07">
            <w:pPr>
              <w:pStyle w:val="TableBulletEmphasis"/>
            </w:pPr>
            <w:r w:rsidRPr="00891219">
              <w:t>Prioritised Home Care Recipients Principles 2016</w:t>
            </w:r>
          </w:p>
          <w:p w14:paraId="17EF96A6" w14:textId="77777777" w:rsidR="002E1BAC" w:rsidRPr="00891219" w:rsidRDefault="002E1BAC" w:rsidP="00B47C07">
            <w:pPr>
              <w:pStyle w:val="TableBulletEmphasis"/>
            </w:pPr>
            <w:r w:rsidRPr="00891219">
              <w:t>Aged Care (Transitional Provisions) Act 1997</w:t>
            </w:r>
          </w:p>
          <w:p w14:paraId="5D732257" w14:textId="77777777" w:rsidR="002E1BAC" w:rsidRPr="00891219" w:rsidRDefault="002E1BAC" w:rsidP="00B47C07">
            <w:pPr>
              <w:pStyle w:val="TableBulletEmphasis"/>
            </w:pPr>
            <w:r w:rsidRPr="00891219">
              <w:t>Aged Care (Transitional Provisions) Principles 2014</w:t>
            </w:r>
          </w:p>
          <w:p w14:paraId="24F93AC0" w14:textId="77777777" w:rsidR="002E1BAC" w:rsidRPr="00891219" w:rsidRDefault="002E1BAC" w:rsidP="00B47C07">
            <w:pPr>
              <w:pStyle w:val="TableBulletEmphasis"/>
            </w:pPr>
            <w:r w:rsidRPr="00891219">
              <w:t>Aged Care (Transitional Provisions) (Subsidy and Other Measures) Determination 2014</w:t>
            </w:r>
          </w:p>
          <w:p w14:paraId="084F94BF" w14:textId="77777777" w:rsidR="002E1BAC" w:rsidRPr="00891219" w:rsidRDefault="002E1BAC" w:rsidP="00B47C07">
            <w:pPr>
              <w:pStyle w:val="TableBulletEmphasis"/>
            </w:pPr>
            <w:r w:rsidRPr="00891219">
              <w:t>Aged Care (Subsidy, Fees and Payments) Determination 2014.</w:t>
            </w:r>
          </w:p>
        </w:tc>
      </w:tr>
      <w:tr w:rsidR="002E1BAC" w:rsidRPr="00975349" w14:paraId="38344866" w14:textId="77777777" w:rsidTr="00C57F9A">
        <w:tc>
          <w:tcPr>
            <w:tcW w:w="1022" w:type="pct"/>
          </w:tcPr>
          <w:p w14:paraId="3F65A2D1" w14:textId="6FE03D19" w:rsidR="002E1BAC" w:rsidRPr="00975349" w:rsidRDefault="002E1BAC" w:rsidP="002E1BAC">
            <w:pPr>
              <w:pStyle w:val="TableTextNormal"/>
            </w:pPr>
            <w:r w:rsidRPr="00975349">
              <w:t xml:space="preserve">Areas of </w:t>
            </w:r>
            <w:r w:rsidR="008C7199">
              <w:t>f</w:t>
            </w:r>
            <w:r w:rsidRPr="00975349">
              <w:t>ocus</w:t>
            </w:r>
          </w:p>
        </w:tc>
        <w:tc>
          <w:tcPr>
            <w:tcW w:w="3978" w:type="pct"/>
          </w:tcPr>
          <w:p w14:paraId="39241487" w14:textId="2D3B6242" w:rsidR="002E1BAC" w:rsidRPr="00975349" w:rsidRDefault="002E1BAC" w:rsidP="002E1BAC">
            <w:pPr>
              <w:pStyle w:val="TableTextNormal"/>
            </w:pPr>
            <w:r w:rsidRPr="00975349">
              <w:t xml:space="preserve">Areas of </w:t>
            </w:r>
            <w:r w:rsidR="008C7199">
              <w:t>f</w:t>
            </w:r>
            <w:r w:rsidRPr="00975349">
              <w:t xml:space="preserve">ocus will be </w:t>
            </w:r>
            <w:r w:rsidR="00AC7D6F">
              <w:t xml:space="preserve">identified following </w:t>
            </w:r>
            <w:r w:rsidRPr="00975349">
              <w:t xml:space="preserve">the </w:t>
            </w:r>
            <w:r w:rsidR="00DB149F">
              <w:t xml:space="preserve">assessment of information and data/evidence </w:t>
            </w:r>
            <w:r w:rsidR="000F782E">
              <w:t xml:space="preserve">against the </w:t>
            </w:r>
            <w:r w:rsidR="006374AA">
              <w:t>4</w:t>
            </w:r>
            <w:r w:rsidR="004A5C69">
              <w:t xml:space="preserve"> </w:t>
            </w:r>
            <w:r w:rsidR="000F782E">
              <w:t xml:space="preserve">HCP </w:t>
            </w:r>
            <w:r w:rsidR="008C7199">
              <w:t>p</w:t>
            </w:r>
            <w:r w:rsidR="000F782E">
              <w:t xml:space="preserve">rogram </w:t>
            </w:r>
            <w:r w:rsidR="008C7199">
              <w:t>a</w:t>
            </w:r>
            <w:r w:rsidR="000F782E">
              <w:t xml:space="preserve">ssurance </w:t>
            </w:r>
            <w:r w:rsidRPr="00975349">
              <w:t>risks</w:t>
            </w:r>
            <w:r w:rsidR="008238C8">
              <w:t xml:space="preserve">, gathered as part of the </w:t>
            </w:r>
            <w:r w:rsidRPr="00975349">
              <w:t xml:space="preserve">HCP Program </w:t>
            </w:r>
            <w:r w:rsidR="003E10F7">
              <w:t>e</w:t>
            </w:r>
            <w:r w:rsidRPr="00975349">
              <w:t>nvironment</w:t>
            </w:r>
            <w:r w:rsidR="00E51190">
              <w:t>al</w:t>
            </w:r>
            <w:r w:rsidRPr="00975349">
              <w:t xml:space="preserve"> scan. These will </w:t>
            </w:r>
            <w:r w:rsidR="002C3147">
              <w:t xml:space="preserve">determine the recommended assurance reviews/activities for the </w:t>
            </w:r>
            <w:r w:rsidR="00143A96">
              <w:t>planned</w:t>
            </w:r>
            <w:r w:rsidR="008A5AC4">
              <w:t xml:space="preserve"> </w:t>
            </w:r>
            <w:r w:rsidR="002C3147">
              <w:t>period.</w:t>
            </w:r>
          </w:p>
        </w:tc>
      </w:tr>
      <w:tr w:rsidR="002E1BAC" w:rsidRPr="00975349" w14:paraId="46B4BEE8" w14:textId="77777777" w:rsidTr="00C57F9A">
        <w:tc>
          <w:tcPr>
            <w:tcW w:w="1022" w:type="pct"/>
          </w:tcPr>
          <w:p w14:paraId="48CA443A" w14:textId="6B3EBA98" w:rsidR="002E1BAC" w:rsidRPr="00975349" w:rsidRDefault="002E1BAC" w:rsidP="002E1BAC">
            <w:pPr>
              <w:pStyle w:val="TableTextNormal"/>
            </w:pPr>
            <w:r w:rsidRPr="00975349">
              <w:t xml:space="preserve">Assurance </w:t>
            </w:r>
            <w:r w:rsidR="003E10F7">
              <w:t>a</w:t>
            </w:r>
            <w:r w:rsidRPr="00975349">
              <w:t>ctivity</w:t>
            </w:r>
          </w:p>
        </w:tc>
        <w:tc>
          <w:tcPr>
            <w:tcW w:w="3978" w:type="pct"/>
          </w:tcPr>
          <w:p w14:paraId="12A83060" w14:textId="28103458" w:rsidR="002E1BAC" w:rsidRPr="00975349" w:rsidRDefault="002E1BAC" w:rsidP="002E1BAC">
            <w:pPr>
              <w:pStyle w:val="TableTextNormal"/>
            </w:pPr>
            <w:r w:rsidRPr="00975349">
              <w:t xml:space="preserve">The purpose of an </w:t>
            </w:r>
            <w:r w:rsidR="003E10F7">
              <w:t>a</w:t>
            </w:r>
            <w:r w:rsidRPr="00975349">
              <w:t xml:space="preserve">ssurance </w:t>
            </w:r>
            <w:r w:rsidR="003E10F7">
              <w:t>a</w:t>
            </w:r>
            <w:r w:rsidRPr="00975349">
              <w:t xml:space="preserve">ctivity is to assess the effectiveness and efficiency of the controls in place to appropriately manage risks and deliver outcomes. Examples of </w:t>
            </w:r>
            <w:r w:rsidR="003E10F7">
              <w:t>a</w:t>
            </w:r>
            <w:r w:rsidRPr="00975349">
              <w:t xml:space="preserve">ssurance </w:t>
            </w:r>
            <w:r w:rsidR="003E10F7">
              <w:t>a</w:t>
            </w:r>
            <w:r w:rsidRPr="00975349">
              <w:t>ctivities include:</w:t>
            </w:r>
          </w:p>
          <w:p w14:paraId="59549B68" w14:textId="04B854CA" w:rsidR="002E1BAC" w:rsidRPr="00975349" w:rsidRDefault="006374AA" w:rsidP="0092764F">
            <w:pPr>
              <w:pStyle w:val="TableBullet1Normal"/>
            </w:pPr>
            <w:r>
              <w:t>f</w:t>
            </w:r>
            <w:r w:rsidR="002E1BAC" w:rsidRPr="00975349">
              <w:t>ocused data analytics</w:t>
            </w:r>
          </w:p>
          <w:p w14:paraId="1DDAB807" w14:textId="2E9975BE" w:rsidR="002E1BAC" w:rsidRPr="00975349" w:rsidRDefault="006374AA" w:rsidP="0092764F">
            <w:pPr>
              <w:pStyle w:val="TableBullet1Normal"/>
            </w:pPr>
            <w:r>
              <w:t>a</w:t>
            </w:r>
            <w:r w:rsidR="002E1BAC" w:rsidRPr="00975349">
              <w:t xml:space="preserve">ssurance </w:t>
            </w:r>
            <w:r w:rsidR="00C540A7">
              <w:t>r</w:t>
            </w:r>
            <w:r w:rsidR="002E1BAC" w:rsidRPr="00975349">
              <w:t>eviews</w:t>
            </w:r>
          </w:p>
          <w:p w14:paraId="6AD2B6D0" w14:textId="5046C1E1" w:rsidR="002E1BAC" w:rsidRPr="00975349" w:rsidRDefault="006374AA" w:rsidP="0092764F">
            <w:pPr>
              <w:pStyle w:val="TableBullet1Normal"/>
            </w:pPr>
            <w:r>
              <w:t>t</w:t>
            </w:r>
            <w:r w:rsidR="002E1BAC" w:rsidRPr="00975349">
              <w:t xml:space="preserve">argeted </w:t>
            </w:r>
            <w:r w:rsidR="00C540A7">
              <w:t>a</w:t>
            </w:r>
            <w:r w:rsidR="002E1BAC" w:rsidRPr="00975349">
              <w:t xml:space="preserve">ssurance </w:t>
            </w:r>
            <w:r w:rsidR="00C540A7">
              <w:t>r</w:t>
            </w:r>
            <w:r w:rsidR="002E1BAC" w:rsidRPr="00975349">
              <w:t>eviews.</w:t>
            </w:r>
          </w:p>
          <w:p w14:paraId="3F309AF0" w14:textId="0AC3E21C" w:rsidR="002E1BAC" w:rsidRPr="00975349" w:rsidRDefault="002E1BAC" w:rsidP="002E1BAC">
            <w:pPr>
              <w:pStyle w:val="TableTextNormal"/>
            </w:pPr>
            <w:r w:rsidRPr="00975349">
              <w:t xml:space="preserve">(See </w:t>
            </w:r>
            <w:hyperlink w:anchor="_Assurance_activities" w:history="1">
              <w:r w:rsidRPr="006D0982">
                <w:rPr>
                  <w:rStyle w:val="Hyperlink"/>
                  <w:rFonts w:eastAsia="Times New Roman"/>
                  <w:szCs w:val="20"/>
                  <w:lang w:val="en-AU"/>
                </w:rPr>
                <w:t>Section 4.2</w:t>
              </w:r>
              <w:r w:rsidR="00F67F0B" w:rsidRPr="006D0982">
                <w:rPr>
                  <w:rStyle w:val="Hyperlink"/>
                </w:rPr>
                <w:t>.</w:t>
              </w:r>
              <w:r w:rsidRPr="006D0982">
                <w:rPr>
                  <w:rStyle w:val="Hyperlink"/>
                </w:rPr>
                <w:t xml:space="preserve"> Assurance </w:t>
              </w:r>
              <w:r w:rsidR="00146212" w:rsidRPr="006D0982">
                <w:rPr>
                  <w:rStyle w:val="Hyperlink"/>
                </w:rPr>
                <w:t>a</w:t>
              </w:r>
              <w:r w:rsidRPr="006D0982">
                <w:rPr>
                  <w:rStyle w:val="Hyperlink"/>
                </w:rPr>
                <w:t>ctivities</w:t>
              </w:r>
            </w:hyperlink>
            <w:r w:rsidRPr="00975349">
              <w:t xml:space="preserve"> for further detail)</w:t>
            </w:r>
          </w:p>
        </w:tc>
      </w:tr>
      <w:tr w:rsidR="002E1BAC" w:rsidRPr="00975349" w14:paraId="0981C8F3" w14:textId="77777777" w:rsidTr="00C57F9A">
        <w:tc>
          <w:tcPr>
            <w:tcW w:w="1022" w:type="pct"/>
          </w:tcPr>
          <w:p w14:paraId="1F0C9C54" w14:textId="14EFEB10" w:rsidR="002E1BAC" w:rsidRPr="00975349" w:rsidRDefault="002E1BAC" w:rsidP="002E1BAC">
            <w:pPr>
              <w:pStyle w:val="TableTextNormal"/>
              <w:keepNext/>
            </w:pPr>
            <w:r w:rsidRPr="00975349">
              <w:t xml:space="preserve">Assurance </w:t>
            </w:r>
            <w:r w:rsidR="00146212">
              <w:t>r</w:t>
            </w:r>
            <w:r w:rsidRPr="00975349">
              <w:t>eview</w:t>
            </w:r>
          </w:p>
        </w:tc>
        <w:tc>
          <w:tcPr>
            <w:tcW w:w="3978" w:type="pct"/>
          </w:tcPr>
          <w:p w14:paraId="41D61862" w14:textId="6EAB3673" w:rsidR="002E1BAC" w:rsidRPr="00975349" w:rsidRDefault="002E1BAC" w:rsidP="002E1BAC">
            <w:pPr>
              <w:pStyle w:val="TableTextNormal"/>
            </w:pPr>
            <w:r w:rsidRPr="00975349">
              <w:t xml:space="preserve">The purpose of </w:t>
            </w:r>
            <w:r w:rsidR="00F90CB8">
              <w:t>an</w:t>
            </w:r>
            <w:r w:rsidRPr="00975349">
              <w:t xml:space="preserve"> </w:t>
            </w:r>
            <w:r w:rsidR="00146212">
              <w:t>a</w:t>
            </w:r>
            <w:r w:rsidRPr="00975349">
              <w:t xml:space="preserve">ssurance </w:t>
            </w:r>
            <w:r w:rsidR="00146212">
              <w:t>r</w:t>
            </w:r>
            <w:r w:rsidRPr="00975349">
              <w:t xml:space="preserve">eview as defined in the </w:t>
            </w:r>
            <w:r w:rsidRPr="00CA1DDF">
              <w:rPr>
                <w:bCs/>
              </w:rPr>
              <w:t>amended</w:t>
            </w:r>
            <w:r w:rsidRPr="00975349">
              <w:rPr>
                <w:b/>
                <w:i/>
                <w:iCs/>
              </w:rPr>
              <w:t xml:space="preserve"> </w:t>
            </w:r>
            <w:r w:rsidRPr="00FE2FDA">
              <w:rPr>
                <w:bCs/>
                <w:iCs/>
              </w:rPr>
              <w:t>Aged Care Act</w:t>
            </w:r>
            <w:r w:rsidRPr="00CA1DDF">
              <w:rPr>
                <w:bCs/>
                <w:i/>
              </w:rPr>
              <w:t xml:space="preserve"> </w:t>
            </w:r>
            <w:r w:rsidRPr="00975349">
              <w:t>is:</w:t>
            </w:r>
          </w:p>
          <w:p w14:paraId="4D724796" w14:textId="29229336" w:rsidR="002E1BAC" w:rsidRPr="00975349" w:rsidRDefault="002E1BAC" w:rsidP="0092764F">
            <w:pPr>
              <w:pStyle w:val="TableBullet1Normal"/>
            </w:pPr>
            <w:r w:rsidRPr="00975349">
              <w:t>assuring that arrangements for the delivery and administration of home care are effective and efficien</w:t>
            </w:r>
            <w:r w:rsidR="00F447E9">
              <w:t>t</w:t>
            </w:r>
          </w:p>
          <w:p w14:paraId="3431131E" w14:textId="77777777" w:rsidR="002E1BAC" w:rsidRPr="00975349" w:rsidRDefault="002E1BAC" w:rsidP="0092764F">
            <w:pPr>
              <w:pStyle w:val="TableBullet1Normal"/>
            </w:pPr>
            <w:r w:rsidRPr="00975349">
              <w:t>informing development of home care policy and education of approved providers in relation to home care and home care services.</w:t>
            </w:r>
          </w:p>
          <w:p w14:paraId="671D7B6F" w14:textId="5B44F1A6" w:rsidR="002E1BAC" w:rsidRPr="00975349" w:rsidRDefault="002E1BAC" w:rsidP="002E1BAC">
            <w:pPr>
              <w:pStyle w:val="TableTextNormal"/>
            </w:pPr>
            <w:r w:rsidRPr="00975349">
              <w:t xml:space="preserve">An </w:t>
            </w:r>
            <w:r w:rsidR="00F90CB8">
              <w:t>a</w:t>
            </w:r>
            <w:r w:rsidRPr="00975349">
              <w:t xml:space="preserve">ssurance </w:t>
            </w:r>
            <w:r w:rsidR="00F90CB8">
              <w:t>r</w:t>
            </w:r>
            <w:r w:rsidRPr="00975349">
              <w:t xml:space="preserve">eview will involve defining a </w:t>
            </w:r>
            <w:r w:rsidR="00F90CB8">
              <w:t>s</w:t>
            </w:r>
            <w:r w:rsidRPr="00975349">
              <w:t xml:space="preserve">cope, </w:t>
            </w:r>
            <w:r w:rsidR="00F90CB8">
              <w:t>i</w:t>
            </w:r>
            <w:r w:rsidRPr="00975349">
              <w:t xml:space="preserve">nformation </w:t>
            </w:r>
            <w:r w:rsidR="00F90CB8">
              <w:t>g</w:t>
            </w:r>
            <w:r w:rsidRPr="00975349">
              <w:t xml:space="preserve">athering, </w:t>
            </w:r>
            <w:r w:rsidR="00F90CB8">
              <w:t>a</w:t>
            </w:r>
            <w:r w:rsidR="00FA64E0">
              <w:t>nalysis</w:t>
            </w:r>
            <w:r w:rsidRPr="00975349">
              <w:t xml:space="preserve"> and </w:t>
            </w:r>
            <w:r w:rsidR="00F90CB8">
              <w:t>r</w:t>
            </w:r>
            <w:r w:rsidRPr="00975349">
              <w:t>eporting.</w:t>
            </w:r>
          </w:p>
          <w:p w14:paraId="54C0F4F2" w14:textId="11523992" w:rsidR="002E1BAC" w:rsidRPr="00975349" w:rsidRDefault="002E1BAC" w:rsidP="002E1BAC">
            <w:pPr>
              <w:pStyle w:val="TableTextNormal"/>
            </w:pPr>
            <w:r w:rsidRPr="00975349">
              <w:t xml:space="preserve">To support the conduct of </w:t>
            </w:r>
            <w:r w:rsidR="006D03B3">
              <w:t>an</w:t>
            </w:r>
            <w:r w:rsidR="006D03B3" w:rsidRPr="00975349">
              <w:t xml:space="preserve"> </w:t>
            </w:r>
            <w:r w:rsidR="007E78B6">
              <w:t>a</w:t>
            </w:r>
            <w:r w:rsidRPr="00975349">
              <w:t xml:space="preserve">ssurance </w:t>
            </w:r>
            <w:r w:rsidR="007E78B6">
              <w:t>r</w:t>
            </w:r>
            <w:r w:rsidRPr="00975349">
              <w:t xml:space="preserve">eview, the </w:t>
            </w:r>
            <w:r w:rsidRPr="00CA1DDF">
              <w:t>amended</w:t>
            </w:r>
            <w:r w:rsidRPr="00975349">
              <w:rPr>
                <w:b/>
              </w:rPr>
              <w:t xml:space="preserve"> </w:t>
            </w:r>
            <w:r w:rsidRPr="00980B10">
              <w:rPr>
                <w:iCs/>
              </w:rPr>
              <w:t>Aged Care Act</w:t>
            </w:r>
            <w:r w:rsidRPr="00980B10">
              <w:rPr>
                <w:i/>
              </w:rPr>
              <w:t xml:space="preserve"> </w:t>
            </w:r>
            <w:r w:rsidRPr="00975349">
              <w:t>provi</w:t>
            </w:r>
            <w:r w:rsidR="006D03B3">
              <w:t>des</w:t>
            </w:r>
            <w:r w:rsidRPr="00975349">
              <w:t xml:space="preserve"> for the </w:t>
            </w:r>
            <w:r w:rsidR="00863008">
              <w:t>department</w:t>
            </w:r>
            <w:r w:rsidRPr="00975349">
              <w:t xml:space="preserve"> to issue notices to </w:t>
            </w:r>
            <w:r w:rsidR="006E2ECD">
              <w:t>p</w:t>
            </w:r>
            <w:r w:rsidRPr="00975349">
              <w:t xml:space="preserve">roviders and require </w:t>
            </w:r>
            <w:r w:rsidR="006E2ECD">
              <w:t>p</w:t>
            </w:r>
            <w:r w:rsidRPr="00975349">
              <w:t xml:space="preserve">roviders to submit information and documentation and make available any staff to answer questions to the </w:t>
            </w:r>
            <w:r w:rsidR="00863008">
              <w:t>department</w:t>
            </w:r>
            <w:r w:rsidRPr="00975349">
              <w:t>.</w:t>
            </w:r>
          </w:p>
        </w:tc>
      </w:tr>
      <w:tr w:rsidR="002E1BAC" w:rsidRPr="00975349" w14:paraId="4D4D27B3" w14:textId="77777777" w:rsidTr="00C57F9A">
        <w:tc>
          <w:tcPr>
            <w:tcW w:w="1022" w:type="pct"/>
          </w:tcPr>
          <w:p w14:paraId="5306CE5E" w14:textId="499063E5" w:rsidR="002E1BAC" w:rsidRPr="00975349" w:rsidRDefault="002E1BAC" w:rsidP="002E1BAC">
            <w:pPr>
              <w:pStyle w:val="TableTextNormal"/>
            </w:pPr>
            <w:r w:rsidRPr="00975349">
              <w:t xml:space="preserve">Community of </w:t>
            </w:r>
            <w:r w:rsidR="001202C7">
              <w:t>p</w:t>
            </w:r>
            <w:r w:rsidRPr="00975349">
              <w:t>ractice</w:t>
            </w:r>
          </w:p>
        </w:tc>
        <w:tc>
          <w:tcPr>
            <w:tcW w:w="3978" w:type="pct"/>
          </w:tcPr>
          <w:p w14:paraId="5491E017" w14:textId="524595C5" w:rsidR="00696F56" w:rsidRDefault="002E1BAC" w:rsidP="002E1BAC">
            <w:pPr>
              <w:pStyle w:val="TableTextNormal"/>
            </w:pPr>
            <w:r w:rsidRPr="00975349">
              <w:t>A</w:t>
            </w:r>
            <w:r w:rsidR="00F806BF">
              <w:t xml:space="preserve"> </w:t>
            </w:r>
            <w:r w:rsidRPr="00975349">
              <w:t xml:space="preserve">forum for </w:t>
            </w:r>
            <w:r w:rsidR="00794327">
              <w:t>p</w:t>
            </w:r>
            <w:r w:rsidRPr="00975349">
              <w:t xml:space="preserve">roviders and </w:t>
            </w:r>
            <w:r w:rsidR="00984D5A">
              <w:t xml:space="preserve">provider and </w:t>
            </w:r>
            <w:r w:rsidRPr="00975349">
              <w:t xml:space="preserve">care recipient </w:t>
            </w:r>
            <w:r w:rsidR="00984D5A">
              <w:t>peak bodies</w:t>
            </w:r>
            <w:r w:rsidR="00984D5A" w:rsidRPr="00975349">
              <w:t xml:space="preserve"> </w:t>
            </w:r>
            <w:r w:rsidRPr="00975349">
              <w:t xml:space="preserve">to </w:t>
            </w:r>
            <w:r w:rsidR="00F806BF">
              <w:t>engage</w:t>
            </w:r>
            <w:r w:rsidR="00F806BF" w:rsidRPr="00975349">
              <w:t xml:space="preserve"> </w:t>
            </w:r>
            <w:r w:rsidRPr="00975349">
              <w:t xml:space="preserve">with the </w:t>
            </w:r>
            <w:r w:rsidR="00863008">
              <w:t>department</w:t>
            </w:r>
            <w:r w:rsidRPr="00975349">
              <w:t xml:space="preserve"> to:</w:t>
            </w:r>
          </w:p>
          <w:p w14:paraId="5FB5D8C2" w14:textId="4503FDA2" w:rsidR="00696F56" w:rsidRDefault="002E1BAC" w:rsidP="00696F56">
            <w:pPr>
              <w:pStyle w:val="TableTextNormal"/>
              <w:numPr>
                <w:ilvl w:val="0"/>
                <w:numId w:val="42"/>
              </w:numPr>
            </w:pPr>
            <w:r w:rsidRPr="00975349">
              <w:t xml:space="preserve">discuss findings from </w:t>
            </w:r>
            <w:r w:rsidR="008A66DA">
              <w:t>a</w:t>
            </w:r>
            <w:r w:rsidRPr="00975349">
              <w:t xml:space="preserve">ssurance </w:t>
            </w:r>
            <w:r w:rsidR="008A66DA">
              <w:t>r</w:t>
            </w:r>
            <w:r w:rsidRPr="00975349">
              <w:t xml:space="preserve">eviews and their implications for </w:t>
            </w:r>
            <w:r w:rsidR="00794327">
              <w:t>p</w:t>
            </w:r>
            <w:r w:rsidRPr="00975349">
              <w:t>roviders/the sector/the HCP Program</w:t>
            </w:r>
          </w:p>
          <w:p w14:paraId="2EC3F66C" w14:textId="6A331266" w:rsidR="00696F56" w:rsidRDefault="002E1BAC" w:rsidP="00696F56">
            <w:pPr>
              <w:pStyle w:val="TableTextNormal"/>
              <w:numPr>
                <w:ilvl w:val="0"/>
                <w:numId w:val="42"/>
              </w:numPr>
            </w:pPr>
            <w:r w:rsidRPr="00975349">
              <w:t xml:space="preserve">identify best practices identified through </w:t>
            </w:r>
            <w:r w:rsidR="00794327">
              <w:t>r</w:t>
            </w:r>
            <w:r w:rsidRPr="00975349">
              <w:t xml:space="preserve">eview </w:t>
            </w:r>
            <w:r w:rsidR="00794327">
              <w:t>a</w:t>
            </w:r>
            <w:r w:rsidRPr="00975349">
              <w:t>ctivities</w:t>
            </w:r>
          </w:p>
          <w:p w14:paraId="7D2C1916" w14:textId="2ACA45D5" w:rsidR="00173B0E" w:rsidRDefault="002E1BAC" w:rsidP="00696F56">
            <w:pPr>
              <w:pStyle w:val="TableTextNormal"/>
              <w:numPr>
                <w:ilvl w:val="0"/>
                <w:numId w:val="42"/>
              </w:numPr>
            </w:pPr>
            <w:r w:rsidRPr="00975349">
              <w:lastRenderedPageBreak/>
              <w:t xml:space="preserve">share lessons learnt and possible improvements to the conduct of </w:t>
            </w:r>
            <w:r w:rsidR="00794327">
              <w:t>r</w:t>
            </w:r>
            <w:r w:rsidRPr="00975349">
              <w:t>eviews</w:t>
            </w:r>
          </w:p>
          <w:p w14:paraId="06C0AFAB" w14:textId="2CE5C775" w:rsidR="00173B0E" w:rsidRDefault="002E1BAC" w:rsidP="00696F56">
            <w:pPr>
              <w:pStyle w:val="TableTextNormal"/>
              <w:numPr>
                <w:ilvl w:val="0"/>
                <w:numId w:val="42"/>
              </w:numPr>
            </w:pPr>
            <w:r w:rsidRPr="00975349">
              <w:t>share mutual insights and suggested improvements in relation to the guidance</w:t>
            </w:r>
            <w:r w:rsidR="00D94565" w:rsidRPr="00975349">
              <w:t>/</w:t>
            </w:r>
            <w:r w:rsidRPr="00975349">
              <w:t>requirements for the HCP Program.</w:t>
            </w:r>
          </w:p>
          <w:p w14:paraId="4727DFEA" w14:textId="7243F89E" w:rsidR="002E1BAC" w:rsidRPr="009064C5" w:rsidRDefault="002E1BAC" w:rsidP="009064C5">
            <w:pPr>
              <w:pStyle w:val="TableTextNormal"/>
            </w:pPr>
            <w:r w:rsidRPr="009064C5">
              <w:t xml:space="preserve">The </w:t>
            </w:r>
            <w:r w:rsidR="00970DC6" w:rsidRPr="009064C5">
              <w:t>c</w:t>
            </w:r>
            <w:r w:rsidR="004162E3" w:rsidRPr="009064C5">
              <w:t xml:space="preserve">ommunity </w:t>
            </w:r>
            <w:r w:rsidRPr="009064C5">
              <w:t>o</w:t>
            </w:r>
            <w:r w:rsidR="004162E3" w:rsidRPr="009064C5">
              <w:t xml:space="preserve">f </w:t>
            </w:r>
            <w:r w:rsidR="00970DC6" w:rsidRPr="009064C5">
              <w:t>p</w:t>
            </w:r>
            <w:r w:rsidR="004162E3" w:rsidRPr="009064C5">
              <w:t>ractice</w:t>
            </w:r>
            <w:r w:rsidRPr="009064C5">
              <w:t xml:space="preserve"> will be hosted by the </w:t>
            </w:r>
            <w:r w:rsidR="00863008" w:rsidRPr="009064C5">
              <w:t>department</w:t>
            </w:r>
            <w:r w:rsidRPr="009064C5">
              <w:t xml:space="preserve"> and all interested providers</w:t>
            </w:r>
            <w:r w:rsidR="00956FC2" w:rsidRPr="009064C5">
              <w:t>,</w:t>
            </w:r>
            <w:r w:rsidR="00984D5A" w:rsidRPr="009064C5">
              <w:t xml:space="preserve"> and provider and care recipient peak bodies</w:t>
            </w:r>
            <w:r w:rsidR="00956FC2" w:rsidRPr="009064C5">
              <w:t>,</w:t>
            </w:r>
            <w:r w:rsidRPr="009064C5">
              <w:t xml:space="preserve"> </w:t>
            </w:r>
            <w:r w:rsidR="00984D5A" w:rsidRPr="009064C5">
              <w:t>are</w:t>
            </w:r>
            <w:r w:rsidRPr="009064C5">
              <w:t xml:space="preserve"> able to participate.</w:t>
            </w:r>
          </w:p>
          <w:p w14:paraId="4528E7B0" w14:textId="4FABD986" w:rsidR="002E1BAC" w:rsidRPr="00975349" w:rsidRDefault="002E1BAC" w:rsidP="009064C5">
            <w:pPr>
              <w:pStyle w:val="TableTextNormal"/>
            </w:pPr>
            <w:r w:rsidRPr="009064C5">
              <w:t xml:space="preserve">The </w:t>
            </w:r>
            <w:r w:rsidR="006A07FC" w:rsidRPr="009064C5">
              <w:t>c</w:t>
            </w:r>
            <w:r w:rsidR="007A3C33" w:rsidRPr="009064C5">
              <w:t xml:space="preserve">ommunity of </w:t>
            </w:r>
            <w:r w:rsidR="006A07FC" w:rsidRPr="009064C5">
              <w:t>p</w:t>
            </w:r>
            <w:r w:rsidR="007A3C33" w:rsidRPr="009064C5">
              <w:t>ractice</w:t>
            </w:r>
            <w:r w:rsidRPr="009064C5">
              <w:t xml:space="preserve"> may comprise a digital platform to share information and ideas</w:t>
            </w:r>
            <w:r w:rsidR="001E43F0" w:rsidRPr="009064C5">
              <w:t>.</w:t>
            </w:r>
            <w:r w:rsidR="001E43F0" w:rsidRPr="00975349" w:rsidDel="001E43F0">
              <w:t xml:space="preserve"> </w:t>
            </w:r>
          </w:p>
        </w:tc>
      </w:tr>
      <w:tr w:rsidR="002E1BAC" w:rsidRPr="00975349" w14:paraId="420FA365" w14:textId="77777777" w:rsidTr="00C57F9A">
        <w:tc>
          <w:tcPr>
            <w:tcW w:w="1022" w:type="pct"/>
          </w:tcPr>
          <w:p w14:paraId="23F8D2EC" w14:textId="7E664E97" w:rsidR="002E1BAC" w:rsidRPr="00975349" w:rsidRDefault="002E1BAC" w:rsidP="002E1BAC">
            <w:pPr>
              <w:pStyle w:val="TableTextNormal"/>
            </w:pPr>
            <w:r w:rsidRPr="00975349" w:rsidDel="001C07AF">
              <w:lastRenderedPageBreak/>
              <w:t>D</w:t>
            </w:r>
            <w:r w:rsidRPr="00975349">
              <w:t>epartment</w:t>
            </w:r>
          </w:p>
        </w:tc>
        <w:tc>
          <w:tcPr>
            <w:tcW w:w="3978" w:type="pct"/>
          </w:tcPr>
          <w:p w14:paraId="1BC079DC" w14:textId="29C7EF47" w:rsidR="002E1BAC" w:rsidRPr="00975349" w:rsidRDefault="002E1BAC" w:rsidP="002E1BAC">
            <w:pPr>
              <w:pStyle w:val="TableTextNormal"/>
            </w:pPr>
            <w:r w:rsidRPr="00975349">
              <w:t xml:space="preserve">Australian Government </w:t>
            </w:r>
            <w:r w:rsidR="00793217">
              <w:t>Department of Health and Aged Care</w:t>
            </w:r>
          </w:p>
        </w:tc>
      </w:tr>
      <w:tr w:rsidR="002E1BAC" w:rsidRPr="00975349" w14:paraId="55C995C7" w14:textId="77777777" w:rsidTr="00C57F9A">
        <w:tc>
          <w:tcPr>
            <w:tcW w:w="1022" w:type="pct"/>
          </w:tcPr>
          <w:p w14:paraId="6CFC358D" w14:textId="77777777" w:rsidR="002E1BAC" w:rsidRPr="00975349" w:rsidRDefault="002E1BAC" w:rsidP="002E1BAC">
            <w:pPr>
              <w:pStyle w:val="TableTextNormal"/>
            </w:pPr>
            <w:r w:rsidRPr="00975349">
              <w:t>Findings</w:t>
            </w:r>
          </w:p>
        </w:tc>
        <w:tc>
          <w:tcPr>
            <w:tcW w:w="3978" w:type="pct"/>
          </w:tcPr>
          <w:p w14:paraId="229F5697" w14:textId="01E4E7F4" w:rsidR="002E1BAC" w:rsidRPr="00975349" w:rsidRDefault="002E1BAC" w:rsidP="002E1BAC">
            <w:pPr>
              <w:pStyle w:val="TableTextNormal"/>
            </w:pPr>
            <w:r w:rsidRPr="00975349">
              <w:t xml:space="preserve">Results of the </w:t>
            </w:r>
            <w:r w:rsidR="006A07FC">
              <w:t>r</w:t>
            </w:r>
            <w:r w:rsidRPr="00975349">
              <w:t xml:space="preserve">eview of the collected information against </w:t>
            </w:r>
            <w:r w:rsidR="006A07FC">
              <w:t>r</w:t>
            </w:r>
            <w:r w:rsidRPr="00975349">
              <w:t xml:space="preserve">eview </w:t>
            </w:r>
            <w:r w:rsidR="006A07FC">
              <w:t>c</w:t>
            </w:r>
            <w:r w:rsidRPr="00975349">
              <w:t>riteria</w:t>
            </w:r>
          </w:p>
        </w:tc>
      </w:tr>
      <w:tr w:rsidR="002E1BAC" w:rsidRPr="00975349" w14:paraId="2D34E897" w14:textId="77777777" w:rsidTr="00C57F9A">
        <w:tc>
          <w:tcPr>
            <w:tcW w:w="1022" w:type="pct"/>
          </w:tcPr>
          <w:p w14:paraId="3183D29A" w14:textId="77777777" w:rsidR="002E1BAC" w:rsidRPr="00975349" w:rsidRDefault="002E1BAC" w:rsidP="002E1BAC">
            <w:pPr>
              <w:pStyle w:val="TableTextNormal"/>
            </w:pPr>
            <w:r w:rsidRPr="00975349">
              <w:t>Fraud</w:t>
            </w:r>
          </w:p>
        </w:tc>
        <w:tc>
          <w:tcPr>
            <w:tcW w:w="3978" w:type="pct"/>
          </w:tcPr>
          <w:p w14:paraId="29333996" w14:textId="77777777" w:rsidR="002E1BAC" w:rsidRPr="00975349" w:rsidRDefault="002E1BAC" w:rsidP="002E1BAC">
            <w:pPr>
              <w:pStyle w:val="TableTextNormal"/>
            </w:pPr>
            <w:r w:rsidRPr="00975349">
              <w:t>Dishonestly obtaining a benefit, or causing a loss, by deception or other means</w:t>
            </w:r>
          </w:p>
        </w:tc>
      </w:tr>
      <w:tr w:rsidR="002E1BAC" w:rsidRPr="00975349" w14:paraId="334AE9A7" w14:textId="77777777" w:rsidTr="00C57F9A">
        <w:tc>
          <w:tcPr>
            <w:tcW w:w="1022" w:type="pct"/>
          </w:tcPr>
          <w:p w14:paraId="61CBAC10" w14:textId="77777777" w:rsidR="002E1BAC" w:rsidRPr="00975349" w:rsidRDefault="002E1BAC" w:rsidP="002E1BAC">
            <w:pPr>
              <w:pStyle w:val="TableTextNormal"/>
            </w:pPr>
            <w:r w:rsidRPr="00975349">
              <w:t>HCP</w:t>
            </w:r>
          </w:p>
        </w:tc>
        <w:tc>
          <w:tcPr>
            <w:tcW w:w="3978" w:type="pct"/>
          </w:tcPr>
          <w:p w14:paraId="5D94DF64" w14:textId="77777777" w:rsidR="002E1BAC" w:rsidRPr="00975349" w:rsidRDefault="002E1BAC" w:rsidP="002E1BAC">
            <w:pPr>
              <w:pStyle w:val="TableTextNormal"/>
            </w:pPr>
            <w:r w:rsidRPr="00975349">
              <w:t>Home Care Packages</w:t>
            </w:r>
          </w:p>
        </w:tc>
      </w:tr>
      <w:tr w:rsidR="001A71E9" w:rsidRPr="00975349" w14:paraId="2E2AE0A3" w14:textId="77777777" w:rsidTr="00C57F9A">
        <w:tc>
          <w:tcPr>
            <w:tcW w:w="1022" w:type="pct"/>
          </w:tcPr>
          <w:p w14:paraId="563350FF" w14:textId="2B719444" w:rsidR="001A71E9" w:rsidRDefault="001A71E9" w:rsidP="001A71E9">
            <w:pPr>
              <w:pStyle w:val="TableTextNormal"/>
            </w:pPr>
            <w:r>
              <w:t xml:space="preserve">HCP Program </w:t>
            </w:r>
            <w:r w:rsidRPr="00975349">
              <w:t>Assurance Plan</w:t>
            </w:r>
          </w:p>
          <w:p w14:paraId="6EFE7692" w14:textId="2DD32F1A" w:rsidR="00ED3A4E" w:rsidRPr="00975349" w:rsidRDefault="00ED3A4E" w:rsidP="001A71E9">
            <w:pPr>
              <w:pStyle w:val="TableTextNormal"/>
            </w:pPr>
            <w:r>
              <w:t>(assurance plan)</w:t>
            </w:r>
          </w:p>
        </w:tc>
        <w:tc>
          <w:tcPr>
            <w:tcW w:w="3978" w:type="pct"/>
          </w:tcPr>
          <w:p w14:paraId="3317ABE9" w14:textId="78620C88" w:rsidR="001A71E9" w:rsidRPr="00975349" w:rsidRDefault="001A71E9" w:rsidP="001A71E9">
            <w:pPr>
              <w:pStyle w:val="TableTextNormal"/>
            </w:pPr>
            <w:r w:rsidRPr="00975349">
              <w:t>A</w:t>
            </w:r>
            <w:r w:rsidR="00D41C6D">
              <w:t>n internal departmental</w:t>
            </w:r>
            <w:r w:rsidRPr="00975349">
              <w:t xml:space="preserve"> document </w:t>
            </w:r>
            <w:r w:rsidR="00143A96">
              <w:t>that details</w:t>
            </w:r>
            <w:r w:rsidR="00FC754C">
              <w:t xml:space="preserve"> the assurance planning process</w:t>
            </w:r>
            <w:r w:rsidR="00A94285">
              <w:t xml:space="preserve"> and</w:t>
            </w:r>
            <w:r w:rsidRPr="00975349">
              <w:t xml:space="preserve"> </w:t>
            </w:r>
            <w:r w:rsidR="00A94285">
              <w:t xml:space="preserve">identifies </w:t>
            </w:r>
            <w:r w:rsidRPr="00975349">
              <w:t xml:space="preserve">the </w:t>
            </w:r>
            <w:r>
              <w:t>a</w:t>
            </w:r>
            <w:r w:rsidRPr="00975349">
              <w:t xml:space="preserve">ssurance </w:t>
            </w:r>
            <w:r>
              <w:t>a</w:t>
            </w:r>
            <w:r w:rsidRPr="00975349">
              <w:t xml:space="preserve">ctivities </w:t>
            </w:r>
            <w:r w:rsidR="00832AD6">
              <w:t>that</w:t>
            </w:r>
            <w:r w:rsidRPr="00975349">
              <w:t xml:space="preserve"> </w:t>
            </w:r>
            <w:r>
              <w:t>may</w:t>
            </w:r>
            <w:r w:rsidRPr="00975349">
              <w:t xml:space="preserve"> be undertaken through the </w:t>
            </w:r>
            <w:r w:rsidR="00252356">
              <w:t>plan</w:t>
            </w:r>
            <w:r w:rsidR="00BF112E">
              <w:t>n</w:t>
            </w:r>
            <w:r w:rsidR="00252356">
              <w:t>ed</w:t>
            </w:r>
            <w:r>
              <w:t xml:space="preserve"> period</w:t>
            </w:r>
            <w:r w:rsidRPr="00975349">
              <w:t>.</w:t>
            </w:r>
          </w:p>
        </w:tc>
      </w:tr>
      <w:tr w:rsidR="00832AD6" w:rsidRPr="00975349" w14:paraId="46F77FDD" w14:textId="77777777" w:rsidTr="00C57F9A">
        <w:tc>
          <w:tcPr>
            <w:tcW w:w="1022" w:type="pct"/>
          </w:tcPr>
          <w:p w14:paraId="30E73E33" w14:textId="77777777" w:rsidR="00832AD6" w:rsidRDefault="00832AD6" w:rsidP="001A71E9">
            <w:pPr>
              <w:pStyle w:val="TableTextNormal"/>
            </w:pPr>
            <w:r>
              <w:t>HCP Program Assurance Plan</w:t>
            </w:r>
            <w:r w:rsidR="00B2002A">
              <w:t xml:space="preserve"> on a Page</w:t>
            </w:r>
          </w:p>
          <w:p w14:paraId="4FD391C3" w14:textId="79A7DEEA" w:rsidR="00ED3A4E" w:rsidRPr="00975349" w:rsidRDefault="00ED3A4E" w:rsidP="001A71E9">
            <w:pPr>
              <w:pStyle w:val="TableTextNormal"/>
            </w:pPr>
            <w:r>
              <w:t>(assurance plan on a page)</w:t>
            </w:r>
          </w:p>
        </w:tc>
        <w:tc>
          <w:tcPr>
            <w:tcW w:w="3978" w:type="pct"/>
          </w:tcPr>
          <w:p w14:paraId="028BC454" w14:textId="6487A362" w:rsidR="00832AD6" w:rsidRPr="00975349" w:rsidRDefault="00B2002A" w:rsidP="001A71E9">
            <w:pPr>
              <w:pStyle w:val="TableTextNormal"/>
            </w:pPr>
            <w:r>
              <w:t>A one-page summary of the detailed</w:t>
            </w:r>
            <w:r w:rsidR="00ED3A4E">
              <w:t xml:space="preserve"> assurance plan </w:t>
            </w:r>
            <w:r w:rsidR="00AA403F">
              <w:t xml:space="preserve">providing an overview of the </w:t>
            </w:r>
            <w:r w:rsidR="001C19AE">
              <w:t xml:space="preserve">assurance activities that may be undertaken </w:t>
            </w:r>
            <w:r w:rsidR="00143A96">
              <w:t>through the planned</w:t>
            </w:r>
            <w:r w:rsidR="001C19AE">
              <w:t xml:space="preserve"> period.</w:t>
            </w:r>
            <w:r>
              <w:t xml:space="preserve"> </w:t>
            </w:r>
            <w:r w:rsidR="00D41C6D">
              <w:t xml:space="preserve">This document </w:t>
            </w:r>
            <w:r w:rsidR="00A034DE">
              <w:t>is</w:t>
            </w:r>
            <w:r w:rsidR="00D41C6D">
              <w:t xml:space="preserve"> published.</w:t>
            </w:r>
          </w:p>
        </w:tc>
      </w:tr>
      <w:tr w:rsidR="002E1BAC" w:rsidRPr="00975349" w14:paraId="2852FE0D" w14:textId="77777777" w:rsidTr="00C57F9A">
        <w:tc>
          <w:tcPr>
            <w:tcW w:w="1022" w:type="pct"/>
          </w:tcPr>
          <w:p w14:paraId="5BF27BD7" w14:textId="1D413242" w:rsidR="002E1BAC" w:rsidRPr="00975349" w:rsidRDefault="002E1BAC" w:rsidP="002E1BAC">
            <w:pPr>
              <w:pStyle w:val="TableTextNormal"/>
            </w:pPr>
            <w:r w:rsidRPr="00975349">
              <w:t>HCP</w:t>
            </w:r>
            <w:r w:rsidR="001E43F0">
              <w:t xml:space="preserve"> Program approved</w:t>
            </w:r>
            <w:r w:rsidRPr="00975349">
              <w:t xml:space="preserve"> </w:t>
            </w:r>
            <w:r w:rsidR="001A71E9">
              <w:t>p</w:t>
            </w:r>
            <w:r w:rsidRPr="00975349">
              <w:t>rovider</w:t>
            </w:r>
            <w:r w:rsidR="00931695">
              <w:t xml:space="preserve"> (provider)</w:t>
            </w:r>
          </w:p>
        </w:tc>
        <w:tc>
          <w:tcPr>
            <w:tcW w:w="3978" w:type="pct"/>
          </w:tcPr>
          <w:p w14:paraId="0085CE96" w14:textId="32F86AD7" w:rsidR="002E1BAC" w:rsidRPr="00975349" w:rsidRDefault="002E1BAC" w:rsidP="002E1BAC">
            <w:pPr>
              <w:pStyle w:val="TableTextNormal"/>
            </w:pPr>
            <w:r w:rsidRPr="00975349">
              <w:rPr>
                <w:color w:val="1F1923"/>
              </w:rPr>
              <w:t xml:space="preserve">An organisation which has been assessed and approved by the ACQSC to provide </w:t>
            </w:r>
            <w:r w:rsidR="00193078">
              <w:rPr>
                <w:color w:val="1F1923"/>
              </w:rPr>
              <w:t>HCP</w:t>
            </w:r>
            <w:r w:rsidRPr="00975349">
              <w:rPr>
                <w:color w:val="1F1923"/>
              </w:rPr>
              <w:t xml:space="preserve"> services under the </w:t>
            </w:r>
            <w:r w:rsidRPr="00CA1DDF">
              <w:rPr>
                <w:bCs/>
                <w:color w:val="1F1923"/>
              </w:rPr>
              <w:t>amended</w:t>
            </w:r>
            <w:r w:rsidRPr="00975349">
              <w:rPr>
                <w:b/>
                <w:color w:val="1F1923"/>
              </w:rPr>
              <w:t xml:space="preserve"> </w:t>
            </w:r>
            <w:r w:rsidRPr="001E43F0">
              <w:rPr>
                <w:iCs/>
                <w:color w:val="1F1923"/>
              </w:rPr>
              <w:t>Aged Care Act</w:t>
            </w:r>
            <w:r w:rsidRPr="00975349">
              <w:rPr>
                <w:color w:val="1F1923"/>
              </w:rPr>
              <w:t xml:space="preserve">. For the purposes of this document and </w:t>
            </w:r>
            <w:r w:rsidR="008A66DA">
              <w:rPr>
                <w:color w:val="1F1923"/>
              </w:rPr>
              <w:t>a</w:t>
            </w:r>
            <w:r w:rsidRPr="00975349">
              <w:rPr>
                <w:color w:val="1F1923"/>
              </w:rPr>
              <w:t xml:space="preserve">ssurance </w:t>
            </w:r>
            <w:r w:rsidR="008A66DA">
              <w:rPr>
                <w:color w:val="1F1923"/>
              </w:rPr>
              <w:t>r</w:t>
            </w:r>
            <w:r w:rsidRPr="00975349">
              <w:rPr>
                <w:color w:val="1F1923"/>
              </w:rPr>
              <w:t xml:space="preserve">eviews, only incorporated </w:t>
            </w:r>
            <w:r w:rsidR="00D11674">
              <w:rPr>
                <w:color w:val="1F1923"/>
              </w:rPr>
              <w:t>p</w:t>
            </w:r>
            <w:r w:rsidRPr="00975349">
              <w:rPr>
                <w:color w:val="1F1923"/>
              </w:rPr>
              <w:t>roviders are in scope.</w:t>
            </w:r>
          </w:p>
        </w:tc>
      </w:tr>
      <w:tr w:rsidR="002E1BAC" w:rsidRPr="00975349" w14:paraId="5D7A8B93" w14:textId="77777777" w:rsidTr="00C57F9A">
        <w:tc>
          <w:tcPr>
            <w:tcW w:w="1022" w:type="pct"/>
          </w:tcPr>
          <w:p w14:paraId="12E8FCFD" w14:textId="57E69D96" w:rsidR="002E1BAC" w:rsidRPr="00975349" w:rsidRDefault="002E1BAC" w:rsidP="002E1BAC">
            <w:pPr>
              <w:pStyle w:val="TableTextNormal"/>
            </w:pPr>
            <w:r w:rsidRPr="00975349">
              <w:t xml:space="preserve">HCP </w:t>
            </w:r>
            <w:r w:rsidR="001E43F0">
              <w:t xml:space="preserve">Program </w:t>
            </w:r>
            <w:r w:rsidRPr="00975349">
              <w:t>care recipient</w:t>
            </w:r>
            <w:r w:rsidR="00931695">
              <w:t xml:space="preserve"> (care recipient)</w:t>
            </w:r>
          </w:p>
        </w:tc>
        <w:tc>
          <w:tcPr>
            <w:tcW w:w="3978" w:type="pct"/>
          </w:tcPr>
          <w:p w14:paraId="0F3E20BC" w14:textId="0589E141" w:rsidR="002E1BAC" w:rsidRPr="00975349" w:rsidRDefault="002E1BAC" w:rsidP="002E1BAC">
            <w:pPr>
              <w:pStyle w:val="TableTextNormal"/>
              <w:rPr>
                <w:color w:val="1F1923"/>
              </w:rPr>
            </w:pPr>
            <w:r w:rsidRPr="00975349">
              <w:rPr>
                <w:color w:val="1F1923"/>
              </w:rPr>
              <w:t>A</w:t>
            </w:r>
            <w:r w:rsidR="00584B67">
              <w:rPr>
                <w:color w:val="1F1923"/>
              </w:rPr>
              <w:t>n</w:t>
            </w:r>
            <w:r w:rsidRPr="00975349">
              <w:rPr>
                <w:color w:val="1F1923"/>
              </w:rPr>
              <w:t xml:space="preserve"> </w:t>
            </w:r>
            <w:r w:rsidR="00584B67">
              <w:rPr>
                <w:color w:val="1F1923"/>
              </w:rPr>
              <w:t>older</w:t>
            </w:r>
            <w:r w:rsidR="00584B67" w:rsidRPr="00975349">
              <w:rPr>
                <w:color w:val="1F1923"/>
              </w:rPr>
              <w:t xml:space="preserve"> </w:t>
            </w:r>
            <w:r w:rsidR="00273627">
              <w:rPr>
                <w:color w:val="1F1923"/>
              </w:rPr>
              <w:t>person</w:t>
            </w:r>
            <w:r w:rsidR="00273627" w:rsidRPr="00975349">
              <w:rPr>
                <w:color w:val="1F1923"/>
              </w:rPr>
              <w:t xml:space="preserve"> </w:t>
            </w:r>
            <w:r w:rsidRPr="00975349">
              <w:rPr>
                <w:color w:val="1F1923"/>
              </w:rPr>
              <w:t xml:space="preserve">who has been approved by the Aged Care Assessment Team (ACAT), assigned a HCP and has entered into a Home Care Agreement with an approved </w:t>
            </w:r>
            <w:r w:rsidR="001A71E9">
              <w:rPr>
                <w:color w:val="1F1923"/>
              </w:rPr>
              <w:t>p</w:t>
            </w:r>
            <w:r w:rsidR="001A71E9" w:rsidRPr="00975349">
              <w:rPr>
                <w:color w:val="1F1923"/>
              </w:rPr>
              <w:t>rovider</w:t>
            </w:r>
            <w:r w:rsidRPr="00975349">
              <w:rPr>
                <w:color w:val="1F1923"/>
              </w:rPr>
              <w:t>.</w:t>
            </w:r>
          </w:p>
        </w:tc>
      </w:tr>
      <w:tr w:rsidR="002E1BAC" w:rsidRPr="00975349" w14:paraId="4571A8F9" w14:textId="77777777" w:rsidTr="00C57F9A">
        <w:tc>
          <w:tcPr>
            <w:tcW w:w="1022" w:type="pct"/>
          </w:tcPr>
          <w:p w14:paraId="41495C3C" w14:textId="77777777" w:rsidR="002E1BAC" w:rsidRPr="00975349" w:rsidRDefault="002E1BAC" w:rsidP="002E1BAC">
            <w:pPr>
              <w:pStyle w:val="TableTextNormal"/>
            </w:pPr>
            <w:r w:rsidRPr="00975349">
              <w:t>Natural justice</w:t>
            </w:r>
          </w:p>
        </w:tc>
        <w:tc>
          <w:tcPr>
            <w:tcW w:w="3978" w:type="pct"/>
          </w:tcPr>
          <w:p w14:paraId="36643314" w14:textId="77777777" w:rsidR="002E1BAC" w:rsidRPr="00975349" w:rsidRDefault="002E1BAC" w:rsidP="002E1BAC">
            <w:pPr>
              <w:pStyle w:val="TableTextNormal"/>
              <w:rPr>
                <w:color w:val="1F1923"/>
              </w:rPr>
            </w:pPr>
            <w:r w:rsidRPr="00975349">
              <w:rPr>
                <w:color w:val="1F1923"/>
              </w:rPr>
              <w:t>The accepted notion of natural justice is that everyone is entitled to a decision by an unbiased adjudicator (the hearing rule); and that the parties shall be given adequate notice of the case against them, and a right to respond (the bias rule).</w:t>
            </w:r>
          </w:p>
          <w:p w14:paraId="03509506" w14:textId="7C38BDBD" w:rsidR="002E1BAC" w:rsidRPr="00975349" w:rsidRDefault="002E1BAC" w:rsidP="002E1BAC">
            <w:pPr>
              <w:pStyle w:val="TableTextNormal"/>
              <w:rPr>
                <w:color w:val="1F1923"/>
              </w:rPr>
            </w:pPr>
            <w:r w:rsidRPr="00975349">
              <w:rPr>
                <w:color w:val="1F1923"/>
              </w:rPr>
              <w:t xml:space="preserve">In the context of </w:t>
            </w:r>
            <w:r w:rsidR="00AD1A76">
              <w:rPr>
                <w:color w:val="1F1923"/>
              </w:rPr>
              <w:t>a</w:t>
            </w:r>
            <w:r w:rsidRPr="00975349">
              <w:rPr>
                <w:color w:val="1F1923"/>
              </w:rPr>
              <w:t xml:space="preserve">ssurance </w:t>
            </w:r>
            <w:r w:rsidR="00AD1A76">
              <w:rPr>
                <w:color w:val="1F1923"/>
              </w:rPr>
              <w:t>a</w:t>
            </w:r>
            <w:r w:rsidRPr="00975349">
              <w:rPr>
                <w:color w:val="1F1923"/>
              </w:rPr>
              <w:t>ctivities</w:t>
            </w:r>
            <w:r w:rsidR="00D94565" w:rsidRPr="00975349">
              <w:rPr>
                <w:color w:val="1F1923"/>
              </w:rPr>
              <w:t>/</w:t>
            </w:r>
            <w:r w:rsidR="00AD1A76">
              <w:rPr>
                <w:color w:val="1F1923"/>
              </w:rPr>
              <w:t>r</w:t>
            </w:r>
            <w:r w:rsidRPr="00975349">
              <w:rPr>
                <w:color w:val="1F1923"/>
              </w:rPr>
              <w:t xml:space="preserve">eviews, this means a </w:t>
            </w:r>
            <w:r w:rsidR="00AD1A76">
              <w:rPr>
                <w:color w:val="1F1923"/>
              </w:rPr>
              <w:t>p</w:t>
            </w:r>
            <w:r w:rsidRPr="00975349">
              <w:rPr>
                <w:color w:val="1F1923"/>
              </w:rPr>
              <w:t>rovider can expect adequate notice to respond and a fair and unbiased opportunity to be “heard” before a report</w:t>
            </w:r>
            <w:r w:rsidR="00D94565" w:rsidRPr="00975349">
              <w:rPr>
                <w:color w:val="1F1923"/>
              </w:rPr>
              <w:t>/</w:t>
            </w:r>
            <w:r w:rsidRPr="00975349">
              <w:rPr>
                <w:color w:val="1F1923"/>
              </w:rPr>
              <w:t xml:space="preserve">decision is finalised with an adverse finding. </w:t>
            </w:r>
          </w:p>
        </w:tc>
      </w:tr>
      <w:tr w:rsidR="002E1BAC" w:rsidRPr="00975349" w14:paraId="3CC9A953" w14:textId="77777777" w:rsidTr="00C57F9A">
        <w:tc>
          <w:tcPr>
            <w:tcW w:w="1022" w:type="pct"/>
          </w:tcPr>
          <w:p w14:paraId="346C2F3A" w14:textId="77777777" w:rsidR="002E1BAC" w:rsidRPr="00975349" w:rsidRDefault="002E1BAC" w:rsidP="002E1BAC">
            <w:pPr>
              <w:pStyle w:val="TableTextNormal"/>
            </w:pPr>
            <w:r w:rsidRPr="00975349">
              <w:t>PGPA Act</w:t>
            </w:r>
          </w:p>
        </w:tc>
        <w:tc>
          <w:tcPr>
            <w:tcW w:w="3978" w:type="pct"/>
          </w:tcPr>
          <w:p w14:paraId="355C9B96" w14:textId="77777777" w:rsidR="002E1BAC" w:rsidRPr="00CA1DDF" w:rsidRDefault="002E1BAC" w:rsidP="002E1BAC">
            <w:pPr>
              <w:pStyle w:val="TableTextNormal"/>
              <w:rPr>
                <w:bCs/>
                <w:sz w:val="14"/>
                <w:szCs w:val="14"/>
              </w:rPr>
            </w:pPr>
            <w:r w:rsidRPr="00CA1DDF">
              <w:rPr>
                <w:bCs/>
                <w:i/>
              </w:rPr>
              <w:t>Public Governance, Performance and Accountability Act 2013</w:t>
            </w:r>
          </w:p>
        </w:tc>
      </w:tr>
      <w:tr w:rsidR="002E1BAC" w:rsidRPr="00975349" w14:paraId="309FE47C" w14:textId="77777777" w:rsidTr="00C57F9A">
        <w:tc>
          <w:tcPr>
            <w:tcW w:w="1022" w:type="pct"/>
          </w:tcPr>
          <w:p w14:paraId="1F71BB35" w14:textId="77777777" w:rsidR="002E1BAC" w:rsidRPr="00975349" w:rsidRDefault="002E1BAC" w:rsidP="002E1BAC">
            <w:pPr>
              <w:pStyle w:val="TableTextNormal"/>
            </w:pPr>
            <w:r w:rsidRPr="00975349">
              <w:t>Professional scepticism</w:t>
            </w:r>
          </w:p>
        </w:tc>
        <w:tc>
          <w:tcPr>
            <w:tcW w:w="3978" w:type="pct"/>
          </w:tcPr>
          <w:p w14:paraId="6927A2DD" w14:textId="089AB43F" w:rsidR="002E1BAC" w:rsidRPr="00975349" w:rsidRDefault="002E1BAC" w:rsidP="002E1BAC">
            <w:pPr>
              <w:pStyle w:val="TableTextNormal"/>
              <w:rPr>
                <w:i/>
              </w:rPr>
            </w:pPr>
            <w:r w:rsidRPr="00975349">
              <w:rPr>
                <w:color w:val="202124"/>
                <w:highlight w:val="white"/>
              </w:rPr>
              <w:t>To show professional scepticism means having a questioning mind, being alert to anything that may indicate misstatement due to error or fraud</w:t>
            </w:r>
            <w:r w:rsidR="00EB771B">
              <w:rPr>
                <w:color w:val="202124"/>
                <w:highlight w:val="white"/>
              </w:rPr>
              <w:t>,</w:t>
            </w:r>
            <w:r w:rsidRPr="00975349">
              <w:rPr>
                <w:color w:val="202124"/>
                <w:highlight w:val="white"/>
              </w:rPr>
              <w:t xml:space="preserve"> and critically assessing the information available. </w:t>
            </w:r>
          </w:p>
        </w:tc>
      </w:tr>
      <w:tr w:rsidR="002E1BAC" w:rsidRPr="00975349" w14:paraId="1C5FC1AA" w14:textId="77777777" w:rsidTr="00C57F9A">
        <w:tc>
          <w:tcPr>
            <w:tcW w:w="1022" w:type="pct"/>
          </w:tcPr>
          <w:p w14:paraId="010D279E" w14:textId="77777777" w:rsidR="002E1BAC" w:rsidRPr="00975349" w:rsidRDefault="002E1BAC" w:rsidP="002E1BAC">
            <w:pPr>
              <w:pStyle w:val="TableTextNormal"/>
            </w:pPr>
            <w:r w:rsidRPr="00975349">
              <w:t>Proper use</w:t>
            </w:r>
          </w:p>
        </w:tc>
        <w:tc>
          <w:tcPr>
            <w:tcW w:w="3978" w:type="pct"/>
          </w:tcPr>
          <w:p w14:paraId="70B57F35" w14:textId="77777777" w:rsidR="002E1BAC" w:rsidRPr="00975349" w:rsidRDefault="002E1BAC" w:rsidP="002E1BAC">
            <w:pPr>
              <w:pStyle w:val="TableTextNormal"/>
            </w:pPr>
            <w:r w:rsidRPr="00975349">
              <w:t xml:space="preserve">Per the </w:t>
            </w:r>
            <w:r w:rsidRPr="00CA1DDF">
              <w:t>PGPA Act</w:t>
            </w:r>
            <w:r w:rsidRPr="00975349">
              <w:t>, the proper use of public monies is defined to be:</w:t>
            </w:r>
          </w:p>
          <w:p w14:paraId="7DDE17E7" w14:textId="09A0F32B" w:rsidR="002E1BAC" w:rsidRPr="00B13362" w:rsidRDefault="00755367" w:rsidP="0092764F">
            <w:pPr>
              <w:pStyle w:val="TableBullet1Normal"/>
            </w:pPr>
            <w:r>
              <w:t>e</w:t>
            </w:r>
            <w:r w:rsidR="002E1BAC" w:rsidRPr="00B13362">
              <w:t>fficient</w:t>
            </w:r>
            <w:r w:rsidR="00D94565" w:rsidRPr="00B13362">
              <w:t xml:space="preserve"> – </w:t>
            </w:r>
            <w:r w:rsidR="002E1BAC" w:rsidRPr="00B13362">
              <w:t>the achievement of the maximum value for the resources used</w:t>
            </w:r>
          </w:p>
          <w:p w14:paraId="4C47E3D7" w14:textId="7E9D60A1" w:rsidR="002E1BAC" w:rsidRPr="00B13362" w:rsidRDefault="00755367" w:rsidP="0092764F">
            <w:pPr>
              <w:pStyle w:val="TableBullet1Normal"/>
            </w:pPr>
            <w:r>
              <w:t>e</w:t>
            </w:r>
            <w:r w:rsidR="002E1BAC" w:rsidRPr="00B13362">
              <w:t>ffective</w:t>
            </w:r>
            <w:r w:rsidR="00D94565" w:rsidRPr="00B13362">
              <w:t xml:space="preserve"> – </w:t>
            </w:r>
            <w:r w:rsidR="002E1BAC" w:rsidRPr="00B13362">
              <w:t>the extent to which intended outcomes or results are achieved</w:t>
            </w:r>
          </w:p>
          <w:p w14:paraId="7CFC90BC" w14:textId="7691008A" w:rsidR="002E1BAC" w:rsidRPr="00B13362" w:rsidRDefault="00060966" w:rsidP="0092764F">
            <w:pPr>
              <w:pStyle w:val="TableBullet1Normal"/>
            </w:pPr>
            <w:r>
              <w:t>e</w:t>
            </w:r>
            <w:r w:rsidR="002E1BAC" w:rsidRPr="00B13362">
              <w:t>conomical</w:t>
            </w:r>
            <w:r w:rsidR="00D94565" w:rsidRPr="00B13362">
              <w:t xml:space="preserve"> – </w:t>
            </w:r>
            <w:r w:rsidR="002E1BAC" w:rsidRPr="00B13362">
              <w:t>emphasises the requirement to avoid waste and sharpens the focus on the level of resources applied to achieve outcomes</w:t>
            </w:r>
          </w:p>
          <w:p w14:paraId="00497024" w14:textId="33CE984F" w:rsidR="00B13362" w:rsidRPr="00975349" w:rsidRDefault="00060966" w:rsidP="0092764F">
            <w:pPr>
              <w:pStyle w:val="TableBullet1Normal"/>
              <w:rPr>
                <w:sz w:val="16"/>
                <w:szCs w:val="16"/>
              </w:rPr>
            </w:pPr>
            <w:r>
              <w:t>e</w:t>
            </w:r>
            <w:r w:rsidR="002E1BAC" w:rsidRPr="00B13362">
              <w:t>thical</w:t>
            </w:r>
            <w:r w:rsidR="00D94565" w:rsidRPr="00B13362">
              <w:t xml:space="preserve"> – </w:t>
            </w:r>
            <w:r w:rsidR="002E1BAC" w:rsidRPr="00B13362">
              <w:t>honesty, integrity, probity, diligence, fairness and consistency.</w:t>
            </w:r>
          </w:p>
        </w:tc>
      </w:tr>
      <w:tr w:rsidR="002E1BAC" w:rsidRPr="00975349" w14:paraId="00802AE5" w14:textId="77777777" w:rsidTr="00C57F9A">
        <w:tc>
          <w:tcPr>
            <w:tcW w:w="1022" w:type="pct"/>
          </w:tcPr>
          <w:p w14:paraId="20954D29" w14:textId="5BE66750" w:rsidR="002E1BAC" w:rsidRPr="00975349" w:rsidRDefault="002E1BAC" w:rsidP="002E1BAC">
            <w:pPr>
              <w:pStyle w:val="TableTextNormal"/>
            </w:pPr>
            <w:r w:rsidRPr="00975349">
              <w:t xml:space="preserve">Review </w:t>
            </w:r>
            <w:r w:rsidR="001A71E9">
              <w:t>c</w:t>
            </w:r>
            <w:r w:rsidRPr="00975349">
              <w:t>riteria</w:t>
            </w:r>
          </w:p>
        </w:tc>
        <w:tc>
          <w:tcPr>
            <w:tcW w:w="3978" w:type="pct"/>
          </w:tcPr>
          <w:p w14:paraId="1ABDDAD0" w14:textId="77777777" w:rsidR="002E1BAC" w:rsidRPr="00975349" w:rsidRDefault="002E1BAC" w:rsidP="002E1BAC">
            <w:pPr>
              <w:pStyle w:val="TableTextNormal"/>
            </w:pPr>
            <w:r w:rsidRPr="00975349">
              <w:t>A set of requirements used as a reference against which objective evidence is compared.</w:t>
            </w:r>
          </w:p>
        </w:tc>
      </w:tr>
      <w:tr w:rsidR="002E1BAC" w:rsidRPr="00975349" w14:paraId="5B138236" w14:textId="77777777" w:rsidTr="00C57F9A">
        <w:tc>
          <w:tcPr>
            <w:tcW w:w="1022" w:type="pct"/>
          </w:tcPr>
          <w:p w14:paraId="4FFA31B0" w14:textId="31165A68" w:rsidR="002E1BAC" w:rsidRPr="00975349" w:rsidRDefault="002E1BAC" w:rsidP="002E1BAC">
            <w:pPr>
              <w:pStyle w:val="TableTextNormal"/>
            </w:pPr>
            <w:r w:rsidRPr="00975349">
              <w:t xml:space="preserve">Review </w:t>
            </w:r>
            <w:r w:rsidR="00B362AB">
              <w:t>o</w:t>
            </w:r>
            <w:r w:rsidRPr="00975349">
              <w:t>fficer</w:t>
            </w:r>
          </w:p>
        </w:tc>
        <w:tc>
          <w:tcPr>
            <w:tcW w:w="3978" w:type="pct"/>
          </w:tcPr>
          <w:p w14:paraId="4C510401" w14:textId="77D726F2" w:rsidR="002E1BAC" w:rsidRPr="00975349" w:rsidRDefault="002E1BAC" w:rsidP="002E1BAC">
            <w:pPr>
              <w:pStyle w:val="TableTextNormal"/>
            </w:pPr>
            <w:r w:rsidRPr="00975349">
              <w:t xml:space="preserve">A member of the </w:t>
            </w:r>
            <w:r w:rsidR="00863008">
              <w:t>department</w:t>
            </w:r>
            <w:r w:rsidRPr="00975349">
              <w:t xml:space="preserve">’s Program Assurance Branch undertaking HCP Program related </w:t>
            </w:r>
            <w:r w:rsidR="009003CF">
              <w:t>a</w:t>
            </w:r>
            <w:r w:rsidRPr="00975349">
              <w:t xml:space="preserve">ssurance </w:t>
            </w:r>
            <w:r w:rsidR="009003CF">
              <w:t>a</w:t>
            </w:r>
            <w:r w:rsidRPr="00975349">
              <w:t>ctivity.</w:t>
            </w:r>
          </w:p>
        </w:tc>
      </w:tr>
      <w:tr w:rsidR="002E1BAC" w:rsidRPr="00975349" w14:paraId="6FF1B688" w14:textId="77777777" w:rsidTr="00C57F9A">
        <w:tc>
          <w:tcPr>
            <w:tcW w:w="1022" w:type="pct"/>
          </w:tcPr>
          <w:p w14:paraId="16774862" w14:textId="77777777" w:rsidR="002E1BAC" w:rsidRPr="00975349" w:rsidRDefault="002E1BAC" w:rsidP="002E1BAC">
            <w:pPr>
              <w:pStyle w:val="TableTextNormal"/>
            </w:pPr>
            <w:r w:rsidRPr="00975349">
              <w:lastRenderedPageBreak/>
              <w:t>Risk</w:t>
            </w:r>
          </w:p>
        </w:tc>
        <w:tc>
          <w:tcPr>
            <w:tcW w:w="3978" w:type="pct"/>
          </w:tcPr>
          <w:p w14:paraId="79208741" w14:textId="56A4C3B7" w:rsidR="002E1BAC" w:rsidRPr="00975349" w:rsidRDefault="00060966" w:rsidP="002E1BAC">
            <w:pPr>
              <w:pStyle w:val="TableTextNormal"/>
            </w:pPr>
            <w:r>
              <w:t>T</w:t>
            </w:r>
            <w:r w:rsidR="002E1BAC" w:rsidRPr="00975349">
              <w:t>he effect of uncertainty on objectives. Risk is the possibility of an event or activity preventing an organisation from achieving its objectives.</w:t>
            </w:r>
          </w:p>
        </w:tc>
      </w:tr>
      <w:tr w:rsidR="002E1BAC" w:rsidRPr="00975349" w14:paraId="272FBCE5" w14:textId="77777777" w:rsidTr="00C57F9A">
        <w:tc>
          <w:tcPr>
            <w:tcW w:w="1022" w:type="pct"/>
          </w:tcPr>
          <w:p w14:paraId="26F46B3B" w14:textId="77777777" w:rsidR="002E1BAC" w:rsidRPr="00975349" w:rsidRDefault="002E1BAC" w:rsidP="002E1BAC">
            <w:pPr>
              <w:pStyle w:val="TableTextNormal"/>
            </w:pPr>
            <w:r w:rsidRPr="00975349">
              <w:t>Risk-based</w:t>
            </w:r>
          </w:p>
        </w:tc>
        <w:tc>
          <w:tcPr>
            <w:tcW w:w="3978" w:type="pct"/>
          </w:tcPr>
          <w:p w14:paraId="09C27899" w14:textId="2148F053" w:rsidR="002E1BAC" w:rsidRPr="00975349" w:rsidRDefault="002E1BAC" w:rsidP="002E1BAC">
            <w:pPr>
              <w:pStyle w:val="TableTextNormal"/>
            </w:pPr>
            <w:r w:rsidRPr="00975349">
              <w:t>Risk-based approach: an approach that considers risks and opportunities</w:t>
            </w:r>
            <w:r w:rsidR="00E6414D">
              <w:t>.</w:t>
            </w:r>
          </w:p>
          <w:p w14:paraId="076ACC64" w14:textId="5F592A21" w:rsidR="002E1BAC" w:rsidRPr="00975349" w:rsidRDefault="002E1BAC" w:rsidP="002E1BAC">
            <w:pPr>
              <w:pStyle w:val="TableTextNormal"/>
            </w:pPr>
            <w:r w:rsidRPr="00975349">
              <w:t xml:space="preserve">The risk-based approach should substantively influence the planning, conducting and reporting of </w:t>
            </w:r>
            <w:r w:rsidR="009003CF">
              <w:t>a</w:t>
            </w:r>
            <w:r w:rsidRPr="00975349">
              <w:t xml:space="preserve">ssurance </w:t>
            </w:r>
            <w:r w:rsidR="009003CF">
              <w:t>a</w:t>
            </w:r>
            <w:r w:rsidRPr="00975349">
              <w:t xml:space="preserve">ctivities in order to focus </w:t>
            </w:r>
            <w:r w:rsidR="009003CF">
              <w:t>a</w:t>
            </w:r>
            <w:r w:rsidRPr="00975349">
              <w:t xml:space="preserve">ssurance </w:t>
            </w:r>
            <w:r w:rsidR="009003CF">
              <w:t>a</w:t>
            </w:r>
            <w:r w:rsidRPr="00975349">
              <w:t xml:space="preserve">ctivities on matters that are significant for the </w:t>
            </w:r>
            <w:r w:rsidR="00863008">
              <w:t>department</w:t>
            </w:r>
            <w:r w:rsidRPr="00975349">
              <w:t>, and for achieving the program objectives.</w:t>
            </w:r>
          </w:p>
        </w:tc>
      </w:tr>
      <w:tr w:rsidR="002E1BAC" w:rsidRPr="00975349" w14:paraId="03CCCE6D" w14:textId="77777777" w:rsidTr="00C57F9A">
        <w:tc>
          <w:tcPr>
            <w:tcW w:w="1022" w:type="pct"/>
          </w:tcPr>
          <w:p w14:paraId="6D6E693E" w14:textId="77777777" w:rsidR="002E1BAC" w:rsidRPr="00975349" w:rsidRDefault="002E1BAC" w:rsidP="002E1BAC">
            <w:pPr>
              <w:pStyle w:val="TableTextNormal"/>
            </w:pPr>
            <w:r w:rsidRPr="00975349">
              <w:t>Risk appetite</w:t>
            </w:r>
          </w:p>
        </w:tc>
        <w:tc>
          <w:tcPr>
            <w:tcW w:w="3978" w:type="pct"/>
          </w:tcPr>
          <w:p w14:paraId="3FC85760" w14:textId="539305DE" w:rsidR="002E1BAC" w:rsidRPr="00975349" w:rsidRDefault="002E1BAC" w:rsidP="002E1BAC">
            <w:pPr>
              <w:pStyle w:val="TableTextNormal"/>
            </w:pPr>
            <w:r w:rsidRPr="00975349">
              <w:t xml:space="preserve">The amount of risk the </w:t>
            </w:r>
            <w:r w:rsidR="00863008">
              <w:t>department</w:t>
            </w:r>
            <w:r w:rsidRPr="00975349">
              <w:t xml:space="preserve"> is willing to accept or retain </w:t>
            </w:r>
            <w:r w:rsidR="00AE0AFD" w:rsidRPr="00975349">
              <w:t>to</w:t>
            </w:r>
            <w:r w:rsidRPr="00975349">
              <w:t xml:space="preserve"> achieve its objectives. It is a statement that explains the </w:t>
            </w:r>
            <w:r w:rsidR="00863008">
              <w:t>department</w:t>
            </w:r>
            <w:r w:rsidRPr="00975349">
              <w:t>’s attitude toward taking risks.</w:t>
            </w:r>
          </w:p>
        </w:tc>
      </w:tr>
      <w:tr w:rsidR="002E1BAC" w:rsidRPr="00975349" w14:paraId="38929108" w14:textId="77777777" w:rsidTr="00C57F9A">
        <w:tc>
          <w:tcPr>
            <w:tcW w:w="1022" w:type="pct"/>
          </w:tcPr>
          <w:p w14:paraId="6317E930" w14:textId="77777777" w:rsidR="002E1BAC" w:rsidRPr="00975349" w:rsidRDefault="002E1BAC" w:rsidP="002E1BAC">
            <w:pPr>
              <w:pStyle w:val="TableTextNormal"/>
            </w:pPr>
            <w:r w:rsidRPr="00975349">
              <w:t>Risk tolerance</w:t>
            </w:r>
          </w:p>
        </w:tc>
        <w:tc>
          <w:tcPr>
            <w:tcW w:w="3978" w:type="pct"/>
          </w:tcPr>
          <w:p w14:paraId="2759BC1E" w14:textId="4A54F1CF" w:rsidR="002E1BAC" w:rsidRPr="00975349" w:rsidRDefault="002E1BAC" w:rsidP="002E1BAC">
            <w:pPr>
              <w:pStyle w:val="TableTextNormal"/>
            </w:pPr>
            <w:r w:rsidRPr="00975349">
              <w:t xml:space="preserve">The levels of risk taking that are acceptable </w:t>
            </w:r>
            <w:r w:rsidR="00146321" w:rsidRPr="00975349">
              <w:t>to</w:t>
            </w:r>
            <w:r w:rsidRPr="00975349">
              <w:t xml:space="preserve"> achieve a specific objective or manage a category of risk.</w:t>
            </w:r>
          </w:p>
        </w:tc>
      </w:tr>
      <w:tr w:rsidR="002E1BAC" w:rsidRPr="00975349" w14:paraId="3918D392" w14:textId="77777777" w:rsidTr="00C57F9A">
        <w:tc>
          <w:tcPr>
            <w:tcW w:w="1022" w:type="pct"/>
          </w:tcPr>
          <w:p w14:paraId="69D2BA58" w14:textId="77777777" w:rsidR="002E1BAC" w:rsidRPr="00975349" w:rsidRDefault="002E1BAC" w:rsidP="002E1BAC">
            <w:pPr>
              <w:pStyle w:val="TableTextNormal"/>
            </w:pPr>
            <w:r w:rsidRPr="00975349">
              <w:t>Sampling</w:t>
            </w:r>
          </w:p>
        </w:tc>
        <w:tc>
          <w:tcPr>
            <w:tcW w:w="3978" w:type="pct"/>
          </w:tcPr>
          <w:p w14:paraId="5443A506" w14:textId="2FA13330" w:rsidR="002E1BAC" w:rsidRPr="00975349" w:rsidRDefault="002E1BAC" w:rsidP="002E1BAC">
            <w:pPr>
              <w:pStyle w:val="TableTextNormal"/>
            </w:pPr>
            <w:r w:rsidRPr="00975349">
              <w:t xml:space="preserve">The objective of sampling is to provide verifiable information for the </w:t>
            </w:r>
            <w:r w:rsidR="00FA2142">
              <w:t>r</w:t>
            </w:r>
            <w:r w:rsidR="001A71E9" w:rsidRPr="00975349">
              <w:t xml:space="preserve">eview </w:t>
            </w:r>
            <w:r w:rsidR="00FA2142">
              <w:t>o</w:t>
            </w:r>
            <w:r w:rsidRPr="00975349">
              <w:t xml:space="preserve">fficer to have confidence that the </w:t>
            </w:r>
            <w:r w:rsidR="00E64026">
              <w:t>a</w:t>
            </w:r>
            <w:r w:rsidRPr="00975349">
              <w:t xml:space="preserve">ssurance </w:t>
            </w:r>
            <w:r w:rsidR="00E64026">
              <w:t>a</w:t>
            </w:r>
            <w:r w:rsidRPr="00975349">
              <w:t>ctivity objectives will be achieved.</w:t>
            </w:r>
          </w:p>
          <w:p w14:paraId="2F3795F4" w14:textId="77777777" w:rsidR="002E1BAC" w:rsidRPr="00975349" w:rsidRDefault="002E1BAC" w:rsidP="002E1BAC">
            <w:pPr>
              <w:pStyle w:val="TableTextNormal"/>
            </w:pPr>
            <w:r w:rsidRPr="00975349">
              <w:t>Sampling typically involves the following steps:</w:t>
            </w:r>
          </w:p>
          <w:p w14:paraId="02808796" w14:textId="77777777" w:rsidR="002E1BAC" w:rsidRPr="0092764F" w:rsidRDefault="002E1BAC" w:rsidP="0092764F">
            <w:pPr>
              <w:pStyle w:val="TableTextNormal"/>
            </w:pPr>
            <w:r w:rsidRPr="0092764F">
              <w:t>a) establishing the objectives of sampling</w:t>
            </w:r>
          </w:p>
          <w:p w14:paraId="17DE4615" w14:textId="77777777" w:rsidR="002E1BAC" w:rsidRPr="0092764F" w:rsidRDefault="002E1BAC" w:rsidP="0092764F">
            <w:pPr>
              <w:pStyle w:val="TableTextNormal"/>
            </w:pPr>
            <w:r w:rsidRPr="0092764F">
              <w:t>b) selecting the extent and composition of the population to be sampled</w:t>
            </w:r>
          </w:p>
          <w:p w14:paraId="45335D23" w14:textId="77777777" w:rsidR="002E1BAC" w:rsidRPr="0092764F" w:rsidRDefault="002E1BAC" w:rsidP="0092764F">
            <w:pPr>
              <w:pStyle w:val="TableTextNormal"/>
            </w:pPr>
            <w:r w:rsidRPr="0092764F">
              <w:t>c) selecting a sampling method</w:t>
            </w:r>
          </w:p>
          <w:p w14:paraId="5E88D976" w14:textId="77777777" w:rsidR="002E1BAC" w:rsidRPr="0092764F" w:rsidRDefault="002E1BAC" w:rsidP="0092764F">
            <w:pPr>
              <w:pStyle w:val="TableTextNormal"/>
            </w:pPr>
            <w:r w:rsidRPr="0092764F">
              <w:t>d) determining the sample size to be taken</w:t>
            </w:r>
          </w:p>
          <w:p w14:paraId="430B643A" w14:textId="563591D3" w:rsidR="002E1BAC" w:rsidRPr="0092764F" w:rsidRDefault="002E1BAC" w:rsidP="0092764F">
            <w:pPr>
              <w:pStyle w:val="TableTextNormal"/>
            </w:pPr>
            <w:r w:rsidRPr="0092764F">
              <w:t>e) conducting the sampling activity</w:t>
            </w:r>
          </w:p>
          <w:p w14:paraId="2710CF2D" w14:textId="77777777" w:rsidR="002E1BAC" w:rsidRPr="0092764F" w:rsidRDefault="002E1BAC" w:rsidP="0092764F">
            <w:pPr>
              <w:pStyle w:val="TableTextNormal"/>
            </w:pPr>
            <w:r w:rsidRPr="0092764F">
              <w:t>f) compiling, evaluating, reporting and documenting results.</w:t>
            </w:r>
          </w:p>
          <w:p w14:paraId="5DB9B9C6" w14:textId="77777777" w:rsidR="002E1BAC" w:rsidRPr="00975349" w:rsidRDefault="002E1BAC" w:rsidP="002E1BAC">
            <w:pPr>
              <w:pStyle w:val="TableTextNormal"/>
            </w:pPr>
            <w:r w:rsidRPr="00975349">
              <w:t xml:space="preserve">See </w:t>
            </w:r>
            <w:r w:rsidRPr="00975349">
              <w:rPr>
                <w:b/>
              </w:rPr>
              <w:t>Appendix C</w:t>
            </w:r>
            <w:r w:rsidRPr="00975349">
              <w:t xml:space="preserve"> for further details.</w:t>
            </w:r>
          </w:p>
        </w:tc>
      </w:tr>
      <w:tr w:rsidR="002E1BAC" w:rsidRPr="00975349" w14:paraId="359D7C90" w14:textId="77777777" w:rsidTr="00C57F9A">
        <w:tc>
          <w:tcPr>
            <w:tcW w:w="1022" w:type="pct"/>
          </w:tcPr>
          <w:p w14:paraId="08795E6F" w14:textId="77777777" w:rsidR="002E1BAC" w:rsidRPr="00975349" w:rsidRDefault="002E1BAC" w:rsidP="002E1BAC">
            <w:pPr>
              <w:pStyle w:val="TableTextNormal"/>
            </w:pPr>
            <w:r w:rsidRPr="00975349">
              <w:t>Scope</w:t>
            </w:r>
          </w:p>
        </w:tc>
        <w:tc>
          <w:tcPr>
            <w:tcW w:w="3978" w:type="pct"/>
          </w:tcPr>
          <w:p w14:paraId="33288C5C" w14:textId="03355648" w:rsidR="002E1BAC" w:rsidRPr="00975349" w:rsidRDefault="002E1BAC" w:rsidP="002E1BAC">
            <w:pPr>
              <w:pStyle w:val="TableTextNormal"/>
            </w:pPr>
            <w:r w:rsidRPr="00975349">
              <w:t xml:space="preserve">The extent and boundaries of an </w:t>
            </w:r>
            <w:r w:rsidR="00E64026">
              <w:t>a</w:t>
            </w:r>
            <w:r w:rsidRPr="00975349">
              <w:t xml:space="preserve">ssurance </w:t>
            </w:r>
            <w:r w:rsidR="00E64026">
              <w:t>a</w:t>
            </w:r>
            <w:r w:rsidRPr="00975349">
              <w:t>ctivity.</w:t>
            </w:r>
          </w:p>
        </w:tc>
      </w:tr>
      <w:tr w:rsidR="002E1BAC" w:rsidRPr="00975349" w14:paraId="04147A32" w14:textId="77777777" w:rsidTr="00C57F9A">
        <w:tc>
          <w:tcPr>
            <w:tcW w:w="1022" w:type="pct"/>
          </w:tcPr>
          <w:p w14:paraId="75C083AA" w14:textId="303BADC6" w:rsidR="002E1BAC" w:rsidRPr="00975349" w:rsidRDefault="002E1BAC" w:rsidP="002E1BAC">
            <w:pPr>
              <w:pStyle w:val="TableTextNormal"/>
            </w:pPr>
            <w:r w:rsidRPr="00975349">
              <w:t xml:space="preserve">Value for </w:t>
            </w:r>
            <w:r w:rsidR="001A71E9">
              <w:t>m</w:t>
            </w:r>
            <w:r w:rsidRPr="00975349">
              <w:t>oney</w:t>
            </w:r>
          </w:p>
        </w:tc>
        <w:tc>
          <w:tcPr>
            <w:tcW w:w="3978" w:type="pct"/>
          </w:tcPr>
          <w:p w14:paraId="75880B6A" w14:textId="453D0A4D" w:rsidR="002E1BAC" w:rsidRPr="00975349" w:rsidRDefault="002E1BAC" w:rsidP="002E1BAC">
            <w:pPr>
              <w:pStyle w:val="TableTextNormal"/>
            </w:pPr>
            <w:r w:rsidRPr="00975349">
              <w:t xml:space="preserve">In the HCP Program </w:t>
            </w:r>
            <w:r w:rsidR="003D623B">
              <w:t>a</w:t>
            </w:r>
            <w:r w:rsidRPr="00975349">
              <w:t xml:space="preserve">ssurance </w:t>
            </w:r>
            <w:r w:rsidR="00FB3BB6">
              <w:t>f</w:t>
            </w:r>
            <w:r w:rsidRPr="00975349">
              <w:t>ramework, value for money</w:t>
            </w:r>
            <w:r w:rsidRPr="00975349">
              <w:rPr>
                <w:rStyle w:val="FootnoteReference"/>
              </w:rPr>
              <w:footnoteReference w:id="14"/>
            </w:r>
            <w:r w:rsidRPr="00975349">
              <w:t xml:space="preserve"> means: </w:t>
            </w:r>
          </w:p>
          <w:p w14:paraId="7F2AC8AE" w14:textId="70690BA2" w:rsidR="002E1BAC" w:rsidRPr="00975349" w:rsidRDefault="00060966" w:rsidP="0092764F">
            <w:pPr>
              <w:pStyle w:val="TableBullet1Normal"/>
            </w:pPr>
            <w:r>
              <w:t>e</w:t>
            </w:r>
            <w:r w:rsidR="002E1BAC" w:rsidRPr="00975349">
              <w:t>fficient: the achievement of the maximum value for the resources used</w:t>
            </w:r>
          </w:p>
          <w:p w14:paraId="2761C010" w14:textId="08F03127" w:rsidR="002E1BAC" w:rsidRPr="00975349" w:rsidRDefault="00060966" w:rsidP="0092764F">
            <w:pPr>
              <w:pStyle w:val="TableBullet1Normal"/>
            </w:pPr>
            <w:r>
              <w:t>e</w:t>
            </w:r>
            <w:r w:rsidR="002E1BAC" w:rsidRPr="00975349">
              <w:t>ffective: the extent to which intended outcomes or results are achieved</w:t>
            </w:r>
          </w:p>
          <w:p w14:paraId="6C11DB3C" w14:textId="019A5CD8" w:rsidR="002E1BAC" w:rsidRPr="00975349" w:rsidRDefault="00060966" w:rsidP="0092764F">
            <w:pPr>
              <w:pStyle w:val="TableBullet1Normal"/>
            </w:pPr>
            <w:r>
              <w:t>j</w:t>
            </w:r>
            <w:r w:rsidR="002E1BAC" w:rsidRPr="00975349">
              <w:t xml:space="preserve">ustified: </w:t>
            </w:r>
            <w:r w:rsidR="00711C19">
              <w:t>p</w:t>
            </w:r>
            <w:r w:rsidR="002E1BAC" w:rsidRPr="00975349">
              <w:t xml:space="preserve">roviders are able to justify (through verifiable information provided to the </w:t>
            </w:r>
            <w:r w:rsidR="00E64026">
              <w:t>r</w:t>
            </w:r>
            <w:r w:rsidR="002E1BAC" w:rsidRPr="00975349">
              <w:t xml:space="preserve">eview </w:t>
            </w:r>
            <w:r w:rsidR="00E64026">
              <w:t>t</w:t>
            </w:r>
            <w:r w:rsidR="002E1BAC" w:rsidRPr="00975349">
              <w:t>eam) their charges to care recipients.</w:t>
            </w:r>
          </w:p>
        </w:tc>
      </w:tr>
    </w:tbl>
    <w:p w14:paraId="3340C270" w14:textId="77777777" w:rsidR="00515A1B" w:rsidRPr="00975349" w:rsidRDefault="00515A1B" w:rsidP="002E1BAC">
      <w:pPr>
        <w:pStyle w:val="PwCNormal"/>
        <w:sectPr w:rsidR="00515A1B" w:rsidRPr="00975349" w:rsidSect="004C0349">
          <w:headerReference w:type="default" r:id="rId41"/>
          <w:pgSz w:w="11907" w:h="16840" w:code="9"/>
          <w:pgMar w:top="1588" w:right="1021" w:bottom="1418" w:left="1021" w:header="567" w:footer="567" w:gutter="0"/>
          <w:cols w:space="227"/>
          <w:titlePg/>
          <w:docGrid w:linePitch="360"/>
        </w:sectPr>
      </w:pPr>
    </w:p>
    <w:p w14:paraId="4A066F51" w14:textId="1D333515" w:rsidR="002E1BAC" w:rsidRPr="00975349" w:rsidRDefault="00D94565" w:rsidP="002311EE">
      <w:pPr>
        <w:pStyle w:val="AppendixHeading"/>
      </w:pPr>
      <w:bookmarkStart w:id="63" w:name="_d2fnml99kd3u" w:colFirst="0" w:colLast="0"/>
      <w:bookmarkStart w:id="64" w:name="Appendix_B"/>
      <w:bookmarkStart w:id="65" w:name="_Toc83980014"/>
      <w:bookmarkStart w:id="66" w:name="_Toc158806632"/>
      <w:bookmarkEnd w:id="63"/>
      <w:bookmarkEnd w:id="64"/>
      <w:r w:rsidRPr="00975349">
        <w:lastRenderedPageBreak/>
        <w:t xml:space="preserve">– </w:t>
      </w:r>
      <w:r w:rsidR="002E1BAC" w:rsidRPr="00975349">
        <w:t>Legislative requirements for the Assurance Framework</w:t>
      </w:r>
      <w:bookmarkEnd w:id="65"/>
      <w:bookmarkEnd w:id="66"/>
    </w:p>
    <w:p w14:paraId="5A234214" w14:textId="65475928" w:rsidR="002E1BAC" w:rsidRPr="00975349" w:rsidRDefault="002E1BAC" w:rsidP="002311EE">
      <w:pPr>
        <w:pStyle w:val="AppendixHeading2"/>
      </w:pPr>
      <w:r w:rsidRPr="00975349">
        <w:t xml:space="preserve">Amended </w:t>
      </w:r>
      <w:r w:rsidRPr="001A66AB">
        <w:t>Aged Care Act</w:t>
      </w:r>
      <w:r w:rsidRPr="000C3CE9">
        <w:rPr>
          <w:i/>
        </w:rPr>
        <w:t xml:space="preserve"> </w:t>
      </w:r>
    </w:p>
    <w:p w14:paraId="15AAE47E" w14:textId="5886471C" w:rsidR="002E1BAC" w:rsidRPr="00975349" w:rsidRDefault="002E1BAC" w:rsidP="00515A1B">
      <w:pPr>
        <w:pStyle w:val="PwCNormal"/>
      </w:pPr>
      <w:r w:rsidRPr="00975349">
        <w:t xml:space="preserve">The </w:t>
      </w:r>
      <w:r w:rsidRPr="00CA1DDF">
        <w:rPr>
          <w:bCs/>
        </w:rPr>
        <w:t>amended</w:t>
      </w:r>
      <w:r w:rsidRPr="00975349">
        <w:rPr>
          <w:b/>
          <w:i/>
          <w:iCs/>
        </w:rPr>
        <w:t xml:space="preserve"> </w:t>
      </w:r>
      <w:r w:rsidRPr="001A66AB">
        <w:rPr>
          <w:iCs/>
        </w:rPr>
        <w:t>Aged Care Act</w:t>
      </w:r>
      <w:r w:rsidRPr="000C3CE9">
        <w:rPr>
          <w:i/>
        </w:rPr>
        <w:t xml:space="preserve"> </w:t>
      </w:r>
      <w:r w:rsidRPr="00975349">
        <w:t xml:space="preserve">is the main Act covering government-funded aged care in Australia. It establishes the rules for all </w:t>
      </w:r>
      <w:r w:rsidR="00F60FE5">
        <w:t>a</w:t>
      </w:r>
      <w:r w:rsidRPr="00975349">
        <w:t xml:space="preserve">ged </w:t>
      </w:r>
      <w:r w:rsidR="00F60FE5">
        <w:t>c</w:t>
      </w:r>
      <w:r w:rsidRPr="00975349">
        <w:t>are providers (including HCP</w:t>
      </w:r>
      <w:r w:rsidR="000C3CE9">
        <w:t xml:space="preserve"> Program</w:t>
      </w:r>
      <w:r w:rsidRPr="00975349">
        <w:t xml:space="preserve"> </w:t>
      </w:r>
      <w:r w:rsidR="000C3CE9">
        <w:t xml:space="preserve">approved </w:t>
      </w:r>
      <w:r w:rsidR="00F60FE5">
        <w:t>p</w:t>
      </w:r>
      <w:r w:rsidRPr="00975349">
        <w:t xml:space="preserve">roviders) regarding funding, regulation, approval of providers, quality of care and the rights of people receiving care, and consequences for non-compliance. </w:t>
      </w:r>
    </w:p>
    <w:p w14:paraId="6EC432B4" w14:textId="0766E109" w:rsidR="002E1BAC" w:rsidRDefault="002E1BAC" w:rsidP="00515A1B">
      <w:pPr>
        <w:pStyle w:val="PwCNormal"/>
      </w:pPr>
      <w:r w:rsidRPr="00975349">
        <w:t xml:space="preserve">To support the HCP </w:t>
      </w:r>
      <w:r w:rsidR="00DE49A2">
        <w:t>P</w:t>
      </w:r>
      <w:r w:rsidRPr="00975349">
        <w:t xml:space="preserve">rogram </w:t>
      </w:r>
      <w:r w:rsidR="003D3D8A">
        <w:t>a</w:t>
      </w:r>
      <w:r w:rsidRPr="00975349">
        <w:t>ssurance function, legislation</w:t>
      </w:r>
      <w:r w:rsidR="002B2EE1">
        <w:t xml:space="preserve"> was enacted</w:t>
      </w:r>
      <w:r w:rsidRPr="00975349">
        <w:t xml:space="preserve"> through the </w:t>
      </w:r>
      <w:r w:rsidRPr="001904CD">
        <w:t>Aged Care and Other Legislation Amendment (Royal Commission Response No. 1) Bill 2021</w:t>
      </w:r>
      <w:r w:rsidRPr="00975349">
        <w:t xml:space="preserve"> to amend the </w:t>
      </w:r>
      <w:r w:rsidR="00944AA7" w:rsidRPr="000C3CE9">
        <w:rPr>
          <w:bCs/>
        </w:rPr>
        <w:t xml:space="preserve">Aged Care Act </w:t>
      </w:r>
      <w:r w:rsidRPr="00975349">
        <w:t xml:space="preserve">and compel </w:t>
      </w:r>
      <w:r w:rsidR="003D3D8A">
        <w:t>p</w:t>
      </w:r>
      <w:r w:rsidRPr="00975349">
        <w:t xml:space="preserve">roviders to participate in the </w:t>
      </w:r>
      <w:r w:rsidR="00863008">
        <w:t>department</w:t>
      </w:r>
      <w:r w:rsidRPr="00975349">
        <w:t xml:space="preserve">’s </w:t>
      </w:r>
      <w:r w:rsidR="003D3D8A">
        <w:t>h</w:t>
      </w:r>
      <w:r w:rsidRPr="00975349">
        <w:t xml:space="preserve">ome </w:t>
      </w:r>
      <w:r w:rsidR="003D3D8A">
        <w:t>c</w:t>
      </w:r>
      <w:r w:rsidRPr="00975349">
        <w:t xml:space="preserve">are </w:t>
      </w:r>
      <w:r w:rsidR="003D3D8A">
        <w:t>a</w:t>
      </w:r>
      <w:r w:rsidRPr="00975349">
        <w:t xml:space="preserve">ssurance </w:t>
      </w:r>
      <w:r w:rsidR="003D3D8A">
        <w:t>a</w:t>
      </w:r>
      <w:r w:rsidRPr="00975349">
        <w:t xml:space="preserve">ctivities. The legislative purpose set out in the </w:t>
      </w:r>
      <w:r w:rsidRPr="00CA1DDF">
        <w:rPr>
          <w:bCs/>
        </w:rPr>
        <w:t>amended</w:t>
      </w:r>
      <w:r w:rsidRPr="00975349">
        <w:rPr>
          <w:b/>
          <w:i/>
          <w:iCs/>
        </w:rPr>
        <w:t xml:space="preserve"> </w:t>
      </w:r>
      <w:r w:rsidR="00CB393F" w:rsidRPr="00CB393F">
        <w:t>Aged Care Act</w:t>
      </w:r>
      <w:r w:rsidRPr="00975349">
        <w:t xml:space="preserve"> pursuant to </w:t>
      </w:r>
      <w:r w:rsidRPr="00CA1DDF">
        <w:rPr>
          <w:bCs/>
          <w:iCs/>
        </w:rPr>
        <w:t>section 95BA</w:t>
      </w:r>
      <w:r w:rsidRPr="00CA1DDF">
        <w:rPr>
          <w:rFonts w:ascii="Cambria Math" w:hAnsi="Cambria Math" w:cs="Cambria Math"/>
          <w:bCs/>
          <w:iCs/>
        </w:rPr>
        <w:t>‑</w:t>
      </w:r>
      <w:r w:rsidRPr="00CA1DDF">
        <w:rPr>
          <w:bCs/>
          <w:iCs/>
        </w:rPr>
        <w:t>1 Home care assurance reviews</w:t>
      </w:r>
      <w:r w:rsidRPr="00975349">
        <w:t xml:space="preserve"> is:</w:t>
      </w:r>
    </w:p>
    <w:p w14:paraId="5AA10B14" w14:textId="0B72B400" w:rsidR="00271B87" w:rsidRDefault="00CA44DE" w:rsidP="00515A1B">
      <w:pPr>
        <w:pStyle w:val="PwCNormal"/>
      </w:pPr>
      <w:r>
        <w:rPr>
          <w:noProof/>
          <w:snapToGrid/>
        </w:rPr>
        <w:drawing>
          <wp:inline distT="0" distB="0" distL="0" distR="0" wp14:anchorId="4A701860" wp14:editId="01DB49C8">
            <wp:extent cx="6264275" cy="886460"/>
            <wp:effectExtent l="0" t="0" r="3175" b="8890"/>
            <wp:docPr id="530" name="Picture 530" descr="Image of the Home care assurance reviews is:&#10;Ensuring efficient and effective delivery of Home Care Packages&#10;Informing development of home care policy&#10;Educating providers in relation to home care and home c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descr="Image of the Home care assurance reviews is:&#10;Ensuring efficient and effective delivery of Home Care Packages&#10;Informing development of home care policy&#10;Educating providers in relation to home care and home care services"/>
                    <pic:cNvPicPr/>
                  </pic:nvPicPr>
                  <pic:blipFill>
                    <a:blip r:embed="rId42"/>
                    <a:stretch>
                      <a:fillRect/>
                    </a:stretch>
                  </pic:blipFill>
                  <pic:spPr>
                    <a:xfrm>
                      <a:off x="0" y="0"/>
                      <a:ext cx="6264275" cy="886460"/>
                    </a:xfrm>
                    <a:prstGeom prst="rect">
                      <a:avLst/>
                    </a:prstGeom>
                  </pic:spPr>
                </pic:pic>
              </a:graphicData>
            </a:graphic>
          </wp:inline>
        </w:drawing>
      </w:r>
    </w:p>
    <w:p w14:paraId="2D13F3AC" w14:textId="4D57A715" w:rsidR="002E1BAC" w:rsidRPr="00975349" w:rsidRDefault="002E1BAC" w:rsidP="00515A1B">
      <w:pPr>
        <w:pStyle w:val="PwCNormal"/>
      </w:pPr>
      <w:r w:rsidRPr="00975349">
        <w:t xml:space="preserve">This amendment to the </w:t>
      </w:r>
      <w:r w:rsidR="00944AA7" w:rsidRPr="00CB393F">
        <w:t>Aged Care Act</w:t>
      </w:r>
      <w:r w:rsidR="00944AA7" w:rsidRPr="00944AA7">
        <w:rPr>
          <w:bCs/>
          <w:i/>
          <w:iCs/>
        </w:rPr>
        <w:t xml:space="preserve"> </w:t>
      </w:r>
      <w:r w:rsidRPr="00975349">
        <w:t xml:space="preserve">provides the </w:t>
      </w:r>
      <w:r w:rsidR="00DE49A2">
        <w:t>S</w:t>
      </w:r>
      <w:r w:rsidRPr="00975349">
        <w:t xml:space="preserve">ecretary of the </w:t>
      </w:r>
      <w:r w:rsidR="00DE49A2">
        <w:t xml:space="preserve">Department of Health and Aged Care </w:t>
      </w:r>
      <w:r w:rsidRPr="00975349">
        <w:t>legislative powers to:</w:t>
      </w:r>
    </w:p>
    <w:p w14:paraId="7177E1B3" w14:textId="5F870AFA" w:rsidR="002E1BAC" w:rsidRPr="00975349" w:rsidRDefault="00E3752E" w:rsidP="00515A1B">
      <w:pPr>
        <w:pStyle w:val="ListBullet"/>
      </w:pPr>
      <w:r>
        <w:rPr>
          <w:b/>
          <w:bCs/>
        </w:rPr>
        <w:t>c</w:t>
      </w:r>
      <w:r w:rsidR="002E1BAC" w:rsidRPr="00975349">
        <w:rPr>
          <w:b/>
          <w:bCs/>
        </w:rPr>
        <w:t xml:space="preserve">onduct </w:t>
      </w:r>
      <w:r w:rsidR="00D95601">
        <w:rPr>
          <w:b/>
          <w:bCs/>
        </w:rPr>
        <w:t>a</w:t>
      </w:r>
      <w:r w:rsidR="002E1BAC" w:rsidRPr="00975349">
        <w:rPr>
          <w:b/>
          <w:bCs/>
        </w:rPr>
        <w:t xml:space="preserve">ssurance </w:t>
      </w:r>
      <w:r w:rsidR="00D95601">
        <w:rPr>
          <w:b/>
          <w:bCs/>
        </w:rPr>
        <w:t>r</w:t>
      </w:r>
      <w:r w:rsidR="002E1BAC" w:rsidRPr="00975349">
        <w:rPr>
          <w:b/>
          <w:bCs/>
        </w:rPr>
        <w:t>eviews</w:t>
      </w:r>
      <w:r w:rsidR="002E1BAC" w:rsidRPr="00975349">
        <w:t xml:space="preserve"> for the purpose of assuring that arrangements for the delivery and administration of home care are effective and efficient and informing development of home care policy and education of approved providers in relation to home care and home care services (</w:t>
      </w:r>
      <w:r w:rsidR="002E1BAC" w:rsidRPr="00CA1DDF">
        <w:rPr>
          <w:bCs/>
        </w:rPr>
        <w:t>section 95BA-1</w:t>
      </w:r>
      <w:r w:rsidR="002E1BAC" w:rsidRPr="00975349">
        <w:t xml:space="preserve"> of the </w:t>
      </w:r>
      <w:r w:rsidR="002E1BAC" w:rsidRPr="00CA1DDF">
        <w:rPr>
          <w:bCs/>
        </w:rPr>
        <w:t>amended</w:t>
      </w:r>
      <w:r w:rsidR="002E1BAC" w:rsidRPr="00975349">
        <w:rPr>
          <w:b/>
          <w:i/>
          <w:iCs/>
        </w:rPr>
        <w:t xml:space="preserve"> </w:t>
      </w:r>
      <w:r w:rsidR="00CB393F" w:rsidRPr="00CB393F">
        <w:rPr>
          <w:bCs/>
        </w:rPr>
        <w:t>Aged Care Act</w:t>
      </w:r>
      <w:r w:rsidR="002E1BAC" w:rsidRPr="00975349">
        <w:t>)</w:t>
      </w:r>
    </w:p>
    <w:p w14:paraId="1F1A9687" w14:textId="0B3870E9" w:rsidR="002E1BAC" w:rsidRPr="00975349" w:rsidRDefault="00E3752E" w:rsidP="00515A1B">
      <w:pPr>
        <w:pStyle w:val="ListBullet"/>
      </w:pPr>
      <w:r>
        <w:rPr>
          <w:b/>
          <w:bCs/>
        </w:rPr>
        <w:t>s</w:t>
      </w:r>
      <w:r w:rsidR="002E1BAC" w:rsidRPr="00CA1DDF">
        <w:rPr>
          <w:b/>
          <w:bCs/>
        </w:rPr>
        <w:t>cope</w:t>
      </w:r>
      <w:r w:rsidR="002E1BAC" w:rsidRPr="00975349">
        <w:t xml:space="preserve"> </w:t>
      </w:r>
      <w:r w:rsidR="00D95601">
        <w:t>a</w:t>
      </w:r>
      <w:r w:rsidR="002E1BAC" w:rsidRPr="00975349">
        <w:t xml:space="preserve">ssurance </w:t>
      </w:r>
      <w:r w:rsidR="00D95601">
        <w:t>r</w:t>
      </w:r>
      <w:r w:rsidR="002E1BAC" w:rsidRPr="00975349">
        <w:t xml:space="preserve">eviews including the approved providers subject to such </w:t>
      </w:r>
      <w:r w:rsidR="00370AA3">
        <w:t>r</w:t>
      </w:r>
      <w:r w:rsidR="002E1BAC" w:rsidRPr="00975349">
        <w:t>eviews, and their subject matter (</w:t>
      </w:r>
      <w:r w:rsidR="002E1BAC" w:rsidRPr="00CA1DDF">
        <w:rPr>
          <w:bCs/>
        </w:rPr>
        <w:t>section 95BA-2</w:t>
      </w:r>
      <w:r w:rsidR="002E1BAC" w:rsidRPr="00975349">
        <w:t xml:space="preserve"> of the </w:t>
      </w:r>
      <w:r w:rsidR="002E1BAC" w:rsidRPr="00CA1DDF">
        <w:rPr>
          <w:bCs/>
        </w:rPr>
        <w:t>amended</w:t>
      </w:r>
      <w:r w:rsidR="002E1BAC" w:rsidRPr="00975349">
        <w:rPr>
          <w:b/>
          <w:i/>
          <w:iCs/>
        </w:rPr>
        <w:t xml:space="preserve"> </w:t>
      </w:r>
      <w:r w:rsidR="00CB393F" w:rsidRPr="00CB393F">
        <w:rPr>
          <w:bCs/>
        </w:rPr>
        <w:t>Aged Care Act</w:t>
      </w:r>
      <w:r w:rsidR="002E1BAC" w:rsidRPr="00975349">
        <w:t xml:space="preserve">) </w:t>
      </w:r>
    </w:p>
    <w:p w14:paraId="5A0D6E51" w14:textId="388C4AD1" w:rsidR="002E1BAC" w:rsidRPr="00975349" w:rsidRDefault="00E3752E" w:rsidP="00515A1B">
      <w:pPr>
        <w:pStyle w:val="ListBullet"/>
      </w:pPr>
      <w:r>
        <w:rPr>
          <w:b/>
          <w:bCs/>
        </w:rPr>
        <w:t>i</w:t>
      </w:r>
      <w:r w:rsidR="002E1BAC" w:rsidRPr="00975349">
        <w:rPr>
          <w:b/>
          <w:bCs/>
        </w:rPr>
        <w:t xml:space="preserve">ssue notices to compel </w:t>
      </w:r>
      <w:r w:rsidR="0096107A">
        <w:rPr>
          <w:b/>
          <w:bCs/>
        </w:rPr>
        <w:t>p</w:t>
      </w:r>
      <w:r w:rsidR="002E1BAC" w:rsidRPr="00975349">
        <w:rPr>
          <w:b/>
          <w:bCs/>
        </w:rPr>
        <w:t>roviders</w:t>
      </w:r>
      <w:r w:rsidR="002E1BAC" w:rsidRPr="00975349">
        <w:t xml:space="preserve"> to give information or documents, or answer questions in relation to a given subject matter (</w:t>
      </w:r>
      <w:r w:rsidR="002E1BAC" w:rsidRPr="00CA1DDF">
        <w:rPr>
          <w:bCs/>
        </w:rPr>
        <w:t>section</w:t>
      </w:r>
      <w:r w:rsidR="00051639">
        <w:rPr>
          <w:bCs/>
        </w:rPr>
        <w:t>s</w:t>
      </w:r>
      <w:r w:rsidR="002E1BAC" w:rsidRPr="00CA1DDF">
        <w:rPr>
          <w:bCs/>
        </w:rPr>
        <w:t xml:space="preserve"> 95BA-5, 95BA-6</w:t>
      </w:r>
      <w:r w:rsidR="002E1BAC" w:rsidRPr="0096107A">
        <w:rPr>
          <w:bCs/>
        </w:rPr>
        <w:t xml:space="preserve"> and </w:t>
      </w:r>
      <w:r w:rsidR="002E1BAC" w:rsidRPr="00CA1DDF">
        <w:rPr>
          <w:bCs/>
        </w:rPr>
        <w:t>95BA-8</w:t>
      </w:r>
      <w:r w:rsidR="002E1BAC" w:rsidRPr="00975349">
        <w:t xml:space="preserve"> of the</w:t>
      </w:r>
      <w:r w:rsidR="002E1BAC" w:rsidRPr="00975349">
        <w:rPr>
          <w:bCs/>
          <w:i/>
          <w:iCs/>
        </w:rPr>
        <w:t xml:space="preserve"> </w:t>
      </w:r>
      <w:r w:rsidR="002E1BAC" w:rsidRPr="00CA1DDF">
        <w:rPr>
          <w:bCs/>
        </w:rPr>
        <w:t>amended</w:t>
      </w:r>
      <w:r w:rsidR="002E1BAC" w:rsidRPr="00975349">
        <w:rPr>
          <w:b/>
        </w:rPr>
        <w:t xml:space="preserve"> </w:t>
      </w:r>
      <w:r w:rsidR="00CB393F" w:rsidRPr="00CB393F">
        <w:rPr>
          <w:bCs/>
        </w:rPr>
        <w:t>Aged Care Act</w:t>
      </w:r>
      <w:r w:rsidR="002E1BAC" w:rsidRPr="00975349">
        <w:t>)</w:t>
      </w:r>
    </w:p>
    <w:p w14:paraId="504DF8E2" w14:textId="362697F9" w:rsidR="002E1BAC" w:rsidRPr="00975349" w:rsidRDefault="00E3752E" w:rsidP="00515A1B">
      <w:pPr>
        <w:pStyle w:val="ListBullet"/>
      </w:pPr>
      <w:r>
        <w:rPr>
          <w:b/>
          <w:bCs/>
        </w:rPr>
        <w:t>r</w:t>
      </w:r>
      <w:r w:rsidR="002E1BAC" w:rsidRPr="00975349">
        <w:rPr>
          <w:b/>
          <w:bCs/>
        </w:rPr>
        <w:t>eport on findings</w:t>
      </w:r>
      <w:r w:rsidR="002E1BAC" w:rsidRPr="00975349">
        <w:t xml:space="preserve"> from the </w:t>
      </w:r>
      <w:r w:rsidR="0096107A">
        <w:t>r</w:t>
      </w:r>
      <w:r w:rsidR="002E1BAC" w:rsidRPr="00975349">
        <w:t xml:space="preserve">eviews directly to a </w:t>
      </w:r>
      <w:r w:rsidR="0096107A">
        <w:t>p</w:t>
      </w:r>
      <w:r w:rsidR="002E1BAC" w:rsidRPr="00975349">
        <w:t>rovider, as well as publicly (</w:t>
      </w:r>
      <w:r w:rsidR="002E1BAC" w:rsidRPr="00CA1DDF">
        <w:rPr>
          <w:bCs/>
        </w:rPr>
        <w:t>section 95BA-3</w:t>
      </w:r>
      <w:r w:rsidR="002E1BAC" w:rsidRPr="00975349">
        <w:t xml:space="preserve"> of the </w:t>
      </w:r>
      <w:r w:rsidR="002E1BAC" w:rsidRPr="00CA1DDF">
        <w:rPr>
          <w:bCs/>
        </w:rPr>
        <w:t>amended</w:t>
      </w:r>
      <w:r w:rsidR="002E1BAC" w:rsidRPr="00975349">
        <w:rPr>
          <w:bCs/>
          <w:i/>
          <w:iCs/>
        </w:rPr>
        <w:t xml:space="preserve"> </w:t>
      </w:r>
      <w:r w:rsidR="00CB393F" w:rsidRPr="00CB393F">
        <w:rPr>
          <w:bCs/>
        </w:rPr>
        <w:t>Aged Care Act</w:t>
      </w:r>
      <w:r w:rsidR="002E1BAC" w:rsidRPr="00975349">
        <w:t>).</w:t>
      </w:r>
    </w:p>
    <w:p w14:paraId="11FEC711" w14:textId="13D6BE6D" w:rsidR="002E1BAC" w:rsidRPr="00975349" w:rsidRDefault="002E1BAC" w:rsidP="00515A1B">
      <w:pPr>
        <w:pStyle w:val="PwCNormal"/>
        <w:rPr>
          <w:iCs/>
        </w:rPr>
      </w:pPr>
      <w:r w:rsidRPr="00CA1DDF">
        <w:rPr>
          <w:bCs/>
        </w:rPr>
        <w:t>Section</w:t>
      </w:r>
      <w:r w:rsidR="009E29CB">
        <w:rPr>
          <w:bCs/>
        </w:rPr>
        <w:t>s</w:t>
      </w:r>
      <w:r w:rsidRPr="00CA1DDF">
        <w:rPr>
          <w:bCs/>
        </w:rPr>
        <w:t xml:space="preserve"> 95BA-5, 95BA-6</w:t>
      </w:r>
      <w:r w:rsidRPr="00975349">
        <w:t xml:space="preserve">, and </w:t>
      </w:r>
      <w:r w:rsidRPr="00CA1DDF">
        <w:rPr>
          <w:bCs/>
        </w:rPr>
        <w:t>95BA-7</w:t>
      </w:r>
      <w:r w:rsidRPr="00975349">
        <w:t xml:space="preserve"> of the </w:t>
      </w:r>
      <w:r w:rsidRPr="00CA1DDF">
        <w:rPr>
          <w:bCs/>
        </w:rPr>
        <w:t>amended</w:t>
      </w:r>
      <w:r w:rsidRPr="00975349">
        <w:rPr>
          <w:b/>
          <w:i/>
          <w:iCs/>
        </w:rPr>
        <w:t xml:space="preserve"> </w:t>
      </w:r>
      <w:r w:rsidR="00944AA7" w:rsidRPr="00CB393F">
        <w:t>Aged Care Act</w:t>
      </w:r>
      <w:r w:rsidR="00944AA7" w:rsidRPr="00944AA7">
        <w:rPr>
          <w:bCs/>
          <w:i/>
          <w:iCs/>
        </w:rPr>
        <w:t xml:space="preserve"> </w:t>
      </w:r>
      <w:r w:rsidRPr="00975349">
        <w:t xml:space="preserve">enable the </w:t>
      </w:r>
      <w:r w:rsidR="00863008">
        <w:t>department</w:t>
      </w:r>
      <w:r w:rsidRPr="00975349">
        <w:t xml:space="preserve"> to apply civil penalties where a </w:t>
      </w:r>
      <w:r w:rsidR="001B2953">
        <w:t>p</w:t>
      </w:r>
      <w:r w:rsidRPr="00975349">
        <w:t xml:space="preserve">rovider fails to comply with the requirements of the notice. These civil penalties are enforceable under the </w:t>
      </w:r>
      <w:r w:rsidRPr="00975349">
        <w:rPr>
          <w:i/>
        </w:rPr>
        <w:t>Regulatory Powers</w:t>
      </w:r>
      <w:r w:rsidR="00494EDF">
        <w:rPr>
          <w:i/>
        </w:rPr>
        <w:t xml:space="preserve"> (</w:t>
      </w:r>
      <w:r w:rsidR="00FA5106">
        <w:rPr>
          <w:i/>
        </w:rPr>
        <w:t>Standard Provisions)</w:t>
      </w:r>
      <w:r w:rsidRPr="00975349">
        <w:rPr>
          <w:i/>
        </w:rPr>
        <w:t xml:space="preserve"> Act</w:t>
      </w:r>
      <w:r w:rsidR="00FA5106">
        <w:rPr>
          <w:i/>
        </w:rPr>
        <w:t xml:space="preserve"> 2014</w:t>
      </w:r>
      <w:r w:rsidRPr="00975349">
        <w:t>.</w:t>
      </w:r>
      <w:r w:rsidRPr="00975349">
        <w:rPr>
          <w:i/>
        </w:rPr>
        <w:t xml:space="preserve"> </w:t>
      </w:r>
      <w:r w:rsidRPr="00975349">
        <w:rPr>
          <w:iCs/>
        </w:rPr>
        <w:t xml:space="preserve">In addition to civil penalties, the </w:t>
      </w:r>
      <w:r w:rsidR="00863008">
        <w:rPr>
          <w:iCs/>
        </w:rPr>
        <w:t>department</w:t>
      </w:r>
      <w:r w:rsidRPr="00975349">
        <w:rPr>
          <w:iCs/>
        </w:rPr>
        <w:t xml:space="preserve"> may publish the names of </w:t>
      </w:r>
      <w:r w:rsidR="00E41DFE">
        <w:rPr>
          <w:iCs/>
        </w:rPr>
        <w:t>p</w:t>
      </w:r>
      <w:r w:rsidRPr="00975349">
        <w:rPr>
          <w:iCs/>
        </w:rPr>
        <w:t xml:space="preserve">roviders who do not comply with </w:t>
      </w:r>
      <w:r w:rsidR="00E41DFE">
        <w:rPr>
          <w:iCs/>
        </w:rPr>
        <w:t>a</w:t>
      </w:r>
      <w:r w:rsidRPr="00975349">
        <w:rPr>
          <w:iCs/>
        </w:rPr>
        <w:t xml:space="preserve">ssurance </w:t>
      </w:r>
      <w:r w:rsidR="00E41DFE">
        <w:rPr>
          <w:iCs/>
        </w:rPr>
        <w:t>a</w:t>
      </w:r>
      <w:r w:rsidRPr="00975349">
        <w:rPr>
          <w:iCs/>
        </w:rPr>
        <w:t>ctivities.</w:t>
      </w:r>
    </w:p>
    <w:p w14:paraId="68775DE3" w14:textId="27F885D3" w:rsidR="002E1BAC" w:rsidRPr="00975349" w:rsidRDefault="002E1BAC" w:rsidP="00515A1B">
      <w:pPr>
        <w:pStyle w:val="PwCNormal"/>
        <w:rPr>
          <w:highlight w:val="white"/>
        </w:rPr>
      </w:pPr>
      <w:r w:rsidRPr="00CA1DDF">
        <w:rPr>
          <w:bCs/>
        </w:rPr>
        <w:t>Section 95BA-5</w:t>
      </w:r>
      <w:r w:rsidRPr="00975349">
        <w:t xml:space="preserve"> of the </w:t>
      </w:r>
      <w:r w:rsidRPr="00CA1DDF">
        <w:rPr>
          <w:bCs/>
        </w:rPr>
        <w:t>amended</w:t>
      </w:r>
      <w:r w:rsidRPr="00975349">
        <w:rPr>
          <w:b/>
          <w:i/>
          <w:iCs/>
        </w:rPr>
        <w:t xml:space="preserve"> </w:t>
      </w:r>
      <w:r w:rsidR="00944AA7" w:rsidRPr="00CB393F">
        <w:t>Aged Care Act</w:t>
      </w:r>
      <w:r w:rsidR="00944AA7" w:rsidRPr="00944AA7">
        <w:rPr>
          <w:bCs/>
          <w:i/>
          <w:iCs/>
        </w:rPr>
        <w:t xml:space="preserve"> </w:t>
      </w:r>
      <w:r w:rsidRPr="00975349">
        <w:t xml:space="preserve">allows a </w:t>
      </w:r>
      <w:r w:rsidR="00E41DFE">
        <w:t>p</w:t>
      </w:r>
      <w:r w:rsidRPr="00975349">
        <w:t xml:space="preserve">rovider to request reasonable compensation by the Commonwealth </w:t>
      </w:r>
      <w:r w:rsidRPr="00975349">
        <w:rPr>
          <w:highlight w:val="white"/>
        </w:rPr>
        <w:t>for complying with a requirement of a notice to give copies of documents.</w:t>
      </w:r>
    </w:p>
    <w:p w14:paraId="7A851535" w14:textId="7B522CA1" w:rsidR="002E1BAC" w:rsidRPr="00975349" w:rsidRDefault="002E1BAC" w:rsidP="002311EE">
      <w:pPr>
        <w:pStyle w:val="AppendixHeading2"/>
      </w:pPr>
      <w:r w:rsidRPr="00CA1DDF">
        <w:t>PGPA Act</w:t>
      </w:r>
    </w:p>
    <w:p w14:paraId="5E8B9AFF" w14:textId="58A8DA16" w:rsidR="002E1BAC" w:rsidRPr="00975349" w:rsidRDefault="002E1BAC" w:rsidP="00515A1B">
      <w:pPr>
        <w:pStyle w:val="PwCNormal"/>
        <w:rPr>
          <w:spacing w:val="-2"/>
        </w:rPr>
      </w:pPr>
      <w:r w:rsidRPr="00975349">
        <w:rPr>
          <w:spacing w:val="-2"/>
        </w:rPr>
        <w:t xml:space="preserve">The </w:t>
      </w:r>
      <w:r w:rsidRPr="00CA1DDF">
        <w:rPr>
          <w:bCs/>
          <w:spacing w:val="-2"/>
        </w:rPr>
        <w:t>PGPA Act</w:t>
      </w:r>
      <w:r w:rsidRPr="00975349">
        <w:rPr>
          <w:spacing w:val="-2"/>
        </w:rPr>
        <w:t xml:space="preserve"> is designed to establish a coherent system of governance and accountability for public resources, with an emphasis on planning, performance and reporting. The </w:t>
      </w:r>
      <w:r w:rsidR="00863008">
        <w:rPr>
          <w:spacing w:val="-2"/>
        </w:rPr>
        <w:t>department</w:t>
      </w:r>
      <w:r w:rsidRPr="00975349">
        <w:rPr>
          <w:spacing w:val="-2"/>
        </w:rPr>
        <w:t xml:space="preserve"> is required to meet the obligations under the </w:t>
      </w:r>
      <w:r w:rsidRPr="00CA1DDF">
        <w:rPr>
          <w:bCs/>
          <w:spacing w:val="-2"/>
        </w:rPr>
        <w:t>PGPA Act</w:t>
      </w:r>
      <w:r w:rsidRPr="00975349">
        <w:rPr>
          <w:spacing w:val="-2"/>
        </w:rPr>
        <w:t>.</w:t>
      </w:r>
    </w:p>
    <w:p w14:paraId="4633F325" w14:textId="4420F49E" w:rsidR="002E1BAC" w:rsidRPr="00975349" w:rsidRDefault="002E1BAC" w:rsidP="00515A1B">
      <w:pPr>
        <w:pStyle w:val="PwCNormal"/>
        <w:keepNext/>
      </w:pPr>
      <w:r w:rsidRPr="00975349">
        <w:t xml:space="preserve">The </w:t>
      </w:r>
      <w:r w:rsidRPr="00CA1DDF">
        <w:rPr>
          <w:bCs/>
        </w:rPr>
        <w:t>PGPA Act</w:t>
      </w:r>
      <w:r w:rsidRPr="00975349">
        <w:t xml:space="preserve"> establishes accountability for the achievement of the purposes of the </w:t>
      </w:r>
      <w:r w:rsidR="00863008">
        <w:t>department</w:t>
      </w:r>
      <w:r w:rsidRPr="00975349">
        <w:t xml:space="preserve">, for all public funding including that provided through programs such as the HCP Program. In support of this, the </w:t>
      </w:r>
      <w:r w:rsidRPr="00975349">
        <w:rPr>
          <w:bCs/>
        </w:rPr>
        <w:t>PGPA Act</w:t>
      </w:r>
      <w:r w:rsidRPr="00975349">
        <w:t xml:space="preserve"> requires the </w:t>
      </w:r>
      <w:r w:rsidR="00863008">
        <w:t>department</w:t>
      </w:r>
      <w:r w:rsidRPr="00975349">
        <w:t xml:space="preserve"> to:</w:t>
      </w:r>
    </w:p>
    <w:p w14:paraId="5203A0E4" w14:textId="77777777" w:rsidR="002E1BAC" w:rsidRPr="00975349" w:rsidRDefault="002E1BAC" w:rsidP="00515A1B">
      <w:pPr>
        <w:pStyle w:val="ListBullet"/>
      </w:pPr>
      <w:r w:rsidRPr="00975349">
        <w:t>make proper use of resources, which means the delivery of the HCP Program must be done in an efficient, effective, economical and ethical manner (</w:t>
      </w:r>
      <w:r w:rsidRPr="00CA1DDF">
        <w:rPr>
          <w:bCs/>
        </w:rPr>
        <w:t>section 15</w:t>
      </w:r>
      <w:r w:rsidRPr="00975349">
        <w:t xml:space="preserve"> of the </w:t>
      </w:r>
      <w:r w:rsidRPr="00CA1DDF">
        <w:rPr>
          <w:bCs/>
        </w:rPr>
        <w:t>PGPA Act</w:t>
      </w:r>
      <w:r w:rsidRPr="00975349">
        <w:t>)</w:t>
      </w:r>
    </w:p>
    <w:p w14:paraId="70402B7C" w14:textId="77777777" w:rsidR="002E1BAC" w:rsidRPr="00975349" w:rsidRDefault="002E1BAC" w:rsidP="00515A1B">
      <w:pPr>
        <w:pStyle w:val="ListBullet"/>
      </w:pPr>
      <w:r w:rsidRPr="00975349">
        <w:lastRenderedPageBreak/>
        <w:t>establish appropriate systems of oversight of the risk and control environments (</w:t>
      </w:r>
      <w:r w:rsidRPr="00CA1DDF">
        <w:rPr>
          <w:bCs/>
        </w:rPr>
        <w:t>section 16</w:t>
      </w:r>
      <w:r w:rsidRPr="00975349">
        <w:t xml:space="preserve"> of the </w:t>
      </w:r>
      <w:r w:rsidRPr="00CA1DDF">
        <w:rPr>
          <w:bCs/>
        </w:rPr>
        <w:t>PGPA Act</w:t>
      </w:r>
      <w:r w:rsidRPr="00975349">
        <w:t>)</w:t>
      </w:r>
    </w:p>
    <w:p w14:paraId="68D11A06" w14:textId="3ED93252" w:rsidR="002E1BAC" w:rsidRPr="00975349" w:rsidRDefault="002E1BAC" w:rsidP="00515A1B">
      <w:pPr>
        <w:pStyle w:val="ListBullet"/>
      </w:pPr>
      <w:r w:rsidRPr="00975349">
        <w:t xml:space="preserve">ensure information obtained by the </w:t>
      </w:r>
      <w:r w:rsidR="00863008">
        <w:t>department</w:t>
      </w:r>
      <w:r w:rsidRPr="00975349">
        <w:t xml:space="preserve"> must not be improperly used to gain an advantage or cause detriment to any person (</w:t>
      </w:r>
      <w:r w:rsidRPr="00CA1DDF">
        <w:rPr>
          <w:bCs/>
        </w:rPr>
        <w:t>section 28</w:t>
      </w:r>
      <w:r w:rsidRPr="00975349">
        <w:t xml:space="preserve"> of the </w:t>
      </w:r>
      <w:r w:rsidRPr="00CA1DDF">
        <w:rPr>
          <w:bCs/>
        </w:rPr>
        <w:t>PGPA Act</w:t>
      </w:r>
      <w:r w:rsidRPr="00975349">
        <w:t>)</w:t>
      </w:r>
    </w:p>
    <w:p w14:paraId="38E03A43" w14:textId="77777777" w:rsidR="002E1BAC" w:rsidRPr="00975349" w:rsidRDefault="002E1BAC" w:rsidP="00515A1B">
      <w:pPr>
        <w:pStyle w:val="ListBullet"/>
      </w:pPr>
      <w:r w:rsidRPr="00975349">
        <w:t>keep records that properly record and explain the performance in achieving its purposes, including those of the HCP Program (</w:t>
      </w:r>
      <w:r w:rsidRPr="00CA1DDF">
        <w:rPr>
          <w:bCs/>
        </w:rPr>
        <w:t>section 37</w:t>
      </w:r>
      <w:r w:rsidRPr="00975349">
        <w:t xml:space="preserve"> of the </w:t>
      </w:r>
      <w:r w:rsidRPr="00CA1DDF">
        <w:rPr>
          <w:bCs/>
        </w:rPr>
        <w:t>PGPA Act</w:t>
      </w:r>
      <w:r w:rsidRPr="00975349">
        <w:t>).</w:t>
      </w:r>
    </w:p>
    <w:p w14:paraId="4FC603C6" w14:textId="54B7187F" w:rsidR="002E1BAC" w:rsidRPr="00975349" w:rsidRDefault="00BD23D2" w:rsidP="002311EE">
      <w:pPr>
        <w:pStyle w:val="AppendixHeading2"/>
      </w:pPr>
      <w:r>
        <w:t xml:space="preserve">PGPA </w:t>
      </w:r>
      <w:r w:rsidR="002E1BAC" w:rsidRPr="00CA1DDF">
        <w:t>Rule</w:t>
      </w:r>
    </w:p>
    <w:p w14:paraId="7A8B9400" w14:textId="2D6C39B3" w:rsidR="002E1BAC" w:rsidRPr="00975349" w:rsidRDefault="002E1BAC" w:rsidP="00515A1B">
      <w:pPr>
        <w:pStyle w:val="PwCNormal"/>
      </w:pPr>
      <w:r w:rsidRPr="00975349">
        <w:t xml:space="preserve">Pursuant to </w:t>
      </w:r>
      <w:r w:rsidRPr="00CA1DDF">
        <w:rPr>
          <w:bCs/>
        </w:rPr>
        <w:t>section 10</w:t>
      </w:r>
      <w:r w:rsidRPr="00975349">
        <w:rPr>
          <w:bCs/>
        </w:rPr>
        <w:t xml:space="preserve"> </w:t>
      </w:r>
      <w:r w:rsidRPr="00975349">
        <w:t xml:space="preserve">of the </w:t>
      </w:r>
      <w:r w:rsidRPr="00CA1DDF">
        <w:rPr>
          <w:bCs/>
        </w:rPr>
        <w:t>PGPA Rule</w:t>
      </w:r>
      <w:r w:rsidRPr="00975349">
        <w:t>,</w:t>
      </w:r>
      <w:r w:rsidRPr="00975349">
        <w:rPr>
          <w:i/>
        </w:rPr>
        <w:t xml:space="preserve"> </w:t>
      </w:r>
      <w:r w:rsidRPr="00975349">
        <w:t xml:space="preserve">the </w:t>
      </w:r>
      <w:r w:rsidR="00863008">
        <w:t>department</w:t>
      </w:r>
      <w:r w:rsidRPr="00975349">
        <w:t xml:space="preserve"> is required to take all reasonable measures to prevent, detect and deal with fraud relating to the HCP Program. </w:t>
      </w:r>
    </w:p>
    <w:p w14:paraId="09FCAF6C" w14:textId="2BEE4D90" w:rsidR="002E1BAC" w:rsidRPr="00975349" w:rsidRDefault="002E1BAC" w:rsidP="00515A1B">
      <w:pPr>
        <w:pStyle w:val="PwCNormal"/>
      </w:pPr>
      <w:r w:rsidRPr="00975349">
        <w:t>The</w:t>
      </w:r>
      <w:r w:rsidRPr="00975349">
        <w:rPr>
          <w:i/>
        </w:rPr>
        <w:t xml:space="preserve"> </w:t>
      </w:r>
      <w:r w:rsidRPr="00975349">
        <w:t xml:space="preserve">Commonwealth Fraud Control Framework establishes the Commonwealth’s Fraud Control Policy and, together with the accompanying </w:t>
      </w:r>
      <w:r w:rsidRPr="00975349">
        <w:rPr>
          <w:i/>
        </w:rPr>
        <w:t>Resource Management Guide</w:t>
      </w:r>
      <w:r w:rsidRPr="00975349">
        <w:t xml:space="preserve"> </w:t>
      </w:r>
      <w:r w:rsidRPr="00975349">
        <w:rPr>
          <w:i/>
        </w:rPr>
        <w:t>RMG-201 Preventing, detecting and dealing with fraud,</w:t>
      </w:r>
      <w:r w:rsidRPr="00975349">
        <w:t xml:space="preserve"> sets a clear mandate to deter, detect and mitigate fraud risks. These requirements are reflected in the </w:t>
      </w:r>
      <w:r w:rsidR="00863008">
        <w:t>department</w:t>
      </w:r>
      <w:r w:rsidRPr="00975349">
        <w:t xml:space="preserve">’s </w:t>
      </w:r>
      <w:r>
        <w:t xml:space="preserve">Fraud and Corruption Control Plan </w:t>
      </w:r>
      <w:r w:rsidR="549F36C3">
        <w:t>2023-25</w:t>
      </w:r>
      <w:r w:rsidRPr="00975349">
        <w:t xml:space="preserve"> and the Fraud Control Management Plan for the HCP Program.</w:t>
      </w:r>
    </w:p>
    <w:p w14:paraId="32468A40" w14:textId="7022565D" w:rsidR="002E1BAC" w:rsidRPr="00975349" w:rsidRDefault="002E1BAC" w:rsidP="00515A1B">
      <w:pPr>
        <w:pStyle w:val="PwCNormal"/>
      </w:pPr>
      <w:r w:rsidRPr="00975349">
        <w:t xml:space="preserve">The </w:t>
      </w:r>
      <w:r w:rsidRPr="00CA1DDF">
        <w:rPr>
          <w:bCs/>
        </w:rPr>
        <w:t>PGPA Rule</w:t>
      </w:r>
      <w:r w:rsidRPr="00975349">
        <w:t xml:space="preserve"> further specifies the </w:t>
      </w:r>
      <w:r w:rsidR="00863008">
        <w:t>department</w:t>
      </w:r>
      <w:r w:rsidRPr="00975349">
        <w:t xml:space="preserve"> must pursue the recovery of debt owed to the Commonwealth (</w:t>
      </w:r>
      <w:r w:rsidRPr="00CA1DDF">
        <w:rPr>
          <w:bCs/>
        </w:rPr>
        <w:t>section</w:t>
      </w:r>
      <w:r w:rsidR="00515A1B" w:rsidRPr="00CA1DDF">
        <w:rPr>
          <w:bCs/>
        </w:rPr>
        <w:t> </w:t>
      </w:r>
      <w:r w:rsidRPr="00CA1DDF">
        <w:rPr>
          <w:bCs/>
        </w:rPr>
        <w:t>11</w:t>
      </w:r>
      <w:r w:rsidRPr="00975349">
        <w:t xml:space="preserve"> of the </w:t>
      </w:r>
      <w:r w:rsidRPr="00CA1DDF">
        <w:rPr>
          <w:bCs/>
        </w:rPr>
        <w:t>PGPA Rule</w:t>
      </w:r>
      <w:r w:rsidRPr="00975349">
        <w:rPr>
          <w:bCs/>
        </w:rPr>
        <w:t>)</w:t>
      </w:r>
      <w:r w:rsidRPr="00975349">
        <w:t>.</w:t>
      </w:r>
    </w:p>
    <w:p w14:paraId="47536CC8" w14:textId="5C5014F0" w:rsidR="002E1BAC" w:rsidRPr="00BD23D2" w:rsidRDefault="00183FFB" w:rsidP="002311EE">
      <w:pPr>
        <w:pStyle w:val="AppendixHeading2"/>
      </w:pPr>
      <w:r w:rsidRPr="00BD23D2">
        <w:t>Public Service Act</w:t>
      </w:r>
    </w:p>
    <w:p w14:paraId="66810F78" w14:textId="4E5FD50C" w:rsidR="002E1BAC" w:rsidRPr="00975349" w:rsidRDefault="002E1BAC" w:rsidP="00515A1B">
      <w:pPr>
        <w:pStyle w:val="PwCNormal"/>
      </w:pPr>
      <w:r w:rsidRPr="00975349">
        <w:t xml:space="preserve">The </w:t>
      </w:r>
      <w:r w:rsidRPr="00E345C3">
        <w:rPr>
          <w:iCs/>
        </w:rPr>
        <w:t>Public Service Act</w:t>
      </w:r>
      <w:r w:rsidR="00A92D7B" w:rsidRPr="00BD23D2">
        <w:rPr>
          <w:bCs/>
          <w:i/>
        </w:rPr>
        <w:t xml:space="preserve"> </w:t>
      </w:r>
      <w:r w:rsidRPr="00975349">
        <w:t xml:space="preserve">established, among other things, a unifying set of values (committed to service, ethical, respectful, accountable and impartial under </w:t>
      </w:r>
      <w:r w:rsidRPr="00CA1DDF">
        <w:rPr>
          <w:bCs/>
        </w:rPr>
        <w:t>section 10</w:t>
      </w:r>
      <w:r w:rsidRPr="00975349">
        <w:t xml:space="preserve">) and a Code of Conduct to be followed by all Australian Public Servants (including, pursuant to </w:t>
      </w:r>
      <w:r w:rsidRPr="00CA1DDF">
        <w:rPr>
          <w:bCs/>
        </w:rPr>
        <w:t>section 13</w:t>
      </w:r>
      <w:r w:rsidRPr="00975349">
        <w:t>, the requirements to use and act in accordance with all Australian laws and utilisation of Commonwealth resources in a proper manner and for a proper</w:t>
      </w:r>
      <w:r w:rsidR="00515A1B" w:rsidRPr="00975349">
        <w:t> </w:t>
      </w:r>
      <w:r w:rsidRPr="00975349">
        <w:t xml:space="preserve">purpose). </w:t>
      </w:r>
    </w:p>
    <w:p w14:paraId="7E31122A" w14:textId="7C5392B4" w:rsidR="002E1BAC" w:rsidRPr="00975349" w:rsidRDefault="002E1BAC" w:rsidP="00515A1B">
      <w:pPr>
        <w:pStyle w:val="PwCNormal"/>
      </w:pPr>
      <w:r w:rsidRPr="00975349">
        <w:t xml:space="preserve">Further, the </w:t>
      </w:r>
      <w:r w:rsidRPr="00E345C3">
        <w:rPr>
          <w:iCs/>
        </w:rPr>
        <w:t>Public Service Act</w:t>
      </w:r>
      <w:r w:rsidRPr="00BD23D2">
        <w:rPr>
          <w:i/>
        </w:rPr>
        <w:t xml:space="preserve"> </w:t>
      </w:r>
      <w:r w:rsidRPr="00975349">
        <w:t xml:space="preserve">requires the </w:t>
      </w:r>
      <w:r w:rsidR="00A92D7B">
        <w:t>s</w:t>
      </w:r>
      <w:r w:rsidRPr="00975349">
        <w:t xml:space="preserve">ecretary of the </w:t>
      </w:r>
      <w:r w:rsidR="00863008">
        <w:t>department</w:t>
      </w:r>
      <w:r w:rsidRPr="00975349">
        <w:t xml:space="preserve"> to manage the affairs of the </w:t>
      </w:r>
      <w:r w:rsidR="00863008">
        <w:t>department</w:t>
      </w:r>
      <w:r w:rsidRPr="00975349">
        <w:t xml:space="preserve"> efficiently, effectively, economically and ethically and requires measures to ensure that the </w:t>
      </w:r>
      <w:r w:rsidR="00863008">
        <w:t>department</w:t>
      </w:r>
      <w:r w:rsidRPr="00975349">
        <w:t xml:space="preserve"> complies with Australian laws (pursuant to </w:t>
      </w:r>
      <w:r w:rsidRPr="00CA1DDF">
        <w:rPr>
          <w:bCs/>
        </w:rPr>
        <w:t>section 57</w:t>
      </w:r>
      <w:r w:rsidRPr="00975349">
        <w:t>).</w:t>
      </w:r>
    </w:p>
    <w:p w14:paraId="0A113BA5" w14:textId="77777777" w:rsidR="002E1BAC" w:rsidRPr="00975349" w:rsidRDefault="002E1BAC" w:rsidP="002311EE">
      <w:pPr>
        <w:pStyle w:val="AppendixHeading2"/>
      </w:pPr>
      <w:r w:rsidRPr="00975349">
        <w:t>Other obligations and guidance</w:t>
      </w:r>
    </w:p>
    <w:p w14:paraId="5229D167" w14:textId="020BD477" w:rsidR="002E1BAC" w:rsidRPr="00975349" w:rsidRDefault="002E1BAC" w:rsidP="00515A1B">
      <w:pPr>
        <w:pStyle w:val="PwCNormal"/>
      </w:pPr>
      <w:r w:rsidRPr="00975349">
        <w:t xml:space="preserve">There are numerous other legislative obligations on </w:t>
      </w:r>
      <w:r w:rsidR="005F4643">
        <w:t>p</w:t>
      </w:r>
      <w:r w:rsidRPr="00975349">
        <w:t xml:space="preserve">roviders including, but not limited to: taxation, competition and consumer law, privacy, employment obligations, occupational health and safety, and food safety. Such obligations are not within the </w:t>
      </w:r>
      <w:r w:rsidR="0029145F">
        <w:t>s</w:t>
      </w:r>
      <w:r w:rsidRPr="00975349">
        <w:t xml:space="preserve">cope of this </w:t>
      </w:r>
      <w:r w:rsidR="0029145F">
        <w:t>a</w:t>
      </w:r>
      <w:r w:rsidRPr="00975349">
        <w:t xml:space="preserve">ssurance </w:t>
      </w:r>
      <w:r w:rsidR="0029145F">
        <w:t>f</w:t>
      </w:r>
      <w:r w:rsidRPr="00975349">
        <w:t xml:space="preserve">ramework as they are the mandate of other Commonwealth, </w:t>
      </w:r>
      <w:r w:rsidR="2DEEF46A">
        <w:t>s</w:t>
      </w:r>
      <w:r>
        <w:t>tate</w:t>
      </w:r>
      <w:r w:rsidRPr="00975349">
        <w:t xml:space="preserve"> or </w:t>
      </w:r>
      <w:r w:rsidR="7F33765D">
        <w:t>t</w:t>
      </w:r>
      <w:r>
        <w:t>erritory</w:t>
      </w:r>
      <w:r w:rsidRPr="00975349">
        <w:t xml:space="preserve"> entities. </w:t>
      </w:r>
    </w:p>
    <w:p w14:paraId="78D3CDF4" w14:textId="77777777" w:rsidR="002E1BAC" w:rsidRPr="00975349" w:rsidRDefault="002E1BAC" w:rsidP="00566891">
      <w:pPr>
        <w:pStyle w:val="PwCNormal"/>
      </w:pPr>
      <w:r w:rsidRPr="00975349">
        <w:t>Guidance on the HCP Program can also be found in the following:</w:t>
      </w:r>
    </w:p>
    <w:p w14:paraId="709113E1" w14:textId="2CB2FA0D" w:rsidR="002E1BAC" w:rsidRPr="00975349" w:rsidRDefault="002E1BAC" w:rsidP="00515A1B">
      <w:pPr>
        <w:pStyle w:val="ListBullet"/>
      </w:pPr>
      <w:r w:rsidRPr="00975349">
        <w:t xml:space="preserve">Home Care Packages Program Operational Manual: A </w:t>
      </w:r>
      <w:r w:rsidR="00D65727">
        <w:t>G</w:t>
      </w:r>
      <w:r w:rsidR="00D65727" w:rsidRPr="00975349">
        <w:t xml:space="preserve">uide </w:t>
      </w:r>
      <w:r w:rsidRPr="00975349">
        <w:t xml:space="preserve">for </w:t>
      </w:r>
      <w:r w:rsidR="00D65727" w:rsidRPr="00975349">
        <w:t>Home Care Providers</w:t>
      </w:r>
      <w:r w:rsidRPr="00975349">
        <w:t xml:space="preserve"> – available </w:t>
      </w:r>
      <w:hyperlink r:id="rId43" w:history="1">
        <w:r w:rsidRPr="00D048BE">
          <w:rPr>
            <w:rStyle w:val="Hyperlink"/>
          </w:rPr>
          <w:t>here</w:t>
        </w:r>
      </w:hyperlink>
    </w:p>
    <w:p w14:paraId="08B4A3E4" w14:textId="6EE025D8" w:rsidR="002E1BAC" w:rsidRPr="00975349" w:rsidRDefault="002E1BAC" w:rsidP="00515A1B">
      <w:pPr>
        <w:pStyle w:val="ListBullet"/>
      </w:pPr>
      <w:r w:rsidRPr="00975349">
        <w:t xml:space="preserve">Home Care Packages Program Manual for </w:t>
      </w:r>
      <w:r w:rsidR="00F54EAF">
        <w:t>Care Recipients</w:t>
      </w:r>
      <w:r w:rsidR="00F54EAF" w:rsidRPr="00975349">
        <w:t xml:space="preserve"> </w:t>
      </w:r>
      <w:r w:rsidRPr="00975349">
        <w:t xml:space="preserve">– available </w:t>
      </w:r>
      <w:hyperlink r:id="rId44" w:history="1">
        <w:r w:rsidR="00382B05" w:rsidRPr="00382B05">
          <w:rPr>
            <w:rStyle w:val="Hyperlink"/>
          </w:rPr>
          <w:t>here</w:t>
        </w:r>
      </w:hyperlink>
    </w:p>
    <w:p w14:paraId="4F6EE3CD" w14:textId="77777777" w:rsidR="00515A1B" w:rsidRPr="00975349" w:rsidRDefault="00515A1B" w:rsidP="002E1BAC">
      <w:pPr>
        <w:pStyle w:val="PwCNormal"/>
        <w:sectPr w:rsidR="00515A1B" w:rsidRPr="00975349" w:rsidSect="004C0349">
          <w:pgSz w:w="11907" w:h="16840" w:code="9"/>
          <w:pgMar w:top="1588" w:right="1021" w:bottom="1418" w:left="1021" w:header="567" w:footer="567" w:gutter="0"/>
          <w:cols w:space="227"/>
          <w:titlePg/>
          <w:docGrid w:linePitch="360"/>
        </w:sectPr>
      </w:pPr>
    </w:p>
    <w:p w14:paraId="0F20DF03" w14:textId="63919232" w:rsidR="002E1BAC" w:rsidRPr="00975349" w:rsidRDefault="00FC11C8" w:rsidP="002311EE">
      <w:pPr>
        <w:pStyle w:val="AppendixHeading"/>
      </w:pPr>
      <w:bookmarkStart w:id="67" w:name="Appendix_C"/>
      <w:bookmarkStart w:id="68" w:name="_Toc83980015"/>
      <w:bookmarkStart w:id="69" w:name="_Toc158806633"/>
      <w:bookmarkEnd w:id="67"/>
      <w:r w:rsidRPr="00975349">
        <w:lastRenderedPageBreak/>
        <w:t xml:space="preserve">– </w:t>
      </w:r>
      <w:r w:rsidR="002E1BAC" w:rsidRPr="00975349">
        <w:t>Sampling methodology</w:t>
      </w:r>
      <w:bookmarkEnd w:id="68"/>
      <w:bookmarkEnd w:id="69"/>
    </w:p>
    <w:p w14:paraId="698F2AE1" w14:textId="77777777" w:rsidR="002E1BAC" w:rsidRPr="00975349" w:rsidRDefault="002E1BAC" w:rsidP="00566891">
      <w:pPr>
        <w:pStyle w:val="PwCNormal"/>
      </w:pPr>
      <w:r w:rsidRPr="00975349">
        <w:t xml:space="preserve">Sampling takes place where it is not practical or cost effective to examine all information during an activity. Sampling is the process of selecting less than 100% of a given population to obtain and evaluate verifiable information about specific characteristics of the population. Sampling is designed to form conclusions concerning the population as a whole. </w:t>
      </w:r>
    </w:p>
    <w:p w14:paraId="5189FD92" w14:textId="16DEF82A" w:rsidR="002E1BAC" w:rsidRPr="0092764F" w:rsidRDefault="002E1BAC" w:rsidP="0092764F">
      <w:pPr>
        <w:pStyle w:val="PwCNormal"/>
      </w:pPr>
      <w:r w:rsidRPr="0092764F">
        <w:t xml:space="preserve">Under this </w:t>
      </w:r>
      <w:r w:rsidR="007738E3" w:rsidRPr="0092764F">
        <w:t>a</w:t>
      </w:r>
      <w:r w:rsidRPr="0092764F">
        <w:t xml:space="preserve">ssurance </w:t>
      </w:r>
      <w:r w:rsidR="007738E3" w:rsidRPr="0092764F">
        <w:t>f</w:t>
      </w:r>
      <w:r w:rsidRPr="0092764F">
        <w:t>ramework, sampling may occur in two key areas:</w:t>
      </w:r>
    </w:p>
    <w:p w14:paraId="46C7FD91" w14:textId="6509A51C" w:rsidR="002E1BAC" w:rsidRPr="00975349" w:rsidRDefault="00942C80" w:rsidP="00566891">
      <w:pPr>
        <w:pStyle w:val="ListBullet"/>
      </w:pPr>
      <w:r>
        <w:t>a</w:t>
      </w:r>
      <w:r w:rsidR="002E1BAC" w:rsidRPr="00975349">
        <w:t xml:space="preserve">ssurance </w:t>
      </w:r>
      <w:r w:rsidR="007738E3">
        <w:t>a</w:t>
      </w:r>
      <w:r w:rsidR="002E1BAC" w:rsidRPr="00975349">
        <w:t xml:space="preserve">ctivities </w:t>
      </w:r>
      <w:r w:rsidR="006E460B">
        <w:t>that</w:t>
      </w:r>
      <w:r>
        <w:t xml:space="preserve"> </w:t>
      </w:r>
      <w:r w:rsidR="002E1BAC" w:rsidRPr="00975349">
        <w:t xml:space="preserve">may include a sample of </w:t>
      </w:r>
      <w:r w:rsidR="007738E3">
        <w:t>p</w:t>
      </w:r>
      <w:r w:rsidR="002E1BAC" w:rsidRPr="00975349">
        <w:t xml:space="preserve">roviders, rather than all </w:t>
      </w:r>
      <w:r w:rsidR="00715BC4">
        <w:t>p</w:t>
      </w:r>
      <w:r w:rsidR="00715BC4" w:rsidRPr="00975349">
        <w:t>roviders.</w:t>
      </w:r>
    </w:p>
    <w:p w14:paraId="01576F22" w14:textId="097C2194" w:rsidR="002E1BAC" w:rsidRPr="00975349" w:rsidRDefault="00942C80" w:rsidP="00566891">
      <w:pPr>
        <w:pStyle w:val="ListBullet"/>
      </w:pPr>
      <w:r>
        <w:t>f</w:t>
      </w:r>
      <w:r w:rsidR="002E1BAC" w:rsidRPr="00975349">
        <w:t xml:space="preserve">or a specific </w:t>
      </w:r>
      <w:r w:rsidR="007738E3">
        <w:t>p</w:t>
      </w:r>
      <w:r w:rsidR="002E1BAC" w:rsidRPr="00975349">
        <w:t>rovider, a sample of information (</w:t>
      </w:r>
      <w:r w:rsidR="00715BC4" w:rsidRPr="00975349">
        <w:t>e.g.,</w:t>
      </w:r>
      <w:r w:rsidR="002E1BAC" w:rsidRPr="00975349">
        <w:t xml:space="preserve"> </w:t>
      </w:r>
      <w:r w:rsidR="002E1BAC" w:rsidRPr="00155DCC">
        <w:t>care</w:t>
      </w:r>
      <w:r w:rsidR="002E1BAC" w:rsidRPr="00975349">
        <w:t xml:space="preserve"> recipients, care agreements) may be selected, rather than all </w:t>
      </w:r>
      <w:r w:rsidR="0005534C">
        <w:t>p</w:t>
      </w:r>
      <w:r w:rsidR="002E1BAC" w:rsidRPr="00975349">
        <w:t xml:space="preserve">rovider information. </w:t>
      </w:r>
    </w:p>
    <w:p w14:paraId="7FDD2281" w14:textId="7D3A8BDE" w:rsidR="002E1BAC" w:rsidRPr="00975349" w:rsidRDefault="002E1BAC" w:rsidP="00566891">
      <w:pPr>
        <w:pStyle w:val="PwCNormal"/>
      </w:pPr>
      <w:r w:rsidRPr="00975349">
        <w:t xml:space="preserve">The </w:t>
      </w:r>
      <w:r w:rsidR="0005534C">
        <w:t>r</w:t>
      </w:r>
      <w:r w:rsidRPr="00975349">
        <w:t xml:space="preserve">eview </w:t>
      </w:r>
      <w:r w:rsidR="0005534C">
        <w:t>t</w:t>
      </w:r>
      <w:r w:rsidRPr="00975349">
        <w:t xml:space="preserve">eam will need to consider the size of the sample to deliver meaningful results, noting that </w:t>
      </w:r>
      <w:r w:rsidR="00A67B0E">
        <w:t>a</w:t>
      </w:r>
      <w:r w:rsidRPr="00975349">
        <w:t xml:space="preserve">ssurance </w:t>
      </w:r>
      <w:r w:rsidR="00A67B0E">
        <w:t>r</w:t>
      </w:r>
      <w:r w:rsidRPr="00975349">
        <w:t xml:space="preserve">eviews will be deep-dive reviews based on risk. The complexity of the </w:t>
      </w:r>
      <w:r w:rsidR="0005534C">
        <w:t>r</w:t>
      </w:r>
      <w:r w:rsidRPr="00975349">
        <w:t xml:space="preserve">eview or the nature of the response from </w:t>
      </w:r>
      <w:r w:rsidR="0005534C">
        <w:t>p</w:t>
      </w:r>
      <w:r w:rsidRPr="00975349">
        <w:t xml:space="preserve">roviders (more qualitative information) may limit sample size. </w:t>
      </w:r>
    </w:p>
    <w:p w14:paraId="47D998CD" w14:textId="77642121" w:rsidR="002E1BAC" w:rsidRPr="00975349" w:rsidRDefault="002E1BAC" w:rsidP="00566891">
      <w:pPr>
        <w:pStyle w:val="PwCNormal"/>
      </w:pPr>
      <w:r w:rsidRPr="00975349">
        <w:t xml:space="preserve">Furthermore, completely random sampling of data may not always provide the best results for a program </w:t>
      </w:r>
      <w:r w:rsidR="0005534C">
        <w:t>a</w:t>
      </w:r>
      <w:r w:rsidRPr="00975349">
        <w:t xml:space="preserve">ssurance </w:t>
      </w:r>
      <w:r w:rsidR="0005534C">
        <w:t>r</w:t>
      </w:r>
      <w:r w:rsidRPr="00975349">
        <w:t xml:space="preserve">eview that needs to be risk-based. Instead, </w:t>
      </w:r>
      <w:r w:rsidR="00366C7D">
        <w:t>r</w:t>
      </w:r>
      <w:r w:rsidRPr="00975349">
        <w:t xml:space="preserve">eview </w:t>
      </w:r>
      <w:r w:rsidR="00366C7D">
        <w:t>o</w:t>
      </w:r>
      <w:r w:rsidRPr="00975349">
        <w:t xml:space="preserve">fficers may use filtered or selective sampling, where a set of criteria or filters are applied to provide a cohort from which to draw random samples. This approach means that the samples fit the requirements of the </w:t>
      </w:r>
      <w:r w:rsidR="00504AB0">
        <w:t>r</w:t>
      </w:r>
      <w:r w:rsidRPr="00975349">
        <w:t xml:space="preserve">eview but avoids suggestions of bias. </w:t>
      </w:r>
    </w:p>
    <w:p w14:paraId="6AC2B88C" w14:textId="1F36CDB5" w:rsidR="002E1BAC" w:rsidRPr="00975349" w:rsidRDefault="002E1BAC" w:rsidP="00566891">
      <w:pPr>
        <w:pStyle w:val="PwCNormal"/>
      </w:pPr>
      <w:r w:rsidRPr="00975349">
        <w:t xml:space="preserve">Professional judgement will be applied by the </w:t>
      </w:r>
      <w:r w:rsidR="00863008">
        <w:t>department</w:t>
      </w:r>
      <w:r w:rsidRPr="00975349">
        <w:t xml:space="preserve"> to select additional samples. This will be determined in context of the nature and extent of the risk the </w:t>
      </w:r>
      <w:r w:rsidR="00D94BBA">
        <w:t>a</w:t>
      </w:r>
      <w:r w:rsidRPr="00975349">
        <w:t xml:space="preserve">ssurance </w:t>
      </w:r>
      <w:r w:rsidR="00D94BBA">
        <w:t>a</w:t>
      </w:r>
      <w:r w:rsidRPr="00975349">
        <w:t>ctivity intends to address, and the available time and resources to complete the activity.</w:t>
      </w:r>
    </w:p>
    <w:p w14:paraId="5DD15C15" w14:textId="4D1F7B04" w:rsidR="002E1BAC" w:rsidRPr="00975349" w:rsidRDefault="002E1BAC" w:rsidP="00566891">
      <w:pPr>
        <w:pStyle w:val="PwCNormal"/>
      </w:pPr>
      <w:r w:rsidRPr="00975349">
        <w:t xml:space="preserve">As is evident from the above discussion, program assurance samples may not be representative of the population from which they have been selected. Professional judgement is therefore required in the selection of a sample, to align the sample to the objectives and nature of a given </w:t>
      </w:r>
      <w:r w:rsidR="002B4B1C">
        <w:t>a</w:t>
      </w:r>
      <w:r w:rsidRPr="00975349">
        <w:t xml:space="preserve">ssurance </w:t>
      </w:r>
      <w:r w:rsidR="002B4B1C">
        <w:t>a</w:t>
      </w:r>
      <w:r w:rsidRPr="00975349">
        <w:t xml:space="preserve">ctivity. </w:t>
      </w:r>
    </w:p>
    <w:p w14:paraId="2F68DD02" w14:textId="3962D549" w:rsidR="002E1BAC" w:rsidRPr="00975349" w:rsidRDefault="002E1BAC" w:rsidP="00566891">
      <w:pPr>
        <w:pStyle w:val="PwCNormal"/>
      </w:pPr>
      <w:r w:rsidRPr="00975349">
        <w:t xml:space="preserve">The </w:t>
      </w:r>
      <w:r w:rsidR="00863008">
        <w:t>department</w:t>
      </w:r>
      <w:r w:rsidRPr="00975349">
        <w:t xml:space="preserve">’s approach to sampling under this </w:t>
      </w:r>
      <w:r w:rsidR="002B4B1C">
        <w:t>a</w:t>
      </w:r>
      <w:r w:rsidRPr="00975349">
        <w:t xml:space="preserve">ssurance </w:t>
      </w:r>
      <w:r w:rsidR="00195E31">
        <w:t>f</w:t>
      </w:r>
      <w:r w:rsidRPr="00975349">
        <w:t xml:space="preserve">ramework aligns </w:t>
      </w:r>
      <w:r w:rsidR="00275095">
        <w:t xml:space="preserve">as appropriate </w:t>
      </w:r>
      <w:r w:rsidRPr="00975349">
        <w:t xml:space="preserve">to better practice within </w:t>
      </w:r>
      <w:r w:rsidRPr="007B022E">
        <w:rPr>
          <w:rStyle w:val="Emphasis"/>
        </w:rPr>
        <w:t>ISO19011:2019 Guidelines for auditing management systems and the methodology within IIA Whitepaper: Internal Audit Sampling.</w:t>
      </w:r>
    </w:p>
    <w:p w14:paraId="66180CDE" w14:textId="5CB83D30" w:rsidR="002E1BAC" w:rsidRPr="00975349" w:rsidRDefault="002E1BAC" w:rsidP="00566891">
      <w:pPr>
        <w:pStyle w:val="PwCNormal"/>
      </w:pPr>
      <w:r w:rsidRPr="00975349">
        <w:t xml:space="preserve">Both of these allow for judgement-based sampling approach as proposed by the </w:t>
      </w:r>
      <w:r w:rsidR="00863008">
        <w:t>department</w:t>
      </w:r>
      <w:r w:rsidRPr="00975349">
        <w:t>.</w:t>
      </w:r>
    </w:p>
    <w:sectPr w:rsidR="002E1BAC" w:rsidRPr="00975349" w:rsidSect="00353295">
      <w:headerReference w:type="even" r:id="rId45"/>
      <w:headerReference w:type="default" r:id="rId46"/>
      <w:footerReference w:type="even" r:id="rId47"/>
      <w:footerReference w:type="default" r:id="rId48"/>
      <w:pgSz w:w="11907" w:h="16840" w:code="9"/>
      <w:pgMar w:top="1588" w:right="1021" w:bottom="1418" w:left="1021"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D714" w14:textId="77777777" w:rsidR="00A71F01" w:rsidRDefault="00A71F01" w:rsidP="004343B3">
      <w:pPr>
        <w:pStyle w:val="Separator"/>
      </w:pPr>
      <w:r>
        <w:separator/>
      </w:r>
    </w:p>
    <w:p w14:paraId="37E7F5E7" w14:textId="77777777" w:rsidR="00A71F01" w:rsidRDefault="00A71F01"/>
  </w:endnote>
  <w:endnote w:type="continuationSeparator" w:id="0">
    <w:p w14:paraId="77EA1272" w14:textId="77777777" w:rsidR="00A71F01" w:rsidRDefault="00A71F01" w:rsidP="004343B3">
      <w:pPr>
        <w:pStyle w:val="Separator"/>
      </w:pPr>
      <w:r>
        <w:continuationSeparator/>
      </w:r>
    </w:p>
    <w:p w14:paraId="69D29CFE" w14:textId="77777777" w:rsidR="00A71F01" w:rsidRDefault="00A71F01"/>
  </w:endnote>
  <w:endnote w:type="continuationNotice" w:id="1">
    <w:p w14:paraId="054D0BC2" w14:textId="77777777" w:rsidR="00A71F01" w:rsidRDefault="00A71F01" w:rsidP="004343B3">
      <w:pPr>
        <w:pStyle w:val="Separator"/>
      </w:pPr>
    </w:p>
    <w:p w14:paraId="77C8D296" w14:textId="77777777" w:rsidR="00A71F01" w:rsidRDefault="00A7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3ED1" w14:textId="6C13DB97" w:rsidR="00A932D3" w:rsidRDefault="00A932D3" w:rsidP="00665A6D">
    <w:pPr>
      <w:pStyle w:val="Footer"/>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Pr>
        <w:noProof/>
      </w:rPr>
      <w:t>Home Care Packages Program Assurance Framework</w:t>
    </w:r>
    <w:r>
      <w:rPr>
        <w:color w:val="2B579A"/>
        <w:shd w:val="clear" w:color="auto" w:fill="E6E6E6"/>
      </w:rPr>
      <w:fldChar w:fldCharType="end"/>
    </w:r>
  </w:p>
  <w:p w14:paraId="7DC29AFC" w14:textId="2C925276" w:rsidR="00A932D3" w:rsidRPr="002628D1" w:rsidRDefault="00A932D3" w:rsidP="00665A6D">
    <w:pPr>
      <w:pStyle w:val="Footer"/>
    </w:pPr>
    <w:r>
      <w:t>Version 1.0 October 2021</w:t>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14</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1527" w14:textId="67C0B7C7" w:rsidR="00A932D3" w:rsidRPr="008C6722" w:rsidRDefault="00A932D3" w:rsidP="00665A6D">
    <w:pPr>
      <w:pStyle w:val="Footer"/>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sidR="000A0D76">
      <w:rPr>
        <w:noProof/>
      </w:rPr>
      <w:t>Home Care Packages Program Assurance Framework</w:t>
    </w:r>
    <w:r>
      <w:rPr>
        <w:color w:val="2B579A"/>
        <w:shd w:val="clear" w:color="auto" w:fill="E6E6E6"/>
      </w:rPr>
      <w:fldChar w:fldCharType="end"/>
    </w:r>
  </w:p>
  <w:p w14:paraId="2FCE5688" w14:textId="4C5A1FAD" w:rsidR="00A932D3" w:rsidRPr="008C6722" w:rsidRDefault="00A932D3" w:rsidP="00665A6D">
    <w:pPr>
      <w:pStyle w:val="Footer"/>
    </w:pPr>
    <w:r>
      <w:t xml:space="preserve">Version </w:t>
    </w:r>
    <w:r w:rsidR="00A45941">
      <w:t>2.0</w:t>
    </w:r>
    <w:r>
      <w:t xml:space="preserve"> </w:t>
    </w:r>
    <w:r w:rsidR="000B47C1">
      <w:t>February</w:t>
    </w:r>
    <w:r w:rsidR="001379C7">
      <w:t xml:space="preserve"> </w:t>
    </w:r>
    <w:r>
      <w:t>202</w:t>
    </w:r>
    <w:r w:rsidR="00A45941">
      <w:t>4</w:t>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iii</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6BAC" w14:textId="3B4220E4" w:rsidR="00A932D3" w:rsidRPr="008C6722" w:rsidRDefault="00A932D3" w:rsidP="00C64BAE">
    <w:pPr>
      <w:pStyle w:val="Footer"/>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sidR="000A0D76">
      <w:rPr>
        <w:noProof/>
      </w:rPr>
      <w:t>Home Care Packages Program Assurance Framework</w:t>
    </w:r>
    <w:r>
      <w:rPr>
        <w:color w:val="2B579A"/>
        <w:shd w:val="clear" w:color="auto" w:fill="E6E6E6"/>
      </w:rPr>
      <w:fldChar w:fldCharType="end"/>
    </w:r>
  </w:p>
  <w:p w14:paraId="5C768E75" w14:textId="1DF0C398" w:rsidR="00A932D3" w:rsidRPr="008C6722" w:rsidRDefault="00A932D3" w:rsidP="00C64BAE">
    <w:pPr>
      <w:pStyle w:val="Footer"/>
    </w:pPr>
    <w:r>
      <w:t xml:space="preserve">Version </w:t>
    </w:r>
    <w:r w:rsidR="00A45941">
      <w:t>2.0</w:t>
    </w:r>
    <w:r>
      <w:t xml:space="preserve"> </w:t>
    </w:r>
    <w:r w:rsidR="000B47C1">
      <w:t>February</w:t>
    </w:r>
    <w:r w:rsidR="001379C7">
      <w:t xml:space="preserve"> </w:t>
    </w:r>
    <w:r>
      <w:t>202</w:t>
    </w:r>
    <w:r w:rsidR="00A45941">
      <w:t>4</w:t>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w:t>
    </w:r>
    <w:r>
      <w:rPr>
        <w:color w:val="2B579A"/>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C976" w14:textId="0023B061" w:rsidR="00A932D3" w:rsidRDefault="00A932D3" w:rsidP="001A0166">
    <w:pPr>
      <w:pStyle w:val="Footer-Even"/>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Pr>
        <w:noProof/>
      </w:rPr>
      <w:t>Home Care Packages Program Assurance Framework</w:t>
    </w:r>
    <w:r>
      <w:rPr>
        <w:color w:val="2B579A"/>
        <w:shd w:val="clear" w:color="auto" w:fill="E6E6E6"/>
      </w:rPr>
      <w:fldChar w:fldCharType="end"/>
    </w:r>
  </w:p>
  <w:p w14:paraId="2AE66ED6" w14:textId="23C03345" w:rsidR="00A932D3" w:rsidRPr="006650EF" w:rsidRDefault="00A932D3" w:rsidP="001A0166">
    <w:pPr>
      <w:pStyle w:val="Footer-Even"/>
    </w:pPr>
    <w:r>
      <w:t>Version 1.0 October 2021</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ii</w:t>
    </w:r>
    <w:r>
      <w:rPr>
        <w:color w:val="2B579A"/>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060A" w14:textId="66E87FB8" w:rsidR="00A932D3" w:rsidRDefault="00A932D3" w:rsidP="001A0166">
    <w:pPr>
      <w:pStyle w:val="Footer"/>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sidR="000A0D76">
      <w:rPr>
        <w:noProof/>
      </w:rPr>
      <w:t>Home Care Packages Program Assurance Framework</w:t>
    </w:r>
    <w:r>
      <w:rPr>
        <w:color w:val="2B579A"/>
        <w:shd w:val="clear" w:color="auto" w:fill="E6E6E6"/>
      </w:rPr>
      <w:fldChar w:fldCharType="end"/>
    </w:r>
  </w:p>
  <w:p w14:paraId="44C15498" w14:textId="6E8E2040" w:rsidR="00A932D3" w:rsidRPr="00A84ADF" w:rsidRDefault="00A932D3" w:rsidP="001A0166">
    <w:pPr>
      <w:pStyle w:val="Footer"/>
    </w:pPr>
    <w:r>
      <w:t xml:space="preserve">Version </w:t>
    </w:r>
    <w:r w:rsidR="00F410FB">
      <w:t>2</w:t>
    </w:r>
    <w:r w:rsidR="00993FA5">
      <w:t>.0</w:t>
    </w:r>
    <w:r w:rsidR="00F410FB">
      <w:t xml:space="preserve"> </w:t>
    </w:r>
    <w:r w:rsidR="000C2009">
      <w:t>February</w:t>
    </w:r>
    <w:r w:rsidR="001379C7">
      <w:t xml:space="preserve"> </w:t>
    </w:r>
    <w:r>
      <w:t>202</w:t>
    </w:r>
    <w:r w:rsidR="00993FA5">
      <w:t>4</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color w:val="2B579A"/>
        <w:shd w:val="clear" w:color="auto" w:fill="E6E6E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5BF0" w14:textId="3D9B61C4" w:rsidR="00A932D3" w:rsidRDefault="00A932D3" w:rsidP="001A0166">
    <w:pPr>
      <w:pStyle w:val="Footer"/>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sidR="000A0D76">
      <w:rPr>
        <w:noProof/>
      </w:rPr>
      <w:t>Home Care Packages Program Assurance Framework</w:t>
    </w:r>
    <w:r>
      <w:rPr>
        <w:color w:val="2B579A"/>
        <w:shd w:val="clear" w:color="auto" w:fill="E6E6E6"/>
      </w:rPr>
      <w:fldChar w:fldCharType="end"/>
    </w:r>
  </w:p>
  <w:p w14:paraId="6A05C68C" w14:textId="5F62F33B" w:rsidR="00A932D3" w:rsidRPr="006650EF" w:rsidRDefault="00A932D3" w:rsidP="001A0166">
    <w:pPr>
      <w:pStyle w:val="Footer"/>
    </w:pPr>
    <w:r>
      <w:t xml:space="preserve">Version </w:t>
    </w:r>
    <w:r w:rsidR="0067206D">
      <w:t>2.0</w:t>
    </w:r>
    <w:r w:rsidR="00B12C42">
      <w:t xml:space="preserve"> </w:t>
    </w:r>
    <w:r w:rsidR="000B47C1">
      <w:t>February</w:t>
    </w:r>
    <w:r w:rsidR="001379C7">
      <w:t xml:space="preserve"> </w:t>
    </w:r>
    <w:r>
      <w:t>202</w:t>
    </w:r>
    <w:r w:rsidR="0067206D">
      <w:t>4</w:t>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B395" w14:textId="7107C989" w:rsidR="00A932D3" w:rsidRPr="00F74941" w:rsidRDefault="00A932D3" w:rsidP="00F7494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9216" w14:textId="0C284E80" w:rsidR="00A932D3" w:rsidRDefault="00A932D3" w:rsidP="001A0166">
    <w:pPr>
      <w:pStyle w:val="Footer"/>
    </w:pPr>
    <w:r>
      <w:rPr>
        <w:color w:val="2B579A"/>
        <w:shd w:val="clear" w:color="auto" w:fill="E6E6E6"/>
      </w:rPr>
      <w:fldChar w:fldCharType="begin"/>
    </w:r>
    <w:r>
      <w:rPr>
        <w:noProof/>
      </w:rPr>
      <w:instrText xml:space="preserve"> STYLEREF "Cover Outcome Headline" </w:instrText>
    </w:r>
    <w:r>
      <w:rPr>
        <w:color w:val="2B579A"/>
        <w:shd w:val="clear" w:color="auto" w:fill="E6E6E6"/>
      </w:rPr>
      <w:fldChar w:fldCharType="separate"/>
    </w:r>
    <w:r>
      <w:rPr>
        <w:noProof/>
      </w:rPr>
      <w:t>Home Care Packages Program Assurance Framework</w:t>
    </w:r>
    <w:r>
      <w:rPr>
        <w:color w:val="2B579A"/>
        <w:shd w:val="clear" w:color="auto" w:fill="E6E6E6"/>
      </w:rPr>
      <w:fldChar w:fldCharType="end"/>
    </w:r>
  </w:p>
  <w:p w14:paraId="78F13AFE" w14:textId="0315C5C3" w:rsidR="00A932D3" w:rsidRPr="00A84ADF" w:rsidRDefault="00A932D3" w:rsidP="001A0166">
    <w:pPr>
      <w:pStyle w:val="Footer"/>
    </w:pPr>
    <w:r>
      <w:t>Version 1.0 October 2021</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3</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2F0BE" w14:textId="77777777" w:rsidR="00A71F01" w:rsidRDefault="00A71F01" w:rsidP="004343B3">
      <w:pPr>
        <w:pStyle w:val="Separator"/>
      </w:pPr>
      <w:r>
        <w:separator/>
      </w:r>
    </w:p>
  </w:footnote>
  <w:footnote w:type="continuationSeparator" w:id="0">
    <w:p w14:paraId="189146DF" w14:textId="77777777" w:rsidR="00A71F01" w:rsidRDefault="00A71F01" w:rsidP="004343B3">
      <w:pPr>
        <w:pStyle w:val="Separator"/>
      </w:pPr>
      <w:r>
        <w:continuationSeparator/>
      </w:r>
    </w:p>
  </w:footnote>
  <w:footnote w:type="continuationNotice" w:id="1">
    <w:p w14:paraId="1B6DE26B" w14:textId="77777777" w:rsidR="00A71F01" w:rsidRPr="00F20B7D" w:rsidRDefault="00A71F01" w:rsidP="00F20B7D">
      <w:pPr>
        <w:pStyle w:val="Footer"/>
        <w:rPr>
          <w:sz w:val="2"/>
          <w:szCs w:val="2"/>
        </w:rPr>
      </w:pPr>
    </w:p>
    <w:p w14:paraId="6193D153" w14:textId="77777777" w:rsidR="00A71F01" w:rsidRDefault="00A71F01"/>
  </w:footnote>
  <w:footnote w:id="2">
    <w:p w14:paraId="32C4937A" w14:textId="38BFB64D" w:rsidR="00A932D3" w:rsidRPr="00450B36" w:rsidRDefault="00A932D3" w:rsidP="00361210">
      <w:pPr>
        <w:rPr>
          <w:sz w:val="16"/>
          <w:szCs w:val="16"/>
        </w:rPr>
      </w:pPr>
      <w:r>
        <w:rPr>
          <w:vertAlign w:val="superscript"/>
        </w:rPr>
        <w:footnoteRef/>
      </w:r>
      <w:r>
        <w:rPr>
          <w:sz w:val="20"/>
        </w:rPr>
        <w:t xml:space="preserve"> </w:t>
      </w:r>
      <w:r w:rsidR="00BA155B" w:rsidRPr="00BA155B">
        <w:rPr>
          <w:sz w:val="16"/>
          <w:szCs w:val="16"/>
        </w:rPr>
        <w:t>Refer to</w:t>
      </w:r>
      <w:r w:rsidR="00BA155B">
        <w:rPr>
          <w:sz w:val="20"/>
        </w:rPr>
        <w:t xml:space="preserve"> </w:t>
      </w:r>
      <w:hyperlink r:id="rId1" w:history="1">
        <w:r w:rsidR="00BA155B">
          <w:rPr>
            <w:color w:val="0000FF"/>
            <w:u w:val="single"/>
          </w:rPr>
          <w:t>IIA Position Paper: three-lines-model-updated-english.pdf (theiia.org)</w:t>
        </w:r>
      </w:hyperlink>
      <w:r w:rsidR="00BA155B">
        <w:rPr>
          <w:rFonts w:ascii="Arial" w:hAnsi="Arial"/>
          <w:sz w:val="20"/>
        </w:rPr>
        <w:t xml:space="preserve">. </w:t>
      </w:r>
      <w:r>
        <w:rPr>
          <w:sz w:val="16"/>
          <w:szCs w:val="16"/>
        </w:rPr>
        <w:t>In the ‘</w:t>
      </w:r>
      <w:r w:rsidRPr="00450B36">
        <w:rPr>
          <w:sz w:val="16"/>
          <w:szCs w:val="16"/>
        </w:rPr>
        <w:t xml:space="preserve">Three Lines Model’, the ‘Second Line’ of defence encompasses the compliance/assurance oversight functions of the </w:t>
      </w:r>
      <w:r w:rsidR="00774358">
        <w:rPr>
          <w:sz w:val="16"/>
          <w:szCs w:val="16"/>
        </w:rPr>
        <w:t>d</w:t>
      </w:r>
      <w:r w:rsidRPr="00450B36">
        <w:rPr>
          <w:sz w:val="16"/>
          <w:szCs w:val="16"/>
        </w:rPr>
        <w:t>epartment.</w:t>
      </w:r>
    </w:p>
  </w:footnote>
  <w:footnote w:id="3">
    <w:p w14:paraId="3A5A79E0" w14:textId="1B487CC4" w:rsidR="00A932D3" w:rsidRPr="00450B36" w:rsidRDefault="00A932D3" w:rsidP="00361210">
      <w:pPr>
        <w:pStyle w:val="FootnoteText"/>
        <w:rPr>
          <w:sz w:val="16"/>
          <w:szCs w:val="16"/>
          <w:lang w:val="en-US"/>
        </w:rPr>
      </w:pPr>
      <w:r w:rsidRPr="00450B36">
        <w:rPr>
          <w:rStyle w:val="FootnoteReference"/>
          <w:sz w:val="16"/>
          <w:szCs w:val="16"/>
        </w:rPr>
        <w:footnoteRef/>
      </w:r>
      <w:r w:rsidRPr="00450B36">
        <w:rPr>
          <w:sz w:val="16"/>
          <w:szCs w:val="16"/>
        </w:rPr>
        <w:t xml:space="preserve"> </w:t>
      </w:r>
      <w:r w:rsidR="00613206" w:rsidRPr="00BA155B">
        <w:rPr>
          <w:sz w:val="16"/>
          <w:szCs w:val="16"/>
        </w:rPr>
        <w:t>Refer to</w:t>
      </w:r>
      <w:r w:rsidR="00613206">
        <w:rPr>
          <w:sz w:val="20"/>
        </w:rPr>
        <w:t xml:space="preserve"> </w:t>
      </w:r>
      <w:hyperlink r:id="rId2" w:history="1">
        <w:r w:rsidR="00613206">
          <w:rPr>
            <w:color w:val="0000FF"/>
            <w:u w:val="single"/>
          </w:rPr>
          <w:t>IIA Position Paper: three-lines-model-updated-english.pdf (theiia.org)</w:t>
        </w:r>
      </w:hyperlink>
      <w:r>
        <w:rPr>
          <w:sz w:val="16"/>
          <w:szCs w:val="16"/>
        </w:rPr>
        <w:t>.</w:t>
      </w:r>
    </w:p>
  </w:footnote>
  <w:footnote w:id="4">
    <w:p w14:paraId="3C0255F3" w14:textId="77777777" w:rsidR="00A932D3" w:rsidRDefault="00A932D3" w:rsidP="00361210">
      <w:pPr>
        <w:rPr>
          <w:sz w:val="16"/>
          <w:szCs w:val="16"/>
        </w:rPr>
      </w:pPr>
      <w:r>
        <w:rPr>
          <w:vertAlign w:val="superscript"/>
        </w:rPr>
        <w:footnoteRef/>
      </w:r>
      <w:r>
        <w:rPr>
          <w:sz w:val="20"/>
        </w:rPr>
        <w:t xml:space="preserve"> </w:t>
      </w:r>
      <w:r>
        <w:rPr>
          <w:i/>
          <w:sz w:val="16"/>
          <w:szCs w:val="16"/>
        </w:rPr>
        <w:t xml:space="preserve">Aged Care Act 1997 </w:t>
      </w:r>
      <w:r>
        <w:rPr>
          <w:sz w:val="16"/>
          <w:szCs w:val="16"/>
        </w:rPr>
        <w:t xml:space="preserve">section 95BA-1; </w:t>
      </w:r>
      <w:r>
        <w:rPr>
          <w:i/>
          <w:sz w:val="16"/>
          <w:szCs w:val="16"/>
        </w:rPr>
        <w:t>Public Governance, Performance and Accountability Act 2013</w:t>
      </w:r>
      <w:r>
        <w:rPr>
          <w:sz w:val="16"/>
          <w:szCs w:val="16"/>
        </w:rPr>
        <w:t xml:space="preserve"> section 15; </w:t>
      </w:r>
      <w:r>
        <w:rPr>
          <w:i/>
          <w:sz w:val="16"/>
          <w:szCs w:val="16"/>
        </w:rPr>
        <w:t xml:space="preserve">Public Service Act 1999 </w:t>
      </w:r>
      <w:r>
        <w:rPr>
          <w:sz w:val="16"/>
          <w:szCs w:val="16"/>
        </w:rPr>
        <w:t>section 13(8)</w:t>
      </w:r>
    </w:p>
  </w:footnote>
  <w:footnote w:id="5">
    <w:p w14:paraId="40A8215F" w14:textId="77777777" w:rsidR="00A932D3" w:rsidRDefault="00A932D3" w:rsidP="00361210">
      <w:pPr>
        <w:rPr>
          <w:sz w:val="16"/>
          <w:szCs w:val="16"/>
        </w:rPr>
      </w:pPr>
      <w:r>
        <w:rPr>
          <w:vertAlign w:val="superscript"/>
        </w:rPr>
        <w:footnoteRef/>
      </w:r>
      <w:r>
        <w:rPr>
          <w:sz w:val="20"/>
        </w:rPr>
        <w:t xml:space="preserve"> </w:t>
      </w:r>
      <w:r>
        <w:rPr>
          <w:i/>
          <w:sz w:val="16"/>
          <w:szCs w:val="16"/>
        </w:rPr>
        <w:t>Aged Care Act 1997</w:t>
      </w:r>
      <w:r>
        <w:rPr>
          <w:sz w:val="16"/>
          <w:szCs w:val="16"/>
        </w:rPr>
        <w:t xml:space="preserve"> section 95BA-1</w:t>
      </w:r>
    </w:p>
  </w:footnote>
  <w:footnote w:id="6">
    <w:p w14:paraId="0D15080A" w14:textId="77777777" w:rsidR="00A932D3" w:rsidRDefault="00A932D3" w:rsidP="00361210">
      <w:pPr>
        <w:rPr>
          <w:sz w:val="16"/>
          <w:szCs w:val="16"/>
        </w:rPr>
      </w:pPr>
      <w:r>
        <w:rPr>
          <w:vertAlign w:val="superscript"/>
        </w:rPr>
        <w:footnoteRef/>
      </w:r>
      <w:r>
        <w:rPr>
          <w:sz w:val="20"/>
        </w:rPr>
        <w:t xml:space="preserve"> </w:t>
      </w:r>
      <w:r>
        <w:rPr>
          <w:i/>
          <w:sz w:val="16"/>
          <w:szCs w:val="16"/>
        </w:rPr>
        <w:t>Aged Care Act 1997</w:t>
      </w:r>
      <w:r>
        <w:rPr>
          <w:sz w:val="16"/>
          <w:szCs w:val="16"/>
        </w:rPr>
        <w:t xml:space="preserve"> section 95BA-1; </w:t>
      </w:r>
      <w:r>
        <w:rPr>
          <w:i/>
          <w:sz w:val="16"/>
          <w:szCs w:val="16"/>
        </w:rPr>
        <w:t xml:space="preserve">Public Service Act 1999 </w:t>
      </w:r>
      <w:r>
        <w:rPr>
          <w:sz w:val="16"/>
          <w:szCs w:val="16"/>
        </w:rPr>
        <w:t xml:space="preserve">section 57; </w:t>
      </w:r>
      <w:r>
        <w:rPr>
          <w:i/>
          <w:sz w:val="16"/>
          <w:szCs w:val="16"/>
        </w:rPr>
        <w:t>Public Governance, Performance and Accountability Act 2013</w:t>
      </w:r>
      <w:r>
        <w:rPr>
          <w:sz w:val="16"/>
          <w:szCs w:val="16"/>
        </w:rPr>
        <w:t xml:space="preserve"> section 38</w:t>
      </w:r>
    </w:p>
  </w:footnote>
  <w:footnote w:id="7">
    <w:p w14:paraId="4D5CB340" w14:textId="0C6E26CB" w:rsidR="00A932D3" w:rsidRDefault="00A932D3" w:rsidP="00EA2D41">
      <w:pPr>
        <w:rPr>
          <w:sz w:val="16"/>
          <w:szCs w:val="16"/>
        </w:rPr>
      </w:pPr>
      <w:r>
        <w:rPr>
          <w:vertAlign w:val="superscript"/>
        </w:rPr>
        <w:footnoteRef/>
      </w:r>
      <w:r>
        <w:rPr>
          <w:sz w:val="20"/>
        </w:rPr>
        <w:t xml:space="preserve"> </w:t>
      </w:r>
      <w:r>
        <w:rPr>
          <w:i/>
          <w:sz w:val="16"/>
          <w:szCs w:val="16"/>
        </w:rPr>
        <w:t>Public Governance, Performance and Accountability Act 2013</w:t>
      </w:r>
      <w:r>
        <w:rPr>
          <w:sz w:val="16"/>
          <w:szCs w:val="16"/>
        </w:rPr>
        <w:t xml:space="preserve"> section 16; </w:t>
      </w:r>
      <w:r w:rsidR="00793217">
        <w:rPr>
          <w:sz w:val="16"/>
          <w:szCs w:val="16"/>
        </w:rPr>
        <w:t>Department of Health and Aged Care</w:t>
      </w:r>
      <w:r>
        <w:rPr>
          <w:sz w:val="16"/>
          <w:szCs w:val="16"/>
        </w:rPr>
        <w:t xml:space="preserve"> Assurance Framework</w:t>
      </w:r>
    </w:p>
  </w:footnote>
  <w:footnote w:id="8">
    <w:p w14:paraId="785572C4" w14:textId="7491E029" w:rsidR="00A932D3" w:rsidRDefault="00A932D3" w:rsidP="00EA2D41">
      <w:pPr>
        <w:rPr>
          <w:sz w:val="16"/>
          <w:szCs w:val="16"/>
        </w:rPr>
      </w:pPr>
      <w:r>
        <w:rPr>
          <w:vertAlign w:val="superscript"/>
        </w:rPr>
        <w:footnoteRef/>
      </w:r>
      <w:r>
        <w:rPr>
          <w:szCs w:val="18"/>
        </w:rPr>
        <w:t xml:space="preserve"> </w:t>
      </w:r>
      <w:r>
        <w:rPr>
          <w:i/>
          <w:sz w:val="16"/>
          <w:szCs w:val="16"/>
        </w:rPr>
        <w:t>Public Governance, Performance and Accountability Rule 2014</w:t>
      </w:r>
      <w:r>
        <w:rPr>
          <w:sz w:val="16"/>
          <w:szCs w:val="16"/>
        </w:rPr>
        <w:t xml:space="preserve"> section 10; Commonwealth Fraud Control Policy; </w:t>
      </w:r>
      <w:r w:rsidR="00793217">
        <w:rPr>
          <w:sz w:val="16"/>
          <w:szCs w:val="16"/>
        </w:rPr>
        <w:t>Department of Health and Aged Care</w:t>
      </w:r>
      <w:r>
        <w:rPr>
          <w:sz w:val="16"/>
          <w:szCs w:val="16"/>
        </w:rPr>
        <w:t>’s Fraud and Corruption Control Plan 202</w:t>
      </w:r>
      <w:r w:rsidR="00F954B4">
        <w:rPr>
          <w:sz w:val="16"/>
          <w:szCs w:val="16"/>
        </w:rPr>
        <w:t>3</w:t>
      </w:r>
      <w:r>
        <w:rPr>
          <w:sz w:val="16"/>
          <w:szCs w:val="16"/>
        </w:rPr>
        <w:t>-2</w:t>
      </w:r>
      <w:r w:rsidR="00F954B4">
        <w:rPr>
          <w:sz w:val="16"/>
          <w:szCs w:val="16"/>
        </w:rPr>
        <w:t>5</w:t>
      </w:r>
    </w:p>
  </w:footnote>
  <w:footnote w:id="9">
    <w:p w14:paraId="0120C537" w14:textId="0F1D0119" w:rsidR="00A932D3" w:rsidRPr="00763C03" w:rsidRDefault="00A932D3" w:rsidP="00EA2D41">
      <w:pPr>
        <w:shd w:val="clear" w:color="auto" w:fill="FFFFFF"/>
        <w:rPr>
          <w:rFonts w:ascii="Arial" w:hAnsi="Arial"/>
        </w:rPr>
      </w:pPr>
      <w:r w:rsidRPr="00763C03">
        <w:rPr>
          <w:rStyle w:val="FootnoteReference"/>
          <w:rFonts w:ascii="Arial" w:hAnsi="Arial"/>
        </w:rPr>
        <w:footnoteRef/>
      </w:r>
      <w:r w:rsidRPr="00763C03">
        <w:rPr>
          <w:rFonts w:ascii="Arial" w:hAnsi="Arial"/>
        </w:rPr>
        <w:t xml:space="preserve"> </w:t>
      </w:r>
      <w:r w:rsidRPr="00763C03">
        <w:rPr>
          <w:rFonts w:ascii="Arial" w:hAnsi="Arial"/>
          <w:sz w:val="16"/>
          <w:szCs w:val="16"/>
        </w:rPr>
        <w:t xml:space="preserve">The </w:t>
      </w:r>
      <w:r w:rsidR="003A10CD">
        <w:rPr>
          <w:rFonts w:ascii="Arial" w:hAnsi="Arial"/>
          <w:sz w:val="16"/>
          <w:szCs w:val="16"/>
        </w:rPr>
        <w:t>department’s</w:t>
      </w:r>
      <w:r w:rsidRPr="00763C03">
        <w:rPr>
          <w:rFonts w:ascii="Arial" w:hAnsi="Arial"/>
          <w:sz w:val="16"/>
          <w:szCs w:val="16"/>
        </w:rPr>
        <w:t xml:space="preserve"> HCP Program </w:t>
      </w:r>
      <w:r w:rsidR="00F21D93">
        <w:rPr>
          <w:rFonts w:ascii="Arial" w:hAnsi="Arial"/>
          <w:sz w:val="16"/>
          <w:szCs w:val="16"/>
        </w:rPr>
        <w:t>a</w:t>
      </w:r>
      <w:r w:rsidRPr="00763C03">
        <w:rPr>
          <w:rFonts w:ascii="Arial" w:hAnsi="Arial"/>
          <w:sz w:val="16"/>
          <w:szCs w:val="16"/>
        </w:rPr>
        <w:t xml:space="preserve">ssurance </w:t>
      </w:r>
      <w:r w:rsidR="00F21D93">
        <w:rPr>
          <w:rFonts w:ascii="Arial" w:hAnsi="Arial"/>
          <w:sz w:val="16"/>
          <w:szCs w:val="16"/>
        </w:rPr>
        <w:t>r</w:t>
      </w:r>
      <w:r w:rsidR="00F21D93" w:rsidRPr="00763C03">
        <w:rPr>
          <w:rFonts w:ascii="Arial" w:hAnsi="Arial"/>
          <w:sz w:val="16"/>
          <w:szCs w:val="16"/>
        </w:rPr>
        <w:t xml:space="preserve">eview </w:t>
      </w:r>
      <w:r w:rsidRPr="00763C03">
        <w:rPr>
          <w:rFonts w:ascii="Arial" w:hAnsi="Arial"/>
          <w:sz w:val="16"/>
          <w:szCs w:val="16"/>
        </w:rPr>
        <w:t>activities are separate to, but will complement, the activities of the ACQSC. The ACQSC</w:t>
      </w:r>
      <w:r w:rsidRPr="00763C03">
        <w:rPr>
          <w:rFonts w:ascii="Arial" w:hAnsi="Arial"/>
          <w:color w:val="313131"/>
          <w:sz w:val="16"/>
          <w:szCs w:val="16"/>
        </w:rPr>
        <w:t xml:space="preserve"> protects and enhances the safety, health, well-being and quality of life of people receiving aged care. It is the national end-to-end regulator of aged care services, and the primary point of contact for consumers and providers in relation to quality and safety.</w:t>
      </w:r>
    </w:p>
  </w:footnote>
  <w:footnote w:id="10">
    <w:p w14:paraId="20CB5A4E" w14:textId="696748A9" w:rsidR="00A932D3" w:rsidRPr="00E52631" w:rsidRDefault="00A932D3" w:rsidP="00EA2D41">
      <w:pPr>
        <w:rPr>
          <w:sz w:val="16"/>
          <w:szCs w:val="16"/>
        </w:rPr>
      </w:pPr>
      <w:r w:rsidRPr="002A3D3D">
        <w:rPr>
          <w:vertAlign w:val="superscript"/>
        </w:rPr>
        <w:footnoteRef/>
      </w:r>
      <w:r w:rsidRPr="002A3D3D">
        <w:rPr>
          <w:sz w:val="20"/>
        </w:rPr>
        <w:t xml:space="preserve"> </w:t>
      </w:r>
      <w:r w:rsidRPr="002A3D3D">
        <w:rPr>
          <w:sz w:val="16"/>
          <w:szCs w:val="16"/>
        </w:rPr>
        <w:t>Refer to</w:t>
      </w:r>
      <w:r w:rsidRPr="002A3D3D">
        <w:rPr>
          <w:color w:val="000000" w:themeColor="text1"/>
          <w:sz w:val="16"/>
          <w:szCs w:val="16"/>
        </w:rPr>
        <w:t xml:space="preserve">: </w:t>
      </w:r>
      <w:hyperlink r:id="rId3">
        <w:r w:rsidRPr="00E6260C">
          <w:rPr>
            <w:rStyle w:val="Hyperlink"/>
            <w:sz w:val="16"/>
            <w:szCs w:val="16"/>
          </w:rPr>
          <w:t xml:space="preserve">IIA Position Paper: </w:t>
        </w:r>
        <w:hyperlink r:id="rId4" w:history="1">
          <w:r w:rsidR="001F2952" w:rsidRPr="00E6260C">
            <w:rPr>
              <w:rStyle w:val="Hyperlink"/>
              <w:sz w:val="16"/>
              <w:szCs w:val="16"/>
            </w:rPr>
            <w:t>three-lines-model-updated-english.pdf (theiia.org)</w:t>
          </w:r>
        </w:hyperlink>
      </w:hyperlink>
    </w:p>
  </w:footnote>
  <w:footnote w:id="11">
    <w:p w14:paraId="3454392E" w14:textId="77777777" w:rsidR="00A932D3" w:rsidRDefault="00A932D3" w:rsidP="00EA2D41">
      <w:pPr>
        <w:pStyle w:val="FootnoteText"/>
      </w:pPr>
      <w:r>
        <w:rPr>
          <w:rStyle w:val="FootnoteReference"/>
        </w:rPr>
        <w:footnoteRef/>
      </w:r>
      <w:r>
        <w:t xml:space="preserve"> </w:t>
      </w:r>
      <w:r w:rsidRPr="00AC10C1">
        <w:rPr>
          <w:sz w:val="16"/>
          <w:szCs w:val="16"/>
        </w:rPr>
        <w:t xml:space="preserve">Further information is available from: </w:t>
      </w:r>
      <w:hyperlink r:id="rId5" w:history="1">
        <w:r w:rsidRPr="00AC10C1">
          <w:rPr>
            <w:rStyle w:val="Hyperlink"/>
            <w:sz w:val="16"/>
            <w:szCs w:val="16"/>
          </w:rPr>
          <w:t>About us | Aged Care Quality and Safety Commission</w:t>
        </w:r>
      </w:hyperlink>
      <w:r>
        <w:t xml:space="preserve"> </w:t>
      </w:r>
    </w:p>
  </w:footnote>
  <w:footnote w:id="12">
    <w:p w14:paraId="1E226132" w14:textId="77777777" w:rsidR="00A932D3" w:rsidRDefault="00A932D3" w:rsidP="00EA2D41">
      <w:pPr>
        <w:pStyle w:val="FootnoteText"/>
      </w:pPr>
      <w:r>
        <w:rPr>
          <w:rStyle w:val="FootnoteReference"/>
        </w:rPr>
        <w:footnoteRef/>
      </w:r>
      <w:r>
        <w:t xml:space="preserve"> </w:t>
      </w:r>
      <w:r w:rsidRPr="001D7CFD">
        <w:rPr>
          <w:sz w:val="16"/>
          <w:szCs w:val="16"/>
        </w:rPr>
        <w:t>Assurance reviews will generally be desktop based to minimise the impost on providers.</w:t>
      </w:r>
    </w:p>
  </w:footnote>
  <w:footnote w:id="13">
    <w:p w14:paraId="14F5C149" w14:textId="4607473A" w:rsidR="00871A82" w:rsidRPr="00B06A28" w:rsidRDefault="00871A82">
      <w:pPr>
        <w:pStyle w:val="FootnoteText"/>
        <w:rPr>
          <w:sz w:val="16"/>
          <w:szCs w:val="16"/>
        </w:rPr>
      </w:pPr>
      <w:r>
        <w:rPr>
          <w:rStyle w:val="FootnoteReference"/>
        </w:rPr>
        <w:footnoteRef/>
      </w:r>
      <w:r>
        <w:t xml:space="preserve"> </w:t>
      </w:r>
      <w:r w:rsidRPr="00B06A28">
        <w:rPr>
          <w:sz w:val="16"/>
          <w:szCs w:val="16"/>
        </w:rPr>
        <w:t>Providers with no adverse findings and/or with only incidental observations, may receive a letter instead of a report, thanking them for their participation in the review and still providing them with the opportunity to provide feedback on the review.</w:t>
      </w:r>
    </w:p>
  </w:footnote>
  <w:footnote w:id="14">
    <w:p w14:paraId="55E04E25" w14:textId="0D99F193" w:rsidR="00A932D3" w:rsidRPr="00CE3BA6" w:rsidRDefault="00A932D3" w:rsidP="002E1BAC">
      <w:pPr>
        <w:pStyle w:val="FootnoteText"/>
        <w:rPr>
          <w:sz w:val="16"/>
          <w:szCs w:val="16"/>
        </w:rPr>
      </w:pPr>
      <w:r w:rsidRPr="00CE3BA6">
        <w:rPr>
          <w:rStyle w:val="FootnoteReference"/>
          <w:sz w:val="16"/>
          <w:szCs w:val="16"/>
        </w:rPr>
        <w:footnoteRef/>
      </w:r>
      <w:r w:rsidRPr="00CE3BA6">
        <w:rPr>
          <w:sz w:val="16"/>
          <w:szCs w:val="16"/>
        </w:rPr>
        <w:t xml:space="preserve"> Consistent with the </w:t>
      </w:r>
      <w:r w:rsidRPr="001A66AB">
        <w:rPr>
          <w:i/>
          <w:sz w:val="16"/>
          <w:szCs w:val="16"/>
        </w:rPr>
        <w:t>Aged Care and Other Legislation Amendment (Royal Commission Response No. 1) Act 2021</w:t>
      </w:r>
      <w:r w:rsidRPr="00CE3BA6">
        <w:rPr>
          <w:sz w:val="16"/>
          <w:szCs w:val="16"/>
        </w:rPr>
        <w:t xml:space="preserve"> which amended the </w:t>
      </w:r>
      <w:r w:rsidRPr="001A66AB">
        <w:rPr>
          <w:sz w:val="16"/>
          <w:szCs w:val="16"/>
        </w:rPr>
        <w:t>Aged Care Act</w:t>
      </w:r>
      <w:r w:rsidRPr="00CE3BA6">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C32" w14:textId="79F378CC" w:rsidR="00793217" w:rsidRDefault="00793217">
    <w:pPr>
      <w:pStyle w:val="Header"/>
    </w:pPr>
    <w:r>
      <w:rPr>
        <w:noProof/>
        <w:color w:val="2B579A"/>
        <w:shd w:val="clear" w:color="auto" w:fill="E6E6E6"/>
        <w:lang w:eastAsia="en-AU"/>
      </w:rPr>
      <w:drawing>
        <wp:anchor distT="0" distB="0" distL="114300" distR="114300" simplePos="0" relativeHeight="251658240" behindDoc="1" locked="0" layoutInCell="1" allowOverlap="1" wp14:anchorId="4802C252" wp14:editId="2CE5984F">
          <wp:simplePos x="0" y="0"/>
          <wp:positionH relativeFrom="page">
            <wp:posOffset>152400</wp:posOffset>
          </wp:positionH>
          <wp:positionV relativeFrom="page">
            <wp:posOffset>152400</wp:posOffset>
          </wp:positionV>
          <wp:extent cx="7558768" cy="10692000"/>
          <wp:effectExtent l="0" t="0" r="0" b="190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80BD" w14:textId="2B579DD2" w:rsidR="00A932D3" w:rsidRPr="005D1FC6" w:rsidRDefault="0092764F" w:rsidP="005D1FC6">
    <w:pPr>
      <w:pStyle w:val="Header"/>
    </w:pPr>
    <w:fldSimple w:instr=" STYLEREF  &quot;Appendix Heading&quot; \n ">
      <w:r w:rsidR="000A0D76">
        <w:rPr>
          <w:noProof/>
        </w:rPr>
        <w:t>Appendix A</w:t>
      </w:r>
    </w:fldSimple>
    <w:r w:rsidR="00A932D3">
      <w:t xml:space="preserve"> </w:t>
    </w:r>
    <w:r w:rsidR="00A932D3">
      <w:rPr>
        <w:color w:val="2B579A"/>
        <w:shd w:val="clear" w:color="auto" w:fill="E6E6E6"/>
      </w:rPr>
      <w:fldChar w:fldCharType="begin"/>
    </w:r>
    <w:r w:rsidR="00A932D3">
      <w:instrText xml:space="preserve"> STYLEREF "</w:instrText>
    </w:r>
    <w:r w:rsidR="00A932D3" w:rsidRPr="003D7BCB">
      <w:instrText>Appendix Heading</w:instrText>
    </w:r>
    <w:r w:rsidR="00A932D3">
      <w:instrText xml:space="preserve">" </w:instrText>
    </w:r>
    <w:r w:rsidR="00A932D3">
      <w:rPr>
        <w:color w:val="2B579A"/>
        <w:shd w:val="clear" w:color="auto" w:fill="E6E6E6"/>
      </w:rPr>
      <w:fldChar w:fldCharType="separate"/>
    </w:r>
    <w:r w:rsidR="000A0D76">
      <w:rPr>
        <w:noProof/>
      </w:rPr>
      <w:t>– Glossary of terms</w:t>
    </w:r>
    <w:r w:rsidR="00A932D3">
      <w:rPr>
        <w:color w:val="2B579A"/>
        <w:shd w:val="clear" w:color="auto" w:fill="E6E6E6"/>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B4B1" w14:textId="77777777" w:rsidR="00A932D3" w:rsidRPr="00665A6D" w:rsidRDefault="00A932D3" w:rsidP="00665A6D">
    <w:pPr>
      <w:pStyle w:val="Header-Even"/>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C637" w14:textId="1056FAFC" w:rsidR="00A932D3" w:rsidRPr="005D1FC6" w:rsidRDefault="0092764F" w:rsidP="005D1FC6">
    <w:pPr>
      <w:pStyle w:val="Header"/>
    </w:pPr>
    <w:fldSimple w:instr=" STYLEREF  &quot;Appendix Heading&quot; \n ">
      <w:r w:rsidR="00A932D3">
        <w:rPr>
          <w:noProof/>
        </w:rPr>
        <w:t>Appendix B</w:t>
      </w:r>
    </w:fldSimple>
    <w:r w:rsidR="00A932D3">
      <w:t xml:space="preserve"> </w:t>
    </w:r>
    <w:r w:rsidR="00A932D3">
      <w:rPr>
        <w:color w:val="2B579A"/>
        <w:shd w:val="clear" w:color="auto" w:fill="E6E6E6"/>
      </w:rPr>
      <w:fldChar w:fldCharType="begin"/>
    </w:r>
    <w:r w:rsidR="00A932D3">
      <w:instrText xml:space="preserve"> STYLEREF "</w:instrText>
    </w:r>
    <w:r w:rsidR="00A932D3" w:rsidRPr="003D7BCB">
      <w:instrText>Appendix Heading</w:instrText>
    </w:r>
    <w:r w:rsidR="00A932D3">
      <w:instrText xml:space="preserve">" </w:instrText>
    </w:r>
    <w:r w:rsidR="00A932D3">
      <w:rPr>
        <w:color w:val="2B579A"/>
        <w:shd w:val="clear" w:color="auto" w:fill="E6E6E6"/>
      </w:rPr>
      <w:fldChar w:fldCharType="separate"/>
    </w:r>
    <w:r w:rsidR="00A932D3">
      <w:rPr>
        <w:noProof/>
      </w:rPr>
      <w:t>– Legislative requirements for the Assurance Framework</w:t>
    </w:r>
    <w:r w:rsidR="00A932D3">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2E60" w14:textId="6C10C2E4" w:rsidR="00A932D3" w:rsidRPr="00665A6D" w:rsidRDefault="006E7996" w:rsidP="00665A6D">
    <w:pPr>
      <w:pStyle w:val="Header-Even"/>
    </w:pPr>
    <w:r>
      <w:rPr>
        <w:color w:val="2B579A"/>
        <w:shd w:val="clear" w:color="auto" w:fill="E6E6E6"/>
      </w:rPr>
      <w:fldChar w:fldCharType="begin"/>
    </w:r>
    <w:r>
      <w:instrText>STYLEREF "Heading 2"</w:instrText>
    </w:r>
    <w:r>
      <w:rPr>
        <w:color w:val="2B579A"/>
        <w:shd w:val="clear" w:color="auto" w:fill="E6E6E6"/>
      </w:rPr>
      <w:fldChar w:fldCharType="separate"/>
    </w:r>
    <w:r w:rsidR="00F21D93">
      <w:rPr>
        <w:noProof/>
      </w:rPr>
      <w:t>The Home Care Packages Program (HCP Program)</w:t>
    </w:r>
    <w:r>
      <w:rPr>
        <w:color w:val="2B579A"/>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F118" w14:textId="0B10A8F7" w:rsidR="00A932D3" w:rsidRPr="00665A6D" w:rsidRDefault="00A932D3" w:rsidP="00665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A44E" w14:textId="77777777" w:rsidR="00A932D3" w:rsidRPr="00564AF1" w:rsidRDefault="00A932D3" w:rsidP="00564A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D628" w14:textId="389715FC" w:rsidR="00A932D3" w:rsidRPr="005D1FC6" w:rsidRDefault="006E7996" w:rsidP="0000649B">
    <w:pPr>
      <w:pStyle w:val="Header"/>
    </w:pPr>
    <w:r>
      <w:rPr>
        <w:color w:val="2B579A"/>
        <w:shd w:val="clear" w:color="auto" w:fill="E6E6E6"/>
      </w:rPr>
      <w:fldChar w:fldCharType="begin"/>
    </w:r>
    <w:r>
      <w:instrText>STYLEREF "Heading 1"</w:instrText>
    </w:r>
    <w:r>
      <w:rPr>
        <w:color w:val="2B579A"/>
        <w:shd w:val="clear" w:color="auto" w:fill="E6E6E6"/>
      </w:rPr>
      <w:fldChar w:fldCharType="separate"/>
    </w:r>
    <w:r w:rsidR="006F3CCF">
      <w:rPr>
        <w:noProof/>
      </w:rPr>
      <w:t>Introduction</w:t>
    </w:r>
    <w:r>
      <w:rPr>
        <w:color w:val="2B579A"/>
        <w:shd w:val="clear" w:color="auto" w:fill="E6E6E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733" w14:textId="77777777" w:rsidR="00A932D3" w:rsidRPr="005D1FC6" w:rsidRDefault="00A932D3" w:rsidP="005D1FC6">
    <w:pPr>
      <w:pStyle w:val="Header"/>
    </w:pPr>
    <w:r>
      <w:t>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641F" w14:textId="325B160C" w:rsidR="00A932D3" w:rsidRDefault="00A932D3" w:rsidP="00F714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FA8C" w14:textId="42212705" w:rsidR="00A932D3" w:rsidRPr="005D1FC6" w:rsidRDefault="006E7996" w:rsidP="005D1FC6">
    <w:pPr>
      <w:pStyle w:val="Header"/>
    </w:pPr>
    <w:r>
      <w:rPr>
        <w:color w:val="2B579A"/>
        <w:shd w:val="clear" w:color="auto" w:fill="E6E6E6"/>
      </w:rPr>
      <w:fldChar w:fldCharType="begin"/>
    </w:r>
    <w:r>
      <w:instrText>STYLEREF "Heading 1"</w:instrText>
    </w:r>
    <w:r>
      <w:rPr>
        <w:color w:val="2B579A"/>
        <w:shd w:val="clear" w:color="auto" w:fill="E6E6E6"/>
      </w:rPr>
      <w:fldChar w:fldCharType="separate"/>
    </w:r>
    <w:r w:rsidR="000A0D76">
      <w:rPr>
        <w:noProof/>
      </w:rPr>
      <w:t>Introduction</w:t>
    </w:r>
    <w:r>
      <w:rPr>
        <w:color w:val="2B579A"/>
        <w:shd w:val="clear" w:color="auto" w:fill="E6E6E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BD3" w14:textId="77777777" w:rsidR="00A932D3" w:rsidRDefault="00A932D3" w:rsidP="00F7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BB178A"/>
    <w:multiLevelType w:val="hybridMultilevel"/>
    <w:tmpl w:val="98F6839E"/>
    <w:lvl w:ilvl="0" w:tplc="0C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15:restartNumberingAfterBreak="0">
    <w:nsid w:val="08112352"/>
    <w:multiLevelType w:val="multilevel"/>
    <w:tmpl w:val="8CEA6DAA"/>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4"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84408E"/>
    <w:multiLevelType w:val="multilevel"/>
    <w:tmpl w:val="EE3860A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0B086541"/>
    <w:multiLevelType w:val="multilevel"/>
    <w:tmpl w:val="C38C7CF6"/>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BD22839"/>
    <w:multiLevelType w:val="hybridMultilevel"/>
    <w:tmpl w:val="9EF4A52E"/>
    <w:lvl w:ilvl="0" w:tplc="6AB4EDAA">
      <w:start w:val="1"/>
      <w:numFmt w:val="bullet"/>
      <w:lvlText w:val="•"/>
      <w:lvlJc w:val="left"/>
      <w:pPr>
        <w:tabs>
          <w:tab w:val="num" w:pos="720"/>
        </w:tabs>
        <w:ind w:left="720" w:hanging="360"/>
      </w:pPr>
      <w:rPr>
        <w:rFonts w:ascii="Arial" w:hAnsi="Arial" w:hint="default"/>
      </w:rPr>
    </w:lvl>
    <w:lvl w:ilvl="1" w:tplc="248A3FEC" w:tentative="1">
      <w:start w:val="1"/>
      <w:numFmt w:val="bullet"/>
      <w:lvlText w:val="•"/>
      <w:lvlJc w:val="left"/>
      <w:pPr>
        <w:tabs>
          <w:tab w:val="num" w:pos="1440"/>
        </w:tabs>
        <w:ind w:left="1440" w:hanging="360"/>
      </w:pPr>
      <w:rPr>
        <w:rFonts w:ascii="Arial" w:hAnsi="Arial" w:hint="default"/>
      </w:rPr>
    </w:lvl>
    <w:lvl w:ilvl="2" w:tplc="C8F87DBC" w:tentative="1">
      <w:start w:val="1"/>
      <w:numFmt w:val="bullet"/>
      <w:lvlText w:val="•"/>
      <w:lvlJc w:val="left"/>
      <w:pPr>
        <w:tabs>
          <w:tab w:val="num" w:pos="2160"/>
        </w:tabs>
        <w:ind w:left="2160" w:hanging="360"/>
      </w:pPr>
      <w:rPr>
        <w:rFonts w:ascii="Arial" w:hAnsi="Arial" w:hint="default"/>
      </w:rPr>
    </w:lvl>
    <w:lvl w:ilvl="3" w:tplc="017C2BBA" w:tentative="1">
      <w:start w:val="1"/>
      <w:numFmt w:val="bullet"/>
      <w:lvlText w:val="•"/>
      <w:lvlJc w:val="left"/>
      <w:pPr>
        <w:tabs>
          <w:tab w:val="num" w:pos="2880"/>
        </w:tabs>
        <w:ind w:left="2880" w:hanging="360"/>
      </w:pPr>
      <w:rPr>
        <w:rFonts w:ascii="Arial" w:hAnsi="Arial" w:hint="default"/>
      </w:rPr>
    </w:lvl>
    <w:lvl w:ilvl="4" w:tplc="CEE25E9A" w:tentative="1">
      <w:start w:val="1"/>
      <w:numFmt w:val="bullet"/>
      <w:lvlText w:val="•"/>
      <w:lvlJc w:val="left"/>
      <w:pPr>
        <w:tabs>
          <w:tab w:val="num" w:pos="3600"/>
        </w:tabs>
        <w:ind w:left="3600" w:hanging="360"/>
      </w:pPr>
      <w:rPr>
        <w:rFonts w:ascii="Arial" w:hAnsi="Arial" w:hint="default"/>
      </w:rPr>
    </w:lvl>
    <w:lvl w:ilvl="5" w:tplc="B8ECD9AE" w:tentative="1">
      <w:start w:val="1"/>
      <w:numFmt w:val="bullet"/>
      <w:lvlText w:val="•"/>
      <w:lvlJc w:val="left"/>
      <w:pPr>
        <w:tabs>
          <w:tab w:val="num" w:pos="4320"/>
        </w:tabs>
        <w:ind w:left="4320" w:hanging="360"/>
      </w:pPr>
      <w:rPr>
        <w:rFonts w:ascii="Arial" w:hAnsi="Arial" w:hint="default"/>
      </w:rPr>
    </w:lvl>
    <w:lvl w:ilvl="6" w:tplc="65DAB95E" w:tentative="1">
      <w:start w:val="1"/>
      <w:numFmt w:val="bullet"/>
      <w:lvlText w:val="•"/>
      <w:lvlJc w:val="left"/>
      <w:pPr>
        <w:tabs>
          <w:tab w:val="num" w:pos="5040"/>
        </w:tabs>
        <w:ind w:left="5040" w:hanging="360"/>
      </w:pPr>
      <w:rPr>
        <w:rFonts w:ascii="Arial" w:hAnsi="Arial" w:hint="default"/>
      </w:rPr>
    </w:lvl>
    <w:lvl w:ilvl="7" w:tplc="EE360D4C" w:tentative="1">
      <w:start w:val="1"/>
      <w:numFmt w:val="bullet"/>
      <w:lvlText w:val="•"/>
      <w:lvlJc w:val="left"/>
      <w:pPr>
        <w:tabs>
          <w:tab w:val="num" w:pos="5760"/>
        </w:tabs>
        <w:ind w:left="5760" w:hanging="360"/>
      </w:pPr>
      <w:rPr>
        <w:rFonts w:ascii="Arial" w:hAnsi="Arial" w:hint="default"/>
      </w:rPr>
    </w:lvl>
    <w:lvl w:ilvl="8" w:tplc="82BAB7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9" w15:restartNumberingAfterBreak="0">
    <w:nsid w:val="12075230"/>
    <w:multiLevelType w:val="multilevel"/>
    <w:tmpl w:val="09508468"/>
    <w:numStyleLink w:val="ListBullets"/>
  </w:abstractNum>
  <w:abstractNum w:abstractNumId="10" w15:restartNumberingAfterBreak="0">
    <w:nsid w:val="13F719F0"/>
    <w:multiLevelType w:val="multilevel"/>
    <w:tmpl w:val="5A502616"/>
    <w:styleLink w:val="Chapter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5812"/>
        </w:tabs>
        <w:ind w:left="5812"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ChapterNumberedList1"/>
      <w:lvlText w:val="%6"/>
      <w:lvlJc w:val="left"/>
      <w:pPr>
        <w:tabs>
          <w:tab w:val="num" w:pos="567"/>
        </w:tabs>
        <w:ind w:left="567" w:hanging="567"/>
      </w:pPr>
      <w:rPr>
        <w:rFonts w:hint="default"/>
      </w:rPr>
    </w:lvl>
    <w:lvl w:ilvl="6">
      <w:start w:val="1"/>
      <w:numFmt w:val="lowerLetter"/>
      <w:pStyle w:val="ChapterNumberedList2"/>
      <w:lvlText w:val="%7."/>
      <w:lvlJc w:val="left"/>
      <w:pPr>
        <w:tabs>
          <w:tab w:val="num" w:pos="1134"/>
        </w:tabs>
        <w:ind w:left="1134"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177066D5"/>
    <w:multiLevelType w:val="hybridMultilevel"/>
    <w:tmpl w:val="962A5894"/>
    <w:lvl w:ilvl="0" w:tplc="A52649E4">
      <w:start w:val="1"/>
      <w:numFmt w:val="bullet"/>
      <w:lvlText w:val="•"/>
      <w:lvlJc w:val="left"/>
      <w:pPr>
        <w:tabs>
          <w:tab w:val="num" w:pos="720"/>
        </w:tabs>
        <w:ind w:left="720" w:hanging="360"/>
      </w:pPr>
      <w:rPr>
        <w:rFonts w:ascii="Arial" w:hAnsi="Arial" w:hint="default"/>
      </w:rPr>
    </w:lvl>
    <w:lvl w:ilvl="1" w:tplc="1E54BC30" w:tentative="1">
      <w:start w:val="1"/>
      <w:numFmt w:val="bullet"/>
      <w:lvlText w:val="•"/>
      <w:lvlJc w:val="left"/>
      <w:pPr>
        <w:tabs>
          <w:tab w:val="num" w:pos="1440"/>
        </w:tabs>
        <w:ind w:left="1440" w:hanging="360"/>
      </w:pPr>
      <w:rPr>
        <w:rFonts w:ascii="Arial" w:hAnsi="Arial" w:hint="default"/>
      </w:rPr>
    </w:lvl>
    <w:lvl w:ilvl="2" w:tplc="34FCEF6A" w:tentative="1">
      <w:start w:val="1"/>
      <w:numFmt w:val="bullet"/>
      <w:lvlText w:val="•"/>
      <w:lvlJc w:val="left"/>
      <w:pPr>
        <w:tabs>
          <w:tab w:val="num" w:pos="2160"/>
        </w:tabs>
        <w:ind w:left="2160" w:hanging="360"/>
      </w:pPr>
      <w:rPr>
        <w:rFonts w:ascii="Arial" w:hAnsi="Arial" w:hint="default"/>
      </w:rPr>
    </w:lvl>
    <w:lvl w:ilvl="3" w:tplc="476A4436" w:tentative="1">
      <w:start w:val="1"/>
      <w:numFmt w:val="bullet"/>
      <w:lvlText w:val="•"/>
      <w:lvlJc w:val="left"/>
      <w:pPr>
        <w:tabs>
          <w:tab w:val="num" w:pos="2880"/>
        </w:tabs>
        <w:ind w:left="2880" w:hanging="360"/>
      </w:pPr>
      <w:rPr>
        <w:rFonts w:ascii="Arial" w:hAnsi="Arial" w:hint="default"/>
      </w:rPr>
    </w:lvl>
    <w:lvl w:ilvl="4" w:tplc="4FE46DDA" w:tentative="1">
      <w:start w:val="1"/>
      <w:numFmt w:val="bullet"/>
      <w:lvlText w:val="•"/>
      <w:lvlJc w:val="left"/>
      <w:pPr>
        <w:tabs>
          <w:tab w:val="num" w:pos="3600"/>
        </w:tabs>
        <w:ind w:left="3600" w:hanging="360"/>
      </w:pPr>
      <w:rPr>
        <w:rFonts w:ascii="Arial" w:hAnsi="Arial" w:hint="default"/>
      </w:rPr>
    </w:lvl>
    <w:lvl w:ilvl="5" w:tplc="D2F6C9CC" w:tentative="1">
      <w:start w:val="1"/>
      <w:numFmt w:val="bullet"/>
      <w:lvlText w:val="•"/>
      <w:lvlJc w:val="left"/>
      <w:pPr>
        <w:tabs>
          <w:tab w:val="num" w:pos="4320"/>
        </w:tabs>
        <w:ind w:left="4320" w:hanging="360"/>
      </w:pPr>
      <w:rPr>
        <w:rFonts w:ascii="Arial" w:hAnsi="Arial" w:hint="default"/>
      </w:rPr>
    </w:lvl>
    <w:lvl w:ilvl="6" w:tplc="3EC0DAA8" w:tentative="1">
      <w:start w:val="1"/>
      <w:numFmt w:val="bullet"/>
      <w:lvlText w:val="•"/>
      <w:lvlJc w:val="left"/>
      <w:pPr>
        <w:tabs>
          <w:tab w:val="num" w:pos="5040"/>
        </w:tabs>
        <w:ind w:left="5040" w:hanging="360"/>
      </w:pPr>
      <w:rPr>
        <w:rFonts w:ascii="Arial" w:hAnsi="Arial" w:hint="default"/>
      </w:rPr>
    </w:lvl>
    <w:lvl w:ilvl="7" w:tplc="E9867BD4" w:tentative="1">
      <w:start w:val="1"/>
      <w:numFmt w:val="bullet"/>
      <w:lvlText w:val="•"/>
      <w:lvlJc w:val="left"/>
      <w:pPr>
        <w:tabs>
          <w:tab w:val="num" w:pos="5760"/>
        </w:tabs>
        <w:ind w:left="5760" w:hanging="360"/>
      </w:pPr>
      <w:rPr>
        <w:rFonts w:ascii="Arial" w:hAnsi="Arial" w:hint="default"/>
      </w:rPr>
    </w:lvl>
    <w:lvl w:ilvl="8" w:tplc="147C5E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87771D"/>
    <w:multiLevelType w:val="multilevel"/>
    <w:tmpl w:val="09508468"/>
    <w:styleLink w:val="ListBullets"/>
    <w:lvl w:ilvl="0">
      <w:start w:val="1"/>
      <w:numFmt w:val="bullet"/>
      <w:pStyle w:val="ListBullet1"/>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552"/>
        </w:tabs>
        <w:ind w:left="2835" w:hanging="567"/>
      </w:pPr>
      <w:rPr>
        <w:rFonts w:ascii="Georgia" w:hAnsi="Georgia" w:hint="default"/>
        <w:color w:val="auto"/>
      </w:rPr>
    </w:lvl>
    <w:lvl w:ilvl="5">
      <w:start w:val="1"/>
      <w:numFmt w:val="lowerRoman"/>
      <w:lvlText w:val="%6"/>
      <w:lvlJc w:val="left"/>
      <w:pPr>
        <w:tabs>
          <w:tab w:val="num" w:pos="3119"/>
        </w:tabs>
        <w:ind w:left="3402" w:hanging="567"/>
      </w:pPr>
      <w:rPr>
        <w:rFonts w:hint="default"/>
      </w:rPr>
    </w:lvl>
    <w:lvl w:ilvl="6">
      <w:start w:val="1"/>
      <w:numFmt w:val="decimal"/>
      <w:lvlText w:val="%7"/>
      <w:lvlJc w:val="left"/>
      <w:pPr>
        <w:tabs>
          <w:tab w:val="num" w:pos="3686"/>
        </w:tabs>
        <w:ind w:left="3969" w:hanging="567"/>
      </w:pPr>
      <w:rPr>
        <w:rFonts w:hint="default"/>
      </w:rPr>
    </w:lvl>
    <w:lvl w:ilvl="7">
      <w:start w:val="1"/>
      <w:numFmt w:val="lowerLetter"/>
      <w:lvlText w:val="%8"/>
      <w:lvlJc w:val="left"/>
      <w:pPr>
        <w:tabs>
          <w:tab w:val="num" w:pos="4253"/>
        </w:tabs>
        <w:ind w:left="4536" w:hanging="567"/>
      </w:pPr>
      <w:rPr>
        <w:rFonts w:hint="default"/>
      </w:rPr>
    </w:lvl>
    <w:lvl w:ilvl="8">
      <w:start w:val="1"/>
      <w:numFmt w:val="lowerRoman"/>
      <w:lvlText w:val="%9"/>
      <w:lvlJc w:val="left"/>
      <w:pPr>
        <w:tabs>
          <w:tab w:val="num" w:pos="4820"/>
        </w:tabs>
        <w:ind w:left="5103" w:hanging="567"/>
      </w:pPr>
      <w:rPr>
        <w:rFonts w:hint="default"/>
      </w:rPr>
    </w:lvl>
  </w:abstractNum>
  <w:abstractNum w:abstractNumId="16" w15:restartNumberingAfterBreak="0">
    <w:nsid w:val="1C09446A"/>
    <w:multiLevelType w:val="hybridMultilevel"/>
    <w:tmpl w:val="8132BCC8"/>
    <w:lvl w:ilvl="0" w:tplc="0C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826651"/>
    <w:multiLevelType w:val="hybridMultilevel"/>
    <w:tmpl w:val="E8BADD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9" w15:restartNumberingAfterBreak="0">
    <w:nsid w:val="202E3E0F"/>
    <w:multiLevelType w:val="multilevel"/>
    <w:tmpl w:val="F11A2B8E"/>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decimal"/>
      <w:lvlText w:val="%8"/>
      <w:lvlJc w:val="left"/>
      <w:pPr>
        <w:tabs>
          <w:tab w:val="num" w:pos="567"/>
        </w:tabs>
        <w:ind w:left="567" w:hanging="567"/>
      </w:pPr>
      <w:rPr>
        <w:rFonts w:hint="default"/>
      </w:rPr>
    </w:lvl>
    <w:lvl w:ilvl="8">
      <w:start w:val="1"/>
      <w:numFmt w:val="lowerLetter"/>
      <w:lvlText w:val="%9"/>
      <w:lvlJc w:val="left"/>
      <w:pPr>
        <w:tabs>
          <w:tab w:val="num" w:pos="1134"/>
        </w:tabs>
        <w:ind w:left="1134" w:hanging="567"/>
      </w:pPr>
      <w:rPr>
        <w:rFonts w:hint="default"/>
      </w:rPr>
    </w:lvl>
  </w:abstractNum>
  <w:abstractNum w:abstractNumId="20" w15:restartNumberingAfterBreak="0">
    <w:nsid w:val="283947C2"/>
    <w:multiLevelType w:val="multilevel"/>
    <w:tmpl w:val="50B20D3A"/>
    <w:numStyleLink w:val="TableNumberedListSmall"/>
  </w:abstractNum>
  <w:abstractNum w:abstractNumId="21" w15:restartNumberingAfterBreak="0">
    <w:nsid w:val="29F60073"/>
    <w:multiLevelType w:val="multilevel"/>
    <w:tmpl w:val="0D7A3E7A"/>
    <w:lvl w:ilvl="0">
      <w:start w:val="1"/>
      <w:numFmt w:val="decimal"/>
      <w:lvlRestart w:val="0"/>
      <w:pStyle w:val="TableNumberedList1"/>
      <w:lvlText w:val="%1"/>
      <w:lvlJc w:val="left"/>
      <w:pPr>
        <w:tabs>
          <w:tab w:val="num" w:pos="283"/>
        </w:tabs>
        <w:ind w:left="284" w:hanging="284"/>
      </w:pPr>
      <w:rPr>
        <w:rFonts w:asciiTheme="minorHAnsi" w:hAnsiTheme="minorHAnsi" w:hint="default"/>
        <w:b w:val="0"/>
        <w:i w:val="0"/>
        <w:color w:val="auto"/>
        <w:sz w:val="18"/>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18"/>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2"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15:restartNumberingAfterBreak="0">
    <w:nsid w:val="2FBF68FF"/>
    <w:multiLevelType w:val="multilevel"/>
    <w:tmpl w:val="80022A40"/>
    <w:name w:val="Chapter numbering list"/>
    <w:lvl w:ilvl="0">
      <w:start w:val="1"/>
      <w:numFmt w:val="decimal"/>
      <w:lvlRestart w:val="0"/>
      <w:pStyle w:val="ChapterNumberLong"/>
      <w:suff w:val="nothing"/>
      <w:lvlText w:val="%1"/>
      <w:lvlJc w:val="left"/>
      <w:pPr>
        <w:tabs>
          <w:tab w:val="num" w:pos="0"/>
        </w:tabs>
        <w:ind w:left="0" w:firstLine="0"/>
      </w:p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pStyle w:val="AppendixNumberLong"/>
      <w:suff w:val="nothing"/>
      <w:lvlText w:val="%6"/>
      <w:lvlJc w:val="left"/>
      <w:pPr>
        <w:tabs>
          <w:tab w:val="num" w:pos="0"/>
        </w:tabs>
        <w:ind w:left="0" w:firstLine="0"/>
      </w:p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abstractNum w:abstractNumId="24"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F951AD"/>
    <w:multiLevelType w:val="hybridMultilevel"/>
    <w:tmpl w:val="521C8280"/>
    <w:lvl w:ilvl="0" w:tplc="F092D8BC">
      <w:start w:val="1"/>
      <w:numFmt w:val="bullet"/>
      <w:lvlText w:val="•"/>
      <w:lvlJc w:val="left"/>
      <w:pPr>
        <w:tabs>
          <w:tab w:val="num" w:pos="720"/>
        </w:tabs>
        <w:ind w:left="720" w:hanging="360"/>
      </w:pPr>
      <w:rPr>
        <w:rFonts w:ascii="Arial" w:hAnsi="Arial" w:hint="default"/>
      </w:rPr>
    </w:lvl>
    <w:lvl w:ilvl="1" w:tplc="5C689142" w:tentative="1">
      <w:start w:val="1"/>
      <w:numFmt w:val="bullet"/>
      <w:lvlText w:val="•"/>
      <w:lvlJc w:val="left"/>
      <w:pPr>
        <w:tabs>
          <w:tab w:val="num" w:pos="1440"/>
        </w:tabs>
        <w:ind w:left="1440" w:hanging="360"/>
      </w:pPr>
      <w:rPr>
        <w:rFonts w:ascii="Arial" w:hAnsi="Arial" w:hint="default"/>
      </w:rPr>
    </w:lvl>
    <w:lvl w:ilvl="2" w:tplc="2BEC55F6" w:tentative="1">
      <w:start w:val="1"/>
      <w:numFmt w:val="bullet"/>
      <w:lvlText w:val="•"/>
      <w:lvlJc w:val="left"/>
      <w:pPr>
        <w:tabs>
          <w:tab w:val="num" w:pos="2160"/>
        </w:tabs>
        <w:ind w:left="2160" w:hanging="360"/>
      </w:pPr>
      <w:rPr>
        <w:rFonts w:ascii="Arial" w:hAnsi="Arial" w:hint="default"/>
      </w:rPr>
    </w:lvl>
    <w:lvl w:ilvl="3" w:tplc="31DACD84" w:tentative="1">
      <w:start w:val="1"/>
      <w:numFmt w:val="bullet"/>
      <w:lvlText w:val="•"/>
      <w:lvlJc w:val="left"/>
      <w:pPr>
        <w:tabs>
          <w:tab w:val="num" w:pos="2880"/>
        </w:tabs>
        <w:ind w:left="2880" w:hanging="360"/>
      </w:pPr>
      <w:rPr>
        <w:rFonts w:ascii="Arial" w:hAnsi="Arial" w:hint="default"/>
      </w:rPr>
    </w:lvl>
    <w:lvl w:ilvl="4" w:tplc="F4E23B00" w:tentative="1">
      <w:start w:val="1"/>
      <w:numFmt w:val="bullet"/>
      <w:lvlText w:val="•"/>
      <w:lvlJc w:val="left"/>
      <w:pPr>
        <w:tabs>
          <w:tab w:val="num" w:pos="3600"/>
        </w:tabs>
        <w:ind w:left="3600" w:hanging="360"/>
      </w:pPr>
      <w:rPr>
        <w:rFonts w:ascii="Arial" w:hAnsi="Arial" w:hint="default"/>
      </w:rPr>
    </w:lvl>
    <w:lvl w:ilvl="5" w:tplc="C4EE63D8" w:tentative="1">
      <w:start w:val="1"/>
      <w:numFmt w:val="bullet"/>
      <w:lvlText w:val="•"/>
      <w:lvlJc w:val="left"/>
      <w:pPr>
        <w:tabs>
          <w:tab w:val="num" w:pos="4320"/>
        </w:tabs>
        <w:ind w:left="4320" w:hanging="360"/>
      </w:pPr>
      <w:rPr>
        <w:rFonts w:ascii="Arial" w:hAnsi="Arial" w:hint="default"/>
      </w:rPr>
    </w:lvl>
    <w:lvl w:ilvl="6" w:tplc="F500BAB6" w:tentative="1">
      <w:start w:val="1"/>
      <w:numFmt w:val="bullet"/>
      <w:lvlText w:val="•"/>
      <w:lvlJc w:val="left"/>
      <w:pPr>
        <w:tabs>
          <w:tab w:val="num" w:pos="5040"/>
        </w:tabs>
        <w:ind w:left="5040" w:hanging="360"/>
      </w:pPr>
      <w:rPr>
        <w:rFonts w:ascii="Arial" w:hAnsi="Arial" w:hint="default"/>
      </w:rPr>
    </w:lvl>
    <w:lvl w:ilvl="7" w:tplc="756E7066" w:tentative="1">
      <w:start w:val="1"/>
      <w:numFmt w:val="bullet"/>
      <w:lvlText w:val="•"/>
      <w:lvlJc w:val="left"/>
      <w:pPr>
        <w:tabs>
          <w:tab w:val="num" w:pos="5760"/>
        </w:tabs>
        <w:ind w:left="5760" w:hanging="360"/>
      </w:pPr>
      <w:rPr>
        <w:rFonts w:ascii="Arial" w:hAnsi="Arial" w:hint="default"/>
      </w:rPr>
    </w:lvl>
    <w:lvl w:ilvl="8" w:tplc="5DDE88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7A4505E"/>
    <w:multiLevelType w:val="multilevel"/>
    <w:tmpl w:val="6966F6B0"/>
    <w:styleLink w:val="Appendices"/>
    <w:lvl w:ilvl="0">
      <w:start w:val="1"/>
      <w:numFmt w:val="upperLetter"/>
      <w:pStyle w:val="AppendixHeading"/>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4F29E4"/>
    <w:multiLevelType w:val="multilevel"/>
    <w:tmpl w:val="C9904664"/>
    <w:styleLink w:val="ChapterNumberingList0"/>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284"/>
        </w:tabs>
        <w:ind w:left="284" w:hanging="284"/>
      </w:pPr>
      <w:rPr>
        <w:rFonts w:hint="default"/>
        <w:b w:val="0"/>
        <w:i w:val="0"/>
        <w:color w:val="auto"/>
      </w:rPr>
    </w:lvl>
    <w:lvl w:ilvl="8">
      <w:start w:val="1"/>
      <w:numFmt w:val="lowerLetter"/>
      <w:lvlText w:val="%9"/>
      <w:lvlJc w:val="left"/>
      <w:pPr>
        <w:tabs>
          <w:tab w:val="num" w:pos="567"/>
        </w:tabs>
        <w:ind w:left="567" w:hanging="283"/>
      </w:pPr>
      <w:rPr>
        <w:rFonts w:hint="default"/>
        <w:b w:val="0"/>
        <w:i w:val="0"/>
        <w:color w:val="auto"/>
      </w:rPr>
    </w:lvl>
  </w:abstractNum>
  <w:abstractNum w:abstractNumId="30" w15:restartNumberingAfterBreak="0">
    <w:nsid w:val="3EE52A50"/>
    <w:multiLevelType w:val="multilevel"/>
    <w:tmpl w:val="EE12AE72"/>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05A72FC"/>
    <w:multiLevelType w:val="multilevel"/>
    <w:tmpl w:val="D28C06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4692FCA"/>
    <w:multiLevelType w:val="multilevel"/>
    <w:tmpl w:val="5A502616"/>
    <w:numStyleLink w:val="Chapters"/>
  </w:abstractNum>
  <w:abstractNum w:abstractNumId="33"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4" w15:restartNumberingAfterBreak="0">
    <w:nsid w:val="4AAB5470"/>
    <w:multiLevelType w:val="multilevel"/>
    <w:tmpl w:val="6A560638"/>
    <w:lvl w:ilvl="0">
      <w:start w:val="1"/>
      <w:numFmt w:val="bullet"/>
      <w:lvlRestart w:val="0"/>
      <w:pStyle w:val="ListBullet"/>
      <w:lvlText w:val=""/>
      <w:lvlJc w:val="left"/>
      <w:pPr>
        <w:tabs>
          <w:tab w:val="num" w:pos="284"/>
        </w:tabs>
        <w:ind w:left="284" w:hanging="284"/>
      </w:pPr>
      <w:rPr>
        <w:rFonts w:ascii="Symbol" w:hAnsi="Symbol" w:hint="default"/>
        <w:b w:val="0"/>
        <w:i w:val="0"/>
        <w:color w:val="auto"/>
      </w:rPr>
    </w:lvl>
    <w:lvl w:ilvl="1">
      <w:start w:val="1"/>
      <w:numFmt w:val="bullet"/>
      <w:lvlText w:val="–"/>
      <w:lvlJc w:val="left"/>
      <w:pPr>
        <w:tabs>
          <w:tab w:val="num" w:pos="567"/>
        </w:tabs>
        <w:ind w:left="568" w:hanging="284"/>
      </w:pPr>
      <w:rPr>
        <w:rFonts w:ascii="Arial" w:hAnsi="Arial" w:hint="default"/>
        <w:b w:val="0"/>
        <w:i w:val="0"/>
        <w:color w:val="auto"/>
      </w:rPr>
    </w:lvl>
    <w:lvl w:ilvl="2">
      <w:start w:val="1"/>
      <w:numFmt w:val="bullet"/>
      <w:lvlText w:val="◦"/>
      <w:lvlJc w:val="left"/>
      <w:pPr>
        <w:tabs>
          <w:tab w:val="num" w:pos="851"/>
        </w:tabs>
        <w:ind w:left="852" w:hanging="284"/>
      </w:pPr>
      <w:rPr>
        <w:rFonts w:ascii="Georgia" w:hAnsi="Georgia" w:hint="default"/>
        <w:b w:val="0"/>
        <w:i w:val="0"/>
        <w:color w:val="auto"/>
        <w:sz w:val="18"/>
        <w:szCs w:val="10"/>
      </w:rPr>
    </w:lvl>
    <w:lvl w:ilvl="3">
      <w:start w:val="1"/>
      <w:numFmt w:val="bullet"/>
      <w:lvlText w:val=""/>
      <w:lvlJc w:val="left"/>
      <w:pPr>
        <w:tabs>
          <w:tab w:val="num" w:pos="1134"/>
        </w:tabs>
        <w:ind w:left="1136" w:hanging="284"/>
      </w:pPr>
      <w:rPr>
        <w:rFonts w:ascii="Symbol" w:hAnsi="Symbol" w:hint="default"/>
        <w:b w:val="0"/>
        <w:i w:val="0"/>
        <w:color w:val="auto"/>
        <w:sz w:val="20"/>
        <w:szCs w:val="10"/>
      </w:rPr>
    </w:lvl>
    <w:lvl w:ilvl="4">
      <w:start w:val="1"/>
      <w:numFmt w:val="bullet"/>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35" w15:restartNumberingAfterBreak="0">
    <w:nsid w:val="4D8C2F25"/>
    <w:multiLevelType w:val="multilevel"/>
    <w:tmpl w:val="0096ECF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6" w15:restartNumberingAfterBreak="0">
    <w:nsid w:val="518C39C9"/>
    <w:multiLevelType w:val="multilevel"/>
    <w:tmpl w:val="D93463A2"/>
    <w:styleLink w:val="Style1"/>
    <w:lvl w:ilvl="0">
      <w:start w:val="1"/>
      <w:numFmt w:val="decimal"/>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917BB9"/>
    <w:multiLevelType w:val="multilevel"/>
    <w:tmpl w:val="A77E1F3E"/>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8"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9" w15:restartNumberingAfterBreak="0">
    <w:nsid w:val="7E61137B"/>
    <w:multiLevelType w:val="multilevel"/>
    <w:tmpl w:val="29EE053C"/>
    <w:lvl w:ilvl="0">
      <w:start w:val="1"/>
      <w:numFmt w:val="decimal"/>
      <w:lvlRestart w:val="0"/>
      <w:pStyle w:val="ChapterNumberLongAlt"/>
      <w:suff w:val="nothing"/>
      <w:lvlText w:val="%1"/>
      <w:lvlJc w:val="left"/>
      <w:pPr>
        <w:tabs>
          <w:tab w:val="num" w:pos="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2"/>
      <w:lvlJc w:val="left"/>
      <w:pPr>
        <w:tabs>
          <w:tab w:val="num" w:pos="85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850"/>
        </w:tabs>
        <w:ind w:left="850" w:hanging="850"/>
      </w:pPr>
    </w:lvl>
    <w:lvl w:ilvl="4">
      <w:start w:val="1"/>
      <w:numFmt w:val="upperLetter"/>
      <w:lvlRestart w:val="0"/>
      <w:lvlText w:val="Appendix %5"/>
      <w:lvlJc w:val="left"/>
      <w:pPr>
        <w:tabs>
          <w:tab w:val="num" w:pos="3685"/>
        </w:tabs>
        <w:ind w:left="0" w:firstLine="0"/>
      </w:pPr>
    </w:lvl>
    <w:lvl w:ilvl="5">
      <w:start w:val="1"/>
      <w:numFmt w:val="upperLetter"/>
      <w:lvlRestart w:val="0"/>
      <w:pStyle w:val="AppendixNumberLongAlt"/>
      <w:suff w:val="nothing"/>
      <w:lvlText w:val="%6"/>
      <w:lvlJc w:val="left"/>
      <w:pPr>
        <w:tabs>
          <w:tab w:val="num" w:pos="0"/>
        </w:tabs>
        <w:ind w:left="0" w:firstLine="0"/>
      </w:pPr>
      <w:rPr>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67"/>
        </w:tabs>
        <w:ind w:left="567" w:hanging="567"/>
      </w:pPr>
    </w:lvl>
    <w:lvl w:ilvl="7">
      <w:start w:val="1"/>
      <w:numFmt w:val="decimal"/>
      <w:lvlText w:val="%8"/>
      <w:lvlJc w:val="left"/>
      <w:pPr>
        <w:tabs>
          <w:tab w:val="num" w:pos="567"/>
        </w:tabs>
        <w:ind w:left="567" w:hanging="567"/>
      </w:pPr>
    </w:lvl>
    <w:lvl w:ilvl="8">
      <w:start w:val="1"/>
      <w:numFmt w:val="lowerLetter"/>
      <w:lvlText w:val="%9"/>
      <w:lvlJc w:val="left"/>
      <w:pPr>
        <w:tabs>
          <w:tab w:val="num" w:pos="1134"/>
        </w:tabs>
        <w:ind w:left="1134" w:hanging="567"/>
      </w:pPr>
    </w:lvl>
  </w:abstractNum>
  <w:num w:numId="1" w16cid:durableId="1768844140">
    <w:abstractNumId w:val="14"/>
  </w:num>
  <w:num w:numId="2" w16cid:durableId="2023629939">
    <w:abstractNumId w:val="0"/>
  </w:num>
  <w:num w:numId="3" w16cid:durableId="1746536339">
    <w:abstractNumId w:val="24"/>
  </w:num>
  <w:num w:numId="4" w16cid:durableId="355811095">
    <w:abstractNumId w:val="2"/>
  </w:num>
  <w:num w:numId="5" w16cid:durableId="1250383234">
    <w:abstractNumId w:val="3"/>
  </w:num>
  <w:num w:numId="6" w16cid:durableId="1363046017">
    <w:abstractNumId w:val="29"/>
  </w:num>
  <w:num w:numId="7" w16cid:durableId="167059842">
    <w:abstractNumId w:val="4"/>
  </w:num>
  <w:num w:numId="8" w16cid:durableId="773983588">
    <w:abstractNumId w:val="25"/>
  </w:num>
  <w:num w:numId="9" w16cid:durableId="907377777">
    <w:abstractNumId w:val="8"/>
  </w:num>
  <w:num w:numId="10" w16cid:durableId="1245410897">
    <w:abstractNumId w:val="34"/>
  </w:num>
  <w:num w:numId="11" w16cid:durableId="1882470577">
    <w:abstractNumId w:val="6"/>
  </w:num>
  <w:num w:numId="12" w16cid:durableId="1854487797">
    <w:abstractNumId w:val="13"/>
  </w:num>
  <w:num w:numId="13" w16cid:durableId="1942452917">
    <w:abstractNumId w:val="30"/>
  </w:num>
  <w:num w:numId="14" w16cid:durableId="1990329194">
    <w:abstractNumId w:val="5"/>
  </w:num>
  <w:num w:numId="15" w16cid:durableId="266893335">
    <w:abstractNumId w:val="36"/>
  </w:num>
  <w:num w:numId="16" w16cid:durableId="864489974">
    <w:abstractNumId w:val="37"/>
  </w:num>
  <w:num w:numId="17" w16cid:durableId="33193172">
    <w:abstractNumId w:val="35"/>
  </w:num>
  <w:num w:numId="18" w16cid:durableId="6294842">
    <w:abstractNumId w:val="22"/>
  </w:num>
  <w:num w:numId="19" w16cid:durableId="884412691">
    <w:abstractNumId w:val="38"/>
  </w:num>
  <w:num w:numId="20" w16cid:durableId="1662006051">
    <w:abstractNumId w:val="33"/>
  </w:num>
  <w:num w:numId="21" w16cid:durableId="247661365">
    <w:abstractNumId w:val="18"/>
  </w:num>
  <w:num w:numId="22" w16cid:durableId="1062099519">
    <w:abstractNumId w:val="21"/>
  </w:num>
  <w:num w:numId="23" w16cid:durableId="522718198">
    <w:abstractNumId w:val="11"/>
  </w:num>
  <w:num w:numId="24" w16cid:durableId="699740797">
    <w:abstractNumId w:val="20"/>
  </w:num>
  <w:num w:numId="25" w16cid:durableId="1035809533">
    <w:abstractNumId w:val="36"/>
  </w:num>
  <w:num w:numId="26" w16cid:durableId="714160969">
    <w:abstractNumId w:val="15"/>
  </w:num>
  <w:num w:numId="27" w16cid:durableId="900946345">
    <w:abstractNumId w:val="19"/>
  </w:num>
  <w:num w:numId="28" w16cid:durableId="823356048">
    <w:abstractNumId w:val="39"/>
  </w:num>
  <w:num w:numId="29" w16cid:durableId="1720474917">
    <w:abstractNumId w:val="23"/>
  </w:num>
  <w:num w:numId="30" w16cid:durableId="760292999">
    <w:abstractNumId w:val="9"/>
  </w:num>
  <w:num w:numId="31" w16cid:durableId="1665357714">
    <w:abstractNumId w:val="10"/>
  </w:num>
  <w:num w:numId="32" w16cid:durableId="1046102461">
    <w:abstractNumId w:val="28"/>
  </w:num>
  <w:num w:numId="33" w16cid:durableId="781195584">
    <w:abstractNumId w:val="32"/>
  </w:num>
  <w:num w:numId="34" w16cid:durableId="19674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6887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1872187">
    <w:abstractNumId w:val="12"/>
  </w:num>
  <w:num w:numId="37" w16cid:durableId="1837960052">
    <w:abstractNumId w:val="7"/>
  </w:num>
  <w:num w:numId="38" w16cid:durableId="1332219306">
    <w:abstractNumId w:val="26"/>
  </w:num>
  <w:num w:numId="39" w16cid:durableId="996494001">
    <w:abstractNumId w:val="37"/>
  </w:num>
  <w:num w:numId="40" w16cid:durableId="1030497004">
    <w:abstractNumId w:val="16"/>
  </w:num>
  <w:num w:numId="41" w16cid:durableId="1637760102">
    <w:abstractNumId w:val="1"/>
  </w:num>
  <w:num w:numId="42" w16cid:durableId="262036029">
    <w:abstractNumId w:val="17"/>
  </w:num>
  <w:num w:numId="43" w16cid:durableId="657686241">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stylePaneFormatFilter w:val="3A28" w:allStyles="0" w:customStyles="0" w:latentStyles="0" w:stylesInUse="1" w:headingStyles="1" w:numberingStyles="0" w:tableStyles="0" w:directFormattingOnRuns="0" w:directFormattingOnParagraphs="1" w:directFormattingOnNumbering="0" w:directFormattingOnTables="1" w:clearFormatting="1" w:top3HeadingStyles="1" w:visibleStyles="0" w:alternateStyleNames="0"/>
  <w:stylePaneSortMethod w:val="0000"/>
  <w:defaultTabStop w:val="567"/>
  <w:drawingGridHorizontalSpacing w:val="100"/>
  <w:displayHorizontalDrawingGridEvery w:val="2"/>
  <w:characterSpacingControl w:val="doNotCompress"/>
  <w:hdrShapeDefaults>
    <o:shapedefaults v:ext="edit" spidmax="2050"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4BBF29-648F-4C29-A6CA-1C97D6A76D04}"/>
    <w:docVar w:name="dgnword-eventsink" w:val="330940096"/>
    <w:docVar w:name="dgnword-lastRevisionsView" w:val="0"/>
  </w:docVars>
  <w:rsids>
    <w:rsidRoot w:val="00D02E21"/>
    <w:rsid w:val="00000267"/>
    <w:rsid w:val="0000066F"/>
    <w:rsid w:val="00000E07"/>
    <w:rsid w:val="000010DC"/>
    <w:rsid w:val="00001404"/>
    <w:rsid w:val="000018C8"/>
    <w:rsid w:val="00002F7F"/>
    <w:rsid w:val="00002F85"/>
    <w:rsid w:val="000046CA"/>
    <w:rsid w:val="0000505E"/>
    <w:rsid w:val="00005B8E"/>
    <w:rsid w:val="00005CEB"/>
    <w:rsid w:val="00005E41"/>
    <w:rsid w:val="0000605F"/>
    <w:rsid w:val="0000649B"/>
    <w:rsid w:val="00006B9F"/>
    <w:rsid w:val="00006DC6"/>
    <w:rsid w:val="00007406"/>
    <w:rsid w:val="00007A71"/>
    <w:rsid w:val="00007EFD"/>
    <w:rsid w:val="00010D8C"/>
    <w:rsid w:val="0001195C"/>
    <w:rsid w:val="00011B56"/>
    <w:rsid w:val="000130E5"/>
    <w:rsid w:val="000148A7"/>
    <w:rsid w:val="00015271"/>
    <w:rsid w:val="00015598"/>
    <w:rsid w:val="00015621"/>
    <w:rsid w:val="00015F3F"/>
    <w:rsid w:val="00015FE9"/>
    <w:rsid w:val="000165FF"/>
    <w:rsid w:val="000167DB"/>
    <w:rsid w:val="000172BC"/>
    <w:rsid w:val="000203C2"/>
    <w:rsid w:val="00020F7F"/>
    <w:rsid w:val="00020F8D"/>
    <w:rsid w:val="000219D0"/>
    <w:rsid w:val="00022C5D"/>
    <w:rsid w:val="00022D33"/>
    <w:rsid w:val="00023712"/>
    <w:rsid w:val="0002400B"/>
    <w:rsid w:val="000246FB"/>
    <w:rsid w:val="00025387"/>
    <w:rsid w:val="000257F1"/>
    <w:rsid w:val="00026ACE"/>
    <w:rsid w:val="00027B5F"/>
    <w:rsid w:val="0003004A"/>
    <w:rsid w:val="000301CD"/>
    <w:rsid w:val="000308DC"/>
    <w:rsid w:val="00031309"/>
    <w:rsid w:val="000317A6"/>
    <w:rsid w:val="000323D9"/>
    <w:rsid w:val="000324F8"/>
    <w:rsid w:val="00033E5E"/>
    <w:rsid w:val="00034060"/>
    <w:rsid w:val="00034B16"/>
    <w:rsid w:val="00035288"/>
    <w:rsid w:val="0003687B"/>
    <w:rsid w:val="000377D1"/>
    <w:rsid w:val="0004014D"/>
    <w:rsid w:val="00040212"/>
    <w:rsid w:val="00040BC7"/>
    <w:rsid w:val="00040FAB"/>
    <w:rsid w:val="00041787"/>
    <w:rsid w:val="0004189D"/>
    <w:rsid w:val="00041E14"/>
    <w:rsid w:val="00042109"/>
    <w:rsid w:val="00043650"/>
    <w:rsid w:val="00044237"/>
    <w:rsid w:val="000444FF"/>
    <w:rsid w:val="00044B8E"/>
    <w:rsid w:val="00044CA7"/>
    <w:rsid w:val="00044D05"/>
    <w:rsid w:val="0004504C"/>
    <w:rsid w:val="00045467"/>
    <w:rsid w:val="00045816"/>
    <w:rsid w:val="00046E66"/>
    <w:rsid w:val="000473AE"/>
    <w:rsid w:val="00047714"/>
    <w:rsid w:val="000506A5"/>
    <w:rsid w:val="00050ACB"/>
    <w:rsid w:val="00051402"/>
    <w:rsid w:val="00051639"/>
    <w:rsid w:val="00051862"/>
    <w:rsid w:val="0005222A"/>
    <w:rsid w:val="00052610"/>
    <w:rsid w:val="00053B82"/>
    <w:rsid w:val="00054C40"/>
    <w:rsid w:val="0005504E"/>
    <w:rsid w:val="0005534C"/>
    <w:rsid w:val="000559F4"/>
    <w:rsid w:val="00055A6A"/>
    <w:rsid w:val="00055BAE"/>
    <w:rsid w:val="0005674C"/>
    <w:rsid w:val="000606D1"/>
    <w:rsid w:val="00060966"/>
    <w:rsid w:val="00061068"/>
    <w:rsid w:val="000619A2"/>
    <w:rsid w:val="00061DA1"/>
    <w:rsid w:val="00062DC9"/>
    <w:rsid w:val="00063503"/>
    <w:rsid w:val="00063BE4"/>
    <w:rsid w:val="00064A4C"/>
    <w:rsid w:val="00064B40"/>
    <w:rsid w:val="00064EB8"/>
    <w:rsid w:val="0006530A"/>
    <w:rsid w:val="00066A30"/>
    <w:rsid w:val="000670A9"/>
    <w:rsid w:val="0006740D"/>
    <w:rsid w:val="0006794E"/>
    <w:rsid w:val="000679F1"/>
    <w:rsid w:val="00067CA2"/>
    <w:rsid w:val="00067EC5"/>
    <w:rsid w:val="00070164"/>
    <w:rsid w:val="00070486"/>
    <w:rsid w:val="00070875"/>
    <w:rsid w:val="000713BA"/>
    <w:rsid w:val="000733F8"/>
    <w:rsid w:val="00074482"/>
    <w:rsid w:val="000761A6"/>
    <w:rsid w:val="00076C97"/>
    <w:rsid w:val="000778D4"/>
    <w:rsid w:val="00077CF2"/>
    <w:rsid w:val="00077EBF"/>
    <w:rsid w:val="00080AF8"/>
    <w:rsid w:val="00080EE8"/>
    <w:rsid w:val="0008139D"/>
    <w:rsid w:val="000814E5"/>
    <w:rsid w:val="00081A57"/>
    <w:rsid w:val="00081A58"/>
    <w:rsid w:val="00082CD9"/>
    <w:rsid w:val="00083051"/>
    <w:rsid w:val="000847B3"/>
    <w:rsid w:val="00085CDC"/>
    <w:rsid w:val="00086C7D"/>
    <w:rsid w:val="000874BA"/>
    <w:rsid w:val="000879AB"/>
    <w:rsid w:val="00087C5B"/>
    <w:rsid w:val="00090132"/>
    <w:rsid w:val="000905BA"/>
    <w:rsid w:val="0009060C"/>
    <w:rsid w:val="00090939"/>
    <w:rsid w:val="00090AAB"/>
    <w:rsid w:val="00091458"/>
    <w:rsid w:val="00093395"/>
    <w:rsid w:val="0009340E"/>
    <w:rsid w:val="000940BB"/>
    <w:rsid w:val="00094408"/>
    <w:rsid w:val="0009618B"/>
    <w:rsid w:val="00096CE6"/>
    <w:rsid w:val="00096EB6"/>
    <w:rsid w:val="00096F31"/>
    <w:rsid w:val="000A021D"/>
    <w:rsid w:val="000A0570"/>
    <w:rsid w:val="000A0836"/>
    <w:rsid w:val="000A0AE6"/>
    <w:rsid w:val="000A0D76"/>
    <w:rsid w:val="000A121D"/>
    <w:rsid w:val="000A1F3F"/>
    <w:rsid w:val="000A2058"/>
    <w:rsid w:val="000A296F"/>
    <w:rsid w:val="000A38AA"/>
    <w:rsid w:val="000A4154"/>
    <w:rsid w:val="000A4352"/>
    <w:rsid w:val="000A51EE"/>
    <w:rsid w:val="000A529A"/>
    <w:rsid w:val="000A6014"/>
    <w:rsid w:val="000A613B"/>
    <w:rsid w:val="000A6E91"/>
    <w:rsid w:val="000A6F12"/>
    <w:rsid w:val="000A744F"/>
    <w:rsid w:val="000A7509"/>
    <w:rsid w:val="000A7981"/>
    <w:rsid w:val="000B0476"/>
    <w:rsid w:val="000B0862"/>
    <w:rsid w:val="000B0868"/>
    <w:rsid w:val="000B1068"/>
    <w:rsid w:val="000B1316"/>
    <w:rsid w:val="000B319E"/>
    <w:rsid w:val="000B420C"/>
    <w:rsid w:val="000B47C1"/>
    <w:rsid w:val="000B4A4C"/>
    <w:rsid w:val="000B510F"/>
    <w:rsid w:val="000B5AFD"/>
    <w:rsid w:val="000B5EBD"/>
    <w:rsid w:val="000B61EE"/>
    <w:rsid w:val="000B62A0"/>
    <w:rsid w:val="000B65CE"/>
    <w:rsid w:val="000B741C"/>
    <w:rsid w:val="000B7AC9"/>
    <w:rsid w:val="000B7E22"/>
    <w:rsid w:val="000C009C"/>
    <w:rsid w:val="000C01FF"/>
    <w:rsid w:val="000C0D55"/>
    <w:rsid w:val="000C0DC8"/>
    <w:rsid w:val="000C10E3"/>
    <w:rsid w:val="000C11D1"/>
    <w:rsid w:val="000C2009"/>
    <w:rsid w:val="000C312A"/>
    <w:rsid w:val="000C31A6"/>
    <w:rsid w:val="000C3423"/>
    <w:rsid w:val="000C3CE9"/>
    <w:rsid w:val="000C4821"/>
    <w:rsid w:val="000C56BD"/>
    <w:rsid w:val="000C5D73"/>
    <w:rsid w:val="000C5EEC"/>
    <w:rsid w:val="000C6B75"/>
    <w:rsid w:val="000C6F10"/>
    <w:rsid w:val="000C7716"/>
    <w:rsid w:val="000C7BF6"/>
    <w:rsid w:val="000D084E"/>
    <w:rsid w:val="000D17B6"/>
    <w:rsid w:val="000D21C3"/>
    <w:rsid w:val="000D289A"/>
    <w:rsid w:val="000D3B7B"/>
    <w:rsid w:val="000D3C42"/>
    <w:rsid w:val="000D3C62"/>
    <w:rsid w:val="000D4527"/>
    <w:rsid w:val="000D522E"/>
    <w:rsid w:val="000D54AF"/>
    <w:rsid w:val="000D6292"/>
    <w:rsid w:val="000E0E16"/>
    <w:rsid w:val="000E126D"/>
    <w:rsid w:val="000E14AD"/>
    <w:rsid w:val="000E2F96"/>
    <w:rsid w:val="000E3802"/>
    <w:rsid w:val="000E3DB1"/>
    <w:rsid w:val="000E4E30"/>
    <w:rsid w:val="000E5AD0"/>
    <w:rsid w:val="000E5D59"/>
    <w:rsid w:val="000E611B"/>
    <w:rsid w:val="000E6525"/>
    <w:rsid w:val="000E65B2"/>
    <w:rsid w:val="000E702E"/>
    <w:rsid w:val="000E751E"/>
    <w:rsid w:val="000E7917"/>
    <w:rsid w:val="000E7A14"/>
    <w:rsid w:val="000E7BB5"/>
    <w:rsid w:val="000E7DB9"/>
    <w:rsid w:val="000F00F0"/>
    <w:rsid w:val="000F071E"/>
    <w:rsid w:val="000F118B"/>
    <w:rsid w:val="000F2982"/>
    <w:rsid w:val="000F39C6"/>
    <w:rsid w:val="000F4700"/>
    <w:rsid w:val="000F4EB8"/>
    <w:rsid w:val="000F58BE"/>
    <w:rsid w:val="000F5BBE"/>
    <w:rsid w:val="000F71B0"/>
    <w:rsid w:val="000F76FF"/>
    <w:rsid w:val="000F77C6"/>
    <w:rsid w:val="000F782E"/>
    <w:rsid w:val="000F7C5A"/>
    <w:rsid w:val="000F7EDF"/>
    <w:rsid w:val="001002E4"/>
    <w:rsid w:val="00100753"/>
    <w:rsid w:val="001013F4"/>
    <w:rsid w:val="001014BD"/>
    <w:rsid w:val="001015D1"/>
    <w:rsid w:val="00101E7E"/>
    <w:rsid w:val="001026F1"/>
    <w:rsid w:val="00103591"/>
    <w:rsid w:val="001044B9"/>
    <w:rsid w:val="00105AA9"/>
    <w:rsid w:val="00105B80"/>
    <w:rsid w:val="00106911"/>
    <w:rsid w:val="001074A4"/>
    <w:rsid w:val="00111255"/>
    <w:rsid w:val="00111324"/>
    <w:rsid w:val="00111544"/>
    <w:rsid w:val="001115BC"/>
    <w:rsid w:val="00112A1C"/>
    <w:rsid w:val="00113178"/>
    <w:rsid w:val="00113635"/>
    <w:rsid w:val="00113D7F"/>
    <w:rsid w:val="0011421B"/>
    <w:rsid w:val="001149F3"/>
    <w:rsid w:val="00115D8E"/>
    <w:rsid w:val="00115F10"/>
    <w:rsid w:val="00116C85"/>
    <w:rsid w:val="00116F51"/>
    <w:rsid w:val="00117507"/>
    <w:rsid w:val="001179B7"/>
    <w:rsid w:val="00117D9C"/>
    <w:rsid w:val="001202C7"/>
    <w:rsid w:val="00120A88"/>
    <w:rsid w:val="00120D83"/>
    <w:rsid w:val="001226BE"/>
    <w:rsid w:val="0012395F"/>
    <w:rsid w:val="00123EF1"/>
    <w:rsid w:val="001247F9"/>
    <w:rsid w:val="00124C69"/>
    <w:rsid w:val="00124E9B"/>
    <w:rsid w:val="00125AFC"/>
    <w:rsid w:val="00125CA4"/>
    <w:rsid w:val="00125D74"/>
    <w:rsid w:val="00125DC5"/>
    <w:rsid w:val="00126643"/>
    <w:rsid w:val="00126AFF"/>
    <w:rsid w:val="00126DC3"/>
    <w:rsid w:val="00127187"/>
    <w:rsid w:val="00127829"/>
    <w:rsid w:val="00127FD0"/>
    <w:rsid w:val="00130007"/>
    <w:rsid w:val="00130727"/>
    <w:rsid w:val="00130745"/>
    <w:rsid w:val="00131269"/>
    <w:rsid w:val="0013288D"/>
    <w:rsid w:val="00132EED"/>
    <w:rsid w:val="00132FAF"/>
    <w:rsid w:val="001338E4"/>
    <w:rsid w:val="001344F5"/>
    <w:rsid w:val="00135200"/>
    <w:rsid w:val="001354D2"/>
    <w:rsid w:val="00135AE9"/>
    <w:rsid w:val="00136605"/>
    <w:rsid w:val="001379C7"/>
    <w:rsid w:val="00137B03"/>
    <w:rsid w:val="0014062F"/>
    <w:rsid w:val="00140787"/>
    <w:rsid w:val="001408E9"/>
    <w:rsid w:val="00141457"/>
    <w:rsid w:val="001415A9"/>
    <w:rsid w:val="001415DD"/>
    <w:rsid w:val="001420B0"/>
    <w:rsid w:val="00142127"/>
    <w:rsid w:val="00142F9D"/>
    <w:rsid w:val="001436B6"/>
    <w:rsid w:val="00143A96"/>
    <w:rsid w:val="00144268"/>
    <w:rsid w:val="00144864"/>
    <w:rsid w:val="00145205"/>
    <w:rsid w:val="00146212"/>
    <w:rsid w:val="00146321"/>
    <w:rsid w:val="001469D4"/>
    <w:rsid w:val="00146E85"/>
    <w:rsid w:val="0014703A"/>
    <w:rsid w:val="001472D8"/>
    <w:rsid w:val="001476BD"/>
    <w:rsid w:val="001476BE"/>
    <w:rsid w:val="001478CF"/>
    <w:rsid w:val="00147E5B"/>
    <w:rsid w:val="0015001A"/>
    <w:rsid w:val="001526AB"/>
    <w:rsid w:val="0015303F"/>
    <w:rsid w:val="00154480"/>
    <w:rsid w:val="0015493B"/>
    <w:rsid w:val="00154FC1"/>
    <w:rsid w:val="00155DCC"/>
    <w:rsid w:val="00155FE3"/>
    <w:rsid w:val="00157444"/>
    <w:rsid w:val="00160063"/>
    <w:rsid w:val="001604B6"/>
    <w:rsid w:val="001643E4"/>
    <w:rsid w:val="0016454D"/>
    <w:rsid w:val="00164A8D"/>
    <w:rsid w:val="00164F9D"/>
    <w:rsid w:val="00165AC0"/>
    <w:rsid w:val="001664B1"/>
    <w:rsid w:val="00166AE4"/>
    <w:rsid w:val="00166F4F"/>
    <w:rsid w:val="00167C25"/>
    <w:rsid w:val="00167EE0"/>
    <w:rsid w:val="00167F7E"/>
    <w:rsid w:val="00170238"/>
    <w:rsid w:val="0017023C"/>
    <w:rsid w:val="001708CB"/>
    <w:rsid w:val="00170DF6"/>
    <w:rsid w:val="00171451"/>
    <w:rsid w:val="0017299D"/>
    <w:rsid w:val="00172E47"/>
    <w:rsid w:val="00173B0E"/>
    <w:rsid w:val="00174043"/>
    <w:rsid w:val="00174525"/>
    <w:rsid w:val="00175B28"/>
    <w:rsid w:val="0017690A"/>
    <w:rsid w:val="00176D38"/>
    <w:rsid w:val="0018027C"/>
    <w:rsid w:val="00180895"/>
    <w:rsid w:val="00181EAE"/>
    <w:rsid w:val="001824CB"/>
    <w:rsid w:val="00182598"/>
    <w:rsid w:val="001827F1"/>
    <w:rsid w:val="00183FFB"/>
    <w:rsid w:val="00184855"/>
    <w:rsid w:val="00185379"/>
    <w:rsid w:val="001856FB"/>
    <w:rsid w:val="00185720"/>
    <w:rsid w:val="00185725"/>
    <w:rsid w:val="00185BE8"/>
    <w:rsid w:val="00185E01"/>
    <w:rsid w:val="00185F6F"/>
    <w:rsid w:val="001861C1"/>
    <w:rsid w:val="00186B29"/>
    <w:rsid w:val="00186D00"/>
    <w:rsid w:val="00187218"/>
    <w:rsid w:val="00187C34"/>
    <w:rsid w:val="00190483"/>
    <w:rsid w:val="001904CD"/>
    <w:rsid w:val="00192241"/>
    <w:rsid w:val="00192A42"/>
    <w:rsid w:val="00192F51"/>
    <w:rsid w:val="00193078"/>
    <w:rsid w:val="00193397"/>
    <w:rsid w:val="00195E31"/>
    <w:rsid w:val="00197937"/>
    <w:rsid w:val="00197C7A"/>
    <w:rsid w:val="001A0166"/>
    <w:rsid w:val="001A01CF"/>
    <w:rsid w:val="001A0249"/>
    <w:rsid w:val="001A05EB"/>
    <w:rsid w:val="001A129B"/>
    <w:rsid w:val="001A1C17"/>
    <w:rsid w:val="001A24EE"/>
    <w:rsid w:val="001A2696"/>
    <w:rsid w:val="001A2F07"/>
    <w:rsid w:val="001A397E"/>
    <w:rsid w:val="001A3E5D"/>
    <w:rsid w:val="001A49CA"/>
    <w:rsid w:val="001A529E"/>
    <w:rsid w:val="001A5374"/>
    <w:rsid w:val="001A5DE1"/>
    <w:rsid w:val="001A6378"/>
    <w:rsid w:val="001A66AB"/>
    <w:rsid w:val="001A66CE"/>
    <w:rsid w:val="001A71E9"/>
    <w:rsid w:val="001B0E94"/>
    <w:rsid w:val="001B154C"/>
    <w:rsid w:val="001B1E72"/>
    <w:rsid w:val="001B2382"/>
    <w:rsid w:val="001B2953"/>
    <w:rsid w:val="001B301A"/>
    <w:rsid w:val="001B3327"/>
    <w:rsid w:val="001B34FF"/>
    <w:rsid w:val="001B3B01"/>
    <w:rsid w:val="001B3C7F"/>
    <w:rsid w:val="001B58F2"/>
    <w:rsid w:val="001B6322"/>
    <w:rsid w:val="001B639A"/>
    <w:rsid w:val="001B678D"/>
    <w:rsid w:val="001B6894"/>
    <w:rsid w:val="001B7F32"/>
    <w:rsid w:val="001B7F76"/>
    <w:rsid w:val="001C02DB"/>
    <w:rsid w:val="001C07AF"/>
    <w:rsid w:val="001C19AE"/>
    <w:rsid w:val="001C2061"/>
    <w:rsid w:val="001C28BE"/>
    <w:rsid w:val="001C32F9"/>
    <w:rsid w:val="001C3324"/>
    <w:rsid w:val="001C447B"/>
    <w:rsid w:val="001C47A5"/>
    <w:rsid w:val="001C4FE3"/>
    <w:rsid w:val="001C5699"/>
    <w:rsid w:val="001C5AFE"/>
    <w:rsid w:val="001C5F00"/>
    <w:rsid w:val="001C6473"/>
    <w:rsid w:val="001C6506"/>
    <w:rsid w:val="001C6C6B"/>
    <w:rsid w:val="001C6D16"/>
    <w:rsid w:val="001C7FE5"/>
    <w:rsid w:val="001D0924"/>
    <w:rsid w:val="001D0A91"/>
    <w:rsid w:val="001D11DC"/>
    <w:rsid w:val="001D1862"/>
    <w:rsid w:val="001D1AF5"/>
    <w:rsid w:val="001D1B1B"/>
    <w:rsid w:val="001D1EDF"/>
    <w:rsid w:val="001D2237"/>
    <w:rsid w:val="001D29AE"/>
    <w:rsid w:val="001D3DD1"/>
    <w:rsid w:val="001D4B01"/>
    <w:rsid w:val="001D4D60"/>
    <w:rsid w:val="001D4F9E"/>
    <w:rsid w:val="001D523B"/>
    <w:rsid w:val="001D65A2"/>
    <w:rsid w:val="001D65CA"/>
    <w:rsid w:val="001D7510"/>
    <w:rsid w:val="001E019F"/>
    <w:rsid w:val="001E06FE"/>
    <w:rsid w:val="001E1862"/>
    <w:rsid w:val="001E2F91"/>
    <w:rsid w:val="001E31A4"/>
    <w:rsid w:val="001E3EA7"/>
    <w:rsid w:val="001E41D9"/>
    <w:rsid w:val="001E43F0"/>
    <w:rsid w:val="001E5304"/>
    <w:rsid w:val="001E57D6"/>
    <w:rsid w:val="001E620F"/>
    <w:rsid w:val="001E62C4"/>
    <w:rsid w:val="001E6A5E"/>
    <w:rsid w:val="001E6CE0"/>
    <w:rsid w:val="001E725C"/>
    <w:rsid w:val="001E7349"/>
    <w:rsid w:val="001E7E1E"/>
    <w:rsid w:val="001E7FEF"/>
    <w:rsid w:val="001F0210"/>
    <w:rsid w:val="001F0793"/>
    <w:rsid w:val="001F0DAD"/>
    <w:rsid w:val="001F2952"/>
    <w:rsid w:val="001F2BB2"/>
    <w:rsid w:val="001F2C4E"/>
    <w:rsid w:val="001F3220"/>
    <w:rsid w:val="001F55E5"/>
    <w:rsid w:val="001F55EB"/>
    <w:rsid w:val="001F5647"/>
    <w:rsid w:val="001F6310"/>
    <w:rsid w:val="001F699A"/>
    <w:rsid w:val="001F71F1"/>
    <w:rsid w:val="001F7587"/>
    <w:rsid w:val="001F765D"/>
    <w:rsid w:val="001F7863"/>
    <w:rsid w:val="001F798F"/>
    <w:rsid w:val="002007C7"/>
    <w:rsid w:val="002014CF"/>
    <w:rsid w:val="00202810"/>
    <w:rsid w:val="00202C76"/>
    <w:rsid w:val="002030A3"/>
    <w:rsid w:val="00203710"/>
    <w:rsid w:val="00203F84"/>
    <w:rsid w:val="00204F10"/>
    <w:rsid w:val="00205D40"/>
    <w:rsid w:val="00207034"/>
    <w:rsid w:val="0020709A"/>
    <w:rsid w:val="002078FC"/>
    <w:rsid w:val="00207E36"/>
    <w:rsid w:val="00210620"/>
    <w:rsid w:val="002108D1"/>
    <w:rsid w:val="0021094E"/>
    <w:rsid w:val="0021123B"/>
    <w:rsid w:val="00211991"/>
    <w:rsid w:val="002120CD"/>
    <w:rsid w:val="00212A0F"/>
    <w:rsid w:val="0021330A"/>
    <w:rsid w:val="002137AA"/>
    <w:rsid w:val="00213B79"/>
    <w:rsid w:val="00213C42"/>
    <w:rsid w:val="002150AB"/>
    <w:rsid w:val="0021543C"/>
    <w:rsid w:val="00215D7C"/>
    <w:rsid w:val="00215E7D"/>
    <w:rsid w:val="00216A52"/>
    <w:rsid w:val="00217154"/>
    <w:rsid w:val="002173E4"/>
    <w:rsid w:val="0021787F"/>
    <w:rsid w:val="00220346"/>
    <w:rsid w:val="002219F5"/>
    <w:rsid w:val="00221B74"/>
    <w:rsid w:val="00221F85"/>
    <w:rsid w:val="002228B6"/>
    <w:rsid w:val="00222EC0"/>
    <w:rsid w:val="002242C9"/>
    <w:rsid w:val="00224BA5"/>
    <w:rsid w:val="00224E1C"/>
    <w:rsid w:val="00226AB6"/>
    <w:rsid w:val="00227491"/>
    <w:rsid w:val="00230266"/>
    <w:rsid w:val="00231135"/>
    <w:rsid w:val="002311EE"/>
    <w:rsid w:val="00232D80"/>
    <w:rsid w:val="002330A0"/>
    <w:rsid w:val="00233BC1"/>
    <w:rsid w:val="00234835"/>
    <w:rsid w:val="00234AB5"/>
    <w:rsid w:val="00234D1A"/>
    <w:rsid w:val="00234F3A"/>
    <w:rsid w:val="0023514D"/>
    <w:rsid w:val="002353A9"/>
    <w:rsid w:val="00235653"/>
    <w:rsid w:val="0023597B"/>
    <w:rsid w:val="00235E6E"/>
    <w:rsid w:val="0023617D"/>
    <w:rsid w:val="00236445"/>
    <w:rsid w:val="00236804"/>
    <w:rsid w:val="00237BCC"/>
    <w:rsid w:val="0024070E"/>
    <w:rsid w:val="002407B2"/>
    <w:rsid w:val="00240985"/>
    <w:rsid w:val="00240FCD"/>
    <w:rsid w:val="00241695"/>
    <w:rsid w:val="00243644"/>
    <w:rsid w:val="002445FF"/>
    <w:rsid w:val="0024482C"/>
    <w:rsid w:val="002448C6"/>
    <w:rsid w:val="00245400"/>
    <w:rsid w:val="00245C02"/>
    <w:rsid w:val="00245E7F"/>
    <w:rsid w:val="00246426"/>
    <w:rsid w:val="00247067"/>
    <w:rsid w:val="00247954"/>
    <w:rsid w:val="00247C34"/>
    <w:rsid w:val="002504DF"/>
    <w:rsid w:val="00252356"/>
    <w:rsid w:val="00252FD9"/>
    <w:rsid w:val="002534B3"/>
    <w:rsid w:val="002541D2"/>
    <w:rsid w:val="002542AB"/>
    <w:rsid w:val="0025481F"/>
    <w:rsid w:val="00254AD2"/>
    <w:rsid w:val="00255ECC"/>
    <w:rsid w:val="00256B17"/>
    <w:rsid w:val="00257062"/>
    <w:rsid w:val="002570A9"/>
    <w:rsid w:val="0025716F"/>
    <w:rsid w:val="00257526"/>
    <w:rsid w:val="00257794"/>
    <w:rsid w:val="00257A83"/>
    <w:rsid w:val="00260612"/>
    <w:rsid w:val="00260B1B"/>
    <w:rsid w:val="00260CA3"/>
    <w:rsid w:val="00261C27"/>
    <w:rsid w:val="002627A5"/>
    <w:rsid w:val="002628D1"/>
    <w:rsid w:val="002639CC"/>
    <w:rsid w:val="00263AE9"/>
    <w:rsid w:val="002651DD"/>
    <w:rsid w:val="00265EBD"/>
    <w:rsid w:val="0026608B"/>
    <w:rsid w:val="00266A04"/>
    <w:rsid w:val="00267225"/>
    <w:rsid w:val="00270109"/>
    <w:rsid w:val="00270144"/>
    <w:rsid w:val="002709D2"/>
    <w:rsid w:val="0027151E"/>
    <w:rsid w:val="00271AE3"/>
    <w:rsid w:val="00271B87"/>
    <w:rsid w:val="002722C0"/>
    <w:rsid w:val="0027294E"/>
    <w:rsid w:val="00273019"/>
    <w:rsid w:val="00273234"/>
    <w:rsid w:val="00273627"/>
    <w:rsid w:val="002736C6"/>
    <w:rsid w:val="00273D52"/>
    <w:rsid w:val="002745E9"/>
    <w:rsid w:val="0027472A"/>
    <w:rsid w:val="00274B9F"/>
    <w:rsid w:val="00274C05"/>
    <w:rsid w:val="00275095"/>
    <w:rsid w:val="00275248"/>
    <w:rsid w:val="00275813"/>
    <w:rsid w:val="00276748"/>
    <w:rsid w:val="00276C9A"/>
    <w:rsid w:val="00276DF5"/>
    <w:rsid w:val="00277441"/>
    <w:rsid w:val="002800ED"/>
    <w:rsid w:val="00280476"/>
    <w:rsid w:val="0028074C"/>
    <w:rsid w:val="00280B10"/>
    <w:rsid w:val="00280B8E"/>
    <w:rsid w:val="00280F02"/>
    <w:rsid w:val="002812A6"/>
    <w:rsid w:val="0028199C"/>
    <w:rsid w:val="00281EAB"/>
    <w:rsid w:val="00281F92"/>
    <w:rsid w:val="002825BF"/>
    <w:rsid w:val="00282F45"/>
    <w:rsid w:val="00283175"/>
    <w:rsid w:val="002833F5"/>
    <w:rsid w:val="00283EAD"/>
    <w:rsid w:val="002850FC"/>
    <w:rsid w:val="0028516D"/>
    <w:rsid w:val="00285547"/>
    <w:rsid w:val="0028561C"/>
    <w:rsid w:val="00285AAD"/>
    <w:rsid w:val="0028639C"/>
    <w:rsid w:val="00287BBC"/>
    <w:rsid w:val="00287C7D"/>
    <w:rsid w:val="002908C9"/>
    <w:rsid w:val="0029144E"/>
    <w:rsid w:val="0029145F"/>
    <w:rsid w:val="00291C4E"/>
    <w:rsid w:val="00292238"/>
    <w:rsid w:val="00292BF1"/>
    <w:rsid w:val="00294C9F"/>
    <w:rsid w:val="00294DF1"/>
    <w:rsid w:val="0029551B"/>
    <w:rsid w:val="002960CE"/>
    <w:rsid w:val="0029637A"/>
    <w:rsid w:val="00296433"/>
    <w:rsid w:val="002964A3"/>
    <w:rsid w:val="00296639"/>
    <w:rsid w:val="00296814"/>
    <w:rsid w:val="002972D2"/>
    <w:rsid w:val="00297526"/>
    <w:rsid w:val="00297CF4"/>
    <w:rsid w:val="002A0210"/>
    <w:rsid w:val="002A03F1"/>
    <w:rsid w:val="002A07D8"/>
    <w:rsid w:val="002A0C42"/>
    <w:rsid w:val="002A3761"/>
    <w:rsid w:val="002A3D3D"/>
    <w:rsid w:val="002A4114"/>
    <w:rsid w:val="002A446B"/>
    <w:rsid w:val="002A4E44"/>
    <w:rsid w:val="002A5354"/>
    <w:rsid w:val="002A5BF4"/>
    <w:rsid w:val="002A6105"/>
    <w:rsid w:val="002A73A9"/>
    <w:rsid w:val="002A7864"/>
    <w:rsid w:val="002B0C2C"/>
    <w:rsid w:val="002B10D1"/>
    <w:rsid w:val="002B1624"/>
    <w:rsid w:val="002B1797"/>
    <w:rsid w:val="002B1CD2"/>
    <w:rsid w:val="002B229F"/>
    <w:rsid w:val="002B2426"/>
    <w:rsid w:val="002B27CC"/>
    <w:rsid w:val="002B298D"/>
    <w:rsid w:val="002B2EE1"/>
    <w:rsid w:val="002B3373"/>
    <w:rsid w:val="002B384A"/>
    <w:rsid w:val="002B3C9B"/>
    <w:rsid w:val="002B4958"/>
    <w:rsid w:val="002B4B1C"/>
    <w:rsid w:val="002B4C2E"/>
    <w:rsid w:val="002B4C86"/>
    <w:rsid w:val="002B5288"/>
    <w:rsid w:val="002B53AE"/>
    <w:rsid w:val="002B60B6"/>
    <w:rsid w:val="002B6176"/>
    <w:rsid w:val="002B6BEC"/>
    <w:rsid w:val="002B7A82"/>
    <w:rsid w:val="002B7C8E"/>
    <w:rsid w:val="002C0004"/>
    <w:rsid w:val="002C016F"/>
    <w:rsid w:val="002C0347"/>
    <w:rsid w:val="002C0771"/>
    <w:rsid w:val="002C088D"/>
    <w:rsid w:val="002C0C04"/>
    <w:rsid w:val="002C29F8"/>
    <w:rsid w:val="002C2D3E"/>
    <w:rsid w:val="002C3147"/>
    <w:rsid w:val="002C3A21"/>
    <w:rsid w:val="002C3ABA"/>
    <w:rsid w:val="002C4763"/>
    <w:rsid w:val="002C67F5"/>
    <w:rsid w:val="002C6FB3"/>
    <w:rsid w:val="002C75FE"/>
    <w:rsid w:val="002C7B1A"/>
    <w:rsid w:val="002D0A6D"/>
    <w:rsid w:val="002D1B11"/>
    <w:rsid w:val="002D2514"/>
    <w:rsid w:val="002D38DD"/>
    <w:rsid w:val="002D4F4C"/>
    <w:rsid w:val="002D5CE4"/>
    <w:rsid w:val="002D5DC3"/>
    <w:rsid w:val="002D6616"/>
    <w:rsid w:val="002D6A56"/>
    <w:rsid w:val="002D6B63"/>
    <w:rsid w:val="002D6FED"/>
    <w:rsid w:val="002D776B"/>
    <w:rsid w:val="002E02BA"/>
    <w:rsid w:val="002E11FC"/>
    <w:rsid w:val="002E1BAC"/>
    <w:rsid w:val="002E1E04"/>
    <w:rsid w:val="002E23A1"/>
    <w:rsid w:val="002E28CE"/>
    <w:rsid w:val="002E2AA4"/>
    <w:rsid w:val="002E481F"/>
    <w:rsid w:val="002E4B69"/>
    <w:rsid w:val="002E5104"/>
    <w:rsid w:val="002E5B95"/>
    <w:rsid w:val="002E62DF"/>
    <w:rsid w:val="002E6590"/>
    <w:rsid w:val="002E7455"/>
    <w:rsid w:val="002F02A4"/>
    <w:rsid w:val="002F24FF"/>
    <w:rsid w:val="002F323F"/>
    <w:rsid w:val="002F3B91"/>
    <w:rsid w:val="002F533B"/>
    <w:rsid w:val="002F5BB2"/>
    <w:rsid w:val="002F6082"/>
    <w:rsid w:val="002F6BF5"/>
    <w:rsid w:val="002F6E6C"/>
    <w:rsid w:val="002F7A8E"/>
    <w:rsid w:val="002F7CF0"/>
    <w:rsid w:val="003000E0"/>
    <w:rsid w:val="0030011D"/>
    <w:rsid w:val="00301999"/>
    <w:rsid w:val="00302BCF"/>
    <w:rsid w:val="00303067"/>
    <w:rsid w:val="00303A11"/>
    <w:rsid w:val="00304820"/>
    <w:rsid w:val="00304DF9"/>
    <w:rsid w:val="003052E2"/>
    <w:rsid w:val="003065BA"/>
    <w:rsid w:val="00306BD8"/>
    <w:rsid w:val="00306F35"/>
    <w:rsid w:val="00306F4B"/>
    <w:rsid w:val="00307591"/>
    <w:rsid w:val="0030775E"/>
    <w:rsid w:val="00307867"/>
    <w:rsid w:val="00310381"/>
    <w:rsid w:val="003103E1"/>
    <w:rsid w:val="0031090D"/>
    <w:rsid w:val="00310CB2"/>
    <w:rsid w:val="00311721"/>
    <w:rsid w:val="00311AAE"/>
    <w:rsid w:val="00313D7F"/>
    <w:rsid w:val="003146EB"/>
    <w:rsid w:val="00315CD9"/>
    <w:rsid w:val="00317710"/>
    <w:rsid w:val="00317917"/>
    <w:rsid w:val="00321252"/>
    <w:rsid w:val="00321979"/>
    <w:rsid w:val="00321B24"/>
    <w:rsid w:val="00321E65"/>
    <w:rsid w:val="00324768"/>
    <w:rsid w:val="00324F7E"/>
    <w:rsid w:val="003250F7"/>
    <w:rsid w:val="00325697"/>
    <w:rsid w:val="00325C37"/>
    <w:rsid w:val="00325FD3"/>
    <w:rsid w:val="0032654B"/>
    <w:rsid w:val="003266E4"/>
    <w:rsid w:val="0032697F"/>
    <w:rsid w:val="003270A5"/>
    <w:rsid w:val="00327C6B"/>
    <w:rsid w:val="003302EE"/>
    <w:rsid w:val="00330DD3"/>
    <w:rsid w:val="00330EAA"/>
    <w:rsid w:val="00330F68"/>
    <w:rsid w:val="003312CE"/>
    <w:rsid w:val="003318BA"/>
    <w:rsid w:val="00331DAA"/>
    <w:rsid w:val="003333C5"/>
    <w:rsid w:val="003343D7"/>
    <w:rsid w:val="00334CDB"/>
    <w:rsid w:val="00334CDC"/>
    <w:rsid w:val="00334F75"/>
    <w:rsid w:val="003356E3"/>
    <w:rsid w:val="003364E5"/>
    <w:rsid w:val="00336790"/>
    <w:rsid w:val="00337895"/>
    <w:rsid w:val="00340545"/>
    <w:rsid w:val="00340549"/>
    <w:rsid w:val="003409AF"/>
    <w:rsid w:val="00341805"/>
    <w:rsid w:val="003420D4"/>
    <w:rsid w:val="00342541"/>
    <w:rsid w:val="0034289D"/>
    <w:rsid w:val="00342966"/>
    <w:rsid w:val="00343C44"/>
    <w:rsid w:val="003442D8"/>
    <w:rsid w:val="003445FC"/>
    <w:rsid w:val="00346235"/>
    <w:rsid w:val="00350694"/>
    <w:rsid w:val="00350B99"/>
    <w:rsid w:val="00351241"/>
    <w:rsid w:val="00351DE1"/>
    <w:rsid w:val="00351FA6"/>
    <w:rsid w:val="003522D8"/>
    <w:rsid w:val="00352966"/>
    <w:rsid w:val="00353295"/>
    <w:rsid w:val="0035350F"/>
    <w:rsid w:val="003541D2"/>
    <w:rsid w:val="0035429F"/>
    <w:rsid w:val="00354ADA"/>
    <w:rsid w:val="003553F7"/>
    <w:rsid w:val="00356A6D"/>
    <w:rsid w:val="00357046"/>
    <w:rsid w:val="00357088"/>
    <w:rsid w:val="003576E5"/>
    <w:rsid w:val="00360109"/>
    <w:rsid w:val="00360615"/>
    <w:rsid w:val="00361210"/>
    <w:rsid w:val="0036123B"/>
    <w:rsid w:val="003613F0"/>
    <w:rsid w:val="00361597"/>
    <w:rsid w:val="00361BEF"/>
    <w:rsid w:val="00362ACA"/>
    <w:rsid w:val="00363C28"/>
    <w:rsid w:val="00366205"/>
    <w:rsid w:val="00366C7D"/>
    <w:rsid w:val="003670A9"/>
    <w:rsid w:val="00367142"/>
    <w:rsid w:val="00367178"/>
    <w:rsid w:val="00367462"/>
    <w:rsid w:val="00367555"/>
    <w:rsid w:val="00367708"/>
    <w:rsid w:val="00367B96"/>
    <w:rsid w:val="00367F53"/>
    <w:rsid w:val="00367F9F"/>
    <w:rsid w:val="003702F0"/>
    <w:rsid w:val="00370AA3"/>
    <w:rsid w:val="00371F40"/>
    <w:rsid w:val="00372FF3"/>
    <w:rsid w:val="00373B4F"/>
    <w:rsid w:val="003746A8"/>
    <w:rsid w:val="0037694D"/>
    <w:rsid w:val="0037696F"/>
    <w:rsid w:val="003769C7"/>
    <w:rsid w:val="00377556"/>
    <w:rsid w:val="003779E0"/>
    <w:rsid w:val="00380062"/>
    <w:rsid w:val="0038008F"/>
    <w:rsid w:val="0038033A"/>
    <w:rsid w:val="00380C58"/>
    <w:rsid w:val="00380F77"/>
    <w:rsid w:val="00381350"/>
    <w:rsid w:val="0038213B"/>
    <w:rsid w:val="00382A9D"/>
    <w:rsid w:val="00382B05"/>
    <w:rsid w:val="003836F7"/>
    <w:rsid w:val="00384AB2"/>
    <w:rsid w:val="003854AB"/>
    <w:rsid w:val="00385B5F"/>
    <w:rsid w:val="00392372"/>
    <w:rsid w:val="00392564"/>
    <w:rsid w:val="00392628"/>
    <w:rsid w:val="003929DD"/>
    <w:rsid w:val="00392A92"/>
    <w:rsid w:val="00393AF3"/>
    <w:rsid w:val="003946EC"/>
    <w:rsid w:val="00394BE9"/>
    <w:rsid w:val="003950F9"/>
    <w:rsid w:val="003951F5"/>
    <w:rsid w:val="003955B3"/>
    <w:rsid w:val="0039583F"/>
    <w:rsid w:val="00396422"/>
    <w:rsid w:val="00396A20"/>
    <w:rsid w:val="00396E1F"/>
    <w:rsid w:val="003A046D"/>
    <w:rsid w:val="003A0783"/>
    <w:rsid w:val="003A10CD"/>
    <w:rsid w:val="003A10D3"/>
    <w:rsid w:val="003A110F"/>
    <w:rsid w:val="003A1137"/>
    <w:rsid w:val="003A1AF3"/>
    <w:rsid w:val="003A1DD5"/>
    <w:rsid w:val="003A2695"/>
    <w:rsid w:val="003A26AB"/>
    <w:rsid w:val="003A288C"/>
    <w:rsid w:val="003A2E2A"/>
    <w:rsid w:val="003A2F7A"/>
    <w:rsid w:val="003A3A6F"/>
    <w:rsid w:val="003A3C92"/>
    <w:rsid w:val="003A3D31"/>
    <w:rsid w:val="003A3D3E"/>
    <w:rsid w:val="003A4A6F"/>
    <w:rsid w:val="003A4CDC"/>
    <w:rsid w:val="003A59D8"/>
    <w:rsid w:val="003A5D50"/>
    <w:rsid w:val="003A5F00"/>
    <w:rsid w:val="003A6D19"/>
    <w:rsid w:val="003A764C"/>
    <w:rsid w:val="003A797E"/>
    <w:rsid w:val="003B1871"/>
    <w:rsid w:val="003B1B8B"/>
    <w:rsid w:val="003B1C05"/>
    <w:rsid w:val="003B326B"/>
    <w:rsid w:val="003B429A"/>
    <w:rsid w:val="003B5733"/>
    <w:rsid w:val="003B5AAE"/>
    <w:rsid w:val="003B5C06"/>
    <w:rsid w:val="003B5EB2"/>
    <w:rsid w:val="003B6AA0"/>
    <w:rsid w:val="003B752C"/>
    <w:rsid w:val="003B77C5"/>
    <w:rsid w:val="003B7938"/>
    <w:rsid w:val="003B7FD6"/>
    <w:rsid w:val="003C08A5"/>
    <w:rsid w:val="003C0D79"/>
    <w:rsid w:val="003C0EFE"/>
    <w:rsid w:val="003C1B0D"/>
    <w:rsid w:val="003C2764"/>
    <w:rsid w:val="003C3D9B"/>
    <w:rsid w:val="003C42CF"/>
    <w:rsid w:val="003C52DC"/>
    <w:rsid w:val="003C607F"/>
    <w:rsid w:val="003C71A5"/>
    <w:rsid w:val="003C7710"/>
    <w:rsid w:val="003C77A1"/>
    <w:rsid w:val="003C7E3E"/>
    <w:rsid w:val="003D06E6"/>
    <w:rsid w:val="003D0A59"/>
    <w:rsid w:val="003D160D"/>
    <w:rsid w:val="003D20AF"/>
    <w:rsid w:val="003D2518"/>
    <w:rsid w:val="003D28AE"/>
    <w:rsid w:val="003D3282"/>
    <w:rsid w:val="003D3C65"/>
    <w:rsid w:val="003D3D8A"/>
    <w:rsid w:val="003D41CD"/>
    <w:rsid w:val="003D429E"/>
    <w:rsid w:val="003D51A5"/>
    <w:rsid w:val="003D5331"/>
    <w:rsid w:val="003D54AD"/>
    <w:rsid w:val="003D623B"/>
    <w:rsid w:val="003D708E"/>
    <w:rsid w:val="003D7BCB"/>
    <w:rsid w:val="003D7EB1"/>
    <w:rsid w:val="003E0A22"/>
    <w:rsid w:val="003E10F7"/>
    <w:rsid w:val="003E148E"/>
    <w:rsid w:val="003E1EAF"/>
    <w:rsid w:val="003E362F"/>
    <w:rsid w:val="003E3D8E"/>
    <w:rsid w:val="003E4C68"/>
    <w:rsid w:val="003E4D22"/>
    <w:rsid w:val="003E4F95"/>
    <w:rsid w:val="003E5D28"/>
    <w:rsid w:val="003E6B4D"/>
    <w:rsid w:val="003E6FC9"/>
    <w:rsid w:val="003F0189"/>
    <w:rsid w:val="003F1BDC"/>
    <w:rsid w:val="003F2865"/>
    <w:rsid w:val="003F2926"/>
    <w:rsid w:val="003F2A12"/>
    <w:rsid w:val="003F3E56"/>
    <w:rsid w:val="003F4C35"/>
    <w:rsid w:val="003F5543"/>
    <w:rsid w:val="003F56F2"/>
    <w:rsid w:val="003F59DF"/>
    <w:rsid w:val="003F70F7"/>
    <w:rsid w:val="003F7436"/>
    <w:rsid w:val="004000D1"/>
    <w:rsid w:val="004007E3"/>
    <w:rsid w:val="00400C5B"/>
    <w:rsid w:val="00400D4D"/>
    <w:rsid w:val="00401B99"/>
    <w:rsid w:val="00401F0F"/>
    <w:rsid w:val="00402A1E"/>
    <w:rsid w:val="00402B02"/>
    <w:rsid w:val="00403848"/>
    <w:rsid w:val="0040384E"/>
    <w:rsid w:val="004038BD"/>
    <w:rsid w:val="00404399"/>
    <w:rsid w:val="00404528"/>
    <w:rsid w:val="0040456F"/>
    <w:rsid w:val="00404ADC"/>
    <w:rsid w:val="00404F6D"/>
    <w:rsid w:val="004059BA"/>
    <w:rsid w:val="00405B2C"/>
    <w:rsid w:val="00405C3C"/>
    <w:rsid w:val="0040648C"/>
    <w:rsid w:val="00406928"/>
    <w:rsid w:val="00406BD8"/>
    <w:rsid w:val="00410435"/>
    <w:rsid w:val="004107F9"/>
    <w:rsid w:val="00410D4B"/>
    <w:rsid w:val="00410FEA"/>
    <w:rsid w:val="00411104"/>
    <w:rsid w:val="00411EF3"/>
    <w:rsid w:val="00412140"/>
    <w:rsid w:val="00412358"/>
    <w:rsid w:val="004138E6"/>
    <w:rsid w:val="0041446D"/>
    <w:rsid w:val="00414885"/>
    <w:rsid w:val="0041517E"/>
    <w:rsid w:val="00415D8B"/>
    <w:rsid w:val="00416280"/>
    <w:rsid w:val="004162E3"/>
    <w:rsid w:val="004168EC"/>
    <w:rsid w:val="00416B9F"/>
    <w:rsid w:val="0041762D"/>
    <w:rsid w:val="00417CA1"/>
    <w:rsid w:val="00420DDE"/>
    <w:rsid w:val="0042103E"/>
    <w:rsid w:val="004211BD"/>
    <w:rsid w:val="00421D22"/>
    <w:rsid w:val="00422095"/>
    <w:rsid w:val="00423054"/>
    <w:rsid w:val="0042352D"/>
    <w:rsid w:val="00424C23"/>
    <w:rsid w:val="004256E9"/>
    <w:rsid w:val="00425FC5"/>
    <w:rsid w:val="004300C7"/>
    <w:rsid w:val="00432309"/>
    <w:rsid w:val="00432A28"/>
    <w:rsid w:val="00433033"/>
    <w:rsid w:val="0043341E"/>
    <w:rsid w:val="004335A7"/>
    <w:rsid w:val="004343B3"/>
    <w:rsid w:val="004346D6"/>
    <w:rsid w:val="004348F0"/>
    <w:rsid w:val="00435286"/>
    <w:rsid w:val="0043574B"/>
    <w:rsid w:val="00435D99"/>
    <w:rsid w:val="00436418"/>
    <w:rsid w:val="00436549"/>
    <w:rsid w:val="004369B6"/>
    <w:rsid w:val="00437DC1"/>
    <w:rsid w:val="0044104E"/>
    <w:rsid w:val="0044108D"/>
    <w:rsid w:val="00441864"/>
    <w:rsid w:val="0044189A"/>
    <w:rsid w:val="004419A5"/>
    <w:rsid w:val="004425FD"/>
    <w:rsid w:val="00442DFE"/>
    <w:rsid w:val="00442F25"/>
    <w:rsid w:val="004435DF"/>
    <w:rsid w:val="004438FA"/>
    <w:rsid w:val="004442B5"/>
    <w:rsid w:val="00445EBB"/>
    <w:rsid w:val="004465CA"/>
    <w:rsid w:val="00446AAF"/>
    <w:rsid w:val="00446ADD"/>
    <w:rsid w:val="0044710C"/>
    <w:rsid w:val="00450038"/>
    <w:rsid w:val="00450239"/>
    <w:rsid w:val="00450840"/>
    <w:rsid w:val="00450E38"/>
    <w:rsid w:val="00451C49"/>
    <w:rsid w:val="0045200E"/>
    <w:rsid w:val="00452188"/>
    <w:rsid w:val="004521EC"/>
    <w:rsid w:val="00453A75"/>
    <w:rsid w:val="0045450B"/>
    <w:rsid w:val="004546E4"/>
    <w:rsid w:val="00455C8F"/>
    <w:rsid w:val="00455EDD"/>
    <w:rsid w:val="004563B5"/>
    <w:rsid w:val="004564ED"/>
    <w:rsid w:val="004569DE"/>
    <w:rsid w:val="00456E6B"/>
    <w:rsid w:val="00456E8B"/>
    <w:rsid w:val="004574EC"/>
    <w:rsid w:val="00460052"/>
    <w:rsid w:val="004608A6"/>
    <w:rsid w:val="00461811"/>
    <w:rsid w:val="00461AF8"/>
    <w:rsid w:val="00462034"/>
    <w:rsid w:val="00462400"/>
    <w:rsid w:val="0046265A"/>
    <w:rsid w:val="00463277"/>
    <w:rsid w:val="004641B2"/>
    <w:rsid w:val="0046540E"/>
    <w:rsid w:val="00465A6D"/>
    <w:rsid w:val="00465D73"/>
    <w:rsid w:val="00466C53"/>
    <w:rsid w:val="0047015C"/>
    <w:rsid w:val="00470519"/>
    <w:rsid w:val="00470697"/>
    <w:rsid w:val="00471E7F"/>
    <w:rsid w:val="004726F1"/>
    <w:rsid w:val="00472F6F"/>
    <w:rsid w:val="0047382B"/>
    <w:rsid w:val="0047383D"/>
    <w:rsid w:val="00473E0C"/>
    <w:rsid w:val="00474719"/>
    <w:rsid w:val="00474A08"/>
    <w:rsid w:val="00475CE4"/>
    <w:rsid w:val="00476AA7"/>
    <w:rsid w:val="00476B07"/>
    <w:rsid w:val="00477D62"/>
    <w:rsid w:val="00480543"/>
    <w:rsid w:val="004806E1"/>
    <w:rsid w:val="00480BDE"/>
    <w:rsid w:val="00480C7A"/>
    <w:rsid w:val="00482B86"/>
    <w:rsid w:val="00483E95"/>
    <w:rsid w:val="0048436D"/>
    <w:rsid w:val="004860A4"/>
    <w:rsid w:val="0048637E"/>
    <w:rsid w:val="0048701E"/>
    <w:rsid w:val="00487907"/>
    <w:rsid w:val="004879B8"/>
    <w:rsid w:val="00490157"/>
    <w:rsid w:val="0049074E"/>
    <w:rsid w:val="004910AE"/>
    <w:rsid w:val="004938B4"/>
    <w:rsid w:val="00493BC2"/>
    <w:rsid w:val="00494BFC"/>
    <w:rsid w:val="00494C5D"/>
    <w:rsid w:val="00494EDF"/>
    <w:rsid w:val="004954CF"/>
    <w:rsid w:val="00495A0A"/>
    <w:rsid w:val="00495ACC"/>
    <w:rsid w:val="00496610"/>
    <w:rsid w:val="004977E5"/>
    <w:rsid w:val="00497915"/>
    <w:rsid w:val="00497C68"/>
    <w:rsid w:val="004A0652"/>
    <w:rsid w:val="004A0693"/>
    <w:rsid w:val="004A07B3"/>
    <w:rsid w:val="004A0AF2"/>
    <w:rsid w:val="004A1CC0"/>
    <w:rsid w:val="004A3296"/>
    <w:rsid w:val="004A34A9"/>
    <w:rsid w:val="004A3749"/>
    <w:rsid w:val="004A4684"/>
    <w:rsid w:val="004A494E"/>
    <w:rsid w:val="004A4C47"/>
    <w:rsid w:val="004A4C81"/>
    <w:rsid w:val="004A5100"/>
    <w:rsid w:val="004A5708"/>
    <w:rsid w:val="004A5C69"/>
    <w:rsid w:val="004A5FE8"/>
    <w:rsid w:val="004A6A39"/>
    <w:rsid w:val="004A766A"/>
    <w:rsid w:val="004A7D50"/>
    <w:rsid w:val="004B02C4"/>
    <w:rsid w:val="004B090A"/>
    <w:rsid w:val="004B0CE3"/>
    <w:rsid w:val="004B1012"/>
    <w:rsid w:val="004B1296"/>
    <w:rsid w:val="004B1E27"/>
    <w:rsid w:val="004B24C5"/>
    <w:rsid w:val="004B3472"/>
    <w:rsid w:val="004B40D9"/>
    <w:rsid w:val="004B44D8"/>
    <w:rsid w:val="004B4B04"/>
    <w:rsid w:val="004B5305"/>
    <w:rsid w:val="004B7602"/>
    <w:rsid w:val="004B7C65"/>
    <w:rsid w:val="004B7D70"/>
    <w:rsid w:val="004B7E73"/>
    <w:rsid w:val="004B7E8E"/>
    <w:rsid w:val="004C0063"/>
    <w:rsid w:val="004C0349"/>
    <w:rsid w:val="004C0466"/>
    <w:rsid w:val="004C09AF"/>
    <w:rsid w:val="004C1F04"/>
    <w:rsid w:val="004C315F"/>
    <w:rsid w:val="004C3B2E"/>
    <w:rsid w:val="004C4433"/>
    <w:rsid w:val="004C4699"/>
    <w:rsid w:val="004C5873"/>
    <w:rsid w:val="004C5B61"/>
    <w:rsid w:val="004C5FE6"/>
    <w:rsid w:val="004C6B83"/>
    <w:rsid w:val="004C6C1A"/>
    <w:rsid w:val="004C7A19"/>
    <w:rsid w:val="004C7A29"/>
    <w:rsid w:val="004D01E2"/>
    <w:rsid w:val="004D03AF"/>
    <w:rsid w:val="004D0D77"/>
    <w:rsid w:val="004D10AA"/>
    <w:rsid w:val="004D1A71"/>
    <w:rsid w:val="004D1B65"/>
    <w:rsid w:val="004D1C33"/>
    <w:rsid w:val="004D2632"/>
    <w:rsid w:val="004D2C4D"/>
    <w:rsid w:val="004D2E70"/>
    <w:rsid w:val="004D3ABA"/>
    <w:rsid w:val="004D3CB2"/>
    <w:rsid w:val="004D3E02"/>
    <w:rsid w:val="004D44FC"/>
    <w:rsid w:val="004D4A26"/>
    <w:rsid w:val="004D55FC"/>
    <w:rsid w:val="004D59B5"/>
    <w:rsid w:val="004D69DD"/>
    <w:rsid w:val="004D73E5"/>
    <w:rsid w:val="004E01B7"/>
    <w:rsid w:val="004E0593"/>
    <w:rsid w:val="004E0740"/>
    <w:rsid w:val="004E0756"/>
    <w:rsid w:val="004E0B72"/>
    <w:rsid w:val="004E2004"/>
    <w:rsid w:val="004E35A7"/>
    <w:rsid w:val="004E41EF"/>
    <w:rsid w:val="004E42F0"/>
    <w:rsid w:val="004E558B"/>
    <w:rsid w:val="004E5B9A"/>
    <w:rsid w:val="004E623E"/>
    <w:rsid w:val="004E6589"/>
    <w:rsid w:val="004E7EAF"/>
    <w:rsid w:val="004F0878"/>
    <w:rsid w:val="004F0B10"/>
    <w:rsid w:val="004F1013"/>
    <w:rsid w:val="004F1DE3"/>
    <w:rsid w:val="004F261E"/>
    <w:rsid w:val="004F263E"/>
    <w:rsid w:val="004F27BF"/>
    <w:rsid w:val="004F28E6"/>
    <w:rsid w:val="004F2E12"/>
    <w:rsid w:val="004F335A"/>
    <w:rsid w:val="004F3702"/>
    <w:rsid w:val="004F417E"/>
    <w:rsid w:val="004F42ED"/>
    <w:rsid w:val="004F48D5"/>
    <w:rsid w:val="004F4C9D"/>
    <w:rsid w:val="004F525D"/>
    <w:rsid w:val="004F6201"/>
    <w:rsid w:val="004F7751"/>
    <w:rsid w:val="004F78E9"/>
    <w:rsid w:val="004F7961"/>
    <w:rsid w:val="00503844"/>
    <w:rsid w:val="00503A1D"/>
    <w:rsid w:val="00504AB0"/>
    <w:rsid w:val="0050564E"/>
    <w:rsid w:val="00505891"/>
    <w:rsid w:val="00505A11"/>
    <w:rsid w:val="00505DC7"/>
    <w:rsid w:val="00506212"/>
    <w:rsid w:val="0050706C"/>
    <w:rsid w:val="0050770A"/>
    <w:rsid w:val="00510814"/>
    <w:rsid w:val="00510B83"/>
    <w:rsid w:val="0051141E"/>
    <w:rsid w:val="00511955"/>
    <w:rsid w:val="00511B4C"/>
    <w:rsid w:val="00511B5E"/>
    <w:rsid w:val="005127A3"/>
    <w:rsid w:val="005132D8"/>
    <w:rsid w:val="005137DE"/>
    <w:rsid w:val="00514109"/>
    <w:rsid w:val="00515A1B"/>
    <w:rsid w:val="00516747"/>
    <w:rsid w:val="005174E4"/>
    <w:rsid w:val="00517B8D"/>
    <w:rsid w:val="00520519"/>
    <w:rsid w:val="00520F1E"/>
    <w:rsid w:val="0052254D"/>
    <w:rsid w:val="005228B8"/>
    <w:rsid w:val="005232AF"/>
    <w:rsid w:val="005236F7"/>
    <w:rsid w:val="00524384"/>
    <w:rsid w:val="00524531"/>
    <w:rsid w:val="0052454F"/>
    <w:rsid w:val="00524862"/>
    <w:rsid w:val="005248E9"/>
    <w:rsid w:val="00525067"/>
    <w:rsid w:val="0052509C"/>
    <w:rsid w:val="005275A5"/>
    <w:rsid w:val="00530A80"/>
    <w:rsid w:val="00531011"/>
    <w:rsid w:val="00531214"/>
    <w:rsid w:val="00531866"/>
    <w:rsid w:val="0053254C"/>
    <w:rsid w:val="00534558"/>
    <w:rsid w:val="00535A6D"/>
    <w:rsid w:val="00535AE8"/>
    <w:rsid w:val="00535CEA"/>
    <w:rsid w:val="005360DD"/>
    <w:rsid w:val="00536994"/>
    <w:rsid w:val="00537FB3"/>
    <w:rsid w:val="005414DA"/>
    <w:rsid w:val="00542596"/>
    <w:rsid w:val="005428AF"/>
    <w:rsid w:val="00544D91"/>
    <w:rsid w:val="00544EFD"/>
    <w:rsid w:val="00544F0E"/>
    <w:rsid w:val="005454EC"/>
    <w:rsid w:val="00545676"/>
    <w:rsid w:val="005468D9"/>
    <w:rsid w:val="00547218"/>
    <w:rsid w:val="005473E3"/>
    <w:rsid w:val="005478F4"/>
    <w:rsid w:val="00547AE6"/>
    <w:rsid w:val="0055184F"/>
    <w:rsid w:val="00551B85"/>
    <w:rsid w:val="0055267F"/>
    <w:rsid w:val="00552D1C"/>
    <w:rsid w:val="00553010"/>
    <w:rsid w:val="00553472"/>
    <w:rsid w:val="0055347D"/>
    <w:rsid w:val="0055372B"/>
    <w:rsid w:val="00553DD0"/>
    <w:rsid w:val="00554C90"/>
    <w:rsid w:val="00555705"/>
    <w:rsid w:val="00556618"/>
    <w:rsid w:val="00556CB2"/>
    <w:rsid w:val="005570A4"/>
    <w:rsid w:val="00557626"/>
    <w:rsid w:val="00557B55"/>
    <w:rsid w:val="0056000D"/>
    <w:rsid w:val="00561DDC"/>
    <w:rsid w:val="00561E91"/>
    <w:rsid w:val="00562297"/>
    <w:rsid w:val="005627BE"/>
    <w:rsid w:val="005628A2"/>
    <w:rsid w:val="00562A95"/>
    <w:rsid w:val="00562C36"/>
    <w:rsid w:val="00562DFA"/>
    <w:rsid w:val="005632D1"/>
    <w:rsid w:val="005633D2"/>
    <w:rsid w:val="0056359C"/>
    <w:rsid w:val="00563609"/>
    <w:rsid w:val="005639E6"/>
    <w:rsid w:val="005644B1"/>
    <w:rsid w:val="00564AF1"/>
    <w:rsid w:val="00564FA8"/>
    <w:rsid w:val="005656E4"/>
    <w:rsid w:val="00565FD8"/>
    <w:rsid w:val="005661C8"/>
    <w:rsid w:val="00566891"/>
    <w:rsid w:val="005668AE"/>
    <w:rsid w:val="00567009"/>
    <w:rsid w:val="00567ED2"/>
    <w:rsid w:val="005700DB"/>
    <w:rsid w:val="005700E3"/>
    <w:rsid w:val="00570AA9"/>
    <w:rsid w:val="00570B39"/>
    <w:rsid w:val="00570C8D"/>
    <w:rsid w:val="00570C99"/>
    <w:rsid w:val="00571AAD"/>
    <w:rsid w:val="00571EAB"/>
    <w:rsid w:val="005728B9"/>
    <w:rsid w:val="00572B9E"/>
    <w:rsid w:val="00573518"/>
    <w:rsid w:val="00573529"/>
    <w:rsid w:val="005737E9"/>
    <w:rsid w:val="00574287"/>
    <w:rsid w:val="0057523A"/>
    <w:rsid w:val="00576702"/>
    <w:rsid w:val="005800CD"/>
    <w:rsid w:val="0058284C"/>
    <w:rsid w:val="00582B60"/>
    <w:rsid w:val="005837A4"/>
    <w:rsid w:val="0058390B"/>
    <w:rsid w:val="00584B67"/>
    <w:rsid w:val="00585063"/>
    <w:rsid w:val="00585574"/>
    <w:rsid w:val="00585C31"/>
    <w:rsid w:val="005861D4"/>
    <w:rsid w:val="0058664A"/>
    <w:rsid w:val="00586749"/>
    <w:rsid w:val="0058695C"/>
    <w:rsid w:val="005869A1"/>
    <w:rsid w:val="00587A84"/>
    <w:rsid w:val="00587C3C"/>
    <w:rsid w:val="00587C49"/>
    <w:rsid w:val="005903D6"/>
    <w:rsid w:val="00590C3E"/>
    <w:rsid w:val="005913D6"/>
    <w:rsid w:val="00591FCE"/>
    <w:rsid w:val="00593F27"/>
    <w:rsid w:val="00594122"/>
    <w:rsid w:val="00594876"/>
    <w:rsid w:val="00594D4F"/>
    <w:rsid w:val="00595141"/>
    <w:rsid w:val="005952FF"/>
    <w:rsid w:val="0059578F"/>
    <w:rsid w:val="0059630D"/>
    <w:rsid w:val="00596311"/>
    <w:rsid w:val="00596893"/>
    <w:rsid w:val="005970F9"/>
    <w:rsid w:val="005974CD"/>
    <w:rsid w:val="005A0E0F"/>
    <w:rsid w:val="005A2566"/>
    <w:rsid w:val="005A2ADD"/>
    <w:rsid w:val="005A316B"/>
    <w:rsid w:val="005A3234"/>
    <w:rsid w:val="005A32F2"/>
    <w:rsid w:val="005A3A30"/>
    <w:rsid w:val="005A3BE1"/>
    <w:rsid w:val="005A69E4"/>
    <w:rsid w:val="005A6E4D"/>
    <w:rsid w:val="005A6E75"/>
    <w:rsid w:val="005A7254"/>
    <w:rsid w:val="005B0B5E"/>
    <w:rsid w:val="005B0B80"/>
    <w:rsid w:val="005B176D"/>
    <w:rsid w:val="005B20B8"/>
    <w:rsid w:val="005B23E0"/>
    <w:rsid w:val="005B2536"/>
    <w:rsid w:val="005B25AF"/>
    <w:rsid w:val="005B2673"/>
    <w:rsid w:val="005B3B53"/>
    <w:rsid w:val="005B47CE"/>
    <w:rsid w:val="005B4BF3"/>
    <w:rsid w:val="005B5B97"/>
    <w:rsid w:val="005B660D"/>
    <w:rsid w:val="005B6DD7"/>
    <w:rsid w:val="005B6E0E"/>
    <w:rsid w:val="005B7998"/>
    <w:rsid w:val="005B7FDD"/>
    <w:rsid w:val="005C0346"/>
    <w:rsid w:val="005C16A0"/>
    <w:rsid w:val="005C17E6"/>
    <w:rsid w:val="005C1925"/>
    <w:rsid w:val="005C25D5"/>
    <w:rsid w:val="005C2EC6"/>
    <w:rsid w:val="005C2FC5"/>
    <w:rsid w:val="005C5F81"/>
    <w:rsid w:val="005C6197"/>
    <w:rsid w:val="005C6DA1"/>
    <w:rsid w:val="005C6E53"/>
    <w:rsid w:val="005C6ECC"/>
    <w:rsid w:val="005C7AB1"/>
    <w:rsid w:val="005D032E"/>
    <w:rsid w:val="005D0331"/>
    <w:rsid w:val="005D0C51"/>
    <w:rsid w:val="005D12E6"/>
    <w:rsid w:val="005D160B"/>
    <w:rsid w:val="005D1FC6"/>
    <w:rsid w:val="005D297D"/>
    <w:rsid w:val="005D2E8C"/>
    <w:rsid w:val="005D32E9"/>
    <w:rsid w:val="005D3EA4"/>
    <w:rsid w:val="005D442B"/>
    <w:rsid w:val="005D53F0"/>
    <w:rsid w:val="005D5AF6"/>
    <w:rsid w:val="005D6424"/>
    <w:rsid w:val="005D67AC"/>
    <w:rsid w:val="005D78A2"/>
    <w:rsid w:val="005E08F2"/>
    <w:rsid w:val="005E146A"/>
    <w:rsid w:val="005E2106"/>
    <w:rsid w:val="005E2460"/>
    <w:rsid w:val="005E2815"/>
    <w:rsid w:val="005E3034"/>
    <w:rsid w:val="005E3262"/>
    <w:rsid w:val="005E3B2E"/>
    <w:rsid w:val="005E3B4E"/>
    <w:rsid w:val="005E3C65"/>
    <w:rsid w:val="005E3E42"/>
    <w:rsid w:val="005E3F8B"/>
    <w:rsid w:val="005E419E"/>
    <w:rsid w:val="005E446F"/>
    <w:rsid w:val="005E4A58"/>
    <w:rsid w:val="005E4C03"/>
    <w:rsid w:val="005E58A5"/>
    <w:rsid w:val="005E70C2"/>
    <w:rsid w:val="005E77A3"/>
    <w:rsid w:val="005F018B"/>
    <w:rsid w:val="005F07CE"/>
    <w:rsid w:val="005F11E9"/>
    <w:rsid w:val="005F1607"/>
    <w:rsid w:val="005F16AA"/>
    <w:rsid w:val="005F1B2E"/>
    <w:rsid w:val="005F2310"/>
    <w:rsid w:val="005F4643"/>
    <w:rsid w:val="005F5708"/>
    <w:rsid w:val="005F7794"/>
    <w:rsid w:val="00600799"/>
    <w:rsid w:val="006018FA"/>
    <w:rsid w:val="006028C4"/>
    <w:rsid w:val="0060341C"/>
    <w:rsid w:val="00603F80"/>
    <w:rsid w:val="00604F22"/>
    <w:rsid w:val="006050E2"/>
    <w:rsid w:val="0060612D"/>
    <w:rsid w:val="00606BE8"/>
    <w:rsid w:val="00606D96"/>
    <w:rsid w:val="00606DFC"/>
    <w:rsid w:val="00606ED7"/>
    <w:rsid w:val="00606FC1"/>
    <w:rsid w:val="00607500"/>
    <w:rsid w:val="00607B15"/>
    <w:rsid w:val="00607E81"/>
    <w:rsid w:val="00610381"/>
    <w:rsid w:val="00610A70"/>
    <w:rsid w:val="006114CC"/>
    <w:rsid w:val="00611AEA"/>
    <w:rsid w:val="00611DA8"/>
    <w:rsid w:val="0061276C"/>
    <w:rsid w:val="00613087"/>
    <w:rsid w:val="00613206"/>
    <w:rsid w:val="00613D97"/>
    <w:rsid w:val="0061559F"/>
    <w:rsid w:val="00616180"/>
    <w:rsid w:val="006170EB"/>
    <w:rsid w:val="00617CBF"/>
    <w:rsid w:val="0062004C"/>
    <w:rsid w:val="00620193"/>
    <w:rsid w:val="00620DB1"/>
    <w:rsid w:val="00620DC8"/>
    <w:rsid w:val="00621F40"/>
    <w:rsid w:val="00621F91"/>
    <w:rsid w:val="00621F9B"/>
    <w:rsid w:val="0062251C"/>
    <w:rsid w:val="00622EF0"/>
    <w:rsid w:val="00623950"/>
    <w:rsid w:val="00623B12"/>
    <w:rsid w:val="00623EBB"/>
    <w:rsid w:val="006245CA"/>
    <w:rsid w:val="00624D00"/>
    <w:rsid w:val="00624DFB"/>
    <w:rsid w:val="00625C58"/>
    <w:rsid w:val="00626466"/>
    <w:rsid w:val="0062654F"/>
    <w:rsid w:val="00626A34"/>
    <w:rsid w:val="00627214"/>
    <w:rsid w:val="00630076"/>
    <w:rsid w:val="006304C7"/>
    <w:rsid w:val="00630C68"/>
    <w:rsid w:val="00631E37"/>
    <w:rsid w:val="00632311"/>
    <w:rsid w:val="00632677"/>
    <w:rsid w:val="00632841"/>
    <w:rsid w:val="006336EF"/>
    <w:rsid w:val="00633B33"/>
    <w:rsid w:val="006340DF"/>
    <w:rsid w:val="006344C3"/>
    <w:rsid w:val="006357B8"/>
    <w:rsid w:val="006357F1"/>
    <w:rsid w:val="00635CCF"/>
    <w:rsid w:val="00635F94"/>
    <w:rsid w:val="006374AA"/>
    <w:rsid w:val="006376EA"/>
    <w:rsid w:val="00640F80"/>
    <w:rsid w:val="006415CB"/>
    <w:rsid w:val="00641D31"/>
    <w:rsid w:val="00642CD3"/>
    <w:rsid w:val="0064358E"/>
    <w:rsid w:val="006446F3"/>
    <w:rsid w:val="0064516F"/>
    <w:rsid w:val="00645F63"/>
    <w:rsid w:val="00646584"/>
    <w:rsid w:val="00646809"/>
    <w:rsid w:val="006476D4"/>
    <w:rsid w:val="00647BB7"/>
    <w:rsid w:val="00647CC5"/>
    <w:rsid w:val="00650858"/>
    <w:rsid w:val="00650CCD"/>
    <w:rsid w:val="00652397"/>
    <w:rsid w:val="00652713"/>
    <w:rsid w:val="00652A42"/>
    <w:rsid w:val="00653EE6"/>
    <w:rsid w:val="00655490"/>
    <w:rsid w:val="00657E4D"/>
    <w:rsid w:val="0066080B"/>
    <w:rsid w:val="00660DAC"/>
    <w:rsid w:val="00661604"/>
    <w:rsid w:val="00661E4A"/>
    <w:rsid w:val="00662AF5"/>
    <w:rsid w:val="00662F50"/>
    <w:rsid w:val="00663775"/>
    <w:rsid w:val="00663A23"/>
    <w:rsid w:val="00663B5E"/>
    <w:rsid w:val="00663B6F"/>
    <w:rsid w:val="00663C0E"/>
    <w:rsid w:val="00663FE2"/>
    <w:rsid w:val="00664768"/>
    <w:rsid w:val="00664B9D"/>
    <w:rsid w:val="00664BD4"/>
    <w:rsid w:val="006650EF"/>
    <w:rsid w:val="0066525F"/>
    <w:rsid w:val="006653AE"/>
    <w:rsid w:val="00665696"/>
    <w:rsid w:val="006656F3"/>
    <w:rsid w:val="006657FB"/>
    <w:rsid w:val="00665A6D"/>
    <w:rsid w:val="00665BD6"/>
    <w:rsid w:val="006673A9"/>
    <w:rsid w:val="00667989"/>
    <w:rsid w:val="0067206D"/>
    <w:rsid w:val="0067238C"/>
    <w:rsid w:val="006727C9"/>
    <w:rsid w:val="00672AF9"/>
    <w:rsid w:val="00673894"/>
    <w:rsid w:val="00673A6A"/>
    <w:rsid w:val="00673B7D"/>
    <w:rsid w:val="006742E0"/>
    <w:rsid w:val="00674C02"/>
    <w:rsid w:val="00676329"/>
    <w:rsid w:val="00676568"/>
    <w:rsid w:val="006768EB"/>
    <w:rsid w:val="00676D42"/>
    <w:rsid w:val="006773A2"/>
    <w:rsid w:val="0067774F"/>
    <w:rsid w:val="00680F21"/>
    <w:rsid w:val="006818CB"/>
    <w:rsid w:val="006819C0"/>
    <w:rsid w:val="00681EDC"/>
    <w:rsid w:val="0068249B"/>
    <w:rsid w:val="006841F4"/>
    <w:rsid w:val="006842FF"/>
    <w:rsid w:val="00684846"/>
    <w:rsid w:val="006848AB"/>
    <w:rsid w:val="00684EF6"/>
    <w:rsid w:val="00684FAE"/>
    <w:rsid w:val="006850A5"/>
    <w:rsid w:val="00685194"/>
    <w:rsid w:val="00685D46"/>
    <w:rsid w:val="00686006"/>
    <w:rsid w:val="00687829"/>
    <w:rsid w:val="00687B54"/>
    <w:rsid w:val="00690E62"/>
    <w:rsid w:val="00691D03"/>
    <w:rsid w:val="00692BD3"/>
    <w:rsid w:val="00692E57"/>
    <w:rsid w:val="00694363"/>
    <w:rsid w:val="00694ED0"/>
    <w:rsid w:val="00695006"/>
    <w:rsid w:val="00695761"/>
    <w:rsid w:val="0069588C"/>
    <w:rsid w:val="00695AA4"/>
    <w:rsid w:val="00695B02"/>
    <w:rsid w:val="00696937"/>
    <w:rsid w:val="00696F56"/>
    <w:rsid w:val="00697037"/>
    <w:rsid w:val="0069728F"/>
    <w:rsid w:val="00697DFC"/>
    <w:rsid w:val="006A011A"/>
    <w:rsid w:val="006A0244"/>
    <w:rsid w:val="006A07FC"/>
    <w:rsid w:val="006A112C"/>
    <w:rsid w:val="006A1B26"/>
    <w:rsid w:val="006A21BB"/>
    <w:rsid w:val="006A2923"/>
    <w:rsid w:val="006A3160"/>
    <w:rsid w:val="006A36F2"/>
    <w:rsid w:val="006A3CC0"/>
    <w:rsid w:val="006A3F4F"/>
    <w:rsid w:val="006A4242"/>
    <w:rsid w:val="006A45E0"/>
    <w:rsid w:val="006A4A0B"/>
    <w:rsid w:val="006A4C35"/>
    <w:rsid w:val="006A58A3"/>
    <w:rsid w:val="006A61F5"/>
    <w:rsid w:val="006A6366"/>
    <w:rsid w:val="006A699F"/>
    <w:rsid w:val="006A70C0"/>
    <w:rsid w:val="006A773D"/>
    <w:rsid w:val="006A7FB0"/>
    <w:rsid w:val="006B02C1"/>
    <w:rsid w:val="006B0F21"/>
    <w:rsid w:val="006B1381"/>
    <w:rsid w:val="006B1B51"/>
    <w:rsid w:val="006B23AE"/>
    <w:rsid w:val="006B2636"/>
    <w:rsid w:val="006B2B5A"/>
    <w:rsid w:val="006B38CA"/>
    <w:rsid w:val="006B4002"/>
    <w:rsid w:val="006B4937"/>
    <w:rsid w:val="006B51D0"/>
    <w:rsid w:val="006B52EC"/>
    <w:rsid w:val="006C064C"/>
    <w:rsid w:val="006C1783"/>
    <w:rsid w:val="006C1EC2"/>
    <w:rsid w:val="006C1EE6"/>
    <w:rsid w:val="006C21B8"/>
    <w:rsid w:val="006C27A2"/>
    <w:rsid w:val="006C2A0E"/>
    <w:rsid w:val="006C2B91"/>
    <w:rsid w:val="006C2FAD"/>
    <w:rsid w:val="006C5E97"/>
    <w:rsid w:val="006C6200"/>
    <w:rsid w:val="006C6857"/>
    <w:rsid w:val="006C69AC"/>
    <w:rsid w:val="006C72C4"/>
    <w:rsid w:val="006D03B3"/>
    <w:rsid w:val="006D0491"/>
    <w:rsid w:val="006D0650"/>
    <w:rsid w:val="006D0982"/>
    <w:rsid w:val="006D1BE3"/>
    <w:rsid w:val="006D22E1"/>
    <w:rsid w:val="006D2C45"/>
    <w:rsid w:val="006D4151"/>
    <w:rsid w:val="006D44C3"/>
    <w:rsid w:val="006D5119"/>
    <w:rsid w:val="006D690B"/>
    <w:rsid w:val="006D709A"/>
    <w:rsid w:val="006D70E7"/>
    <w:rsid w:val="006D7FC4"/>
    <w:rsid w:val="006E0E90"/>
    <w:rsid w:val="006E205E"/>
    <w:rsid w:val="006E2235"/>
    <w:rsid w:val="006E2523"/>
    <w:rsid w:val="006E264D"/>
    <w:rsid w:val="006E2ECD"/>
    <w:rsid w:val="006E32DA"/>
    <w:rsid w:val="006E35E8"/>
    <w:rsid w:val="006E3941"/>
    <w:rsid w:val="006E3FB3"/>
    <w:rsid w:val="006E460B"/>
    <w:rsid w:val="006E5264"/>
    <w:rsid w:val="006E6111"/>
    <w:rsid w:val="006E6E04"/>
    <w:rsid w:val="006E7996"/>
    <w:rsid w:val="006E7E06"/>
    <w:rsid w:val="006E7EE7"/>
    <w:rsid w:val="006F057B"/>
    <w:rsid w:val="006F09E0"/>
    <w:rsid w:val="006F0B66"/>
    <w:rsid w:val="006F20FB"/>
    <w:rsid w:val="006F2D7B"/>
    <w:rsid w:val="006F35FA"/>
    <w:rsid w:val="006F3CCF"/>
    <w:rsid w:val="006F5C81"/>
    <w:rsid w:val="006F62BF"/>
    <w:rsid w:val="006F70BE"/>
    <w:rsid w:val="006F771E"/>
    <w:rsid w:val="006F79CD"/>
    <w:rsid w:val="007006DB"/>
    <w:rsid w:val="0070278C"/>
    <w:rsid w:val="00703F67"/>
    <w:rsid w:val="00705E62"/>
    <w:rsid w:val="00706579"/>
    <w:rsid w:val="0070673A"/>
    <w:rsid w:val="00706CCF"/>
    <w:rsid w:val="00706D9E"/>
    <w:rsid w:val="0070717F"/>
    <w:rsid w:val="00707482"/>
    <w:rsid w:val="007103FF"/>
    <w:rsid w:val="00710980"/>
    <w:rsid w:val="00710F68"/>
    <w:rsid w:val="007115C7"/>
    <w:rsid w:val="0071186F"/>
    <w:rsid w:val="00711C19"/>
    <w:rsid w:val="00711E1A"/>
    <w:rsid w:val="00713A51"/>
    <w:rsid w:val="00713FDF"/>
    <w:rsid w:val="007141F6"/>
    <w:rsid w:val="00714924"/>
    <w:rsid w:val="00714CC9"/>
    <w:rsid w:val="00715364"/>
    <w:rsid w:val="0071554C"/>
    <w:rsid w:val="00715BC4"/>
    <w:rsid w:val="00715DE0"/>
    <w:rsid w:val="00716399"/>
    <w:rsid w:val="00716535"/>
    <w:rsid w:val="007167DF"/>
    <w:rsid w:val="00716B1D"/>
    <w:rsid w:val="00716C29"/>
    <w:rsid w:val="00717D4B"/>
    <w:rsid w:val="00721597"/>
    <w:rsid w:val="007215FA"/>
    <w:rsid w:val="00721660"/>
    <w:rsid w:val="00721C39"/>
    <w:rsid w:val="007221A1"/>
    <w:rsid w:val="00722C67"/>
    <w:rsid w:val="00723595"/>
    <w:rsid w:val="00723652"/>
    <w:rsid w:val="00724332"/>
    <w:rsid w:val="007261FA"/>
    <w:rsid w:val="00726AB8"/>
    <w:rsid w:val="00726D14"/>
    <w:rsid w:val="00727938"/>
    <w:rsid w:val="00727CE0"/>
    <w:rsid w:val="00727D0B"/>
    <w:rsid w:val="00730A5F"/>
    <w:rsid w:val="00731184"/>
    <w:rsid w:val="007322BF"/>
    <w:rsid w:val="007323E8"/>
    <w:rsid w:val="007326FB"/>
    <w:rsid w:val="00733F9A"/>
    <w:rsid w:val="00734043"/>
    <w:rsid w:val="0073449D"/>
    <w:rsid w:val="00734E28"/>
    <w:rsid w:val="00734EFF"/>
    <w:rsid w:val="00735084"/>
    <w:rsid w:val="00735194"/>
    <w:rsid w:val="0073539F"/>
    <w:rsid w:val="00737250"/>
    <w:rsid w:val="00737650"/>
    <w:rsid w:val="00737873"/>
    <w:rsid w:val="00737BE7"/>
    <w:rsid w:val="0074002B"/>
    <w:rsid w:val="0074017D"/>
    <w:rsid w:val="00741AF4"/>
    <w:rsid w:val="00742423"/>
    <w:rsid w:val="00742985"/>
    <w:rsid w:val="007429AF"/>
    <w:rsid w:val="007430E3"/>
    <w:rsid w:val="00743679"/>
    <w:rsid w:val="00743DD2"/>
    <w:rsid w:val="007447F5"/>
    <w:rsid w:val="00744A98"/>
    <w:rsid w:val="00744AAF"/>
    <w:rsid w:val="007455F0"/>
    <w:rsid w:val="0074577D"/>
    <w:rsid w:val="0074597D"/>
    <w:rsid w:val="00745BD8"/>
    <w:rsid w:val="007460B4"/>
    <w:rsid w:val="007461ED"/>
    <w:rsid w:val="00746316"/>
    <w:rsid w:val="00746A19"/>
    <w:rsid w:val="00746FC9"/>
    <w:rsid w:val="00747F87"/>
    <w:rsid w:val="00750082"/>
    <w:rsid w:val="0075024A"/>
    <w:rsid w:val="00750782"/>
    <w:rsid w:val="007509E2"/>
    <w:rsid w:val="00750B6A"/>
    <w:rsid w:val="00751797"/>
    <w:rsid w:val="00751C1F"/>
    <w:rsid w:val="00751EF4"/>
    <w:rsid w:val="00752D79"/>
    <w:rsid w:val="007543B1"/>
    <w:rsid w:val="0075490D"/>
    <w:rsid w:val="00754FE9"/>
    <w:rsid w:val="00755113"/>
    <w:rsid w:val="00755367"/>
    <w:rsid w:val="00755627"/>
    <w:rsid w:val="007560B3"/>
    <w:rsid w:val="00756ACF"/>
    <w:rsid w:val="00757056"/>
    <w:rsid w:val="00760610"/>
    <w:rsid w:val="00760EDA"/>
    <w:rsid w:val="007625E6"/>
    <w:rsid w:val="007628A0"/>
    <w:rsid w:val="0076395D"/>
    <w:rsid w:val="007641CF"/>
    <w:rsid w:val="00764DBC"/>
    <w:rsid w:val="007655DE"/>
    <w:rsid w:val="007656B6"/>
    <w:rsid w:val="007658E9"/>
    <w:rsid w:val="00766DE8"/>
    <w:rsid w:val="00770178"/>
    <w:rsid w:val="00770598"/>
    <w:rsid w:val="00770C4C"/>
    <w:rsid w:val="00771385"/>
    <w:rsid w:val="00771700"/>
    <w:rsid w:val="00771DD4"/>
    <w:rsid w:val="00771FB0"/>
    <w:rsid w:val="007738E3"/>
    <w:rsid w:val="0077401C"/>
    <w:rsid w:val="007742A0"/>
    <w:rsid w:val="0077432E"/>
    <w:rsid w:val="00774358"/>
    <w:rsid w:val="007743C0"/>
    <w:rsid w:val="00775B7B"/>
    <w:rsid w:val="00776578"/>
    <w:rsid w:val="0077679E"/>
    <w:rsid w:val="00776CE0"/>
    <w:rsid w:val="00776F9E"/>
    <w:rsid w:val="00777852"/>
    <w:rsid w:val="00777B98"/>
    <w:rsid w:val="00777C3A"/>
    <w:rsid w:val="007823D9"/>
    <w:rsid w:val="007830A7"/>
    <w:rsid w:val="0078387C"/>
    <w:rsid w:val="00783E62"/>
    <w:rsid w:val="007840E3"/>
    <w:rsid w:val="007841BA"/>
    <w:rsid w:val="0078423A"/>
    <w:rsid w:val="007844EB"/>
    <w:rsid w:val="00786363"/>
    <w:rsid w:val="0079053E"/>
    <w:rsid w:val="007905D9"/>
    <w:rsid w:val="00790634"/>
    <w:rsid w:val="00790E5F"/>
    <w:rsid w:val="007922A2"/>
    <w:rsid w:val="00792BBE"/>
    <w:rsid w:val="00792CC0"/>
    <w:rsid w:val="007930CE"/>
    <w:rsid w:val="00793217"/>
    <w:rsid w:val="00793E5A"/>
    <w:rsid w:val="00794327"/>
    <w:rsid w:val="00794483"/>
    <w:rsid w:val="00794E6F"/>
    <w:rsid w:val="00795B27"/>
    <w:rsid w:val="00795C7A"/>
    <w:rsid w:val="00795DB4"/>
    <w:rsid w:val="007961D1"/>
    <w:rsid w:val="00796ABF"/>
    <w:rsid w:val="00797CF4"/>
    <w:rsid w:val="007A11FB"/>
    <w:rsid w:val="007A1B38"/>
    <w:rsid w:val="007A2B8B"/>
    <w:rsid w:val="007A374C"/>
    <w:rsid w:val="007A37B2"/>
    <w:rsid w:val="007A3C33"/>
    <w:rsid w:val="007A4F13"/>
    <w:rsid w:val="007A6CEF"/>
    <w:rsid w:val="007A6EC6"/>
    <w:rsid w:val="007A7033"/>
    <w:rsid w:val="007B022E"/>
    <w:rsid w:val="007B0FF0"/>
    <w:rsid w:val="007B11C8"/>
    <w:rsid w:val="007B3269"/>
    <w:rsid w:val="007B4334"/>
    <w:rsid w:val="007B4628"/>
    <w:rsid w:val="007B6743"/>
    <w:rsid w:val="007B692F"/>
    <w:rsid w:val="007B793C"/>
    <w:rsid w:val="007B7DA1"/>
    <w:rsid w:val="007B7E8B"/>
    <w:rsid w:val="007C0960"/>
    <w:rsid w:val="007C0BC8"/>
    <w:rsid w:val="007C1C41"/>
    <w:rsid w:val="007C2E8A"/>
    <w:rsid w:val="007C30DF"/>
    <w:rsid w:val="007C38BF"/>
    <w:rsid w:val="007C3AA1"/>
    <w:rsid w:val="007C4FAA"/>
    <w:rsid w:val="007C519D"/>
    <w:rsid w:val="007C51D6"/>
    <w:rsid w:val="007C5B09"/>
    <w:rsid w:val="007C649B"/>
    <w:rsid w:val="007D04AC"/>
    <w:rsid w:val="007D0619"/>
    <w:rsid w:val="007D0B68"/>
    <w:rsid w:val="007D0D57"/>
    <w:rsid w:val="007D0F24"/>
    <w:rsid w:val="007D1C0E"/>
    <w:rsid w:val="007D1C4E"/>
    <w:rsid w:val="007D24BC"/>
    <w:rsid w:val="007D2E1B"/>
    <w:rsid w:val="007D35EF"/>
    <w:rsid w:val="007D3893"/>
    <w:rsid w:val="007D3BBD"/>
    <w:rsid w:val="007D44AB"/>
    <w:rsid w:val="007D65B4"/>
    <w:rsid w:val="007E0B9A"/>
    <w:rsid w:val="007E2117"/>
    <w:rsid w:val="007E2B11"/>
    <w:rsid w:val="007E3953"/>
    <w:rsid w:val="007E41E4"/>
    <w:rsid w:val="007E4DC0"/>
    <w:rsid w:val="007E5215"/>
    <w:rsid w:val="007E5B1A"/>
    <w:rsid w:val="007E5EA3"/>
    <w:rsid w:val="007E633E"/>
    <w:rsid w:val="007E714D"/>
    <w:rsid w:val="007E78AB"/>
    <w:rsid w:val="007E78B6"/>
    <w:rsid w:val="007F00A9"/>
    <w:rsid w:val="007F0681"/>
    <w:rsid w:val="007F1118"/>
    <w:rsid w:val="007F1B0D"/>
    <w:rsid w:val="007F2123"/>
    <w:rsid w:val="007F23DD"/>
    <w:rsid w:val="007F2C5B"/>
    <w:rsid w:val="007F32C3"/>
    <w:rsid w:val="007F3813"/>
    <w:rsid w:val="007F3A8E"/>
    <w:rsid w:val="007F4D8D"/>
    <w:rsid w:val="007F5257"/>
    <w:rsid w:val="007F6AAF"/>
    <w:rsid w:val="007F6E87"/>
    <w:rsid w:val="007F70C9"/>
    <w:rsid w:val="007F722B"/>
    <w:rsid w:val="007F7653"/>
    <w:rsid w:val="007F7C45"/>
    <w:rsid w:val="00800DEF"/>
    <w:rsid w:val="008032CF"/>
    <w:rsid w:val="00804FBB"/>
    <w:rsid w:val="00805111"/>
    <w:rsid w:val="008053FE"/>
    <w:rsid w:val="00805857"/>
    <w:rsid w:val="00805A20"/>
    <w:rsid w:val="00806222"/>
    <w:rsid w:val="008073A9"/>
    <w:rsid w:val="008075E9"/>
    <w:rsid w:val="00807A6A"/>
    <w:rsid w:val="00807B4A"/>
    <w:rsid w:val="00807BE9"/>
    <w:rsid w:val="00807D20"/>
    <w:rsid w:val="00807E44"/>
    <w:rsid w:val="00810280"/>
    <w:rsid w:val="008109E4"/>
    <w:rsid w:val="00811AEE"/>
    <w:rsid w:val="00811F92"/>
    <w:rsid w:val="0081232E"/>
    <w:rsid w:val="00812F72"/>
    <w:rsid w:val="00813172"/>
    <w:rsid w:val="00813C33"/>
    <w:rsid w:val="00815E47"/>
    <w:rsid w:val="008161B8"/>
    <w:rsid w:val="00816C60"/>
    <w:rsid w:val="0081745A"/>
    <w:rsid w:val="00817D72"/>
    <w:rsid w:val="00822702"/>
    <w:rsid w:val="008238C8"/>
    <w:rsid w:val="00824D72"/>
    <w:rsid w:val="0082744D"/>
    <w:rsid w:val="00827BD0"/>
    <w:rsid w:val="00830810"/>
    <w:rsid w:val="00830CAA"/>
    <w:rsid w:val="00830CB2"/>
    <w:rsid w:val="00830E46"/>
    <w:rsid w:val="00830E74"/>
    <w:rsid w:val="00831B3B"/>
    <w:rsid w:val="00831EAF"/>
    <w:rsid w:val="00831FAE"/>
    <w:rsid w:val="0083202E"/>
    <w:rsid w:val="0083203A"/>
    <w:rsid w:val="00832AD6"/>
    <w:rsid w:val="00832B42"/>
    <w:rsid w:val="00833629"/>
    <w:rsid w:val="00834085"/>
    <w:rsid w:val="008348B5"/>
    <w:rsid w:val="00834B39"/>
    <w:rsid w:val="0083547C"/>
    <w:rsid w:val="0083579F"/>
    <w:rsid w:val="0083596F"/>
    <w:rsid w:val="008359F4"/>
    <w:rsid w:val="00835BF9"/>
    <w:rsid w:val="00835DA2"/>
    <w:rsid w:val="00836104"/>
    <w:rsid w:val="00836291"/>
    <w:rsid w:val="008367A0"/>
    <w:rsid w:val="00836C31"/>
    <w:rsid w:val="008371DC"/>
    <w:rsid w:val="0083720C"/>
    <w:rsid w:val="0083773E"/>
    <w:rsid w:val="008401A8"/>
    <w:rsid w:val="0084022E"/>
    <w:rsid w:val="0084080C"/>
    <w:rsid w:val="008411BC"/>
    <w:rsid w:val="00841521"/>
    <w:rsid w:val="00841783"/>
    <w:rsid w:val="00842322"/>
    <w:rsid w:val="0084235C"/>
    <w:rsid w:val="00842371"/>
    <w:rsid w:val="008426CF"/>
    <w:rsid w:val="00842A36"/>
    <w:rsid w:val="00843118"/>
    <w:rsid w:val="008433EE"/>
    <w:rsid w:val="00844394"/>
    <w:rsid w:val="00845250"/>
    <w:rsid w:val="00845569"/>
    <w:rsid w:val="00845DAA"/>
    <w:rsid w:val="00846702"/>
    <w:rsid w:val="008471B8"/>
    <w:rsid w:val="0084748B"/>
    <w:rsid w:val="0085029E"/>
    <w:rsid w:val="00850383"/>
    <w:rsid w:val="00850840"/>
    <w:rsid w:val="00850FEE"/>
    <w:rsid w:val="00851A7B"/>
    <w:rsid w:val="0085286B"/>
    <w:rsid w:val="008532E1"/>
    <w:rsid w:val="008535AA"/>
    <w:rsid w:val="00853630"/>
    <w:rsid w:val="00853955"/>
    <w:rsid w:val="00854109"/>
    <w:rsid w:val="00854A20"/>
    <w:rsid w:val="00854C21"/>
    <w:rsid w:val="00854E22"/>
    <w:rsid w:val="008556C0"/>
    <w:rsid w:val="00855D10"/>
    <w:rsid w:val="00857720"/>
    <w:rsid w:val="00857D9D"/>
    <w:rsid w:val="00857F4A"/>
    <w:rsid w:val="00860D6A"/>
    <w:rsid w:val="00861774"/>
    <w:rsid w:val="0086272C"/>
    <w:rsid w:val="00863008"/>
    <w:rsid w:val="008635CD"/>
    <w:rsid w:val="0086363B"/>
    <w:rsid w:val="008637F7"/>
    <w:rsid w:val="008649A9"/>
    <w:rsid w:val="00864A3F"/>
    <w:rsid w:val="00865063"/>
    <w:rsid w:val="008679A5"/>
    <w:rsid w:val="00870239"/>
    <w:rsid w:val="0087094B"/>
    <w:rsid w:val="00870C81"/>
    <w:rsid w:val="00870F20"/>
    <w:rsid w:val="00871054"/>
    <w:rsid w:val="00871A38"/>
    <w:rsid w:val="00871A82"/>
    <w:rsid w:val="00871EBC"/>
    <w:rsid w:val="008729A7"/>
    <w:rsid w:val="008737B1"/>
    <w:rsid w:val="00873DF2"/>
    <w:rsid w:val="00873E56"/>
    <w:rsid w:val="008740E6"/>
    <w:rsid w:val="008741CD"/>
    <w:rsid w:val="00874ED5"/>
    <w:rsid w:val="00875144"/>
    <w:rsid w:val="0087517E"/>
    <w:rsid w:val="00875C24"/>
    <w:rsid w:val="00876814"/>
    <w:rsid w:val="008768CD"/>
    <w:rsid w:val="00876B12"/>
    <w:rsid w:val="008775F4"/>
    <w:rsid w:val="00877E27"/>
    <w:rsid w:val="00877E93"/>
    <w:rsid w:val="0088117E"/>
    <w:rsid w:val="008813D0"/>
    <w:rsid w:val="00881638"/>
    <w:rsid w:val="00882D01"/>
    <w:rsid w:val="00882D8B"/>
    <w:rsid w:val="0088304B"/>
    <w:rsid w:val="008835C7"/>
    <w:rsid w:val="008839D2"/>
    <w:rsid w:val="00883CC7"/>
    <w:rsid w:val="00883DDA"/>
    <w:rsid w:val="0088409F"/>
    <w:rsid w:val="0088486A"/>
    <w:rsid w:val="00884E4A"/>
    <w:rsid w:val="008855F2"/>
    <w:rsid w:val="0088594C"/>
    <w:rsid w:val="00886058"/>
    <w:rsid w:val="00887352"/>
    <w:rsid w:val="00887535"/>
    <w:rsid w:val="00887795"/>
    <w:rsid w:val="00887AA4"/>
    <w:rsid w:val="008901BA"/>
    <w:rsid w:val="00890300"/>
    <w:rsid w:val="00890FB4"/>
    <w:rsid w:val="00891219"/>
    <w:rsid w:val="00891766"/>
    <w:rsid w:val="008922C6"/>
    <w:rsid w:val="00893303"/>
    <w:rsid w:val="00893F62"/>
    <w:rsid w:val="008951AE"/>
    <w:rsid w:val="008951E1"/>
    <w:rsid w:val="008953E5"/>
    <w:rsid w:val="00895447"/>
    <w:rsid w:val="0089579C"/>
    <w:rsid w:val="00895CCF"/>
    <w:rsid w:val="00897620"/>
    <w:rsid w:val="008977FB"/>
    <w:rsid w:val="008A00F2"/>
    <w:rsid w:val="008A05FC"/>
    <w:rsid w:val="008A0B4C"/>
    <w:rsid w:val="008A0C5A"/>
    <w:rsid w:val="008A1166"/>
    <w:rsid w:val="008A16CC"/>
    <w:rsid w:val="008A1AF9"/>
    <w:rsid w:val="008A238F"/>
    <w:rsid w:val="008A2509"/>
    <w:rsid w:val="008A256C"/>
    <w:rsid w:val="008A2638"/>
    <w:rsid w:val="008A3C08"/>
    <w:rsid w:val="008A3D59"/>
    <w:rsid w:val="008A46E9"/>
    <w:rsid w:val="008A4CCC"/>
    <w:rsid w:val="008A4F4E"/>
    <w:rsid w:val="008A5295"/>
    <w:rsid w:val="008A5AC4"/>
    <w:rsid w:val="008A630A"/>
    <w:rsid w:val="008A66DA"/>
    <w:rsid w:val="008A6A78"/>
    <w:rsid w:val="008A6C5C"/>
    <w:rsid w:val="008A70D3"/>
    <w:rsid w:val="008A737F"/>
    <w:rsid w:val="008A7947"/>
    <w:rsid w:val="008A7AF7"/>
    <w:rsid w:val="008B0184"/>
    <w:rsid w:val="008B0EF8"/>
    <w:rsid w:val="008B1125"/>
    <w:rsid w:val="008B1250"/>
    <w:rsid w:val="008B1EA5"/>
    <w:rsid w:val="008B25B5"/>
    <w:rsid w:val="008B3029"/>
    <w:rsid w:val="008B3F6B"/>
    <w:rsid w:val="008B4032"/>
    <w:rsid w:val="008B40AA"/>
    <w:rsid w:val="008B53FB"/>
    <w:rsid w:val="008B550D"/>
    <w:rsid w:val="008B5C64"/>
    <w:rsid w:val="008B61D6"/>
    <w:rsid w:val="008B6397"/>
    <w:rsid w:val="008B6F9F"/>
    <w:rsid w:val="008B7110"/>
    <w:rsid w:val="008B7AAB"/>
    <w:rsid w:val="008C072B"/>
    <w:rsid w:val="008C0F2E"/>
    <w:rsid w:val="008C1B15"/>
    <w:rsid w:val="008C1B25"/>
    <w:rsid w:val="008C2B82"/>
    <w:rsid w:val="008C2D4F"/>
    <w:rsid w:val="008C38EE"/>
    <w:rsid w:val="008C52D3"/>
    <w:rsid w:val="008C575A"/>
    <w:rsid w:val="008C5A39"/>
    <w:rsid w:val="008C5B06"/>
    <w:rsid w:val="008C5F44"/>
    <w:rsid w:val="008C6722"/>
    <w:rsid w:val="008C6ADB"/>
    <w:rsid w:val="008C7199"/>
    <w:rsid w:val="008C7B0F"/>
    <w:rsid w:val="008D0C40"/>
    <w:rsid w:val="008D3914"/>
    <w:rsid w:val="008D4477"/>
    <w:rsid w:val="008D4994"/>
    <w:rsid w:val="008D4B93"/>
    <w:rsid w:val="008D4EBC"/>
    <w:rsid w:val="008D4EEE"/>
    <w:rsid w:val="008D562C"/>
    <w:rsid w:val="008D7BC4"/>
    <w:rsid w:val="008D7DE9"/>
    <w:rsid w:val="008D7F7C"/>
    <w:rsid w:val="008E0A0A"/>
    <w:rsid w:val="008E0D13"/>
    <w:rsid w:val="008E0DE5"/>
    <w:rsid w:val="008E1970"/>
    <w:rsid w:val="008E2612"/>
    <w:rsid w:val="008E2F7B"/>
    <w:rsid w:val="008E3858"/>
    <w:rsid w:val="008E389E"/>
    <w:rsid w:val="008E3905"/>
    <w:rsid w:val="008E54F2"/>
    <w:rsid w:val="008E64F8"/>
    <w:rsid w:val="008E66E8"/>
    <w:rsid w:val="008E6744"/>
    <w:rsid w:val="008E7013"/>
    <w:rsid w:val="008E7045"/>
    <w:rsid w:val="008E710D"/>
    <w:rsid w:val="008E731C"/>
    <w:rsid w:val="008E75A3"/>
    <w:rsid w:val="008E7EF3"/>
    <w:rsid w:val="008E7F9A"/>
    <w:rsid w:val="008E7FB6"/>
    <w:rsid w:val="008F0566"/>
    <w:rsid w:val="008F1092"/>
    <w:rsid w:val="008F1823"/>
    <w:rsid w:val="008F26B8"/>
    <w:rsid w:val="008F2C41"/>
    <w:rsid w:val="008F381E"/>
    <w:rsid w:val="008F3976"/>
    <w:rsid w:val="008F3E27"/>
    <w:rsid w:val="008F44DA"/>
    <w:rsid w:val="008F46CE"/>
    <w:rsid w:val="008F49B0"/>
    <w:rsid w:val="008F4D53"/>
    <w:rsid w:val="008F4F1A"/>
    <w:rsid w:val="008F5BF8"/>
    <w:rsid w:val="008F66E2"/>
    <w:rsid w:val="008F6E81"/>
    <w:rsid w:val="008F7BA9"/>
    <w:rsid w:val="009001A9"/>
    <w:rsid w:val="009003CF"/>
    <w:rsid w:val="009004B4"/>
    <w:rsid w:val="00900ACE"/>
    <w:rsid w:val="00901109"/>
    <w:rsid w:val="00901C9A"/>
    <w:rsid w:val="00901CCB"/>
    <w:rsid w:val="00901DED"/>
    <w:rsid w:val="009025BF"/>
    <w:rsid w:val="00902D88"/>
    <w:rsid w:val="00903479"/>
    <w:rsid w:val="0090380A"/>
    <w:rsid w:val="00903C14"/>
    <w:rsid w:val="00904C82"/>
    <w:rsid w:val="00904E74"/>
    <w:rsid w:val="009053C8"/>
    <w:rsid w:val="009054E2"/>
    <w:rsid w:val="00905801"/>
    <w:rsid w:val="00905B6A"/>
    <w:rsid w:val="0090634D"/>
    <w:rsid w:val="009064C5"/>
    <w:rsid w:val="00906846"/>
    <w:rsid w:val="0090724C"/>
    <w:rsid w:val="00907B91"/>
    <w:rsid w:val="0091050E"/>
    <w:rsid w:val="009106EE"/>
    <w:rsid w:val="009108B3"/>
    <w:rsid w:val="009111B1"/>
    <w:rsid w:val="00911D6C"/>
    <w:rsid w:val="00912A1D"/>
    <w:rsid w:val="00912C0C"/>
    <w:rsid w:val="00912C6D"/>
    <w:rsid w:val="00913136"/>
    <w:rsid w:val="00913D5E"/>
    <w:rsid w:val="00913F5D"/>
    <w:rsid w:val="00914A25"/>
    <w:rsid w:val="00914D23"/>
    <w:rsid w:val="00914F3F"/>
    <w:rsid w:val="00915063"/>
    <w:rsid w:val="009153C4"/>
    <w:rsid w:val="00915F2F"/>
    <w:rsid w:val="00916D86"/>
    <w:rsid w:val="00920596"/>
    <w:rsid w:val="00920DCE"/>
    <w:rsid w:val="009225A4"/>
    <w:rsid w:val="009227BD"/>
    <w:rsid w:val="009231BC"/>
    <w:rsid w:val="009235C1"/>
    <w:rsid w:val="00923A80"/>
    <w:rsid w:val="00924CA6"/>
    <w:rsid w:val="009254FD"/>
    <w:rsid w:val="009273B8"/>
    <w:rsid w:val="0092764F"/>
    <w:rsid w:val="009278D4"/>
    <w:rsid w:val="00927EEB"/>
    <w:rsid w:val="009301DC"/>
    <w:rsid w:val="00930277"/>
    <w:rsid w:val="00930A8B"/>
    <w:rsid w:val="00930AB8"/>
    <w:rsid w:val="00930D3B"/>
    <w:rsid w:val="009310C4"/>
    <w:rsid w:val="00931257"/>
    <w:rsid w:val="009312BB"/>
    <w:rsid w:val="009315A4"/>
    <w:rsid w:val="00931640"/>
    <w:rsid w:val="00931695"/>
    <w:rsid w:val="00931F8A"/>
    <w:rsid w:val="009328F3"/>
    <w:rsid w:val="00933393"/>
    <w:rsid w:val="00933433"/>
    <w:rsid w:val="009339DA"/>
    <w:rsid w:val="00933CE4"/>
    <w:rsid w:val="00934425"/>
    <w:rsid w:val="00934B99"/>
    <w:rsid w:val="0093520D"/>
    <w:rsid w:val="00935358"/>
    <w:rsid w:val="00935A64"/>
    <w:rsid w:val="00935A71"/>
    <w:rsid w:val="00935CC9"/>
    <w:rsid w:val="00936367"/>
    <w:rsid w:val="00936DC8"/>
    <w:rsid w:val="00936FB8"/>
    <w:rsid w:val="00937568"/>
    <w:rsid w:val="009379AA"/>
    <w:rsid w:val="00940040"/>
    <w:rsid w:val="009402DC"/>
    <w:rsid w:val="0094069D"/>
    <w:rsid w:val="009406A1"/>
    <w:rsid w:val="009414F1"/>
    <w:rsid w:val="009419A4"/>
    <w:rsid w:val="009422F7"/>
    <w:rsid w:val="009426D9"/>
    <w:rsid w:val="00942C80"/>
    <w:rsid w:val="00942DE1"/>
    <w:rsid w:val="00943B19"/>
    <w:rsid w:val="00944AA7"/>
    <w:rsid w:val="00945651"/>
    <w:rsid w:val="00946A67"/>
    <w:rsid w:val="00947022"/>
    <w:rsid w:val="009471D4"/>
    <w:rsid w:val="009474E1"/>
    <w:rsid w:val="00947BDB"/>
    <w:rsid w:val="00947D69"/>
    <w:rsid w:val="00947DB7"/>
    <w:rsid w:val="00950075"/>
    <w:rsid w:val="009508ED"/>
    <w:rsid w:val="009513A2"/>
    <w:rsid w:val="009526F9"/>
    <w:rsid w:val="0095290F"/>
    <w:rsid w:val="00953C0F"/>
    <w:rsid w:val="0095418A"/>
    <w:rsid w:val="00954713"/>
    <w:rsid w:val="00954AF7"/>
    <w:rsid w:val="00955022"/>
    <w:rsid w:val="00955216"/>
    <w:rsid w:val="0095553E"/>
    <w:rsid w:val="00956CF1"/>
    <w:rsid w:val="00956CFA"/>
    <w:rsid w:val="00956FC2"/>
    <w:rsid w:val="0095721E"/>
    <w:rsid w:val="009575BB"/>
    <w:rsid w:val="00957B41"/>
    <w:rsid w:val="00957EBA"/>
    <w:rsid w:val="00960746"/>
    <w:rsid w:val="0096098C"/>
    <w:rsid w:val="00960A66"/>
    <w:rsid w:val="00960F4C"/>
    <w:rsid w:val="0096107A"/>
    <w:rsid w:val="00961CB3"/>
    <w:rsid w:val="00962465"/>
    <w:rsid w:val="00962770"/>
    <w:rsid w:val="00962D16"/>
    <w:rsid w:val="0096440B"/>
    <w:rsid w:val="00964A86"/>
    <w:rsid w:val="0096532B"/>
    <w:rsid w:val="0096626C"/>
    <w:rsid w:val="009672F6"/>
    <w:rsid w:val="00967C0A"/>
    <w:rsid w:val="00970DC6"/>
    <w:rsid w:val="00971CD3"/>
    <w:rsid w:val="00972C26"/>
    <w:rsid w:val="00972D54"/>
    <w:rsid w:val="00973963"/>
    <w:rsid w:val="0097396B"/>
    <w:rsid w:val="00973A2D"/>
    <w:rsid w:val="009747DF"/>
    <w:rsid w:val="00974A4D"/>
    <w:rsid w:val="00975188"/>
    <w:rsid w:val="00975349"/>
    <w:rsid w:val="00975419"/>
    <w:rsid w:val="009760EC"/>
    <w:rsid w:val="00976504"/>
    <w:rsid w:val="00976D38"/>
    <w:rsid w:val="0097760A"/>
    <w:rsid w:val="00977D67"/>
    <w:rsid w:val="0098057D"/>
    <w:rsid w:val="00980B10"/>
    <w:rsid w:val="00980CF7"/>
    <w:rsid w:val="00981330"/>
    <w:rsid w:val="00981F00"/>
    <w:rsid w:val="00982793"/>
    <w:rsid w:val="00982C1A"/>
    <w:rsid w:val="00982DEF"/>
    <w:rsid w:val="0098403B"/>
    <w:rsid w:val="0098469B"/>
    <w:rsid w:val="00984D5A"/>
    <w:rsid w:val="00984F02"/>
    <w:rsid w:val="0098524A"/>
    <w:rsid w:val="00985C82"/>
    <w:rsid w:val="00985CAB"/>
    <w:rsid w:val="00985DA3"/>
    <w:rsid w:val="00985F33"/>
    <w:rsid w:val="00986DF4"/>
    <w:rsid w:val="00991437"/>
    <w:rsid w:val="00991BCC"/>
    <w:rsid w:val="00992B0A"/>
    <w:rsid w:val="00992CB9"/>
    <w:rsid w:val="00993688"/>
    <w:rsid w:val="009938FE"/>
    <w:rsid w:val="00993DBB"/>
    <w:rsid w:val="00993FA5"/>
    <w:rsid w:val="00994402"/>
    <w:rsid w:val="00994A0F"/>
    <w:rsid w:val="00995363"/>
    <w:rsid w:val="009957BE"/>
    <w:rsid w:val="0099767E"/>
    <w:rsid w:val="009A0CB3"/>
    <w:rsid w:val="009A0DDA"/>
    <w:rsid w:val="009A2E69"/>
    <w:rsid w:val="009A3B2E"/>
    <w:rsid w:val="009A4AD6"/>
    <w:rsid w:val="009A51A7"/>
    <w:rsid w:val="009A5C1D"/>
    <w:rsid w:val="009A646C"/>
    <w:rsid w:val="009A7382"/>
    <w:rsid w:val="009A7A6E"/>
    <w:rsid w:val="009B0527"/>
    <w:rsid w:val="009B05E3"/>
    <w:rsid w:val="009B09DB"/>
    <w:rsid w:val="009B0D8E"/>
    <w:rsid w:val="009B162F"/>
    <w:rsid w:val="009B3917"/>
    <w:rsid w:val="009B3D70"/>
    <w:rsid w:val="009B3DC0"/>
    <w:rsid w:val="009B3E02"/>
    <w:rsid w:val="009B4A76"/>
    <w:rsid w:val="009B4ED6"/>
    <w:rsid w:val="009B503D"/>
    <w:rsid w:val="009B5164"/>
    <w:rsid w:val="009B69BD"/>
    <w:rsid w:val="009B6C06"/>
    <w:rsid w:val="009B6C17"/>
    <w:rsid w:val="009B6DE3"/>
    <w:rsid w:val="009B70F8"/>
    <w:rsid w:val="009B713A"/>
    <w:rsid w:val="009B7476"/>
    <w:rsid w:val="009B77D4"/>
    <w:rsid w:val="009B7AE7"/>
    <w:rsid w:val="009C097B"/>
    <w:rsid w:val="009C372F"/>
    <w:rsid w:val="009C3BE3"/>
    <w:rsid w:val="009C447B"/>
    <w:rsid w:val="009C475F"/>
    <w:rsid w:val="009C5212"/>
    <w:rsid w:val="009C60B9"/>
    <w:rsid w:val="009C6452"/>
    <w:rsid w:val="009C65E6"/>
    <w:rsid w:val="009C7186"/>
    <w:rsid w:val="009C7AF0"/>
    <w:rsid w:val="009D0218"/>
    <w:rsid w:val="009D05C9"/>
    <w:rsid w:val="009D1354"/>
    <w:rsid w:val="009D18AB"/>
    <w:rsid w:val="009D1F2B"/>
    <w:rsid w:val="009D20F3"/>
    <w:rsid w:val="009D213A"/>
    <w:rsid w:val="009D29E5"/>
    <w:rsid w:val="009D3AAD"/>
    <w:rsid w:val="009D42CA"/>
    <w:rsid w:val="009D47D4"/>
    <w:rsid w:val="009D4DBD"/>
    <w:rsid w:val="009D55F1"/>
    <w:rsid w:val="009D5AEC"/>
    <w:rsid w:val="009D5D3B"/>
    <w:rsid w:val="009D6FD6"/>
    <w:rsid w:val="009D7202"/>
    <w:rsid w:val="009E0C12"/>
    <w:rsid w:val="009E19C8"/>
    <w:rsid w:val="009E1AC2"/>
    <w:rsid w:val="009E29CB"/>
    <w:rsid w:val="009E2D62"/>
    <w:rsid w:val="009E329A"/>
    <w:rsid w:val="009E369F"/>
    <w:rsid w:val="009E396A"/>
    <w:rsid w:val="009E3B43"/>
    <w:rsid w:val="009E4832"/>
    <w:rsid w:val="009E5218"/>
    <w:rsid w:val="009E54C5"/>
    <w:rsid w:val="009E5A0D"/>
    <w:rsid w:val="009F0715"/>
    <w:rsid w:val="009F0F52"/>
    <w:rsid w:val="009F0FFB"/>
    <w:rsid w:val="009F10D7"/>
    <w:rsid w:val="009F16D4"/>
    <w:rsid w:val="009F17C4"/>
    <w:rsid w:val="009F1869"/>
    <w:rsid w:val="009F1CBC"/>
    <w:rsid w:val="009F2BEA"/>
    <w:rsid w:val="009F2D50"/>
    <w:rsid w:val="009F30BD"/>
    <w:rsid w:val="009F36D7"/>
    <w:rsid w:val="009F38AA"/>
    <w:rsid w:val="009F3E4A"/>
    <w:rsid w:val="009F422C"/>
    <w:rsid w:val="009F574D"/>
    <w:rsid w:val="009F5875"/>
    <w:rsid w:val="009F5B9F"/>
    <w:rsid w:val="009F6109"/>
    <w:rsid w:val="009F718D"/>
    <w:rsid w:val="009F75B3"/>
    <w:rsid w:val="009F7A49"/>
    <w:rsid w:val="00A00129"/>
    <w:rsid w:val="00A0089B"/>
    <w:rsid w:val="00A01E30"/>
    <w:rsid w:val="00A02B3B"/>
    <w:rsid w:val="00A034DE"/>
    <w:rsid w:val="00A04749"/>
    <w:rsid w:val="00A05B67"/>
    <w:rsid w:val="00A0655E"/>
    <w:rsid w:val="00A07C5F"/>
    <w:rsid w:val="00A11827"/>
    <w:rsid w:val="00A11BE0"/>
    <w:rsid w:val="00A137E4"/>
    <w:rsid w:val="00A13AE3"/>
    <w:rsid w:val="00A145DF"/>
    <w:rsid w:val="00A14944"/>
    <w:rsid w:val="00A1536D"/>
    <w:rsid w:val="00A16160"/>
    <w:rsid w:val="00A216C0"/>
    <w:rsid w:val="00A22386"/>
    <w:rsid w:val="00A22822"/>
    <w:rsid w:val="00A2289D"/>
    <w:rsid w:val="00A22FEB"/>
    <w:rsid w:val="00A23BBC"/>
    <w:rsid w:val="00A23EF0"/>
    <w:rsid w:val="00A2469A"/>
    <w:rsid w:val="00A24B44"/>
    <w:rsid w:val="00A25AE2"/>
    <w:rsid w:val="00A25F17"/>
    <w:rsid w:val="00A26023"/>
    <w:rsid w:val="00A2666A"/>
    <w:rsid w:val="00A27F8A"/>
    <w:rsid w:val="00A305BA"/>
    <w:rsid w:val="00A30652"/>
    <w:rsid w:val="00A31492"/>
    <w:rsid w:val="00A31688"/>
    <w:rsid w:val="00A3213F"/>
    <w:rsid w:val="00A322DD"/>
    <w:rsid w:val="00A327F2"/>
    <w:rsid w:val="00A33A53"/>
    <w:rsid w:val="00A34A9D"/>
    <w:rsid w:val="00A34B09"/>
    <w:rsid w:val="00A3584A"/>
    <w:rsid w:val="00A36255"/>
    <w:rsid w:val="00A3701E"/>
    <w:rsid w:val="00A37C17"/>
    <w:rsid w:val="00A406EB"/>
    <w:rsid w:val="00A40909"/>
    <w:rsid w:val="00A4094D"/>
    <w:rsid w:val="00A40D41"/>
    <w:rsid w:val="00A41280"/>
    <w:rsid w:val="00A417C0"/>
    <w:rsid w:val="00A44758"/>
    <w:rsid w:val="00A44D17"/>
    <w:rsid w:val="00A454DB"/>
    <w:rsid w:val="00A45668"/>
    <w:rsid w:val="00A45941"/>
    <w:rsid w:val="00A46671"/>
    <w:rsid w:val="00A47A9B"/>
    <w:rsid w:val="00A47BC7"/>
    <w:rsid w:val="00A47E70"/>
    <w:rsid w:val="00A51793"/>
    <w:rsid w:val="00A51D36"/>
    <w:rsid w:val="00A523D9"/>
    <w:rsid w:val="00A52B3A"/>
    <w:rsid w:val="00A53037"/>
    <w:rsid w:val="00A530C1"/>
    <w:rsid w:val="00A53E19"/>
    <w:rsid w:val="00A54549"/>
    <w:rsid w:val="00A54F36"/>
    <w:rsid w:val="00A55654"/>
    <w:rsid w:val="00A578F3"/>
    <w:rsid w:val="00A57C2A"/>
    <w:rsid w:val="00A60E2A"/>
    <w:rsid w:val="00A61A20"/>
    <w:rsid w:val="00A623ED"/>
    <w:rsid w:val="00A63C22"/>
    <w:rsid w:val="00A63E2F"/>
    <w:rsid w:val="00A64AFA"/>
    <w:rsid w:val="00A652C2"/>
    <w:rsid w:val="00A65A6F"/>
    <w:rsid w:val="00A6668E"/>
    <w:rsid w:val="00A66B5F"/>
    <w:rsid w:val="00A674BE"/>
    <w:rsid w:val="00A67953"/>
    <w:rsid w:val="00A67B0E"/>
    <w:rsid w:val="00A70291"/>
    <w:rsid w:val="00A7035F"/>
    <w:rsid w:val="00A703B9"/>
    <w:rsid w:val="00A70C5D"/>
    <w:rsid w:val="00A70DFF"/>
    <w:rsid w:val="00A71F01"/>
    <w:rsid w:val="00A7277F"/>
    <w:rsid w:val="00A734B5"/>
    <w:rsid w:val="00A73894"/>
    <w:rsid w:val="00A7425E"/>
    <w:rsid w:val="00A749B8"/>
    <w:rsid w:val="00A74B4B"/>
    <w:rsid w:val="00A74D02"/>
    <w:rsid w:val="00A75868"/>
    <w:rsid w:val="00A75DBD"/>
    <w:rsid w:val="00A7605F"/>
    <w:rsid w:val="00A76628"/>
    <w:rsid w:val="00A76ED7"/>
    <w:rsid w:val="00A770F3"/>
    <w:rsid w:val="00A773AE"/>
    <w:rsid w:val="00A81767"/>
    <w:rsid w:val="00A81857"/>
    <w:rsid w:val="00A81C28"/>
    <w:rsid w:val="00A824C3"/>
    <w:rsid w:val="00A83F50"/>
    <w:rsid w:val="00A84ADF"/>
    <w:rsid w:val="00A85FDA"/>
    <w:rsid w:val="00A861AF"/>
    <w:rsid w:val="00A863ED"/>
    <w:rsid w:val="00A8670D"/>
    <w:rsid w:val="00A86844"/>
    <w:rsid w:val="00A87097"/>
    <w:rsid w:val="00A870DA"/>
    <w:rsid w:val="00A8729E"/>
    <w:rsid w:val="00A8769E"/>
    <w:rsid w:val="00A87947"/>
    <w:rsid w:val="00A879EE"/>
    <w:rsid w:val="00A90A16"/>
    <w:rsid w:val="00A911F9"/>
    <w:rsid w:val="00A91A7F"/>
    <w:rsid w:val="00A924AD"/>
    <w:rsid w:val="00A92563"/>
    <w:rsid w:val="00A925C6"/>
    <w:rsid w:val="00A92D7B"/>
    <w:rsid w:val="00A931EF"/>
    <w:rsid w:val="00A932D3"/>
    <w:rsid w:val="00A9343E"/>
    <w:rsid w:val="00A9383A"/>
    <w:rsid w:val="00A93A63"/>
    <w:rsid w:val="00A93DA8"/>
    <w:rsid w:val="00A94285"/>
    <w:rsid w:val="00A94475"/>
    <w:rsid w:val="00A960DB"/>
    <w:rsid w:val="00A96D1E"/>
    <w:rsid w:val="00A974C7"/>
    <w:rsid w:val="00AA07D6"/>
    <w:rsid w:val="00AA07F6"/>
    <w:rsid w:val="00AA364D"/>
    <w:rsid w:val="00AA403F"/>
    <w:rsid w:val="00AA4431"/>
    <w:rsid w:val="00AA4B0B"/>
    <w:rsid w:val="00AA58CF"/>
    <w:rsid w:val="00AA59E7"/>
    <w:rsid w:val="00AA6F1D"/>
    <w:rsid w:val="00AA70B2"/>
    <w:rsid w:val="00AA717F"/>
    <w:rsid w:val="00AA755C"/>
    <w:rsid w:val="00AA787D"/>
    <w:rsid w:val="00AA7AC1"/>
    <w:rsid w:val="00AB03A9"/>
    <w:rsid w:val="00AB0550"/>
    <w:rsid w:val="00AB2036"/>
    <w:rsid w:val="00AB2FAD"/>
    <w:rsid w:val="00AB2FB2"/>
    <w:rsid w:val="00AB33C1"/>
    <w:rsid w:val="00AB394F"/>
    <w:rsid w:val="00AB3B70"/>
    <w:rsid w:val="00AB61A3"/>
    <w:rsid w:val="00AB63BE"/>
    <w:rsid w:val="00AB6794"/>
    <w:rsid w:val="00AB6DBB"/>
    <w:rsid w:val="00AC10C1"/>
    <w:rsid w:val="00AC17DE"/>
    <w:rsid w:val="00AC1E05"/>
    <w:rsid w:val="00AC26E4"/>
    <w:rsid w:val="00AC47B0"/>
    <w:rsid w:val="00AC4AC4"/>
    <w:rsid w:val="00AC55A3"/>
    <w:rsid w:val="00AC6681"/>
    <w:rsid w:val="00AC697E"/>
    <w:rsid w:val="00AC69AA"/>
    <w:rsid w:val="00AC6EE2"/>
    <w:rsid w:val="00AC7862"/>
    <w:rsid w:val="00AC7A97"/>
    <w:rsid w:val="00AC7D6F"/>
    <w:rsid w:val="00AD01A3"/>
    <w:rsid w:val="00AD0885"/>
    <w:rsid w:val="00AD08BA"/>
    <w:rsid w:val="00AD0EE6"/>
    <w:rsid w:val="00AD1A76"/>
    <w:rsid w:val="00AD1CCC"/>
    <w:rsid w:val="00AD34E0"/>
    <w:rsid w:val="00AD3762"/>
    <w:rsid w:val="00AD470A"/>
    <w:rsid w:val="00AD49F4"/>
    <w:rsid w:val="00AD5112"/>
    <w:rsid w:val="00AD5699"/>
    <w:rsid w:val="00AD5726"/>
    <w:rsid w:val="00AD5890"/>
    <w:rsid w:val="00AD63D8"/>
    <w:rsid w:val="00AD73AE"/>
    <w:rsid w:val="00AD767C"/>
    <w:rsid w:val="00AE0ACE"/>
    <w:rsid w:val="00AE0AFD"/>
    <w:rsid w:val="00AE18A6"/>
    <w:rsid w:val="00AE1DB6"/>
    <w:rsid w:val="00AE21AA"/>
    <w:rsid w:val="00AE250B"/>
    <w:rsid w:val="00AE30C1"/>
    <w:rsid w:val="00AE322D"/>
    <w:rsid w:val="00AE35FE"/>
    <w:rsid w:val="00AE4040"/>
    <w:rsid w:val="00AE41CF"/>
    <w:rsid w:val="00AE506B"/>
    <w:rsid w:val="00AE59C6"/>
    <w:rsid w:val="00AE5CC1"/>
    <w:rsid w:val="00AE62CC"/>
    <w:rsid w:val="00AE6422"/>
    <w:rsid w:val="00AE65B6"/>
    <w:rsid w:val="00AE6761"/>
    <w:rsid w:val="00AE71B1"/>
    <w:rsid w:val="00AE7740"/>
    <w:rsid w:val="00AF0305"/>
    <w:rsid w:val="00AF12CF"/>
    <w:rsid w:val="00AF1326"/>
    <w:rsid w:val="00AF14FC"/>
    <w:rsid w:val="00AF175C"/>
    <w:rsid w:val="00AF1A70"/>
    <w:rsid w:val="00AF2A78"/>
    <w:rsid w:val="00AF326B"/>
    <w:rsid w:val="00AF3821"/>
    <w:rsid w:val="00AF3B97"/>
    <w:rsid w:val="00AF5691"/>
    <w:rsid w:val="00AF5BC3"/>
    <w:rsid w:val="00AF6069"/>
    <w:rsid w:val="00AF6593"/>
    <w:rsid w:val="00AF690C"/>
    <w:rsid w:val="00AF6D17"/>
    <w:rsid w:val="00AF7B09"/>
    <w:rsid w:val="00B0094C"/>
    <w:rsid w:val="00B00B8D"/>
    <w:rsid w:val="00B0235B"/>
    <w:rsid w:val="00B03AF8"/>
    <w:rsid w:val="00B03B23"/>
    <w:rsid w:val="00B04629"/>
    <w:rsid w:val="00B063EE"/>
    <w:rsid w:val="00B06A28"/>
    <w:rsid w:val="00B06B54"/>
    <w:rsid w:val="00B06E1E"/>
    <w:rsid w:val="00B07965"/>
    <w:rsid w:val="00B07BEA"/>
    <w:rsid w:val="00B07F76"/>
    <w:rsid w:val="00B11003"/>
    <w:rsid w:val="00B11C5E"/>
    <w:rsid w:val="00B12689"/>
    <w:rsid w:val="00B126D9"/>
    <w:rsid w:val="00B12C2F"/>
    <w:rsid w:val="00B12C42"/>
    <w:rsid w:val="00B13362"/>
    <w:rsid w:val="00B13779"/>
    <w:rsid w:val="00B142A7"/>
    <w:rsid w:val="00B14943"/>
    <w:rsid w:val="00B14A90"/>
    <w:rsid w:val="00B16C42"/>
    <w:rsid w:val="00B174BC"/>
    <w:rsid w:val="00B179F8"/>
    <w:rsid w:val="00B2002A"/>
    <w:rsid w:val="00B207EB"/>
    <w:rsid w:val="00B20B18"/>
    <w:rsid w:val="00B20BB8"/>
    <w:rsid w:val="00B21088"/>
    <w:rsid w:val="00B21153"/>
    <w:rsid w:val="00B222DA"/>
    <w:rsid w:val="00B229CC"/>
    <w:rsid w:val="00B22A98"/>
    <w:rsid w:val="00B23C38"/>
    <w:rsid w:val="00B23E6D"/>
    <w:rsid w:val="00B23EFD"/>
    <w:rsid w:val="00B2669E"/>
    <w:rsid w:val="00B27285"/>
    <w:rsid w:val="00B2752D"/>
    <w:rsid w:val="00B27C47"/>
    <w:rsid w:val="00B27F2D"/>
    <w:rsid w:val="00B308A1"/>
    <w:rsid w:val="00B31113"/>
    <w:rsid w:val="00B32CE2"/>
    <w:rsid w:val="00B33B05"/>
    <w:rsid w:val="00B345CE"/>
    <w:rsid w:val="00B34949"/>
    <w:rsid w:val="00B362AB"/>
    <w:rsid w:val="00B3665D"/>
    <w:rsid w:val="00B36F45"/>
    <w:rsid w:val="00B3701B"/>
    <w:rsid w:val="00B376A6"/>
    <w:rsid w:val="00B37D91"/>
    <w:rsid w:val="00B4053E"/>
    <w:rsid w:val="00B407BE"/>
    <w:rsid w:val="00B40BC2"/>
    <w:rsid w:val="00B4148E"/>
    <w:rsid w:val="00B417FE"/>
    <w:rsid w:val="00B41E25"/>
    <w:rsid w:val="00B42303"/>
    <w:rsid w:val="00B42A7C"/>
    <w:rsid w:val="00B42F10"/>
    <w:rsid w:val="00B43591"/>
    <w:rsid w:val="00B43929"/>
    <w:rsid w:val="00B44799"/>
    <w:rsid w:val="00B456CD"/>
    <w:rsid w:val="00B45EB8"/>
    <w:rsid w:val="00B471DA"/>
    <w:rsid w:val="00B47C07"/>
    <w:rsid w:val="00B512C1"/>
    <w:rsid w:val="00B51CCB"/>
    <w:rsid w:val="00B53964"/>
    <w:rsid w:val="00B54B65"/>
    <w:rsid w:val="00B54C20"/>
    <w:rsid w:val="00B5502A"/>
    <w:rsid w:val="00B554BC"/>
    <w:rsid w:val="00B56F49"/>
    <w:rsid w:val="00B577C3"/>
    <w:rsid w:val="00B57854"/>
    <w:rsid w:val="00B57E21"/>
    <w:rsid w:val="00B603A6"/>
    <w:rsid w:val="00B60B2F"/>
    <w:rsid w:val="00B61105"/>
    <w:rsid w:val="00B616D8"/>
    <w:rsid w:val="00B625D3"/>
    <w:rsid w:val="00B62683"/>
    <w:rsid w:val="00B62F89"/>
    <w:rsid w:val="00B63201"/>
    <w:rsid w:val="00B6335A"/>
    <w:rsid w:val="00B6427D"/>
    <w:rsid w:val="00B64462"/>
    <w:rsid w:val="00B64706"/>
    <w:rsid w:val="00B65EF7"/>
    <w:rsid w:val="00B66542"/>
    <w:rsid w:val="00B669F4"/>
    <w:rsid w:val="00B67258"/>
    <w:rsid w:val="00B679E0"/>
    <w:rsid w:val="00B70AEF"/>
    <w:rsid w:val="00B70D7D"/>
    <w:rsid w:val="00B7137F"/>
    <w:rsid w:val="00B72649"/>
    <w:rsid w:val="00B729E0"/>
    <w:rsid w:val="00B72AF3"/>
    <w:rsid w:val="00B73DF4"/>
    <w:rsid w:val="00B75AF5"/>
    <w:rsid w:val="00B764CF"/>
    <w:rsid w:val="00B7662E"/>
    <w:rsid w:val="00B76797"/>
    <w:rsid w:val="00B76A14"/>
    <w:rsid w:val="00B76E20"/>
    <w:rsid w:val="00B77B4E"/>
    <w:rsid w:val="00B77F80"/>
    <w:rsid w:val="00B77FBE"/>
    <w:rsid w:val="00B80343"/>
    <w:rsid w:val="00B8056A"/>
    <w:rsid w:val="00B810CD"/>
    <w:rsid w:val="00B81331"/>
    <w:rsid w:val="00B81C79"/>
    <w:rsid w:val="00B81C9D"/>
    <w:rsid w:val="00B829EC"/>
    <w:rsid w:val="00B82CDD"/>
    <w:rsid w:val="00B83569"/>
    <w:rsid w:val="00B87E35"/>
    <w:rsid w:val="00B902D7"/>
    <w:rsid w:val="00B90C5A"/>
    <w:rsid w:val="00B92AEC"/>
    <w:rsid w:val="00B93B59"/>
    <w:rsid w:val="00B93FF9"/>
    <w:rsid w:val="00B9401B"/>
    <w:rsid w:val="00B944BD"/>
    <w:rsid w:val="00B94892"/>
    <w:rsid w:val="00B95011"/>
    <w:rsid w:val="00B97163"/>
    <w:rsid w:val="00B97266"/>
    <w:rsid w:val="00BA0697"/>
    <w:rsid w:val="00BA155B"/>
    <w:rsid w:val="00BA183C"/>
    <w:rsid w:val="00BA2614"/>
    <w:rsid w:val="00BA3519"/>
    <w:rsid w:val="00BA360C"/>
    <w:rsid w:val="00BA3C6B"/>
    <w:rsid w:val="00BA4165"/>
    <w:rsid w:val="00BA459F"/>
    <w:rsid w:val="00BA4F72"/>
    <w:rsid w:val="00BA58B0"/>
    <w:rsid w:val="00BA596E"/>
    <w:rsid w:val="00BA59FE"/>
    <w:rsid w:val="00BA66E6"/>
    <w:rsid w:val="00BA6B01"/>
    <w:rsid w:val="00BA7B87"/>
    <w:rsid w:val="00BB0138"/>
    <w:rsid w:val="00BB02E7"/>
    <w:rsid w:val="00BB05D7"/>
    <w:rsid w:val="00BB1B02"/>
    <w:rsid w:val="00BB1DD4"/>
    <w:rsid w:val="00BB21B4"/>
    <w:rsid w:val="00BB296F"/>
    <w:rsid w:val="00BB2A0E"/>
    <w:rsid w:val="00BB33DD"/>
    <w:rsid w:val="00BB3BF2"/>
    <w:rsid w:val="00BB41F7"/>
    <w:rsid w:val="00BB4286"/>
    <w:rsid w:val="00BB5543"/>
    <w:rsid w:val="00BB5CD3"/>
    <w:rsid w:val="00BB5FA5"/>
    <w:rsid w:val="00BB624E"/>
    <w:rsid w:val="00BB6489"/>
    <w:rsid w:val="00BB6568"/>
    <w:rsid w:val="00BB6627"/>
    <w:rsid w:val="00BB6866"/>
    <w:rsid w:val="00BB6D7C"/>
    <w:rsid w:val="00BB6E9D"/>
    <w:rsid w:val="00BB700E"/>
    <w:rsid w:val="00BB72B3"/>
    <w:rsid w:val="00BB74EB"/>
    <w:rsid w:val="00BB7806"/>
    <w:rsid w:val="00BB7A51"/>
    <w:rsid w:val="00BC006D"/>
    <w:rsid w:val="00BC0260"/>
    <w:rsid w:val="00BC086C"/>
    <w:rsid w:val="00BC0A43"/>
    <w:rsid w:val="00BC1DBF"/>
    <w:rsid w:val="00BC2CD5"/>
    <w:rsid w:val="00BC407A"/>
    <w:rsid w:val="00BC447F"/>
    <w:rsid w:val="00BC4719"/>
    <w:rsid w:val="00BC4C41"/>
    <w:rsid w:val="00BC51A5"/>
    <w:rsid w:val="00BC5284"/>
    <w:rsid w:val="00BC566D"/>
    <w:rsid w:val="00BC5FCA"/>
    <w:rsid w:val="00BC67A0"/>
    <w:rsid w:val="00BC7251"/>
    <w:rsid w:val="00BC733E"/>
    <w:rsid w:val="00BC79D4"/>
    <w:rsid w:val="00BD00FE"/>
    <w:rsid w:val="00BD03B8"/>
    <w:rsid w:val="00BD1A3A"/>
    <w:rsid w:val="00BD1F5F"/>
    <w:rsid w:val="00BD23D2"/>
    <w:rsid w:val="00BD2651"/>
    <w:rsid w:val="00BD271E"/>
    <w:rsid w:val="00BD35C5"/>
    <w:rsid w:val="00BD4C98"/>
    <w:rsid w:val="00BD5ACF"/>
    <w:rsid w:val="00BD5ECE"/>
    <w:rsid w:val="00BD7021"/>
    <w:rsid w:val="00BD7239"/>
    <w:rsid w:val="00BE0261"/>
    <w:rsid w:val="00BE0FC7"/>
    <w:rsid w:val="00BE1162"/>
    <w:rsid w:val="00BE13A6"/>
    <w:rsid w:val="00BE14C5"/>
    <w:rsid w:val="00BE16C2"/>
    <w:rsid w:val="00BE1E66"/>
    <w:rsid w:val="00BE2C88"/>
    <w:rsid w:val="00BE326A"/>
    <w:rsid w:val="00BE3456"/>
    <w:rsid w:val="00BE3841"/>
    <w:rsid w:val="00BE4533"/>
    <w:rsid w:val="00BE4F03"/>
    <w:rsid w:val="00BE601B"/>
    <w:rsid w:val="00BE6775"/>
    <w:rsid w:val="00BF0598"/>
    <w:rsid w:val="00BF0860"/>
    <w:rsid w:val="00BF0CB5"/>
    <w:rsid w:val="00BF112E"/>
    <w:rsid w:val="00BF120F"/>
    <w:rsid w:val="00BF1834"/>
    <w:rsid w:val="00BF1AC0"/>
    <w:rsid w:val="00BF2CD7"/>
    <w:rsid w:val="00BF30A4"/>
    <w:rsid w:val="00BF318C"/>
    <w:rsid w:val="00BF4F00"/>
    <w:rsid w:val="00BF5C7E"/>
    <w:rsid w:val="00BF67DF"/>
    <w:rsid w:val="00BF721C"/>
    <w:rsid w:val="00C00578"/>
    <w:rsid w:val="00C00A66"/>
    <w:rsid w:val="00C00B62"/>
    <w:rsid w:val="00C019BD"/>
    <w:rsid w:val="00C022B4"/>
    <w:rsid w:val="00C0281D"/>
    <w:rsid w:val="00C02AF3"/>
    <w:rsid w:val="00C02B6A"/>
    <w:rsid w:val="00C030B2"/>
    <w:rsid w:val="00C039AD"/>
    <w:rsid w:val="00C04606"/>
    <w:rsid w:val="00C04E7A"/>
    <w:rsid w:val="00C053C1"/>
    <w:rsid w:val="00C05524"/>
    <w:rsid w:val="00C071D6"/>
    <w:rsid w:val="00C07CC6"/>
    <w:rsid w:val="00C07F5F"/>
    <w:rsid w:val="00C1076E"/>
    <w:rsid w:val="00C119FC"/>
    <w:rsid w:val="00C11A48"/>
    <w:rsid w:val="00C135FC"/>
    <w:rsid w:val="00C14118"/>
    <w:rsid w:val="00C14FC5"/>
    <w:rsid w:val="00C15F28"/>
    <w:rsid w:val="00C205DD"/>
    <w:rsid w:val="00C20810"/>
    <w:rsid w:val="00C20F96"/>
    <w:rsid w:val="00C212AF"/>
    <w:rsid w:val="00C214A3"/>
    <w:rsid w:val="00C220C3"/>
    <w:rsid w:val="00C2257E"/>
    <w:rsid w:val="00C225CC"/>
    <w:rsid w:val="00C22724"/>
    <w:rsid w:val="00C23202"/>
    <w:rsid w:val="00C24185"/>
    <w:rsid w:val="00C25DC4"/>
    <w:rsid w:val="00C267F9"/>
    <w:rsid w:val="00C26982"/>
    <w:rsid w:val="00C270FB"/>
    <w:rsid w:val="00C27113"/>
    <w:rsid w:val="00C3184A"/>
    <w:rsid w:val="00C31BFF"/>
    <w:rsid w:val="00C31FE3"/>
    <w:rsid w:val="00C32E9C"/>
    <w:rsid w:val="00C349EA"/>
    <w:rsid w:val="00C3527B"/>
    <w:rsid w:val="00C3624A"/>
    <w:rsid w:val="00C36814"/>
    <w:rsid w:val="00C36BA6"/>
    <w:rsid w:val="00C36D61"/>
    <w:rsid w:val="00C37106"/>
    <w:rsid w:val="00C37975"/>
    <w:rsid w:val="00C40406"/>
    <w:rsid w:val="00C40AAE"/>
    <w:rsid w:val="00C40BCC"/>
    <w:rsid w:val="00C40EF9"/>
    <w:rsid w:val="00C4108A"/>
    <w:rsid w:val="00C42722"/>
    <w:rsid w:val="00C42C32"/>
    <w:rsid w:val="00C42E7D"/>
    <w:rsid w:val="00C43B43"/>
    <w:rsid w:val="00C44032"/>
    <w:rsid w:val="00C443B8"/>
    <w:rsid w:val="00C44537"/>
    <w:rsid w:val="00C45333"/>
    <w:rsid w:val="00C462DA"/>
    <w:rsid w:val="00C46490"/>
    <w:rsid w:val="00C46813"/>
    <w:rsid w:val="00C47D61"/>
    <w:rsid w:val="00C47F52"/>
    <w:rsid w:val="00C519E5"/>
    <w:rsid w:val="00C51FCA"/>
    <w:rsid w:val="00C520E1"/>
    <w:rsid w:val="00C52A17"/>
    <w:rsid w:val="00C52D4A"/>
    <w:rsid w:val="00C530ED"/>
    <w:rsid w:val="00C5338F"/>
    <w:rsid w:val="00C540A7"/>
    <w:rsid w:val="00C54F7B"/>
    <w:rsid w:val="00C5540D"/>
    <w:rsid w:val="00C5540E"/>
    <w:rsid w:val="00C563C1"/>
    <w:rsid w:val="00C5645D"/>
    <w:rsid w:val="00C5685A"/>
    <w:rsid w:val="00C56966"/>
    <w:rsid w:val="00C57A0C"/>
    <w:rsid w:val="00C57A6A"/>
    <w:rsid w:val="00C57C74"/>
    <w:rsid w:val="00C57F9A"/>
    <w:rsid w:val="00C6034B"/>
    <w:rsid w:val="00C60350"/>
    <w:rsid w:val="00C62691"/>
    <w:rsid w:val="00C63015"/>
    <w:rsid w:val="00C63531"/>
    <w:rsid w:val="00C64042"/>
    <w:rsid w:val="00C642A4"/>
    <w:rsid w:val="00C64BAE"/>
    <w:rsid w:val="00C66206"/>
    <w:rsid w:val="00C66865"/>
    <w:rsid w:val="00C66A00"/>
    <w:rsid w:val="00C66EAD"/>
    <w:rsid w:val="00C7091D"/>
    <w:rsid w:val="00C70A1A"/>
    <w:rsid w:val="00C70AB2"/>
    <w:rsid w:val="00C72147"/>
    <w:rsid w:val="00C7246A"/>
    <w:rsid w:val="00C72DA8"/>
    <w:rsid w:val="00C72F31"/>
    <w:rsid w:val="00C730AC"/>
    <w:rsid w:val="00C732FF"/>
    <w:rsid w:val="00C74DD5"/>
    <w:rsid w:val="00C74EBE"/>
    <w:rsid w:val="00C75673"/>
    <w:rsid w:val="00C757CF"/>
    <w:rsid w:val="00C75E30"/>
    <w:rsid w:val="00C75F36"/>
    <w:rsid w:val="00C76457"/>
    <w:rsid w:val="00C7673F"/>
    <w:rsid w:val="00C76790"/>
    <w:rsid w:val="00C775FD"/>
    <w:rsid w:val="00C77B54"/>
    <w:rsid w:val="00C77BCF"/>
    <w:rsid w:val="00C80189"/>
    <w:rsid w:val="00C80C01"/>
    <w:rsid w:val="00C80CB7"/>
    <w:rsid w:val="00C80D60"/>
    <w:rsid w:val="00C816C9"/>
    <w:rsid w:val="00C82E15"/>
    <w:rsid w:val="00C8317C"/>
    <w:rsid w:val="00C83306"/>
    <w:rsid w:val="00C838A9"/>
    <w:rsid w:val="00C83991"/>
    <w:rsid w:val="00C83DA9"/>
    <w:rsid w:val="00C83F42"/>
    <w:rsid w:val="00C8454B"/>
    <w:rsid w:val="00C84C73"/>
    <w:rsid w:val="00C84D9B"/>
    <w:rsid w:val="00C86852"/>
    <w:rsid w:val="00C86952"/>
    <w:rsid w:val="00C86F84"/>
    <w:rsid w:val="00C87500"/>
    <w:rsid w:val="00C87B90"/>
    <w:rsid w:val="00C903B5"/>
    <w:rsid w:val="00C90C26"/>
    <w:rsid w:val="00C90DE6"/>
    <w:rsid w:val="00C91B66"/>
    <w:rsid w:val="00C9268F"/>
    <w:rsid w:val="00C929BC"/>
    <w:rsid w:val="00C92BDC"/>
    <w:rsid w:val="00C92EC4"/>
    <w:rsid w:val="00C9318C"/>
    <w:rsid w:val="00C9343B"/>
    <w:rsid w:val="00C94668"/>
    <w:rsid w:val="00C9488F"/>
    <w:rsid w:val="00C9513A"/>
    <w:rsid w:val="00C955A4"/>
    <w:rsid w:val="00C959A0"/>
    <w:rsid w:val="00C95F51"/>
    <w:rsid w:val="00C96512"/>
    <w:rsid w:val="00C96642"/>
    <w:rsid w:val="00C97B24"/>
    <w:rsid w:val="00C97F60"/>
    <w:rsid w:val="00CA05B1"/>
    <w:rsid w:val="00CA0926"/>
    <w:rsid w:val="00CA1584"/>
    <w:rsid w:val="00CA1667"/>
    <w:rsid w:val="00CA1A2B"/>
    <w:rsid w:val="00CA1DDF"/>
    <w:rsid w:val="00CA288D"/>
    <w:rsid w:val="00CA36B5"/>
    <w:rsid w:val="00CA3734"/>
    <w:rsid w:val="00CA3DFB"/>
    <w:rsid w:val="00CA3EFB"/>
    <w:rsid w:val="00CA4249"/>
    <w:rsid w:val="00CA44DE"/>
    <w:rsid w:val="00CA4A00"/>
    <w:rsid w:val="00CA4E32"/>
    <w:rsid w:val="00CA544C"/>
    <w:rsid w:val="00CA5B11"/>
    <w:rsid w:val="00CA5CB2"/>
    <w:rsid w:val="00CA65EC"/>
    <w:rsid w:val="00CA758E"/>
    <w:rsid w:val="00CA77B7"/>
    <w:rsid w:val="00CA7B4B"/>
    <w:rsid w:val="00CA7DCA"/>
    <w:rsid w:val="00CB2055"/>
    <w:rsid w:val="00CB329C"/>
    <w:rsid w:val="00CB3489"/>
    <w:rsid w:val="00CB3772"/>
    <w:rsid w:val="00CB3939"/>
    <w:rsid w:val="00CB393F"/>
    <w:rsid w:val="00CB396C"/>
    <w:rsid w:val="00CB3ABF"/>
    <w:rsid w:val="00CB3F65"/>
    <w:rsid w:val="00CB4088"/>
    <w:rsid w:val="00CB53D3"/>
    <w:rsid w:val="00CB5807"/>
    <w:rsid w:val="00CB62A4"/>
    <w:rsid w:val="00CB6B80"/>
    <w:rsid w:val="00CB73C3"/>
    <w:rsid w:val="00CB7603"/>
    <w:rsid w:val="00CB7FA8"/>
    <w:rsid w:val="00CC0FEB"/>
    <w:rsid w:val="00CC15CB"/>
    <w:rsid w:val="00CC1854"/>
    <w:rsid w:val="00CC197D"/>
    <w:rsid w:val="00CC1D25"/>
    <w:rsid w:val="00CC1D52"/>
    <w:rsid w:val="00CC219D"/>
    <w:rsid w:val="00CC25DA"/>
    <w:rsid w:val="00CC28E8"/>
    <w:rsid w:val="00CC3626"/>
    <w:rsid w:val="00CC3934"/>
    <w:rsid w:val="00CC5FC2"/>
    <w:rsid w:val="00CD0396"/>
    <w:rsid w:val="00CD0808"/>
    <w:rsid w:val="00CD1548"/>
    <w:rsid w:val="00CD17C4"/>
    <w:rsid w:val="00CD1DD4"/>
    <w:rsid w:val="00CD281F"/>
    <w:rsid w:val="00CD28D1"/>
    <w:rsid w:val="00CD3243"/>
    <w:rsid w:val="00CD564E"/>
    <w:rsid w:val="00CD56CF"/>
    <w:rsid w:val="00CD5BEF"/>
    <w:rsid w:val="00CD66DF"/>
    <w:rsid w:val="00CD754E"/>
    <w:rsid w:val="00CD7B07"/>
    <w:rsid w:val="00CE05D6"/>
    <w:rsid w:val="00CE2493"/>
    <w:rsid w:val="00CE28F4"/>
    <w:rsid w:val="00CE3996"/>
    <w:rsid w:val="00CE3CFA"/>
    <w:rsid w:val="00CE45AE"/>
    <w:rsid w:val="00CE4869"/>
    <w:rsid w:val="00CE4910"/>
    <w:rsid w:val="00CE4A1E"/>
    <w:rsid w:val="00CE50CB"/>
    <w:rsid w:val="00CE5275"/>
    <w:rsid w:val="00CE679C"/>
    <w:rsid w:val="00CE7C32"/>
    <w:rsid w:val="00CE7F6F"/>
    <w:rsid w:val="00CF0115"/>
    <w:rsid w:val="00CF0291"/>
    <w:rsid w:val="00CF1F8D"/>
    <w:rsid w:val="00CF229B"/>
    <w:rsid w:val="00CF28FE"/>
    <w:rsid w:val="00CF2C63"/>
    <w:rsid w:val="00CF306E"/>
    <w:rsid w:val="00CF308D"/>
    <w:rsid w:val="00CF3273"/>
    <w:rsid w:val="00CF3F85"/>
    <w:rsid w:val="00CF4299"/>
    <w:rsid w:val="00CF47FA"/>
    <w:rsid w:val="00CF4B9E"/>
    <w:rsid w:val="00CF4E93"/>
    <w:rsid w:val="00CF536F"/>
    <w:rsid w:val="00CF59FA"/>
    <w:rsid w:val="00CF5AC7"/>
    <w:rsid w:val="00CF5B7A"/>
    <w:rsid w:val="00CF5E1E"/>
    <w:rsid w:val="00CF625E"/>
    <w:rsid w:val="00CF6B94"/>
    <w:rsid w:val="00CF7070"/>
    <w:rsid w:val="00D004ED"/>
    <w:rsid w:val="00D00FAE"/>
    <w:rsid w:val="00D0120C"/>
    <w:rsid w:val="00D02678"/>
    <w:rsid w:val="00D02811"/>
    <w:rsid w:val="00D0282D"/>
    <w:rsid w:val="00D02A8A"/>
    <w:rsid w:val="00D02E21"/>
    <w:rsid w:val="00D03F29"/>
    <w:rsid w:val="00D048BE"/>
    <w:rsid w:val="00D04AA5"/>
    <w:rsid w:val="00D04CBD"/>
    <w:rsid w:val="00D04E0E"/>
    <w:rsid w:val="00D06422"/>
    <w:rsid w:val="00D065E0"/>
    <w:rsid w:val="00D06EF9"/>
    <w:rsid w:val="00D10384"/>
    <w:rsid w:val="00D1054F"/>
    <w:rsid w:val="00D10F81"/>
    <w:rsid w:val="00D11171"/>
    <w:rsid w:val="00D11246"/>
    <w:rsid w:val="00D11473"/>
    <w:rsid w:val="00D1153E"/>
    <w:rsid w:val="00D11674"/>
    <w:rsid w:val="00D11EFB"/>
    <w:rsid w:val="00D12175"/>
    <w:rsid w:val="00D12532"/>
    <w:rsid w:val="00D12AA0"/>
    <w:rsid w:val="00D13F6A"/>
    <w:rsid w:val="00D1444E"/>
    <w:rsid w:val="00D14EFB"/>
    <w:rsid w:val="00D152CF"/>
    <w:rsid w:val="00D154AC"/>
    <w:rsid w:val="00D15647"/>
    <w:rsid w:val="00D16CBB"/>
    <w:rsid w:val="00D172C2"/>
    <w:rsid w:val="00D20158"/>
    <w:rsid w:val="00D21F29"/>
    <w:rsid w:val="00D22D75"/>
    <w:rsid w:val="00D235CC"/>
    <w:rsid w:val="00D23BE2"/>
    <w:rsid w:val="00D2452F"/>
    <w:rsid w:val="00D24714"/>
    <w:rsid w:val="00D24B41"/>
    <w:rsid w:val="00D26784"/>
    <w:rsid w:val="00D26ADB"/>
    <w:rsid w:val="00D274E6"/>
    <w:rsid w:val="00D2756F"/>
    <w:rsid w:val="00D27B44"/>
    <w:rsid w:val="00D27DA9"/>
    <w:rsid w:val="00D32D19"/>
    <w:rsid w:val="00D32E94"/>
    <w:rsid w:val="00D32FE1"/>
    <w:rsid w:val="00D332FF"/>
    <w:rsid w:val="00D334A9"/>
    <w:rsid w:val="00D33B12"/>
    <w:rsid w:val="00D34095"/>
    <w:rsid w:val="00D343B5"/>
    <w:rsid w:val="00D345E9"/>
    <w:rsid w:val="00D34A2C"/>
    <w:rsid w:val="00D36C6A"/>
    <w:rsid w:val="00D36CBB"/>
    <w:rsid w:val="00D373E5"/>
    <w:rsid w:val="00D37A44"/>
    <w:rsid w:val="00D37E36"/>
    <w:rsid w:val="00D40986"/>
    <w:rsid w:val="00D411D3"/>
    <w:rsid w:val="00D411DF"/>
    <w:rsid w:val="00D41C6D"/>
    <w:rsid w:val="00D41F43"/>
    <w:rsid w:val="00D42171"/>
    <w:rsid w:val="00D424C7"/>
    <w:rsid w:val="00D42603"/>
    <w:rsid w:val="00D42687"/>
    <w:rsid w:val="00D42939"/>
    <w:rsid w:val="00D42991"/>
    <w:rsid w:val="00D42A51"/>
    <w:rsid w:val="00D42BF6"/>
    <w:rsid w:val="00D43991"/>
    <w:rsid w:val="00D44475"/>
    <w:rsid w:val="00D4470D"/>
    <w:rsid w:val="00D447EE"/>
    <w:rsid w:val="00D44D74"/>
    <w:rsid w:val="00D45D16"/>
    <w:rsid w:val="00D46609"/>
    <w:rsid w:val="00D47797"/>
    <w:rsid w:val="00D479C7"/>
    <w:rsid w:val="00D47A9C"/>
    <w:rsid w:val="00D47D4E"/>
    <w:rsid w:val="00D5064F"/>
    <w:rsid w:val="00D508F8"/>
    <w:rsid w:val="00D522D7"/>
    <w:rsid w:val="00D5481A"/>
    <w:rsid w:val="00D54D42"/>
    <w:rsid w:val="00D57D96"/>
    <w:rsid w:val="00D601A3"/>
    <w:rsid w:val="00D60BDD"/>
    <w:rsid w:val="00D617C4"/>
    <w:rsid w:val="00D61B32"/>
    <w:rsid w:val="00D61BF2"/>
    <w:rsid w:val="00D64DE8"/>
    <w:rsid w:val="00D6534D"/>
    <w:rsid w:val="00D65727"/>
    <w:rsid w:val="00D657FC"/>
    <w:rsid w:val="00D67083"/>
    <w:rsid w:val="00D67F23"/>
    <w:rsid w:val="00D703B8"/>
    <w:rsid w:val="00D70589"/>
    <w:rsid w:val="00D71044"/>
    <w:rsid w:val="00D719A5"/>
    <w:rsid w:val="00D7247D"/>
    <w:rsid w:val="00D73BF8"/>
    <w:rsid w:val="00D74936"/>
    <w:rsid w:val="00D74E8D"/>
    <w:rsid w:val="00D75056"/>
    <w:rsid w:val="00D776B4"/>
    <w:rsid w:val="00D77EE9"/>
    <w:rsid w:val="00D802F5"/>
    <w:rsid w:val="00D80370"/>
    <w:rsid w:val="00D80BCF"/>
    <w:rsid w:val="00D81ABA"/>
    <w:rsid w:val="00D823C0"/>
    <w:rsid w:val="00D82A82"/>
    <w:rsid w:val="00D83B7B"/>
    <w:rsid w:val="00D85CF3"/>
    <w:rsid w:val="00D85F9C"/>
    <w:rsid w:val="00D868D7"/>
    <w:rsid w:val="00D8766E"/>
    <w:rsid w:val="00D87977"/>
    <w:rsid w:val="00D90FCE"/>
    <w:rsid w:val="00D938A7"/>
    <w:rsid w:val="00D939A4"/>
    <w:rsid w:val="00D93BF7"/>
    <w:rsid w:val="00D94565"/>
    <w:rsid w:val="00D94BBA"/>
    <w:rsid w:val="00D953EF"/>
    <w:rsid w:val="00D95601"/>
    <w:rsid w:val="00D96D30"/>
    <w:rsid w:val="00D977F0"/>
    <w:rsid w:val="00D97F5B"/>
    <w:rsid w:val="00DA11DF"/>
    <w:rsid w:val="00DA2453"/>
    <w:rsid w:val="00DA247F"/>
    <w:rsid w:val="00DA2669"/>
    <w:rsid w:val="00DA3674"/>
    <w:rsid w:val="00DA4090"/>
    <w:rsid w:val="00DA4D95"/>
    <w:rsid w:val="00DA5507"/>
    <w:rsid w:val="00DA6B72"/>
    <w:rsid w:val="00DA7ACD"/>
    <w:rsid w:val="00DB0ED7"/>
    <w:rsid w:val="00DB149F"/>
    <w:rsid w:val="00DB1A08"/>
    <w:rsid w:val="00DB2079"/>
    <w:rsid w:val="00DB2132"/>
    <w:rsid w:val="00DB2739"/>
    <w:rsid w:val="00DB2982"/>
    <w:rsid w:val="00DB2D73"/>
    <w:rsid w:val="00DB2EE0"/>
    <w:rsid w:val="00DB32FA"/>
    <w:rsid w:val="00DB3DF7"/>
    <w:rsid w:val="00DB42C6"/>
    <w:rsid w:val="00DB5060"/>
    <w:rsid w:val="00DB55A3"/>
    <w:rsid w:val="00DB5AAB"/>
    <w:rsid w:val="00DB5C54"/>
    <w:rsid w:val="00DB5FC5"/>
    <w:rsid w:val="00DB6EB5"/>
    <w:rsid w:val="00DB7773"/>
    <w:rsid w:val="00DC048A"/>
    <w:rsid w:val="00DC12A2"/>
    <w:rsid w:val="00DC1919"/>
    <w:rsid w:val="00DC209C"/>
    <w:rsid w:val="00DC271F"/>
    <w:rsid w:val="00DC2819"/>
    <w:rsid w:val="00DC3DE1"/>
    <w:rsid w:val="00DC3FFB"/>
    <w:rsid w:val="00DC4421"/>
    <w:rsid w:val="00DC45FA"/>
    <w:rsid w:val="00DC4649"/>
    <w:rsid w:val="00DC5060"/>
    <w:rsid w:val="00DC5E24"/>
    <w:rsid w:val="00DC6EF0"/>
    <w:rsid w:val="00DC7677"/>
    <w:rsid w:val="00DC7760"/>
    <w:rsid w:val="00DD0976"/>
    <w:rsid w:val="00DD0D6B"/>
    <w:rsid w:val="00DD1666"/>
    <w:rsid w:val="00DD1831"/>
    <w:rsid w:val="00DD310D"/>
    <w:rsid w:val="00DD320C"/>
    <w:rsid w:val="00DD3585"/>
    <w:rsid w:val="00DD3696"/>
    <w:rsid w:val="00DD4E21"/>
    <w:rsid w:val="00DD5BED"/>
    <w:rsid w:val="00DD67BC"/>
    <w:rsid w:val="00DD79B9"/>
    <w:rsid w:val="00DE139A"/>
    <w:rsid w:val="00DE2844"/>
    <w:rsid w:val="00DE2A83"/>
    <w:rsid w:val="00DE2A95"/>
    <w:rsid w:val="00DE4860"/>
    <w:rsid w:val="00DE49A2"/>
    <w:rsid w:val="00DE4C0F"/>
    <w:rsid w:val="00DE6DB9"/>
    <w:rsid w:val="00DE7003"/>
    <w:rsid w:val="00DE7083"/>
    <w:rsid w:val="00DE7404"/>
    <w:rsid w:val="00DE763A"/>
    <w:rsid w:val="00DE7AF3"/>
    <w:rsid w:val="00DF0055"/>
    <w:rsid w:val="00DF0232"/>
    <w:rsid w:val="00DF0683"/>
    <w:rsid w:val="00DF1ECC"/>
    <w:rsid w:val="00DF2136"/>
    <w:rsid w:val="00DF22D7"/>
    <w:rsid w:val="00DF33FC"/>
    <w:rsid w:val="00DF34EB"/>
    <w:rsid w:val="00DF3CC0"/>
    <w:rsid w:val="00DF4294"/>
    <w:rsid w:val="00DF4EF8"/>
    <w:rsid w:val="00DF6834"/>
    <w:rsid w:val="00DF6A92"/>
    <w:rsid w:val="00DF6AB2"/>
    <w:rsid w:val="00DF7050"/>
    <w:rsid w:val="00DF7696"/>
    <w:rsid w:val="00DF7AE9"/>
    <w:rsid w:val="00DF7ED4"/>
    <w:rsid w:val="00E0122F"/>
    <w:rsid w:val="00E01FF4"/>
    <w:rsid w:val="00E022B7"/>
    <w:rsid w:val="00E02D3C"/>
    <w:rsid w:val="00E0303F"/>
    <w:rsid w:val="00E0353D"/>
    <w:rsid w:val="00E03CA3"/>
    <w:rsid w:val="00E03F33"/>
    <w:rsid w:val="00E0423F"/>
    <w:rsid w:val="00E04C16"/>
    <w:rsid w:val="00E054F1"/>
    <w:rsid w:val="00E056A6"/>
    <w:rsid w:val="00E061E9"/>
    <w:rsid w:val="00E07244"/>
    <w:rsid w:val="00E07631"/>
    <w:rsid w:val="00E0767C"/>
    <w:rsid w:val="00E11317"/>
    <w:rsid w:val="00E119D9"/>
    <w:rsid w:val="00E122E9"/>
    <w:rsid w:val="00E13A4C"/>
    <w:rsid w:val="00E13CBB"/>
    <w:rsid w:val="00E141E6"/>
    <w:rsid w:val="00E144AA"/>
    <w:rsid w:val="00E1467B"/>
    <w:rsid w:val="00E14B4D"/>
    <w:rsid w:val="00E14E36"/>
    <w:rsid w:val="00E1529F"/>
    <w:rsid w:val="00E1581D"/>
    <w:rsid w:val="00E15B91"/>
    <w:rsid w:val="00E15E91"/>
    <w:rsid w:val="00E1686E"/>
    <w:rsid w:val="00E17274"/>
    <w:rsid w:val="00E17BC7"/>
    <w:rsid w:val="00E17BF2"/>
    <w:rsid w:val="00E205FB"/>
    <w:rsid w:val="00E20979"/>
    <w:rsid w:val="00E20D69"/>
    <w:rsid w:val="00E20DA0"/>
    <w:rsid w:val="00E21C9D"/>
    <w:rsid w:val="00E22401"/>
    <w:rsid w:val="00E225F2"/>
    <w:rsid w:val="00E22A14"/>
    <w:rsid w:val="00E23CF1"/>
    <w:rsid w:val="00E24974"/>
    <w:rsid w:val="00E249ED"/>
    <w:rsid w:val="00E25646"/>
    <w:rsid w:val="00E25AE4"/>
    <w:rsid w:val="00E25DD0"/>
    <w:rsid w:val="00E25F2D"/>
    <w:rsid w:val="00E274DB"/>
    <w:rsid w:val="00E27E5B"/>
    <w:rsid w:val="00E30031"/>
    <w:rsid w:val="00E30D69"/>
    <w:rsid w:val="00E3102F"/>
    <w:rsid w:val="00E31137"/>
    <w:rsid w:val="00E3176D"/>
    <w:rsid w:val="00E31CF2"/>
    <w:rsid w:val="00E3242F"/>
    <w:rsid w:val="00E32C73"/>
    <w:rsid w:val="00E335F1"/>
    <w:rsid w:val="00E3389E"/>
    <w:rsid w:val="00E345C3"/>
    <w:rsid w:val="00E35F96"/>
    <w:rsid w:val="00E36468"/>
    <w:rsid w:val="00E365EF"/>
    <w:rsid w:val="00E36C8D"/>
    <w:rsid w:val="00E36D60"/>
    <w:rsid w:val="00E3752E"/>
    <w:rsid w:val="00E4160D"/>
    <w:rsid w:val="00E4198E"/>
    <w:rsid w:val="00E41DFE"/>
    <w:rsid w:val="00E425DA"/>
    <w:rsid w:val="00E425E4"/>
    <w:rsid w:val="00E427A3"/>
    <w:rsid w:val="00E430D3"/>
    <w:rsid w:val="00E46F1A"/>
    <w:rsid w:val="00E471BA"/>
    <w:rsid w:val="00E47460"/>
    <w:rsid w:val="00E51190"/>
    <w:rsid w:val="00E51B6E"/>
    <w:rsid w:val="00E51D99"/>
    <w:rsid w:val="00E522F5"/>
    <w:rsid w:val="00E523EF"/>
    <w:rsid w:val="00E52631"/>
    <w:rsid w:val="00E528FB"/>
    <w:rsid w:val="00E53C19"/>
    <w:rsid w:val="00E54178"/>
    <w:rsid w:val="00E55044"/>
    <w:rsid w:val="00E550EC"/>
    <w:rsid w:val="00E55EB2"/>
    <w:rsid w:val="00E56431"/>
    <w:rsid w:val="00E56B41"/>
    <w:rsid w:val="00E575BF"/>
    <w:rsid w:val="00E60028"/>
    <w:rsid w:val="00E60152"/>
    <w:rsid w:val="00E60769"/>
    <w:rsid w:val="00E61580"/>
    <w:rsid w:val="00E61AFF"/>
    <w:rsid w:val="00E6260C"/>
    <w:rsid w:val="00E62A6B"/>
    <w:rsid w:val="00E62BA9"/>
    <w:rsid w:val="00E63434"/>
    <w:rsid w:val="00E63712"/>
    <w:rsid w:val="00E63A6A"/>
    <w:rsid w:val="00E64026"/>
    <w:rsid w:val="00E6414D"/>
    <w:rsid w:val="00E64403"/>
    <w:rsid w:val="00E663C2"/>
    <w:rsid w:val="00E665F8"/>
    <w:rsid w:val="00E66EF5"/>
    <w:rsid w:val="00E67A67"/>
    <w:rsid w:val="00E67CEF"/>
    <w:rsid w:val="00E70287"/>
    <w:rsid w:val="00E70E76"/>
    <w:rsid w:val="00E7117F"/>
    <w:rsid w:val="00E72353"/>
    <w:rsid w:val="00E7333F"/>
    <w:rsid w:val="00E73822"/>
    <w:rsid w:val="00E73A6E"/>
    <w:rsid w:val="00E73D0A"/>
    <w:rsid w:val="00E7403D"/>
    <w:rsid w:val="00E7436A"/>
    <w:rsid w:val="00E75A8A"/>
    <w:rsid w:val="00E76326"/>
    <w:rsid w:val="00E7637A"/>
    <w:rsid w:val="00E76CA1"/>
    <w:rsid w:val="00E77455"/>
    <w:rsid w:val="00E7753F"/>
    <w:rsid w:val="00E77542"/>
    <w:rsid w:val="00E77BE4"/>
    <w:rsid w:val="00E82397"/>
    <w:rsid w:val="00E8295F"/>
    <w:rsid w:val="00E82B2F"/>
    <w:rsid w:val="00E82E43"/>
    <w:rsid w:val="00E82FEF"/>
    <w:rsid w:val="00E8374F"/>
    <w:rsid w:val="00E83BC5"/>
    <w:rsid w:val="00E84622"/>
    <w:rsid w:val="00E84E02"/>
    <w:rsid w:val="00E84EAF"/>
    <w:rsid w:val="00E85E77"/>
    <w:rsid w:val="00E879B3"/>
    <w:rsid w:val="00E87A5F"/>
    <w:rsid w:val="00E87BF3"/>
    <w:rsid w:val="00E87E0A"/>
    <w:rsid w:val="00E907E0"/>
    <w:rsid w:val="00E90BFA"/>
    <w:rsid w:val="00E916DE"/>
    <w:rsid w:val="00E92094"/>
    <w:rsid w:val="00E920D0"/>
    <w:rsid w:val="00E9258A"/>
    <w:rsid w:val="00E930B7"/>
    <w:rsid w:val="00E93718"/>
    <w:rsid w:val="00E95A1E"/>
    <w:rsid w:val="00E9628E"/>
    <w:rsid w:val="00E96991"/>
    <w:rsid w:val="00E96AC0"/>
    <w:rsid w:val="00E96C29"/>
    <w:rsid w:val="00E96E2B"/>
    <w:rsid w:val="00EA0B5E"/>
    <w:rsid w:val="00EA2254"/>
    <w:rsid w:val="00EA2D41"/>
    <w:rsid w:val="00EA4636"/>
    <w:rsid w:val="00EA47AB"/>
    <w:rsid w:val="00EA4B5B"/>
    <w:rsid w:val="00EA5207"/>
    <w:rsid w:val="00EA56E4"/>
    <w:rsid w:val="00EA582A"/>
    <w:rsid w:val="00EA6623"/>
    <w:rsid w:val="00EA6A76"/>
    <w:rsid w:val="00EA6BDD"/>
    <w:rsid w:val="00EA6C53"/>
    <w:rsid w:val="00EA7526"/>
    <w:rsid w:val="00EB0584"/>
    <w:rsid w:val="00EB0C3A"/>
    <w:rsid w:val="00EB1102"/>
    <w:rsid w:val="00EB1E21"/>
    <w:rsid w:val="00EB1EC2"/>
    <w:rsid w:val="00EB2569"/>
    <w:rsid w:val="00EB281E"/>
    <w:rsid w:val="00EB2D1E"/>
    <w:rsid w:val="00EB3167"/>
    <w:rsid w:val="00EB3210"/>
    <w:rsid w:val="00EB3347"/>
    <w:rsid w:val="00EB3517"/>
    <w:rsid w:val="00EB4012"/>
    <w:rsid w:val="00EB5010"/>
    <w:rsid w:val="00EB6400"/>
    <w:rsid w:val="00EB689F"/>
    <w:rsid w:val="00EB6C3B"/>
    <w:rsid w:val="00EB709B"/>
    <w:rsid w:val="00EB771B"/>
    <w:rsid w:val="00EC01D0"/>
    <w:rsid w:val="00EC083B"/>
    <w:rsid w:val="00EC0BB8"/>
    <w:rsid w:val="00EC0F9A"/>
    <w:rsid w:val="00EC101E"/>
    <w:rsid w:val="00EC149C"/>
    <w:rsid w:val="00EC197F"/>
    <w:rsid w:val="00EC1E7F"/>
    <w:rsid w:val="00EC2900"/>
    <w:rsid w:val="00EC2915"/>
    <w:rsid w:val="00EC4100"/>
    <w:rsid w:val="00EC4456"/>
    <w:rsid w:val="00EC4B51"/>
    <w:rsid w:val="00EC52A6"/>
    <w:rsid w:val="00EC595A"/>
    <w:rsid w:val="00EC5CFF"/>
    <w:rsid w:val="00EC7977"/>
    <w:rsid w:val="00ED0DF3"/>
    <w:rsid w:val="00ED1911"/>
    <w:rsid w:val="00ED194F"/>
    <w:rsid w:val="00ED1E8B"/>
    <w:rsid w:val="00ED27EB"/>
    <w:rsid w:val="00ED3A4E"/>
    <w:rsid w:val="00ED41D6"/>
    <w:rsid w:val="00ED4751"/>
    <w:rsid w:val="00ED7079"/>
    <w:rsid w:val="00ED713D"/>
    <w:rsid w:val="00ED75A3"/>
    <w:rsid w:val="00ED7905"/>
    <w:rsid w:val="00EE04CE"/>
    <w:rsid w:val="00EE0762"/>
    <w:rsid w:val="00EE1BA5"/>
    <w:rsid w:val="00EE3858"/>
    <w:rsid w:val="00EE481B"/>
    <w:rsid w:val="00EE4CBD"/>
    <w:rsid w:val="00EE579C"/>
    <w:rsid w:val="00EE743C"/>
    <w:rsid w:val="00EE77EC"/>
    <w:rsid w:val="00EE7AF4"/>
    <w:rsid w:val="00EE7CA1"/>
    <w:rsid w:val="00EF0944"/>
    <w:rsid w:val="00EF1825"/>
    <w:rsid w:val="00EF218D"/>
    <w:rsid w:val="00EF2666"/>
    <w:rsid w:val="00EF281B"/>
    <w:rsid w:val="00EF2BD0"/>
    <w:rsid w:val="00EF2D8B"/>
    <w:rsid w:val="00EF52CF"/>
    <w:rsid w:val="00EF5E71"/>
    <w:rsid w:val="00EF66C6"/>
    <w:rsid w:val="00EF6A6C"/>
    <w:rsid w:val="00EF71C9"/>
    <w:rsid w:val="00EF7825"/>
    <w:rsid w:val="00EF787F"/>
    <w:rsid w:val="00EF7B5C"/>
    <w:rsid w:val="00F00469"/>
    <w:rsid w:val="00F00608"/>
    <w:rsid w:val="00F0147A"/>
    <w:rsid w:val="00F0184D"/>
    <w:rsid w:val="00F0228C"/>
    <w:rsid w:val="00F0231E"/>
    <w:rsid w:val="00F02747"/>
    <w:rsid w:val="00F034CF"/>
    <w:rsid w:val="00F03ACC"/>
    <w:rsid w:val="00F0487D"/>
    <w:rsid w:val="00F053B9"/>
    <w:rsid w:val="00F05CE5"/>
    <w:rsid w:val="00F06130"/>
    <w:rsid w:val="00F06BAE"/>
    <w:rsid w:val="00F07165"/>
    <w:rsid w:val="00F073B4"/>
    <w:rsid w:val="00F1093E"/>
    <w:rsid w:val="00F11056"/>
    <w:rsid w:val="00F11132"/>
    <w:rsid w:val="00F11BB9"/>
    <w:rsid w:val="00F123B1"/>
    <w:rsid w:val="00F1274E"/>
    <w:rsid w:val="00F13304"/>
    <w:rsid w:val="00F13726"/>
    <w:rsid w:val="00F13D27"/>
    <w:rsid w:val="00F1414F"/>
    <w:rsid w:val="00F15352"/>
    <w:rsid w:val="00F163AB"/>
    <w:rsid w:val="00F1648B"/>
    <w:rsid w:val="00F167EC"/>
    <w:rsid w:val="00F1741E"/>
    <w:rsid w:val="00F1745D"/>
    <w:rsid w:val="00F17B07"/>
    <w:rsid w:val="00F17DDB"/>
    <w:rsid w:val="00F20B7D"/>
    <w:rsid w:val="00F20E70"/>
    <w:rsid w:val="00F21627"/>
    <w:rsid w:val="00F21799"/>
    <w:rsid w:val="00F21B4C"/>
    <w:rsid w:val="00F21D93"/>
    <w:rsid w:val="00F225B7"/>
    <w:rsid w:val="00F229A4"/>
    <w:rsid w:val="00F22EAF"/>
    <w:rsid w:val="00F24DE8"/>
    <w:rsid w:val="00F24F51"/>
    <w:rsid w:val="00F25180"/>
    <w:rsid w:val="00F25796"/>
    <w:rsid w:val="00F25C6F"/>
    <w:rsid w:val="00F25CF7"/>
    <w:rsid w:val="00F25F72"/>
    <w:rsid w:val="00F26A29"/>
    <w:rsid w:val="00F2710B"/>
    <w:rsid w:val="00F27FA9"/>
    <w:rsid w:val="00F30A70"/>
    <w:rsid w:val="00F30CDE"/>
    <w:rsid w:val="00F31A22"/>
    <w:rsid w:val="00F32359"/>
    <w:rsid w:val="00F3239E"/>
    <w:rsid w:val="00F323DC"/>
    <w:rsid w:val="00F3272C"/>
    <w:rsid w:val="00F32B71"/>
    <w:rsid w:val="00F33531"/>
    <w:rsid w:val="00F335EA"/>
    <w:rsid w:val="00F339AB"/>
    <w:rsid w:val="00F33B08"/>
    <w:rsid w:val="00F34182"/>
    <w:rsid w:val="00F34F51"/>
    <w:rsid w:val="00F35008"/>
    <w:rsid w:val="00F35893"/>
    <w:rsid w:val="00F36244"/>
    <w:rsid w:val="00F367AC"/>
    <w:rsid w:val="00F36AAD"/>
    <w:rsid w:val="00F3721C"/>
    <w:rsid w:val="00F4012D"/>
    <w:rsid w:val="00F40526"/>
    <w:rsid w:val="00F4064F"/>
    <w:rsid w:val="00F406F6"/>
    <w:rsid w:val="00F40EA2"/>
    <w:rsid w:val="00F410FB"/>
    <w:rsid w:val="00F4190E"/>
    <w:rsid w:val="00F4206B"/>
    <w:rsid w:val="00F420A1"/>
    <w:rsid w:val="00F43461"/>
    <w:rsid w:val="00F444B0"/>
    <w:rsid w:val="00F444E3"/>
    <w:rsid w:val="00F447E9"/>
    <w:rsid w:val="00F4509B"/>
    <w:rsid w:val="00F451A2"/>
    <w:rsid w:val="00F45253"/>
    <w:rsid w:val="00F45DBE"/>
    <w:rsid w:val="00F468D6"/>
    <w:rsid w:val="00F4757D"/>
    <w:rsid w:val="00F476C2"/>
    <w:rsid w:val="00F50C4A"/>
    <w:rsid w:val="00F5172F"/>
    <w:rsid w:val="00F51B7D"/>
    <w:rsid w:val="00F522CC"/>
    <w:rsid w:val="00F54775"/>
    <w:rsid w:val="00F54EAF"/>
    <w:rsid w:val="00F56143"/>
    <w:rsid w:val="00F56C9F"/>
    <w:rsid w:val="00F56D88"/>
    <w:rsid w:val="00F5762C"/>
    <w:rsid w:val="00F57799"/>
    <w:rsid w:val="00F577D0"/>
    <w:rsid w:val="00F577FD"/>
    <w:rsid w:val="00F5795D"/>
    <w:rsid w:val="00F57AB1"/>
    <w:rsid w:val="00F60FE5"/>
    <w:rsid w:val="00F614AA"/>
    <w:rsid w:val="00F6202C"/>
    <w:rsid w:val="00F6362D"/>
    <w:rsid w:val="00F64619"/>
    <w:rsid w:val="00F65D18"/>
    <w:rsid w:val="00F6695E"/>
    <w:rsid w:val="00F66D6C"/>
    <w:rsid w:val="00F67248"/>
    <w:rsid w:val="00F675BC"/>
    <w:rsid w:val="00F67A58"/>
    <w:rsid w:val="00F67F0B"/>
    <w:rsid w:val="00F67FC0"/>
    <w:rsid w:val="00F714D4"/>
    <w:rsid w:val="00F72E23"/>
    <w:rsid w:val="00F72E36"/>
    <w:rsid w:val="00F734F4"/>
    <w:rsid w:val="00F73F30"/>
    <w:rsid w:val="00F73FB9"/>
    <w:rsid w:val="00F7411C"/>
    <w:rsid w:val="00F74240"/>
    <w:rsid w:val="00F74386"/>
    <w:rsid w:val="00F74941"/>
    <w:rsid w:val="00F7494B"/>
    <w:rsid w:val="00F74F8C"/>
    <w:rsid w:val="00F75C45"/>
    <w:rsid w:val="00F75E43"/>
    <w:rsid w:val="00F764D9"/>
    <w:rsid w:val="00F76649"/>
    <w:rsid w:val="00F76D9E"/>
    <w:rsid w:val="00F771A0"/>
    <w:rsid w:val="00F77F4F"/>
    <w:rsid w:val="00F806BF"/>
    <w:rsid w:val="00F806E4"/>
    <w:rsid w:val="00F815AF"/>
    <w:rsid w:val="00F817C8"/>
    <w:rsid w:val="00F82771"/>
    <w:rsid w:val="00F8314A"/>
    <w:rsid w:val="00F83C53"/>
    <w:rsid w:val="00F849C3"/>
    <w:rsid w:val="00F85A30"/>
    <w:rsid w:val="00F85AE8"/>
    <w:rsid w:val="00F869D4"/>
    <w:rsid w:val="00F87264"/>
    <w:rsid w:val="00F87DBF"/>
    <w:rsid w:val="00F904E5"/>
    <w:rsid w:val="00F90746"/>
    <w:rsid w:val="00F90CB8"/>
    <w:rsid w:val="00F90FFB"/>
    <w:rsid w:val="00F919E8"/>
    <w:rsid w:val="00F92210"/>
    <w:rsid w:val="00F92823"/>
    <w:rsid w:val="00F93D2F"/>
    <w:rsid w:val="00F944AA"/>
    <w:rsid w:val="00F94BE7"/>
    <w:rsid w:val="00F954B4"/>
    <w:rsid w:val="00F95695"/>
    <w:rsid w:val="00F95761"/>
    <w:rsid w:val="00F9598E"/>
    <w:rsid w:val="00F9608A"/>
    <w:rsid w:val="00F96BB1"/>
    <w:rsid w:val="00F96FDA"/>
    <w:rsid w:val="00F97124"/>
    <w:rsid w:val="00FA06E8"/>
    <w:rsid w:val="00FA0DE6"/>
    <w:rsid w:val="00FA0F8B"/>
    <w:rsid w:val="00FA1039"/>
    <w:rsid w:val="00FA1B8E"/>
    <w:rsid w:val="00FA2142"/>
    <w:rsid w:val="00FA2EB6"/>
    <w:rsid w:val="00FA3286"/>
    <w:rsid w:val="00FA3D3D"/>
    <w:rsid w:val="00FA4041"/>
    <w:rsid w:val="00FA5106"/>
    <w:rsid w:val="00FA58DE"/>
    <w:rsid w:val="00FA5AF5"/>
    <w:rsid w:val="00FA64E0"/>
    <w:rsid w:val="00FA6878"/>
    <w:rsid w:val="00FA6A13"/>
    <w:rsid w:val="00FA7755"/>
    <w:rsid w:val="00FA789F"/>
    <w:rsid w:val="00FA78BB"/>
    <w:rsid w:val="00FB0347"/>
    <w:rsid w:val="00FB114A"/>
    <w:rsid w:val="00FB123B"/>
    <w:rsid w:val="00FB151F"/>
    <w:rsid w:val="00FB309A"/>
    <w:rsid w:val="00FB3974"/>
    <w:rsid w:val="00FB3BB6"/>
    <w:rsid w:val="00FB3D01"/>
    <w:rsid w:val="00FB4393"/>
    <w:rsid w:val="00FB4F15"/>
    <w:rsid w:val="00FB5550"/>
    <w:rsid w:val="00FB5712"/>
    <w:rsid w:val="00FB5808"/>
    <w:rsid w:val="00FB679F"/>
    <w:rsid w:val="00FB71B8"/>
    <w:rsid w:val="00FB776F"/>
    <w:rsid w:val="00FB77AE"/>
    <w:rsid w:val="00FC088C"/>
    <w:rsid w:val="00FC11C8"/>
    <w:rsid w:val="00FC1352"/>
    <w:rsid w:val="00FC27A1"/>
    <w:rsid w:val="00FC27B2"/>
    <w:rsid w:val="00FC2987"/>
    <w:rsid w:val="00FC3030"/>
    <w:rsid w:val="00FC30AF"/>
    <w:rsid w:val="00FC3233"/>
    <w:rsid w:val="00FC4656"/>
    <w:rsid w:val="00FC465D"/>
    <w:rsid w:val="00FC54C1"/>
    <w:rsid w:val="00FC69CD"/>
    <w:rsid w:val="00FC73D9"/>
    <w:rsid w:val="00FC754C"/>
    <w:rsid w:val="00FD07DC"/>
    <w:rsid w:val="00FD0D67"/>
    <w:rsid w:val="00FD146C"/>
    <w:rsid w:val="00FD1CA8"/>
    <w:rsid w:val="00FD2D61"/>
    <w:rsid w:val="00FD3E8F"/>
    <w:rsid w:val="00FD3F85"/>
    <w:rsid w:val="00FD40FA"/>
    <w:rsid w:val="00FD46A5"/>
    <w:rsid w:val="00FD48D0"/>
    <w:rsid w:val="00FD600F"/>
    <w:rsid w:val="00FD61D9"/>
    <w:rsid w:val="00FD7100"/>
    <w:rsid w:val="00FD7584"/>
    <w:rsid w:val="00FE1410"/>
    <w:rsid w:val="00FE1501"/>
    <w:rsid w:val="00FE1B44"/>
    <w:rsid w:val="00FE26D9"/>
    <w:rsid w:val="00FE2FDA"/>
    <w:rsid w:val="00FE3D02"/>
    <w:rsid w:val="00FE3E27"/>
    <w:rsid w:val="00FE3F9C"/>
    <w:rsid w:val="00FE4010"/>
    <w:rsid w:val="00FE7495"/>
    <w:rsid w:val="00FE794C"/>
    <w:rsid w:val="00FE7984"/>
    <w:rsid w:val="00FF00A0"/>
    <w:rsid w:val="00FF03BE"/>
    <w:rsid w:val="00FF04E3"/>
    <w:rsid w:val="00FF12FA"/>
    <w:rsid w:val="00FF13C4"/>
    <w:rsid w:val="00FF1445"/>
    <w:rsid w:val="00FF1945"/>
    <w:rsid w:val="00FF1B92"/>
    <w:rsid w:val="00FF1C97"/>
    <w:rsid w:val="00FF1D4E"/>
    <w:rsid w:val="00FF1F8B"/>
    <w:rsid w:val="00FF22EA"/>
    <w:rsid w:val="00FF2D23"/>
    <w:rsid w:val="00FF31AF"/>
    <w:rsid w:val="00FF340F"/>
    <w:rsid w:val="00FF37B1"/>
    <w:rsid w:val="00FF3DE6"/>
    <w:rsid w:val="00FF4126"/>
    <w:rsid w:val="00FF4242"/>
    <w:rsid w:val="00FF4360"/>
    <w:rsid w:val="00FF4639"/>
    <w:rsid w:val="00FF5C61"/>
    <w:rsid w:val="00FF6A86"/>
    <w:rsid w:val="00FF707C"/>
    <w:rsid w:val="00FF77C1"/>
    <w:rsid w:val="0ED4E5CA"/>
    <w:rsid w:val="12063B2D"/>
    <w:rsid w:val="164C6C34"/>
    <w:rsid w:val="1ABB4940"/>
    <w:rsid w:val="2DEEF46A"/>
    <w:rsid w:val="36DFC656"/>
    <w:rsid w:val="47C7C2A3"/>
    <w:rsid w:val="5070E87E"/>
    <w:rsid w:val="549F36C3"/>
    <w:rsid w:val="6210E51E"/>
    <w:rsid w:val="62582DF9"/>
    <w:rsid w:val="67A7C974"/>
    <w:rsid w:val="6CB92577"/>
    <w:rsid w:val="78619330"/>
    <w:rsid w:val="7F3376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5]" stroke="f">
      <v:fill color="none [3215]"/>
      <v:stroke on="f"/>
    </o:shapedefaults>
    <o:shapelayout v:ext="edit">
      <o:idmap v:ext="edit" data="2"/>
    </o:shapelayout>
  </w:shapeDefaults>
  <w:decimalSymbol w:val="."/>
  <w:listSeparator w:val=","/>
  <w14:docId w14:val="425A4C28"/>
  <w15:docId w15:val="{C242FF44-2B7F-436A-A97A-8675ABB1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1" w:unhideWhenUsed="1"/>
    <w:lsdException w:name="heading 8" w:locked="0" w:semiHidden="1" w:uiPriority="9" w:unhideWhenUsed="1" w:qFormat="1"/>
    <w:lsdException w:name="heading 9" w:locked="0"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nhideWhenUsed="1"/>
    <w:lsdException w:name="toc 6" w:locked="0" w:semiHidden="1" w:uiPriority="39" w:unhideWhenUsed="1"/>
    <w:lsdException w:name="toc 7" w:locked="0" w:semiHidden="1" w:uiPriority="39" w:unhideWhenUsed="1"/>
    <w:lsdException w:name="toc 8" w:locked="0" w:semiHidden="1" w:unhideWhenUsed="1"/>
    <w:lsdException w:name="toc 9" w:locked="0" w:semiHidden="1" w:uiPriority="39" w:unhideWhenUsed="1"/>
    <w:lsdException w:name="Normal Indent" w:locked="0" w:semiHidden="1" w:unhideWhenUsed="1"/>
    <w:lsdException w:name="footnote text" w:locked="0" w:semiHidden="1" w:uiPriority="99" w:unhideWhenUsed="1"/>
    <w:lsdException w:name="annotation text" w:locked="0" w:semiHidden="1" w:uiPriority="99"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iPriority="4"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qFormat="1"/>
    <w:lsdException w:name="List Number" w:semiHidden="1" w:uiPriority="13"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semiHidden="1" w:uiPriority="11" w:qFormat="1"/>
    <w:lsdException w:name="Salutation" w:locked="0" w:semiHidden="1" w:unhideWhenUsed="1"/>
    <w:lsdException w:name="Date" w:locked="0"/>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iPriority="99" w:unhideWhenUsed="1"/>
    <w:lsdException w:name="FollowedHyperlink" w:locked="0" w:semiHidden="1" w:uiPriority="99" w:unhideWhenUsed="1"/>
    <w:lsdException w:name="Strong" w:locked="0" w:semiHidden="1" w:uiPriority="22" w:qFormat="1"/>
    <w:lsdException w:name="Emphasis" w:semiHidden="1"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locked="0" w:semiHidden="1" w:unhideWhenUsed="1"/>
    <w:lsdException w:name="annotation subject" w:locked="0"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locked="0"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next w:val="PwCNormal"/>
    <w:uiPriority w:val="39"/>
    <w:rsid w:val="00C57F9A"/>
    <w:pPr>
      <w:kinsoku w:val="0"/>
      <w:overflowPunct w:val="0"/>
      <w:autoSpaceDE w:val="0"/>
      <w:autoSpaceDN w:val="0"/>
      <w:adjustRightInd w:val="0"/>
      <w:snapToGrid w:val="0"/>
      <w:spacing w:line="281" w:lineRule="auto"/>
    </w:pPr>
    <w:rPr>
      <w:rFonts w:asciiTheme="minorHAnsi" w:hAnsiTheme="minorHAnsi" w:cs="Arial"/>
      <w:snapToGrid w:val="0"/>
      <w:sz w:val="18"/>
      <w:lang w:eastAsia="en-US"/>
    </w:rPr>
  </w:style>
  <w:style w:type="paragraph" w:styleId="Heading1">
    <w:name w:val="heading 1"/>
    <w:basedOn w:val="PrefaceTitle"/>
    <w:next w:val="PwCNormal"/>
    <w:uiPriority w:val="9"/>
    <w:qFormat/>
    <w:rsid w:val="00044D05"/>
    <w:pPr>
      <w:numPr>
        <w:numId w:val="43"/>
      </w:numPr>
    </w:pPr>
  </w:style>
  <w:style w:type="paragraph" w:styleId="Heading2">
    <w:name w:val="heading 2"/>
    <w:basedOn w:val="Normal"/>
    <w:next w:val="PwCNormal"/>
    <w:uiPriority w:val="9"/>
    <w:qFormat/>
    <w:rsid w:val="002311EE"/>
    <w:pPr>
      <w:keepNext/>
      <w:keepLines/>
      <w:numPr>
        <w:ilvl w:val="1"/>
        <w:numId w:val="43"/>
      </w:numPr>
      <w:spacing w:before="240" w:after="120" w:line="240" w:lineRule="auto"/>
      <w:outlineLvl w:val="1"/>
    </w:pPr>
    <w:rPr>
      <w:bCs/>
      <w:iCs/>
      <w:color w:val="00727E" w:themeColor="accent3"/>
      <w:sz w:val="32"/>
      <w:szCs w:val="36"/>
    </w:rPr>
  </w:style>
  <w:style w:type="paragraph" w:styleId="Heading3">
    <w:name w:val="heading 3"/>
    <w:basedOn w:val="Heading1"/>
    <w:next w:val="PwCNormal"/>
    <w:uiPriority w:val="9"/>
    <w:qFormat/>
    <w:rsid w:val="002311EE"/>
    <w:pPr>
      <w:numPr>
        <w:numId w:val="0"/>
      </w:numPr>
      <w:outlineLvl w:val="2"/>
    </w:pPr>
    <w:rPr>
      <w:rFonts w:asciiTheme="minorHAnsi" w:hAnsiTheme="minorHAnsi"/>
      <w:bCs w:val="0"/>
      <w:sz w:val="22"/>
    </w:rPr>
  </w:style>
  <w:style w:type="paragraph" w:styleId="Heading4">
    <w:name w:val="heading 4"/>
    <w:basedOn w:val="Heading2"/>
    <w:next w:val="PwCNormal"/>
    <w:uiPriority w:val="9"/>
    <w:qFormat/>
    <w:rsid w:val="00232D80"/>
    <w:pPr>
      <w:numPr>
        <w:ilvl w:val="3"/>
      </w:numPr>
      <w:outlineLvl w:val="3"/>
    </w:pPr>
    <w:rPr>
      <w:color w:val="000000" w:themeColor="text1"/>
      <w:sz w:val="22"/>
    </w:rPr>
  </w:style>
  <w:style w:type="paragraph" w:styleId="Heading5">
    <w:name w:val="heading 5"/>
    <w:basedOn w:val="Heading2"/>
    <w:next w:val="PwCNormal"/>
    <w:uiPriority w:val="9"/>
    <w:qFormat/>
    <w:rsid w:val="00232D80"/>
    <w:pPr>
      <w:numPr>
        <w:ilvl w:val="4"/>
      </w:numPr>
      <w:outlineLvl w:val="4"/>
    </w:pPr>
    <w:rPr>
      <w:b/>
      <w:bCs w:val="0"/>
      <w:i/>
      <w:iCs w:val="0"/>
      <w:color w:val="000000" w:themeColor="text1"/>
      <w:sz w:val="20"/>
      <w:szCs w:val="32"/>
    </w:rPr>
  </w:style>
  <w:style w:type="paragraph" w:styleId="Heading6">
    <w:name w:val="heading 6"/>
    <w:basedOn w:val="Heading2"/>
    <w:next w:val="PwCNormal"/>
    <w:uiPriority w:val="9"/>
    <w:qFormat/>
    <w:rsid w:val="00842A36"/>
    <w:pPr>
      <w:numPr>
        <w:ilvl w:val="5"/>
      </w:numPr>
      <w:tabs>
        <w:tab w:val="num" w:pos="851"/>
      </w:tabs>
      <w:spacing w:line="300" w:lineRule="atLeast"/>
      <w:outlineLvl w:val="5"/>
    </w:pPr>
    <w:rPr>
      <w:b/>
      <w:bCs w:val="0"/>
      <w:color w:val="000000" w:themeColor="text1"/>
      <w:sz w:val="24"/>
    </w:rPr>
  </w:style>
  <w:style w:type="paragraph" w:styleId="Heading7">
    <w:name w:val="heading 7"/>
    <w:basedOn w:val="Heading6"/>
    <w:next w:val="PwCNormal"/>
    <w:uiPriority w:val="1"/>
    <w:rsid w:val="00E20979"/>
    <w:pPr>
      <w:numPr>
        <w:ilvl w:val="6"/>
      </w:numPr>
      <w:tabs>
        <w:tab w:val="num" w:pos="851"/>
      </w:tabs>
      <w:spacing w:after="0" w:line="260" w:lineRule="atLeast"/>
      <w:outlineLvl w:val="6"/>
    </w:pPr>
    <w:rPr>
      <w:sz w:val="18"/>
      <w:szCs w:val="28"/>
    </w:rPr>
  </w:style>
  <w:style w:type="paragraph" w:styleId="Heading8">
    <w:name w:val="heading 8"/>
    <w:basedOn w:val="Majorheading"/>
    <w:next w:val="PwCNormal"/>
    <w:link w:val="Heading8Char"/>
    <w:uiPriority w:val="9"/>
    <w:qFormat/>
    <w:rsid w:val="00842A36"/>
    <w:pPr>
      <w:numPr>
        <w:ilvl w:val="7"/>
        <w:numId w:val="43"/>
      </w:numPr>
      <w:outlineLvl w:val="7"/>
    </w:pPr>
    <w:rPr>
      <w:sz w:val="32"/>
      <w:szCs w:val="21"/>
    </w:rPr>
  </w:style>
  <w:style w:type="paragraph" w:styleId="Heading9">
    <w:name w:val="heading 9"/>
    <w:basedOn w:val="Heading8"/>
    <w:next w:val="PwCNormal"/>
    <w:uiPriority w:val="1"/>
    <w:rsid w:val="00842A36"/>
    <w:pPr>
      <w:numPr>
        <w:ilvl w:val="8"/>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2A36"/>
    <w:pPr>
      <w:tabs>
        <w:tab w:val="right" w:pos="9865"/>
      </w:tabs>
    </w:pPr>
    <w:rPr>
      <w:rFonts w:ascii="Arial" w:hAnsi="Arial"/>
      <w:color w:val="000000" w:themeColor="text1"/>
      <w:sz w:val="19"/>
      <w:szCs w:val="18"/>
    </w:rPr>
  </w:style>
  <w:style w:type="paragraph" w:styleId="Footer">
    <w:name w:val="footer"/>
    <w:basedOn w:val="Normal"/>
    <w:link w:val="FooterChar"/>
    <w:uiPriority w:val="99"/>
    <w:rsid w:val="00842A36"/>
    <w:pPr>
      <w:tabs>
        <w:tab w:val="right" w:pos="9865"/>
      </w:tabs>
      <w:spacing w:line="0" w:lineRule="atLeast"/>
    </w:pPr>
    <w:rPr>
      <w:rFonts w:ascii="Arial" w:hAnsi="Arial"/>
      <w:color w:val="000000" w:themeColor="text1"/>
      <w:sz w:val="19"/>
      <w:szCs w:val="18"/>
    </w:rPr>
  </w:style>
  <w:style w:type="paragraph" w:customStyle="1" w:styleId="TOCtitle">
    <w:name w:val="TOC title"/>
    <w:basedOn w:val="Heading2"/>
    <w:next w:val="PwCNormal"/>
    <w:uiPriority w:val="49"/>
    <w:unhideWhenUsed/>
    <w:rsid w:val="00E52631"/>
    <w:pPr>
      <w:numPr>
        <w:ilvl w:val="0"/>
        <w:numId w:val="0"/>
      </w:numPr>
      <w:spacing w:before="0" w:after="360"/>
      <w:outlineLvl w:val="0"/>
    </w:pPr>
    <w:rPr>
      <w:rFonts w:asciiTheme="majorHAnsi" w:hAnsiTheme="majorHAnsi"/>
      <w:b/>
      <w:color w:val="004C91" w:themeColor="accent1"/>
      <w:sz w:val="36"/>
    </w:rPr>
  </w:style>
  <w:style w:type="paragraph" w:customStyle="1" w:styleId="Covertitle">
    <w:name w:val="Cover title"/>
    <w:basedOn w:val="KeySentenceInside"/>
    <w:next w:val="Coversubtitle"/>
    <w:uiPriority w:val="19"/>
    <w:rsid w:val="00842A36"/>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uiPriority w:val="19"/>
    <w:rsid w:val="00842A36"/>
    <w:pPr>
      <w:framePr w:wrap="notBeside"/>
      <w:spacing w:before="180"/>
    </w:pPr>
    <w:rPr>
      <w:bCs/>
      <w:szCs w:val="64"/>
    </w:rPr>
  </w:style>
  <w:style w:type="paragraph" w:customStyle="1" w:styleId="AppendixNumberLong">
    <w:name w:val="Appendix Number (Long)"/>
    <w:basedOn w:val="Heading3"/>
    <w:next w:val="Heading3"/>
    <w:uiPriority w:val="19"/>
    <w:rsid w:val="00450239"/>
    <w:pPr>
      <w:pageBreakBefore/>
      <w:numPr>
        <w:ilvl w:val="5"/>
        <w:numId w:val="29"/>
      </w:numPr>
    </w:pPr>
    <w:rPr>
      <w:sz w:val="760"/>
    </w:rPr>
  </w:style>
  <w:style w:type="paragraph" w:customStyle="1" w:styleId="ChapterNumberLong">
    <w:name w:val="Chapter Number (Long)"/>
    <w:basedOn w:val="Heading1"/>
    <w:next w:val="Heading1"/>
    <w:uiPriority w:val="19"/>
    <w:rsid w:val="00C72DA8"/>
    <w:pPr>
      <w:pageBreakBefore/>
      <w:framePr w:w="5670" w:wrap="around" w:vAnchor="text" w:hAnchor="text" w:y="1"/>
      <w:numPr>
        <w:numId w:val="29"/>
      </w:numPr>
    </w:pPr>
    <w:rPr>
      <w:sz w:val="900"/>
    </w:rPr>
  </w:style>
  <w:style w:type="paragraph" w:customStyle="1" w:styleId="Footer-Even">
    <w:name w:val="Footer - Even"/>
    <w:basedOn w:val="Footer"/>
    <w:uiPriority w:val="39"/>
    <w:rsid w:val="00842A36"/>
  </w:style>
  <w:style w:type="paragraph" w:customStyle="1" w:styleId="URL">
    <w:name w:val="URL"/>
    <w:basedOn w:val="Copyright"/>
    <w:next w:val="PwCNormal"/>
    <w:uiPriority w:val="49"/>
    <w:rsid w:val="003409AF"/>
    <w:pPr>
      <w:framePr w:wrap="around" w:vAnchor="page" w:hAnchor="page" w:x="1030" w:y="12475"/>
      <w:spacing w:line="240" w:lineRule="auto"/>
    </w:pPr>
    <w:rPr>
      <w:color w:val="004C91" w:themeColor="accent1"/>
      <w:sz w:val="24"/>
      <w:szCs w:val="24"/>
    </w:rPr>
  </w:style>
  <w:style w:type="paragraph" w:customStyle="1" w:styleId="Indent1">
    <w:name w:val="Indent 1"/>
    <w:basedOn w:val="Normal"/>
    <w:uiPriority w:val="49"/>
    <w:qFormat/>
    <w:rsid w:val="00A73894"/>
    <w:pPr>
      <w:numPr>
        <w:ilvl w:val="1"/>
        <w:numId w:val="16"/>
      </w:numPr>
      <w:spacing w:before="120" w:after="240"/>
    </w:pPr>
    <w:rPr>
      <w:rFonts w:cs="Times New Roman"/>
    </w:rPr>
  </w:style>
  <w:style w:type="paragraph" w:customStyle="1" w:styleId="Indent2">
    <w:name w:val="Indent 2"/>
    <w:basedOn w:val="Indent1"/>
    <w:uiPriority w:val="49"/>
    <w:qFormat/>
    <w:rsid w:val="00842A36"/>
    <w:pPr>
      <w:numPr>
        <w:ilvl w:val="2"/>
      </w:numPr>
    </w:pPr>
  </w:style>
  <w:style w:type="paragraph" w:customStyle="1" w:styleId="Indent3">
    <w:name w:val="Indent 3"/>
    <w:basedOn w:val="Indent2"/>
    <w:uiPriority w:val="49"/>
    <w:qFormat/>
    <w:rsid w:val="00842A36"/>
    <w:pPr>
      <w:numPr>
        <w:ilvl w:val="3"/>
      </w:numPr>
    </w:pPr>
  </w:style>
  <w:style w:type="paragraph" w:customStyle="1" w:styleId="Indent5">
    <w:name w:val="Indent 5"/>
    <w:basedOn w:val="Indent4"/>
    <w:uiPriority w:val="49"/>
    <w:rsid w:val="00842A36"/>
    <w:pPr>
      <w:numPr>
        <w:ilvl w:val="5"/>
      </w:numPr>
    </w:pPr>
  </w:style>
  <w:style w:type="paragraph" w:customStyle="1" w:styleId="Indent6">
    <w:name w:val="Indent 6"/>
    <w:basedOn w:val="Indent5"/>
    <w:uiPriority w:val="49"/>
    <w:rsid w:val="00842A36"/>
    <w:pPr>
      <w:numPr>
        <w:ilvl w:val="6"/>
      </w:numPr>
    </w:pPr>
  </w:style>
  <w:style w:type="paragraph" w:customStyle="1" w:styleId="Indent7">
    <w:name w:val="Indent 7"/>
    <w:basedOn w:val="Indent6"/>
    <w:uiPriority w:val="49"/>
    <w:rsid w:val="00842A36"/>
    <w:pPr>
      <w:numPr>
        <w:ilvl w:val="7"/>
      </w:numPr>
    </w:pPr>
  </w:style>
  <w:style w:type="numbering" w:customStyle="1" w:styleId="Indents">
    <w:name w:val="Indents"/>
    <w:rsid w:val="00842A36"/>
    <w:pPr>
      <w:numPr>
        <w:numId w:val="9"/>
      </w:numPr>
    </w:pPr>
  </w:style>
  <w:style w:type="paragraph" w:customStyle="1" w:styleId="Copyright">
    <w:name w:val="Copyright"/>
    <w:basedOn w:val="Normal"/>
    <w:uiPriority w:val="19"/>
    <w:rsid w:val="00842A36"/>
    <w:rPr>
      <w:rFonts w:ascii="Arial" w:hAnsi="Arial"/>
      <w:color w:val="FFFFFF" w:themeColor="background1"/>
      <w:sz w:val="16"/>
      <w:lang w:val="en-US"/>
    </w:rPr>
  </w:style>
  <w:style w:type="paragraph" w:customStyle="1" w:styleId="Header-Even">
    <w:name w:val="Header - Even"/>
    <w:basedOn w:val="Header"/>
    <w:uiPriority w:val="39"/>
    <w:rsid w:val="00842A36"/>
  </w:style>
  <w:style w:type="paragraph" w:customStyle="1" w:styleId="PleaseNote">
    <w:name w:val="Please Note"/>
    <w:basedOn w:val="PrefaceTitle"/>
    <w:next w:val="PwCNormal"/>
    <w:uiPriority w:val="29"/>
    <w:rsid w:val="00842A36"/>
    <w:rPr>
      <w:iCs w:val="0"/>
    </w:rPr>
  </w:style>
  <w:style w:type="paragraph" w:customStyle="1" w:styleId="Indent4">
    <w:name w:val="Indent 4"/>
    <w:basedOn w:val="Indent3"/>
    <w:uiPriority w:val="49"/>
    <w:rsid w:val="00842A36"/>
    <w:pPr>
      <w:numPr>
        <w:ilvl w:val="4"/>
      </w:numPr>
    </w:pPr>
  </w:style>
  <w:style w:type="paragraph" w:styleId="TOC2">
    <w:name w:val="toc 2"/>
    <w:basedOn w:val="TOC1"/>
    <w:next w:val="PwCNormal"/>
    <w:uiPriority w:val="39"/>
    <w:rsid w:val="00B20BB8"/>
    <w:pPr>
      <w:keepNext w:val="0"/>
      <w:keepLines w:val="0"/>
      <w:tabs>
        <w:tab w:val="clear" w:pos="567"/>
        <w:tab w:val="left" w:pos="1134"/>
      </w:tabs>
      <w:spacing w:line="240" w:lineRule="auto"/>
      <w:ind w:left="624" w:hanging="482"/>
    </w:pPr>
    <w:rPr>
      <w:rFonts w:eastAsiaTheme="minorEastAsia" w:cstheme="minorBidi"/>
      <w:noProof/>
      <w:snapToGrid/>
      <w:color w:val="auto"/>
      <w:kern w:val="2"/>
      <w:szCs w:val="22"/>
      <w:lang w:eastAsia="en-AU"/>
      <w14:ligatures w14:val="standardContextual"/>
    </w:rPr>
  </w:style>
  <w:style w:type="paragraph" w:styleId="TOC4">
    <w:name w:val="toc 4"/>
    <w:basedOn w:val="TOC2"/>
    <w:next w:val="PwCNormal"/>
    <w:uiPriority w:val="39"/>
    <w:rsid w:val="00566891"/>
    <w:pPr>
      <w:tabs>
        <w:tab w:val="left" w:pos="1418"/>
      </w:tabs>
      <w:ind w:left="1195" w:right="850" w:firstLine="0"/>
    </w:pPr>
  </w:style>
  <w:style w:type="paragraph" w:styleId="TOC7">
    <w:name w:val="toc 7"/>
    <w:basedOn w:val="TOC6"/>
    <w:next w:val="PwCNormal"/>
    <w:uiPriority w:val="39"/>
    <w:rsid w:val="00842A36"/>
    <w:pPr>
      <w:tabs>
        <w:tab w:val="clear" w:pos="1134"/>
        <w:tab w:val="left" w:pos="1985"/>
      </w:tabs>
      <w:ind w:left="1985" w:hanging="851"/>
    </w:pPr>
  </w:style>
  <w:style w:type="paragraph" w:customStyle="1" w:styleId="KeySentenceInside">
    <w:name w:val="Key Sentence Inside"/>
    <w:basedOn w:val="KeySentence"/>
    <w:uiPriority w:val="39"/>
    <w:rsid w:val="00842A36"/>
    <w:pPr>
      <w:framePr w:w="2296" w:wrap="notBeside" w:vAnchor="text" w:hAnchor="margin" w:x="-2521" w:y="1" w:anchorLock="1"/>
    </w:pPr>
  </w:style>
  <w:style w:type="paragraph" w:customStyle="1" w:styleId="ChapterNumberedList1">
    <w:name w:val="Chapter Numbered List 1"/>
    <w:basedOn w:val="PwCNormal"/>
    <w:uiPriority w:val="19"/>
    <w:rsid w:val="00C64BAE"/>
    <w:pPr>
      <w:numPr>
        <w:ilvl w:val="5"/>
        <w:numId w:val="33"/>
      </w:numPr>
      <w:spacing w:before="60" w:after="60"/>
    </w:pPr>
  </w:style>
  <w:style w:type="paragraph" w:customStyle="1" w:styleId="ChapterNumberedList2">
    <w:name w:val="Chapter Numbered List 2"/>
    <w:basedOn w:val="ChapterNumberedList1"/>
    <w:uiPriority w:val="19"/>
    <w:rsid w:val="00F34182"/>
    <w:pPr>
      <w:numPr>
        <w:ilvl w:val="6"/>
      </w:numPr>
    </w:pPr>
  </w:style>
  <w:style w:type="paragraph" w:styleId="TOC6">
    <w:name w:val="toc 6"/>
    <w:basedOn w:val="TOC2"/>
    <w:next w:val="PwCNormal"/>
    <w:uiPriority w:val="39"/>
    <w:rsid w:val="00842A36"/>
  </w:style>
  <w:style w:type="paragraph" w:customStyle="1" w:styleId="PwCNormal">
    <w:name w:val="PwC Normal"/>
    <w:basedOn w:val="Normal"/>
    <w:link w:val="PwCNormalChar"/>
    <w:qFormat/>
    <w:rsid w:val="008835C7"/>
    <w:pPr>
      <w:numPr>
        <w:numId w:val="16"/>
      </w:numPr>
      <w:spacing w:before="240" w:after="240" w:line="240" w:lineRule="auto"/>
    </w:pPr>
    <w:rPr>
      <w:color w:val="000000" w:themeColor="text1"/>
      <w:sz w:val="20"/>
    </w:rPr>
  </w:style>
  <w:style w:type="paragraph" w:customStyle="1" w:styleId="CoverDate">
    <w:name w:val="Cover Date"/>
    <w:basedOn w:val="Coversubtitle"/>
    <w:uiPriority w:val="19"/>
    <w:rsid w:val="006E205E"/>
    <w:pPr>
      <w:framePr w:w="0" w:wrap="auto" w:vAnchor="margin" w:hAnchor="text" w:xAlign="left" w:yAlign="inline"/>
      <w:spacing w:before="240" w:after="0" w:line="320" w:lineRule="atLeast"/>
      <w:ind w:left="0"/>
    </w:pPr>
    <w:rPr>
      <w:rFonts w:asciiTheme="minorHAnsi" w:hAnsiTheme="minorHAnsi"/>
      <w:color w:val="FFFFFF"/>
      <w:sz w:val="20"/>
    </w:rPr>
  </w:style>
  <w:style w:type="paragraph" w:customStyle="1" w:styleId="KeySentenceOutside">
    <w:name w:val="Key Sentence Outside"/>
    <w:basedOn w:val="KeySentence"/>
    <w:uiPriority w:val="39"/>
    <w:rsid w:val="00842A36"/>
    <w:pPr>
      <w:framePr w:w="2410" w:wrap="around" w:vAnchor="text" w:hAnchor="margin" w:x="7909" w:y="1" w:anchorLock="1"/>
    </w:pPr>
  </w:style>
  <w:style w:type="character" w:customStyle="1" w:styleId="PwCNormalChar">
    <w:name w:val="PwC Normal Char"/>
    <w:basedOn w:val="DefaultParagraphFont"/>
    <w:link w:val="PwCNormal"/>
    <w:rsid w:val="008835C7"/>
    <w:rPr>
      <w:rFonts w:asciiTheme="minorHAnsi" w:hAnsiTheme="minorHAnsi" w:cs="Arial"/>
      <w:snapToGrid w:val="0"/>
      <w:color w:val="000000" w:themeColor="text1"/>
      <w:lang w:eastAsia="en-US"/>
    </w:rPr>
  </w:style>
  <w:style w:type="paragraph" w:styleId="TOC1">
    <w:name w:val="toc 1"/>
    <w:basedOn w:val="Normal"/>
    <w:next w:val="PwCNormal"/>
    <w:uiPriority w:val="39"/>
    <w:rsid w:val="001E7FEF"/>
    <w:pPr>
      <w:keepNext/>
      <w:keepLines/>
      <w:tabs>
        <w:tab w:val="left" w:pos="567"/>
        <w:tab w:val="right" w:pos="8675"/>
      </w:tabs>
      <w:spacing w:before="120" w:after="40" w:line="220" w:lineRule="atLeast"/>
      <w:ind w:left="340" w:right="284" w:hanging="340"/>
    </w:pPr>
    <w:rPr>
      <w:color w:val="000000" w:themeColor="text1"/>
      <w:sz w:val="20"/>
    </w:rPr>
  </w:style>
  <w:style w:type="paragraph" w:customStyle="1" w:styleId="CREATISID">
    <w:name w:val="CREATISID"/>
    <w:basedOn w:val="PwCNormal"/>
    <w:uiPriority w:val="19"/>
    <w:unhideWhenUsed/>
    <w:rsid w:val="00842A36"/>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842A36"/>
    <w:pPr>
      <w:numPr>
        <w:numId w:val="4"/>
      </w:numPr>
    </w:pPr>
  </w:style>
  <w:style w:type="paragraph" w:customStyle="1" w:styleId="Footer-Landscape">
    <w:name w:val="Footer - Landscape"/>
    <w:basedOn w:val="Footer"/>
    <w:uiPriority w:val="39"/>
    <w:rsid w:val="00842A36"/>
    <w:pPr>
      <w:tabs>
        <w:tab w:val="clear" w:pos="9865"/>
        <w:tab w:val="right" w:pos="14797"/>
      </w:tabs>
    </w:pPr>
  </w:style>
  <w:style w:type="paragraph" w:customStyle="1" w:styleId="TableBullet1Normal">
    <w:name w:val="Table Bullet 1 Normal"/>
    <w:basedOn w:val="TableTextNormal"/>
    <w:link w:val="TableBullet1NormalChar"/>
    <w:rsid w:val="00842A36"/>
    <w:pPr>
      <w:numPr>
        <w:numId w:val="17"/>
      </w:numPr>
      <w:spacing w:before="40" w:after="40"/>
    </w:pPr>
  </w:style>
  <w:style w:type="paragraph" w:customStyle="1" w:styleId="TableTextNormal">
    <w:name w:val="Table Text Normal"/>
    <w:basedOn w:val="Normal"/>
    <w:link w:val="TableTextNormalChar"/>
    <w:rsid w:val="009064C5"/>
    <w:pPr>
      <w:spacing w:before="120" w:after="60" w:line="240" w:lineRule="auto"/>
    </w:pPr>
    <w:rPr>
      <w:sz w:val="20"/>
    </w:rPr>
  </w:style>
  <w:style w:type="paragraph" w:customStyle="1" w:styleId="TableBullet1Small">
    <w:name w:val="Table Bullet 1 Small"/>
    <w:basedOn w:val="Normal"/>
    <w:rsid w:val="002B0C2C"/>
    <w:pPr>
      <w:numPr>
        <w:numId w:val="18"/>
      </w:numPr>
      <w:spacing w:before="20" w:after="20"/>
    </w:pPr>
    <w:rPr>
      <w:rFonts w:ascii="Arial" w:hAnsi="Arial"/>
      <w:sz w:val="16"/>
      <w:szCs w:val="18"/>
    </w:rPr>
  </w:style>
  <w:style w:type="paragraph" w:customStyle="1" w:styleId="TableHeadingWhite">
    <w:name w:val="Table Heading White"/>
    <w:link w:val="TableHeadingWhiteChar"/>
    <w:uiPriority w:val="39"/>
    <w:qFormat/>
    <w:rsid w:val="00C57F9A"/>
    <w:pPr>
      <w:spacing w:line="216" w:lineRule="auto"/>
      <w:contextualSpacing/>
    </w:pPr>
    <w:rPr>
      <w:rFonts w:asciiTheme="minorHAnsi" w:eastAsiaTheme="minorHAnsi" w:hAnsiTheme="minorHAnsi" w:cs="Arial"/>
      <w:b/>
      <w:bCs/>
      <w:snapToGrid w:val="0"/>
      <w:color w:val="FFFFFF" w:themeColor="background1"/>
      <w:sz w:val="22"/>
      <w:szCs w:val="22"/>
      <w:lang w:val="en-GB" w:eastAsia="en-US"/>
    </w:rPr>
  </w:style>
  <w:style w:type="paragraph" w:customStyle="1" w:styleId="TableBullet3Normal">
    <w:name w:val="Table Bullet 3 Normal"/>
    <w:basedOn w:val="TableBullet2Normal"/>
    <w:rsid w:val="00842A36"/>
    <w:pPr>
      <w:numPr>
        <w:ilvl w:val="2"/>
      </w:numPr>
    </w:pPr>
  </w:style>
  <w:style w:type="paragraph" w:customStyle="1" w:styleId="TableBullet3Small">
    <w:name w:val="Table Bullet 3 Small"/>
    <w:basedOn w:val="TableBullet2Small"/>
    <w:rsid w:val="00842A36"/>
    <w:pPr>
      <w:numPr>
        <w:ilvl w:val="2"/>
      </w:numPr>
    </w:pPr>
    <w:rPr>
      <w:szCs w:val="16"/>
    </w:rPr>
  </w:style>
  <w:style w:type="paragraph" w:customStyle="1" w:styleId="BlockText2">
    <w:name w:val="Block Text 2"/>
    <w:basedOn w:val="Normal"/>
    <w:uiPriority w:val="19"/>
    <w:rsid w:val="00842A36"/>
    <w:pPr>
      <w:pBdr>
        <w:top w:val="single" w:sz="2" w:space="10" w:color="004C91" w:themeColor="accent6"/>
        <w:left w:val="single" w:sz="2" w:space="10" w:color="004C91" w:themeColor="accent6"/>
        <w:bottom w:val="single" w:sz="2" w:space="10" w:color="004C91" w:themeColor="accent6"/>
        <w:right w:val="single" w:sz="2" w:space="10" w:color="004C91" w:themeColor="accent6"/>
      </w:pBdr>
      <w:shd w:val="clear" w:color="auto" w:fill="004C91" w:themeFill="accent6"/>
      <w:kinsoku/>
      <w:overflowPunct/>
      <w:autoSpaceDE/>
      <w:autoSpaceDN/>
      <w:adjustRightInd/>
      <w:snapToGrid/>
      <w:spacing w:after="420" w:line="221" w:lineRule="auto"/>
      <w:ind w:left="227" w:right="227"/>
    </w:pPr>
    <w:rPr>
      <w:rFonts w:ascii="Georgia" w:eastAsiaTheme="minorHAnsi" w:hAnsi="Georgia" w:cstheme="minorBidi"/>
      <w:snapToGrid/>
      <w:color w:val="FFFFFF" w:themeColor="background1"/>
      <w:sz w:val="80"/>
      <w:szCs w:val="48"/>
      <w:lang w:val="en-GB"/>
    </w:rPr>
  </w:style>
  <w:style w:type="paragraph" w:customStyle="1" w:styleId="Appendix">
    <w:name w:val="Appendix"/>
    <w:basedOn w:val="Heading1"/>
    <w:next w:val="Normal"/>
    <w:uiPriority w:val="99"/>
    <w:rsid w:val="00842A36"/>
    <w:pPr>
      <w:framePr w:wrap="around" w:hAnchor="text"/>
      <w:numPr>
        <w:numId w:val="13"/>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842A36"/>
    <w:pPr>
      <w:numPr>
        <w:numId w:val="13"/>
      </w:numPr>
    </w:pPr>
  </w:style>
  <w:style w:type="paragraph" w:styleId="Caption">
    <w:name w:val="caption"/>
    <w:basedOn w:val="Normal"/>
    <w:next w:val="Normal"/>
    <w:uiPriority w:val="4"/>
    <w:unhideWhenUsed/>
    <w:rsid w:val="00E52631"/>
    <w:pPr>
      <w:keepNext/>
      <w:keepLines/>
      <w:tabs>
        <w:tab w:val="left" w:pos="992"/>
      </w:tabs>
      <w:spacing w:before="240" w:after="120"/>
      <w:ind w:left="992" w:hanging="992"/>
    </w:pPr>
    <w:rPr>
      <w:b/>
      <w:bCs/>
      <w:color w:val="000000" w:themeColor="text1"/>
      <w:sz w:val="20"/>
      <w:szCs w:val="18"/>
    </w:rPr>
  </w:style>
  <w:style w:type="paragraph" w:customStyle="1" w:styleId="Majorheading">
    <w:name w:val="Major heading"/>
    <w:basedOn w:val="Normal"/>
    <w:next w:val="PwCNormal"/>
    <w:uiPriority w:val="1"/>
    <w:qFormat/>
    <w:rsid w:val="00842A36"/>
    <w:pPr>
      <w:keepNext/>
      <w:keepLines/>
      <w:spacing w:before="240" w:after="40"/>
    </w:pPr>
    <w:rPr>
      <w:b/>
      <w:color w:val="000000" w:themeColor="text1"/>
      <w:sz w:val="24"/>
      <w:szCs w:val="24"/>
    </w:rPr>
  </w:style>
  <w:style w:type="numbering" w:customStyle="1" w:styleId="TableBulletNormalList">
    <w:name w:val="Table Bullet Normal List"/>
    <w:rsid w:val="00842A36"/>
    <w:pPr>
      <w:numPr>
        <w:numId w:val="19"/>
      </w:numPr>
    </w:pPr>
  </w:style>
  <w:style w:type="paragraph" w:customStyle="1" w:styleId="Disclaimer">
    <w:name w:val="Disclaimer"/>
    <w:basedOn w:val="Normal"/>
    <w:uiPriority w:val="29"/>
    <w:unhideWhenUsed/>
    <w:rsid w:val="00CB3772"/>
    <w:pPr>
      <w:spacing w:after="140"/>
      <w:contextualSpacing/>
    </w:pPr>
    <w:rPr>
      <w:rFonts w:ascii="Arial" w:hAnsi="Arial"/>
      <w:sz w:val="16"/>
    </w:rPr>
  </w:style>
  <w:style w:type="paragraph" w:customStyle="1" w:styleId="Footer-LandscapeEven">
    <w:name w:val="Footer - Landscape Even"/>
    <w:basedOn w:val="Footer-Landscape"/>
    <w:uiPriority w:val="39"/>
    <w:rsid w:val="00842A36"/>
  </w:style>
  <w:style w:type="paragraph" w:customStyle="1" w:styleId="PwCNormal-Single">
    <w:name w:val="PwC Normal - Single"/>
    <w:basedOn w:val="PwCNormal"/>
    <w:qFormat/>
    <w:rsid w:val="00975349"/>
    <w:pPr>
      <w:numPr>
        <w:numId w:val="0"/>
      </w:numPr>
      <w:spacing w:before="0" w:after="0"/>
    </w:pPr>
  </w:style>
  <w:style w:type="numbering" w:customStyle="1" w:styleId="TableNumberdListNormal">
    <w:name w:val="Table Numberd List Normal"/>
    <w:uiPriority w:val="99"/>
    <w:rsid w:val="00842A36"/>
    <w:pPr>
      <w:numPr>
        <w:numId w:val="21"/>
      </w:numPr>
    </w:pPr>
  </w:style>
  <w:style w:type="numbering" w:customStyle="1" w:styleId="TableNumberedListSmall">
    <w:name w:val="Table Numbered List Small"/>
    <w:uiPriority w:val="99"/>
    <w:rsid w:val="00842A36"/>
    <w:pPr>
      <w:numPr>
        <w:numId w:val="23"/>
      </w:numPr>
    </w:pPr>
  </w:style>
  <w:style w:type="paragraph" w:customStyle="1" w:styleId="TableIndent2Normal">
    <w:name w:val="Table Indent 2 Normal"/>
    <w:basedOn w:val="TableIndent1Normal"/>
    <w:rsid w:val="00842A36"/>
    <w:pPr>
      <w:ind w:left="567"/>
    </w:pPr>
  </w:style>
  <w:style w:type="paragraph" w:customStyle="1" w:styleId="TableIndent2Small">
    <w:name w:val="Table Indent 2 Small"/>
    <w:basedOn w:val="TableIndent1Small"/>
    <w:rsid w:val="00842A36"/>
    <w:pPr>
      <w:ind w:left="567"/>
    </w:pPr>
    <w:rPr>
      <w:szCs w:val="16"/>
    </w:rPr>
  </w:style>
  <w:style w:type="paragraph" w:customStyle="1" w:styleId="KeySentence">
    <w:name w:val="Key Sentence"/>
    <w:basedOn w:val="Normal"/>
    <w:uiPriority w:val="39"/>
    <w:rsid w:val="00842A36"/>
    <w:pPr>
      <w:spacing w:after="160" w:line="260" w:lineRule="atLeast"/>
    </w:pPr>
    <w:rPr>
      <w:color w:val="004C91" w:themeColor="accent1"/>
      <w:sz w:val="16"/>
      <w:szCs w:val="18"/>
    </w:rPr>
  </w:style>
  <w:style w:type="numbering" w:customStyle="1" w:styleId="TableNumberedListS">
    <w:name w:val="Table Numbered List S"/>
    <w:rsid w:val="00842A36"/>
  </w:style>
  <w:style w:type="paragraph" w:customStyle="1" w:styleId="PrefaceTitle">
    <w:name w:val="Preface Title"/>
    <w:basedOn w:val="Heading2"/>
    <w:next w:val="PwCNormal"/>
    <w:uiPriority w:val="29"/>
    <w:rsid w:val="00E52631"/>
    <w:pPr>
      <w:numPr>
        <w:ilvl w:val="0"/>
        <w:numId w:val="0"/>
      </w:numPr>
      <w:outlineLvl w:val="0"/>
    </w:pPr>
    <w:rPr>
      <w:rFonts w:asciiTheme="majorHAnsi" w:hAnsiTheme="majorHAnsi"/>
      <w:b/>
      <w:color w:val="004C91" w:themeColor="accent1"/>
      <w:sz w:val="36"/>
    </w:rPr>
  </w:style>
  <w:style w:type="paragraph" w:customStyle="1" w:styleId="Sources">
    <w:name w:val="Sources"/>
    <w:basedOn w:val="Normal"/>
    <w:next w:val="PwCNormal"/>
    <w:rsid w:val="00842A36"/>
    <w:pPr>
      <w:spacing w:before="80" w:after="240" w:line="180" w:lineRule="atLeast"/>
    </w:pPr>
    <w:rPr>
      <w:color w:val="004C91" w:themeColor="accent1"/>
      <w:sz w:val="16"/>
    </w:rPr>
  </w:style>
  <w:style w:type="paragraph" w:customStyle="1" w:styleId="Minorheading">
    <w:name w:val="Minor heading"/>
    <w:basedOn w:val="Majorheading"/>
    <w:next w:val="PwCNormal"/>
    <w:uiPriority w:val="1"/>
    <w:qFormat/>
    <w:rsid w:val="00E20979"/>
    <w:pPr>
      <w:spacing w:line="180" w:lineRule="atLeast"/>
    </w:pPr>
    <w:rPr>
      <w:sz w:val="18"/>
    </w:rPr>
  </w:style>
  <w:style w:type="paragraph" w:customStyle="1" w:styleId="Minorheading2">
    <w:name w:val="Minor heading 2"/>
    <w:basedOn w:val="Minorheading"/>
    <w:next w:val="PwCNormal"/>
    <w:uiPriority w:val="1"/>
    <w:qFormat/>
    <w:rsid w:val="00842A36"/>
    <w:pPr>
      <w:spacing w:line="240" w:lineRule="atLeast"/>
    </w:pPr>
    <w:rPr>
      <w:b w:val="0"/>
      <w:i/>
    </w:rPr>
  </w:style>
  <w:style w:type="numbering" w:customStyle="1" w:styleId="PwCListNumbers1">
    <w:name w:val="PwC List Numbers 1"/>
    <w:uiPriority w:val="99"/>
    <w:rsid w:val="00842A36"/>
    <w:pPr>
      <w:numPr>
        <w:numId w:val="14"/>
      </w:numPr>
    </w:pPr>
  </w:style>
  <w:style w:type="paragraph" w:customStyle="1" w:styleId="TableBullet2Normal">
    <w:name w:val="Table Bullet 2 Normal"/>
    <w:basedOn w:val="TableBullet1Normal"/>
    <w:rsid w:val="00842A36"/>
    <w:pPr>
      <w:numPr>
        <w:ilvl w:val="1"/>
      </w:numPr>
    </w:pPr>
  </w:style>
  <w:style w:type="paragraph" w:customStyle="1" w:styleId="TableBullet2Small">
    <w:name w:val="Table Bullet 2 Small"/>
    <w:basedOn w:val="TableBullet1Small"/>
    <w:rsid w:val="00842A36"/>
    <w:pPr>
      <w:numPr>
        <w:ilvl w:val="1"/>
      </w:numPr>
    </w:pPr>
  </w:style>
  <w:style w:type="paragraph" w:customStyle="1" w:styleId="TableIndent1Normal">
    <w:name w:val="Table Indent 1 Normal"/>
    <w:basedOn w:val="TableBullet1Normal"/>
    <w:rsid w:val="00842A36"/>
    <w:pPr>
      <w:numPr>
        <w:numId w:val="0"/>
      </w:numPr>
      <w:ind w:left="284"/>
    </w:pPr>
  </w:style>
  <w:style w:type="paragraph" w:customStyle="1" w:styleId="TableIndent1Small">
    <w:name w:val="Table Indent 1 Small"/>
    <w:basedOn w:val="TableBullet1Small"/>
    <w:rsid w:val="00842A36"/>
    <w:pPr>
      <w:numPr>
        <w:numId w:val="0"/>
      </w:numPr>
      <w:ind w:left="284"/>
    </w:pPr>
  </w:style>
  <w:style w:type="paragraph" w:customStyle="1" w:styleId="SubHeading">
    <w:name w:val="Sub Heading"/>
    <w:basedOn w:val="PwCNormal"/>
    <w:rsid w:val="00842A36"/>
    <w:pPr>
      <w:spacing w:after="480" w:line="600" w:lineRule="atLeast"/>
    </w:pPr>
    <w:rPr>
      <w:sz w:val="56"/>
    </w:rPr>
  </w:style>
  <w:style w:type="paragraph" w:styleId="FootnoteText">
    <w:name w:val="footnote text"/>
    <w:basedOn w:val="Normal"/>
    <w:link w:val="FootnoteTextChar"/>
    <w:uiPriority w:val="99"/>
    <w:rsid w:val="00842A36"/>
    <w:pPr>
      <w:tabs>
        <w:tab w:val="left" w:pos="284"/>
      </w:tabs>
      <w:spacing w:before="80" w:after="80"/>
      <w:ind w:left="227" w:hanging="227"/>
    </w:pPr>
    <w:rPr>
      <w:sz w:val="14"/>
    </w:rPr>
  </w:style>
  <w:style w:type="character" w:styleId="FootnoteReference">
    <w:name w:val="footnote reference"/>
    <w:basedOn w:val="DefaultParagraphFont"/>
    <w:uiPriority w:val="99"/>
    <w:rsid w:val="00842A36"/>
    <w:rPr>
      <w:rFonts w:cs="Arial"/>
      <w:sz w:val="21"/>
      <w:vertAlign w:val="superscript"/>
    </w:rPr>
  </w:style>
  <w:style w:type="character" w:styleId="EndnoteReference">
    <w:name w:val="endnote reference"/>
    <w:basedOn w:val="DefaultParagraphFont"/>
    <w:semiHidden/>
    <w:unhideWhenUsed/>
    <w:rsid w:val="00842A36"/>
    <w:rPr>
      <w:rFonts w:ascii="Arial" w:hAnsi="Arial" w:cs="Arial"/>
      <w:sz w:val="21"/>
      <w:vertAlign w:val="superscript"/>
    </w:rPr>
  </w:style>
  <w:style w:type="paragraph" w:styleId="EndnoteText">
    <w:name w:val="endnote text"/>
    <w:basedOn w:val="FootnoteText"/>
    <w:semiHidden/>
    <w:unhideWhenUsed/>
    <w:rsid w:val="00842A36"/>
  </w:style>
  <w:style w:type="paragraph" w:customStyle="1" w:styleId="Address">
    <w:name w:val="Address"/>
    <w:basedOn w:val="Normal"/>
    <w:uiPriority w:val="19"/>
    <w:rsid w:val="006A61F5"/>
    <w:pPr>
      <w:kinsoku/>
      <w:overflowPunct/>
      <w:autoSpaceDE/>
      <w:autoSpaceDN/>
      <w:adjustRightInd/>
      <w:snapToGrid/>
      <w:spacing w:line="200" w:lineRule="atLeast"/>
    </w:pPr>
    <w:rPr>
      <w:rFonts w:asciiTheme="majorHAnsi" w:eastAsiaTheme="minorHAnsi" w:hAnsiTheme="majorHAnsi" w:cstheme="minorBidi"/>
      <w:i/>
      <w:noProof/>
      <w:snapToGrid/>
      <w:szCs w:val="22"/>
      <w:lang w:val="en-GB" w:eastAsia="en-GB"/>
    </w:rPr>
  </w:style>
  <w:style w:type="table" w:styleId="TableGrid">
    <w:name w:val="Table Grid"/>
    <w:basedOn w:val="TableNormal"/>
    <w:semiHidden/>
    <w:locked/>
    <w:rsid w:val="00842A36"/>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TOC1"/>
    <w:next w:val="PwCNormal"/>
    <w:uiPriority w:val="39"/>
    <w:rsid w:val="00A94475"/>
    <w:pPr>
      <w:keepNext w:val="0"/>
      <w:keepLines w:val="0"/>
      <w:tabs>
        <w:tab w:val="clear" w:pos="567"/>
      </w:tabs>
      <w:spacing w:before="0" w:line="240" w:lineRule="auto"/>
      <w:ind w:left="1134" w:firstLine="0"/>
    </w:pPr>
    <w:rPr>
      <w:sz w:val="18"/>
    </w:rPr>
  </w:style>
  <w:style w:type="paragraph" w:styleId="TOC5">
    <w:name w:val="toc 5"/>
    <w:basedOn w:val="TOC2"/>
    <w:next w:val="PwCNormal"/>
    <w:uiPriority w:val="49"/>
    <w:rsid w:val="00842A36"/>
    <w:pPr>
      <w:tabs>
        <w:tab w:val="left" w:pos="567"/>
      </w:tabs>
    </w:pPr>
  </w:style>
  <w:style w:type="paragraph" w:styleId="TOC8">
    <w:name w:val="toc 8"/>
    <w:basedOn w:val="TOC7"/>
    <w:next w:val="PwCNormal"/>
    <w:uiPriority w:val="49"/>
    <w:rsid w:val="00842A36"/>
    <w:pPr>
      <w:tabs>
        <w:tab w:val="clear" w:pos="1985"/>
        <w:tab w:val="left" w:pos="3402"/>
      </w:tabs>
      <w:ind w:left="3403"/>
    </w:pPr>
  </w:style>
  <w:style w:type="paragraph" w:styleId="TOC9">
    <w:name w:val="toc 9"/>
    <w:basedOn w:val="TOC8"/>
    <w:next w:val="PwCNormal"/>
    <w:uiPriority w:val="39"/>
    <w:rsid w:val="00842A36"/>
    <w:pPr>
      <w:tabs>
        <w:tab w:val="clear" w:pos="3402"/>
        <w:tab w:val="left" w:pos="4253"/>
      </w:tabs>
      <w:ind w:left="4253"/>
    </w:pPr>
  </w:style>
  <w:style w:type="paragraph" w:customStyle="1" w:styleId="Separator">
    <w:name w:val="Separator"/>
    <w:basedOn w:val="Normal"/>
    <w:semiHidden/>
    <w:rsid w:val="00842A36"/>
    <w:pPr>
      <w:spacing w:before="240" w:after="120"/>
    </w:pPr>
    <w:rPr>
      <w:sz w:val="16"/>
    </w:rPr>
  </w:style>
  <w:style w:type="numbering" w:customStyle="1" w:styleId="TableNumberedListN">
    <w:name w:val="Table Numbered List N"/>
    <w:rsid w:val="00842A36"/>
  </w:style>
  <w:style w:type="paragraph" w:customStyle="1" w:styleId="TableColumnHeadingNormal">
    <w:name w:val="Table Column Heading Normal"/>
    <w:basedOn w:val="TableTextNormal"/>
    <w:rsid w:val="00842A36"/>
    <w:pPr>
      <w:keepNext/>
      <w:keepLines/>
    </w:pPr>
    <w:rPr>
      <w:b/>
      <w:color w:val="000000" w:themeColor="text1"/>
    </w:rPr>
  </w:style>
  <w:style w:type="paragraph" w:customStyle="1" w:styleId="TableColumnHeadingSmall">
    <w:name w:val="Table Column Heading Small"/>
    <w:basedOn w:val="Normal"/>
    <w:next w:val="Normal"/>
    <w:rsid w:val="002B0C2C"/>
    <w:pPr>
      <w:keepNext/>
      <w:keepLines/>
      <w:spacing w:before="40" w:after="40"/>
    </w:pPr>
    <w:rPr>
      <w:rFonts w:ascii="Arial" w:hAnsi="Arial"/>
      <w:b/>
      <w:color w:val="7D7D7D" w:themeColor="text2"/>
      <w:sz w:val="16"/>
      <w:szCs w:val="16"/>
    </w:rPr>
  </w:style>
  <w:style w:type="numbering" w:customStyle="1" w:styleId="TableBulletSmallList">
    <w:name w:val="Table Bullet Small List"/>
    <w:rsid w:val="00842A36"/>
    <w:pPr>
      <w:numPr>
        <w:numId w:val="20"/>
      </w:numPr>
    </w:pPr>
  </w:style>
  <w:style w:type="paragraph" w:customStyle="1" w:styleId="Header-Landscape">
    <w:name w:val="Header - Landscape"/>
    <w:basedOn w:val="Header"/>
    <w:uiPriority w:val="39"/>
    <w:rsid w:val="00842A36"/>
  </w:style>
  <w:style w:type="character" w:styleId="PageNumber">
    <w:name w:val="page number"/>
    <w:semiHidden/>
    <w:unhideWhenUsed/>
    <w:rsid w:val="00842A36"/>
  </w:style>
  <w:style w:type="paragraph" w:styleId="Date">
    <w:name w:val="Date"/>
    <w:basedOn w:val="Normal"/>
    <w:next w:val="PwCNormal"/>
    <w:uiPriority w:val="59"/>
    <w:semiHidden/>
    <w:rsid w:val="00842A36"/>
  </w:style>
  <w:style w:type="paragraph" w:customStyle="1" w:styleId="Indent8">
    <w:name w:val="Indent 8"/>
    <w:basedOn w:val="Indent7"/>
    <w:uiPriority w:val="49"/>
    <w:rsid w:val="00842A36"/>
    <w:pPr>
      <w:numPr>
        <w:ilvl w:val="8"/>
      </w:numPr>
    </w:pPr>
  </w:style>
  <w:style w:type="paragraph" w:customStyle="1" w:styleId="Header-LandscapeEven">
    <w:name w:val="Header - Landscape Even"/>
    <w:basedOn w:val="Header-Landscape"/>
    <w:uiPriority w:val="39"/>
    <w:rsid w:val="00842A36"/>
    <w:pPr>
      <w:tabs>
        <w:tab w:val="right" w:pos="14661"/>
      </w:tabs>
    </w:pPr>
  </w:style>
  <w:style w:type="paragraph" w:customStyle="1" w:styleId="Footer-ToC">
    <w:name w:val="Footer - ToC"/>
    <w:basedOn w:val="Footer"/>
    <w:uiPriority w:val="39"/>
    <w:rsid w:val="00842A36"/>
    <w:pPr>
      <w:tabs>
        <w:tab w:val="clear" w:pos="9865"/>
        <w:tab w:val="right" w:pos="7342"/>
      </w:tabs>
      <w:ind w:left="-2523"/>
    </w:pPr>
    <w:rPr>
      <w:color w:val="010000"/>
    </w:rPr>
  </w:style>
  <w:style w:type="paragraph" w:customStyle="1" w:styleId="Footer-ToCEven">
    <w:name w:val="Footer - ToC Even"/>
    <w:basedOn w:val="Footer-ToC"/>
    <w:uiPriority w:val="39"/>
    <w:rsid w:val="00842A36"/>
  </w:style>
  <w:style w:type="table" w:customStyle="1" w:styleId="PwCColour">
    <w:name w:val="PwC Colour"/>
    <w:basedOn w:val="TableNormal"/>
    <w:rsid w:val="001E019F"/>
    <w:tblPr>
      <w:tblStyleRowBandSize w:val="1"/>
      <w:tblStyleColBandSize w:val="1"/>
      <w:tblBorders>
        <w:top w:val="single" w:sz="4" w:space="0" w:color="FFFFFF"/>
        <w:left w:val="single" w:sz="4" w:space="0" w:color="FFFFFF"/>
        <w:bottom w:val="single" w:sz="6" w:space="0" w:color="7D7D7D" w:themeColor="text2"/>
        <w:right w:val="single" w:sz="4" w:space="0" w:color="FFFFFF"/>
        <w:insideH w:val="dotted" w:sz="8" w:space="0" w:color="7D7D7D" w:themeColor="text2"/>
        <w:insideV w:val="single" w:sz="4" w:space="0" w:color="FFFFFF"/>
      </w:tblBorders>
    </w:tblPr>
    <w:tcPr>
      <w:shd w:val="clear" w:color="auto" w:fill="auto"/>
      <w:tcMar>
        <w:top w:w="0" w:type="dxa"/>
        <w:left w:w="108" w:type="dxa"/>
        <w:bottom w:w="0" w:type="dxa"/>
        <w:right w:w="108" w:type="dxa"/>
      </w:tcMar>
    </w:tcPr>
    <w:tblStylePr w:type="firstRow">
      <w:pPr>
        <w:jc w:val="left"/>
      </w:pPr>
      <w:rPr>
        <w:rFonts w:ascii="Georgia" w:hAnsi="Georgia"/>
        <w:b w:val="0"/>
        <w:color w:val="auto"/>
      </w:rPr>
      <w:tblPr/>
      <w:trPr>
        <w:tblHeader/>
      </w:trPr>
      <w:tcPr>
        <w:tcBorders>
          <w:top w:val="single" w:sz="4" w:space="0" w:color="7D7D7D" w:themeColor="accent4"/>
          <w:bottom w:val="single" w:sz="4" w:space="0" w:color="7D7D7D" w:themeColor="accent4"/>
        </w:tcBorders>
      </w:tcPr>
    </w:tblStylePr>
    <w:tblStylePr w:type="lastRow">
      <w:rPr>
        <w:color w:val="auto"/>
      </w:rPr>
      <w:tblPr/>
      <w:tcPr>
        <w:tcBorders>
          <w:top w:val="single" w:sz="4" w:space="0" w:color="7D7D7D"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uiPriority w:val="19"/>
    <w:qFormat/>
    <w:rsid w:val="00842A36"/>
    <w:pPr>
      <w:pBdr>
        <w:bottom w:val="none" w:sz="0" w:space="0" w:color="00457C"/>
      </w:pBdr>
    </w:pPr>
    <w:rPr>
      <w:i/>
      <w:color w:val="004C91" w:themeColor="accent6"/>
      <w:sz w:val="24"/>
      <w:szCs w:val="24"/>
    </w:rPr>
  </w:style>
  <w:style w:type="paragraph" w:customStyle="1" w:styleId="ListBullet1">
    <w:name w:val="List Bullet 1"/>
    <w:basedOn w:val="Normal"/>
    <w:semiHidden/>
    <w:locked/>
    <w:rsid w:val="000172BC"/>
    <w:pPr>
      <w:numPr>
        <w:numId w:val="30"/>
      </w:numPr>
      <w:tabs>
        <w:tab w:val="num" w:pos="720"/>
      </w:tabs>
      <w:spacing w:before="100" w:after="100"/>
    </w:pPr>
  </w:style>
  <w:style w:type="paragraph" w:styleId="ListBullet2">
    <w:name w:val="List Bullet 2"/>
    <w:basedOn w:val="ListBullet1"/>
    <w:uiPriority w:val="2"/>
    <w:qFormat/>
    <w:locked/>
    <w:rsid w:val="000172BC"/>
    <w:pPr>
      <w:numPr>
        <w:ilvl w:val="1"/>
      </w:numPr>
      <w:tabs>
        <w:tab w:val="num" w:pos="720"/>
      </w:tabs>
      <w:spacing w:before="120" w:after="120"/>
    </w:pPr>
  </w:style>
  <w:style w:type="paragraph" w:styleId="ListBullet4">
    <w:name w:val="List Bullet 4"/>
    <w:basedOn w:val="ListBullet3"/>
    <w:uiPriority w:val="2"/>
    <w:unhideWhenUsed/>
    <w:locked/>
    <w:rsid w:val="000172BC"/>
    <w:pPr>
      <w:numPr>
        <w:ilvl w:val="3"/>
      </w:numPr>
      <w:tabs>
        <w:tab w:val="num" w:pos="1701"/>
      </w:tabs>
    </w:pPr>
  </w:style>
  <w:style w:type="paragraph" w:customStyle="1" w:styleId="CVBullet1">
    <w:name w:val="CV Bullet 1"/>
    <w:basedOn w:val="CVText"/>
    <w:uiPriority w:val="18"/>
    <w:qFormat/>
    <w:rsid w:val="00842A36"/>
    <w:pPr>
      <w:numPr>
        <w:numId w:val="7"/>
      </w:numPr>
      <w:spacing w:before="40" w:after="40"/>
    </w:pPr>
  </w:style>
  <w:style w:type="paragraph" w:customStyle="1" w:styleId="CVDetails">
    <w:name w:val="CV Details"/>
    <w:basedOn w:val="CVRoleTitle"/>
    <w:uiPriority w:val="19"/>
    <w:qFormat/>
    <w:rsid w:val="00842A36"/>
    <w:pPr>
      <w:spacing w:before="120" w:after="40"/>
    </w:pPr>
    <w:rPr>
      <w:sz w:val="14"/>
    </w:rPr>
  </w:style>
  <w:style w:type="paragraph" w:customStyle="1" w:styleId="CVHeading2">
    <w:name w:val="CV Heading 2"/>
    <w:basedOn w:val="CVHeading1"/>
    <w:next w:val="CVText"/>
    <w:uiPriority w:val="18"/>
    <w:qFormat/>
    <w:rsid w:val="00842A36"/>
    <w:pPr>
      <w:pBdr>
        <w:bottom w:val="none" w:sz="0" w:space="0" w:color="00457C"/>
      </w:pBdr>
    </w:pPr>
    <w:rPr>
      <w:b w:val="0"/>
      <w:sz w:val="18"/>
      <w:szCs w:val="24"/>
    </w:rPr>
  </w:style>
  <w:style w:type="paragraph" w:styleId="ListBullet3">
    <w:name w:val="List Bullet 3"/>
    <w:basedOn w:val="ListBullet2"/>
    <w:uiPriority w:val="2"/>
    <w:qFormat/>
    <w:locked/>
    <w:rsid w:val="000172BC"/>
    <w:pPr>
      <w:numPr>
        <w:ilvl w:val="2"/>
      </w:numPr>
      <w:tabs>
        <w:tab w:val="num" w:pos="1134"/>
      </w:tabs>
    </w:pPr>
  </w:style>
  <w:style w:type="paragraph" w:customStyle="1" w:styleId="CVHeading1">
    <w:name w:val="CV Heading 1"/>
    <w:basedOn w:val="CVText"/>
    <w:next w:val="CVText"/>
    <w:uiPriority w:val="18"/>
    <w:qFormat/>
    <w:rsid w:val="00842A36"/>
    <w:pPr>
      <w:keepNext/>
      <w:keepLines/>
      <w:spacing w:before="120"/>
    </w:pPr>
    <w:rPr>
      <w:b/>
      <w:color w:val="004C91" w:themeColor="accent1"/>
    </w:rPr>
  </w:style>
  <w:style w:type="paragraph" w:customStyle="1" w:styleId="CVPhoto">
    <w:name w:val="CV Photo"/>
    <w:basedOn w:val="CVHeading2"/>
    <w:uiPriority w:val="19"/>
    <w:rsid w:val="00842A36"/>
    <w:rPr>
      <w:i/>
      <w:sz w:val="21"/>
    </w:rPr>
  </w:style>
  <w:style w:type="paragraph" w:customStyle="1" w:styleId="CVText">
    <w:name w:val="CV Text"/>
    <w:basedOn w:val="PwCNormal"/>
    <w:uiPriority w:val="17"/>
    <w:qFormat/>
    <w:rsid w:val="00842A36"/>
    <w:pPr>
      <w:numPr>
        <w:numId w:val="0"/>
      </w:numPr>
      <w:spacing w:before="80" w:after="80"/>
    </w:pPr>
  </w:style>
  <w:style w:type="paragraph" w:customStyle="1" w:styleId="CVNamelarge">
    <w:name w:val="CV Name large"/>
    <w:basedOn w:val="CVText"/>
    <w:next w:val="CVRoleTitle"/>
    <w:uiPriority w:val="19"/>
    <w:qFormat/>
    <w:rsid w:val="00842A36"/>
    <w:pPr>
      <w:spacing w:before="0"/>
    </w:pPr>
    <w:rPr>
      <w:b/>
      <w:color w:val="004C91" w:themeColor="accent1"/>
      <w:sz w:val="36"/>
      <w:szCs w:val="24"/>
    </w:rPr>
  </w:style>
  <w:style w:type="paragraph" w:customStyle="1" w:styleId="CVBullet2">
    <w:name w:val="CV Bullet 2"/>
    <w:basedOn w:val="CVBullet1"/>
    <w:uiPriority w:val="18"/>
    <w:qFormat/>
    <w:rsid w:val="00842A36"/>
    <w:pPr>
      <w:numPr>
        <w:ilvl w:val="1"/>
      </w:numPr>
    </w:pPr>
  </w:style>
  <w:style w:type="paragraph" w:styleId="Title">
    <w:name w:val="Title"/>
    <w:basedOn w:val="Normal"/>
    <w:uiPriority w:val="10"/>
    <w:qFormat/>
    <w:rsid w:val="00842A36"/>
    <w:pPr>
      <w:spacing w:before="240" w:after="60"/>
      <w:jc w:val="center"/>
      <w:outlineLvl w:val="0"/>
    </w:pPr>
    <w:rPr>
      <w:b/>
      <w:bCs/>
      <w:color w:val="7D7D7D" w:themeColor="text2"/>
      <w:kern w:val="28"/>
      <w:sz w:val="32"/>
      <w:szCs w:val="32"/>
    </w:rPr>
  </w:style>
  <w:style w:type="paragraph" w:styleId="BalloonText">
    <w:name w:val="Balloon Text"/>
    <w:basedOn w:val="Normal"/>
    <w:link w:val="BalloonTextChar"/>
    <w:uiPriority w:val="99"/>
    <w:semiHidden/>
    <w:locked/>
    <w:rsid w:val="00842A36"/>
    <w:rPr>
      <w:rFonts w:ascii="Tahoma" w:hAnsi="Tahoma"/>
      <w:sz w:val="16"/>
      <w:szCs w:val="16"/>
    </w:rPr>
  </w:style>
  <w:style w:type="numbering" w:customStyle="1" w:styleId="Style1">
    <w:name w:val="Style1"/>
    <w:uiPriority w:val="99"/>
    <w:rsid w:val="00842A36"/>
    <w:pPr>
      <w:numPr>
        <w:numId w:val="15"/>
      </w:numPr>
    </w:pPr>
  </w:style>
  <w:style w:type="numbering" w:customStyle="1" w:styleId="IndentList">
    <w:name w:val="IndentList"/>
    <w:basedOn w:val="NoList"/>
    <w:rsid w:val="00842A36"/>
  </w:style>
  <w:style w:type="paragraph" w:customStyle="1" w:styleId="VersionControl">
    <w:name w:val="Version Control"/>
    <w:basedOn w:val="TOCtitle"/>
    <w:uiPriority w:val="49"/>
    <w:unhideWhenUsed/>
    <w:rsid w:val="00842A36"/>
    <w:pPr>
      <w:framePr w:w="9923" w:wrap="around" w:vAnchor="text" w:hAnchor="page" w:x="1498" w:y="1"/>
      <w:spacing w:before="360" w:after="240"/>
    </w:pPr>
    <w:rPr>
      <w:sz w:val="28"/>
    </w:rPr>
  </w:style>
  <w:style w:type="paragraph" w:customStyle="1" w:styleId="VersionTableHeading">
    <w:name w:val="Version Table Heading"/>
    <w:basedOn w:val="VersionTableText"/>
    <w:uiPriority w:val="49"/>
    <w:unhideWhenUsed/>
    <w:rsid w:val="00842A36"/>
    <w:pPr>
      <w:framePr w:wrap="around"/>
    </w:pPr>
  </w:style>
  <w:style w:type="paragraph" w:customStyle="1" w:styleId="VersionTableText">
    <w:name w:val="Version Table Text"/>
    <w:basedOn w:val="VersionControl"/>
    <w:uiPriority w:val="49"/>
    <w:unhideWhenUsed/>
    <w:rsid w:val="00842A36"/>
    <w:pPr>
      <w:framePr w:wrap="around"/>
      <w:spacing w:before="80" w:after="80"/>
      <w:outlineLvl w:val="9"/>
    </w:pPr>
    <w:rPr>
      <w:rFonts w:asciiTheme="minorHAnsi" w:hAnsiTheme="minorHAnsi"/>
      <w:sz w:val="21"/>
      <w:szCs w:val="20"/>
    </w:rPr>
  </w:style>
  <w:style w:type="character" w:customStyle="1" w:styleId="HeaderChar">
    <w:name w:val="Header Char"/>
    <w:basedOn w:val="DefaultParagraphFont"/>
    <w:link w:val="Header"/>
    <w:uiPriority w:val="99"/>
    <w:locked/>
    <w:rsid w:val="00842A3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842A36"/>
    <w:rPr>
      <w:rFonts w:ascii="Arial" w:hAnsi="Arial" w:cs="Arial"/>
      <w:snapToGrid w:val="0"/>
      <w:color w:val="000000" w:themeColor="text1"/>
      <w:sz w:val="19"/>
      <w:szCs w:val="18"/>
      <w:lang w:eastAsia="en-US"/>
    </w:rPr>
  </w:style>
  <w:style w:type="paragraph" w:customStyle="1" w:styleId="Header-FirstPage">
    <w:name w:val="Header - First Page"/>
    <w:basedOn w:val="Header"/>
    <w:uiPriority w:val="39"/>
    <w:rsid w:val="00842A36"/>
  </w:style>
  <w:style w:type="paragraph" w:customStyle="1" w:styleId="Appendicestitle">
    <w:name w:val="Appendices title"/>
    <w:basedOn w:val="TOCtitle"/>
    <w:uiPriority w:val="19"/>
    <w:rsid w:val="00842A36"/>
    <w:pPr>
      <w:numPr>
        <w:ilvl w:val="1"/>
        <w:numId w:val="25"/>
      </w:numPr>
    </w:pPr>
  </w:style>
  <w:style w:type="numbering" w:customStyle="1" w:styleId="CVBullets">
    <w:name w:val="CV Bullets"/>
    <w:uiPriority w:val="99"/>
    <w:rsid w:val="00842A36"/>
    <w:pPr>
      <w:numPr>
        <w:numId w:val="8"/>
      </w:numPr>
    </w:pPr>
  </w:style>
  <w:style w:type="paragraph" w:styleId="DocumentMap">
    <w:name w:val="Document Map"/>
    <w:basedOn w:val="Normal"/>
    <w:link w:val="DocumentMapChar"/>
    <w:semiHidden/>
    <w:rsid w:val="00842A36"/>
    <w:rPr>
      <w:rFonts w:ascii="Tahoma" w:hAnsi="Tahoma" w:cs="Tahoma"/>
      <w:sz w:val="16"/>
      <w:szCs w:val="16"/>
    </w:rPr>
  </w:style>
  <w:style w:type="character" w:customStyle="1" w:styleId="DocumentMapChar">
    <w:name w:val="Document Map Char"/>
    <w:basedOn w:val="DefaultParagraphFont"/>
    <w:link w:val="DocumentMap"/>
    <w:semiHidden/>
    <w:rsid w:val="00842A36"/>
    <w:rPr>
      <w:rFonts w:ascii="Tahoma" w:hAnsi="Tahoma" w:cs="Tahoma"/>
      <w:snapToGrid w:val="0"/>
      <w:sz w:val="16"/>
      <w:szCs w:val="16"/>
      <w:lang w:eastAsia="en-US"/>
    </w:rPr>
  </w:style>
  <w:style w:type="table" w:styleId="TableGrid1">
    <w:name w:val="Table Grid 1"/>
    <w:basedOn w:val="TableNormal"/>
    <w:semiHidden/>
    <w:locked/>
    <w:rsid w:val="00842A36"/>
    <w:pPr>
      <w:kinsoku w:val="0"/>
      <w:overflowPunct w:val="0"/>
      <w:autoSpaceDE w:val="0"/>
      <w:autoSpaceDN w:val="0"/>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2A36"/>
    <w:pPr>
      <w:kinsoku w:val="0"/>
      <w:overflowPunct w:val="0"/>
      <w:autoSpaceDE w:val="0"/>
      <w:autoSpaceDN w:val="0"/>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42A36"/>
    <w:pPr>
      <w:kinsoku w:val="0"/>
      <w:overflowPunct w:val="0"/>
      <w:autoSpaceDE w:val="0"/>
      <w:autoSpaceDN w:val="0"/>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42A36"/>
    <w:pPr>
      <w:kinsoku w:val="0"/>
      <w:overflowPunct w:val="0"/>
      <w:autoSpaceDE w:val="0"/>
      <w:autoSpaceDN w:val="0"/>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42A36"/>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42A36"/>
    <w:pPr>
      <w:kinsoku w:val="0"/>
      <w:overflowPunct w:val="0"/>
      <w:autoSpaceDE w:val="0"/>
      <w:autoSpaceDN w:val="0"/>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42A36"/>
    <w:pPr>
      <w:kinsoku w:val="0"/>
      <w:overflowPunct w:val="0"/>
      <w:autoSpaceDE w:val="0"/>
      <w:autoSpaceDN w:val="0"/>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42A36"/>
    <w:pPr>
      <w:kinsoku w:val="0"/>
      <w:overflowPunct w:val="0"/>
      <w:autoSpaceDE w:val="0"/>
      <w:autoSpaceDN w:val="0"/>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842A36"/>
    <w:pPr>
      <w:kinsoku w:val="0"/>
      <w:overflowPunct w:val="0"/>
      <w:autoSpaceDE w:val="0"/>
      <w:autoSpaceDN w:val="0"/>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842A36"/>
    <w:pPr>
      <w:kinsoku w:val="0"/>
      <w:overflowPunct w:val="0"/>
      <w:autoSpaceDE w:val="0"/>
      <w:autoSpaceDN w:val="0"/>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29"/>
    <w:unhideWhenUsed/>
    <w:locked/>
    <w:rsid w:val="00842A36"/>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uiPriority w:val="29"/>
    <w:rsid w:val="0036123B"/>
    <w:rPr>
      <w:rFonts w:ascii="Consolas" w:hAnsi="Consolas" w:cs="Arial"/>
      <w:snapToGrid w:val="0"/>
      <w:lang w:eastAsia="en-US"/>
    </w:rPr>
  </w:style>
  <w:style w:type="paragraph" w:styleId="Bibliography">
    <w:name w:val="Bibliography"/>
    <w:basedOn w:val="Normal"/>
    <w:next w:val="Normal"/>
    <w:uiPriority w:val="37"/>
    <w:semiHidden/>
    <w:locked/>
    <w:rsid w:val="00842A36"/>
  </w:style>
  <w:style w:type="paragraph" w:styleId="BlockText">
    <w:name w:val="Block Text"/>
    <w:basedOn w:val="Normal"/>
    <w:uiPriority w:val="19"/>
    <w:rsid w:val="001A0166"/>
    <w:pPr>
      <w:spacing w:before="240" w:after="120" w:line="340" w:lineRule="atLeast"/>
    </w:pPr>
    <w:rPr>
      <w:rFonts w:eastAsiaTheme="minorEastAsia" w:cstheme="minorBidi"/>
      <w:iCs/>
      <w:color w:val="004C91" w:themeColor="accent1"/>
      <w:sz w:val="28"/>
    </w:rPr>
  </w:style>
  <w:style w:type="paragraph" w:styleId="BodyText">
    <w:name w:val="Body Text"/>
    <w:basedOn w:val="Normal"/>
    <w:link w:val="BodyTextChar"/>
    <w:uiPriority w:val="59"/>
    <w:semiHidden/>
    <w:locked/>
    <w:rsid w:val="00842A36"/>
    <w:pPr>
      <w:spacing w:after="120"/>
    </w:pPr>
  </w:style>
  <w:style w:type="character" w:customStyle="1" w:styleId="BodyTextChar">
    <w:name w:val="Body Text Char"/>
    <w:basedOn w:val="DefaultParagraphFont"/>
    <w:link w:val="BodyText"/>
    <w:uiPriority w:val="59"/>
    <w:semiHidden/>
    <w:rsid w:val="0036123B"/>
    <w:rPr>
      <w:rFonts w:asciiTheme="minorHAnsi" w:hAnsiTheme="minorHAnsi" w:cs="Arial"/>
      <w:snapToGrid w:val="0"/>
      <w:sz w:val="18"/>
      <w:lang w:eastAsia="en-US"/>
    </w:rPr>
  </w:style>
  <w:style w:type="paragraph" w:styleId="BodyText2">
    <w:name w:val="Body Text 2"/>
    <w:basedOn w:val="Normal"/>
    <w:link w:val="BodyText2Char"/>
    <w:uiPriority w:val="59"/>
    <w:semiHidden/>
    <w:locked/>
    <w:rsid w:val="00842A36"/>
    <w:pPr>
      <w:spacing w:after="120" w:line="480" w:lineRule="auto"/>
    </w:pPr>
  </w:style>
  <w:style w:type="character" w:customStyle="1" w:styleId="BodyText2Char">
    <w:name w:val="Body Text 2 Char"/>
    <w:basedOn w:val="DefaultParagraphFont"/>
    <w:link w:val="BodyText2"/>
    <w:uiPriority w:val="59"/>
    <w:semiHidden/>
    <w:rsid w:val="0036123B"/>
    <w:rPr>
      <w:rFonts w:asciiTheme="minorHAnsi" w:hAnsiTheme="minorHAnsi" w:cs="Arial"/>
      <w:snapToGrid w:val="0"/>
      <w:sz w:val="18"/>
      <w:lang w:eastAsia="en-US"/>
    </w:rPr>
  </w:style>
  <w:style w:type="paragraph" w:styleId="BodyText3">
    <w:name w:val="Body Text 3"/>
    <w:basedOn w:val="Normal"/>
    <w:link w:val="BodyText3Char"/>
    <w:uiPriority w:val="59"/>
    <w:semiHidden/>
    <w:locked/>
    <w:rsid w:val="00842A36"/>
    <w:pPr>
      <w:spacing w:after="120"/>
    </w:pPr>
    <w:rPr>
      <w:sz w:val="16"/>
      <w:szCs w:val="16"/>
    </w:rPr>
  </w:style>
  <w:style w:type="character" w:customStyle="1" w:styleId="BodyText3Char">
    <w:name w:val="Body Text 3 Char"/>
    <w:basedOn w:val="DefaultParagraphFont"/>
    <w:link w:val="BodyText3"/>
    <w:uiPriority w:val="59"/>
    <w:semiHidden/>
    <w:rsid w:val="0036123B"/>
    <w:rPr>
      <w:rFonts w:asciiTheme="minorHAnsi" w:hAnsiTheme="minorHAnsi" w:cs="Arial"/>
      <w:snapToGrid w:val="0"/>
      <w:sz w:val="16"/>
      <w:szCs w:val="16"/>
      <w:lang w:eastAsia="en-US"/>
    </w:rPr>
  </w:style>
  <w:style w:type="paragraph" w:styleId="BodyTextFirstIndent">
    <w:name w:val="Body Text First Indent"/>
    <w:basedOn w:val="BodyText"/>
    <w:link w:val="BodyTextFirstIndentChar"/>
    <w:uiPriority w:val="59"/>
    <w:semiHidden/>
    <w:locked/>
    <w:rsid w:val="00842A36"/>
    <w:pPr>
      <w:spacing w:after="0"/>
      <w:ind w:firstLine="360"/>
    </w:pPr>
  </w:style>
  <w:style w:type="character" w:customStyle="1" w:styleId="BodyTextFirstIndentChar">
    <w:name w:val="Body Text First Indent Char"/>
    <w:basedOn w:val="BodyTextChar"/>
    <w:link w:val="BodyTextFirstIndent"/>
    <w:uiPriority w:val="59"/>
    <w:semiHidden/>
    <w:rsid w:val="0036123B"/>
    <w:rPr>
      <w:rFonts w:asciiTheme="minorHAnsi" w:hAnsiTheme="minorHAnsi" w:cs="Arial"/>
      <w:snapToGrid w:val="0"/>
      <w:sz w:val="18"/>
      <w:lang w:eastAsia="en-US"/>
    </w:rPr>
  </w:style>
  <w:style w:type="paragraph" w:styleId="BodyTextIndent">
    <w:name w:val="Body Text Indent"/>
    <w:basedOn w:val="Normal"/>
    <w:link w:val="BodyTextIndentChar"/>
    <w:uiPriority w:val="59"/>
    <w:semiHidden/>
    <w:locked/>
    <w:rsid w:val="00842A36"/>
    <w:pPr>
      <w:spacing w:after="120"/>
      <w:ind w:left="283"/>
    </w:pPr>
  </w:style>
  <w:style w:type="character" w:customStyle="1" w:styleId="BodyTextIndentChar">
    <w:name w:val="Body Text Indent Char"/>
    <w:basedOn w:val="DefaultParagraphFont"/>
    <w:link w:val="BodyTextIndent"/>
    <w:uiPriority w:val="59"/>
    <w:semiHidden/>
    <w:rsid w:val="0036123B"/>
    <w:rPr>
      <w:rFonts w:asciiTheme="minorHAnsi" w:hAnsiTheme="minorHAnsi" w:cs="Arial"/>
      <w:snapToGrid w:val="0"/>
      <w:sz w:val="18"/>
      <w:lang w:eastAsia="en-US"/>
    </w:rPr>
  </w:style>
  <w:style w:type="paragraph" w:styleId="BodyTextFirstIndent2">
    <w:name w:val="Body Text First Indent 2"/>
    <w:basedOn w:val="BodyTextIndent"/>
    <w:link w:val="BodyTextFirstIndent2Char"/>
    <w:uiPriority w:val="59"/>
    <w:semiHidden/>
    <w:locked/>
    <w:rsid w:val="00842A36"/>
    <w:pPr>
      <w:spacing w:after="0"/>
      <w:ind w:left="360" w:firstLine="360"/>
    </w:pPr>
  </w:style>
  <w:style w:type="character" w:customStyle="1" w:styleId="BodyTextFirstIndent2Char">
    <w:name w:val="Body Text First Indent 2 Char"/>
    <w:basedOn w:val="BodyTextIndentChar"/>
    <w:link w:val="BodyTextFirstIndent2"/>
    <w:uiPriority w:val="59"/>
    <w:semiHidden/>
    <w:rsid w:val="0036123B"/>
    <w:rPr>
      <w:rFonts w:asciiTheme="minorHAnsi" w:hAnsiTheme="minorHAnsi" w:cs="Arial"/>
      <w:snapToGrid w:val="0"/>
      <w:sz w:val="18"/>
      <w:lang w:eastAsia="en-US"/>
    </w:rPr>
  </w:style>
  <w:style w:type="paragraph" w:styleId="BodyTextIndent2">
    <w:name w:val="Body Text Indent 2"/>
    <w:basedOn w:val="Normal"/>
    <w:link w:val="BodyTextIndent2Char"/>
    <w:uiPriority w:val="59"/>
    <w:semiHidden/>
    <w:locked/>
    <w:rsid w:val="00842A36"/>
    <w:pPr>
      <w:spacing w:after="120" w:line="480" w:lineRule="auto"/>
      <w:ind w:left="283"/>
    </w:pPr>
  </w:style>
  <w:style w:type="character" w:customStyle="1" w:styleId="BodyTextIndent2Char">
    <w:name w:val="Body Text Indent 2 Char"/>
    <w:basedOn w:val="DefaultParagraphFont"/>
    <w:link w:val="BodyTextIndent2"/>
    <w:uiPriority w:val="59"/>
    <w:semiHidden/>
    <w:rsid w:val="0036123B"/>
    <w:rPr>
      <w:rFonts w:asciiTheme="minorHAnsi" w:hAnsiTheme="minorHAnsi" w:cs="Arial"/>
      <w:snapToGrid w:val="0"/>
      <w:sz w:val="18"/>
      <w:lang w:eastAsia="en-US"/>
    </w:rPr>
  </w:style>
  <w:style w:type="paragraph" w:styleId="BodyTextIndent3">
    <w:name w:val="Body Text Indent 3"/>
    <w:basedOn w:val="Normal"/>
    <w:link w:val="BodyTextIndent3Char"/>
    <w:uiPriority w:val="59"/>
    <w:semiHidden/>
    <w:locked/>
    <w:rsid w:val="00842A36"/>
    <w:pPr>
      <w:spacing w:after="120"/>
      <w:ind w:left="283"/>
    </w:pPr>
    <w:rPr>
      <w:sz w:val="16"/>
      <w:szCs w:val="16"/>
    </w:rPr>
  </w:style>
  <w:style w:type="character" w:customStyle="1" w:styleId="BodyTextIndent3Char">
    <w:name w:val="Body Text Indent 3 Char"/>
    <w:basedOn w:val="DefaultParagraphFont"/>
    <w:link w:val="BodyTextIndent3"/>
    <w:uiPriority w:val="59"/>
    <w:semiHidden/>
    <w:rsid w:val="0036123B"/>
    <w:rPr>
      <w:rFonts w:asciiTheme="minorHAnsi" w:hAnsiTheme="minorHAnsi" w:cs="Arial"/>
      <w:snapToGrid w:val="0"/>
      <w:sz w:val="16"/>
      <w:szCs w:val="16"/>
      <w:lang w:eastAsia="en-US"/>
    </w:rPr>
  </w:style>
  <w:style w:type="character" w:styleId="BookTitle">
    <w:name w:val="Book Title"/>
    <w:basedOn w:val="DefaultParagraphFont"/>
    <w:uiPriority w:val="33"/>
    <w:semiHidden/>
    <w:qFormat/>
    <w:locked/>
    <w:rsid w:val="00842A36"/>
    <w:rPr>
      <w:rFonts w:ascii="Georgia" w:hAnsi="Georgia"/>
      <w:b/>
      <w:bCs/>
      <w:smallCaps/>
      <w:spacing w:val="5"/>
    </w:rPr>
  </w:style>
  <w:style w:type="paragraph" w:styleId="Closing">
    <w:name w:val="Closing"/>
    <w:basedOn w:val="Normal"/>
    <w:link w:val="ClosingChar"/>
    <w:uiPriority w:val="59"/>
    <w:semiHidden/>
    <w:unhideWhenUsed/>
    <w:rsid w:val="00842A36"/>
    <w:pPr>
      <w:ind w:left="4252"/>
    </w:pPr>
  </w:style>
  <w:style w:type="character" w:customStyle="1" w:styleId="ClosingChar">
    <w:name w:val="Closing Char"/>
    <w:basedOn w:val="DefaultParagraphFont"/>
    <w:link w:val="Closing"/>
    <w:uiPriority w:val="59"/>
    <w:semiHidden/>
    <w:rsid w:val="0036123B"/>
    <w:rPr>
      <w:rFonts w:asciiTheme="minorHAnsi" w:hAnsiTheme="minorHAnsi" w:cs="Arial"/>
      <w:snapToGrid w:val="0"/>
      <w:sz w:val="18"/>
      <w:lang w:eastAsia="en-US"/>
    </w:rPr>
  </w:style>
  <w:style w:type="character" w:styleId="CommentReference">
    <w:name w:val="annotation reference"/>
    <w:basedOn w:val="DefaultParagraphFont"/>
    <w:uiPriority w:val="99"/>
    <w:semiHidden/>
    <w:rsid w:val="00842A36"/>
    <w:rPr>
      <w:rFonts w:ascii="Georgia" w:hAnsi="Georgia"/>
      <w:sz w:val="16"/>
      <w:szCs w:val="16"/>
    </w:rPr>
  </w:style>
  <w:style w:type="paragraph" w:styleId="CommentText">
    <w:name w:val="annotation text"/>
    <w:basedOn w:val="Normal"/>
    <w:link w:val="CommentTextChar"/>
    <w:uiPriority w:val="99"/>
    <w:semiHidden/>
    <w:rsid w:val="00842A36"/>
  </w:style>
  <w:style w:type="character" w:customStyle="1" w:styleId="CommentTextChar">
    <w:name w:val="Comment Text Char"/>
    <w:basedOn w:val="DefaultParagraphFont"/>
    <w:link w:val="CommentText"/>
    <w:uiPriority w:val="99"/>
    <w:semiHidden/>
    <w:rsid w:val="0036123B"/>
    <w:rPr>
      <w:rFonts w:asciiTheme="minorHAnsi" w:hAnsiTheme="minorHAnsi" w:cs="Arial"/>
      <w:snapToGrid w:val="0"/>
      <w:sz w:val="18"/>
      <w:lang w:eastAsia="en-US"/>
    </w:rPr>
  </w:style>
  <w:style w:type="paragraph" w:styleId="CommentSubject">
    <w:name w:val="annotation subject"/>
    <w:basedOn w:val="CommentText"/>
    <w:next w:val="CommentText"/>
    <w:link w:val="CommentSubjectChar"/>
    <w:uiPriority w:val="99"/>
    <w:semiHidden/>
    <w:rsid w:val="00842A36"/>
    <w:rPr>
      <w:b/>
      <w:bCs/>
    </w:rPr>
  </w:style>
  <w:style w:type="character" w:customStyle="1" w:styleId="CommentSubjectChar">
    <w:name w:val="Comment Subject Char"/>
    <w:basedOn w:val="CommentTextChar"/>
    <w:link w:val="CommentSubject"/>
    <w:uiPriority w:val="99"/>
    <w:semiHidden/>
    <w:rsid w:val="0036123B"/>
    <w:rPr>
      <w:rFonts w:asciiTheme="minorHAnsi" w:hAnsiTheme="minorHAnsi" w:cs="Arial"/>
      <w:b/>
      <w:bCs/>
      <w:snapToGrid w:val="0"/>
      <w:sz w:val="18"/>
      <w:lang w:eastAsia="en-US"/>
    </w:rPr>
  </w:style>
  <w:style w:type="paragraph" w:styleId="EnvelopeAddress">
    <w:name w:val="envelope address"/>
    <w:basedOn w:val="Normal"/>
    <w:semiHidden/>
    <w:unhideWhenUsed/>
    <w:locked/>
    <w:rsid w:val="00842A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842A36"/>
    <w:rPr>
      <w:rFonts w:asciiTheme="majorHAnsi" w:eastAsiaTheme="majorEastAsia" w:hAnsiTheme="majorHAnsi" w:cstheme="majorBidi"/>
    </w:rPr>
  </w:style>
  <w:style w:type="character" w:styleId="FollowedHyperlink">
    <w:name w:val="FollowedHyperlink"/>
    <w:basedOn w:val="DefaultParagraphFont"/>
    <w:uiPriority w:val="99"/>
    <w:semiHidden/>
    <w:rsid w:val="00842A36"/>
    <w:rPr>
      <w:color w:val="1286DA" w:themeColor="followedHyperlink"/>
      <w:u w:val="single"/>
    </w:rPr>
  </w:style>
  <w:style w:type="character" w:styleId="Hyperlink">
    <w:name w:val="Hyperlink"/>
    <w:basedOn w:val="DefaultParagraphFont"/>
    <w:uiPriority w:val="99"/>
    <w:rsid w:val="00647BB7"/>
    <w:rPr>
      <w:color w:val="004C91" w:themeColor="accent1"/>
      <w:u w:val="single"/>
    </w:rPr>
  </w:style>
  <w:style w:type="paragraph" w:styleId="IndexHeading">
    <w:name w:val="index heading"/>
    <w:basedOn w:val="Normal"/>
    <w:next w:val="Normal"/>
    <w:semiHidden/>
    <w:rsid w:val="00842A36"/>
    <w:rPr>
      <w:rFonts w:asciiTheme="majorHAnsi" w:eastAsiaTheme="majorEastAsia" w:hAnsiTheme="majorHAnsi" w:cstheme="majorBidi"/>
      <w:b/>
      <w:bCs/>
    </w:rPr>
  </w:style>
  <w:style w:type="paragraph" w:customStyle="1" w:styleId="BlockTextClient">
    <w:name w:val="Block Text Client"/>
    <w:basedOn w:val="BlockText"/>
    <w:uiPriority w:val="39"/>
    <w:rsid w:val="00842A36"/>
    <w:pPr>
      <w:spacing w:line="200" w:lineRule="atLeast"/>
      <w:contextualSpacing/>
    </w:pPr>
    <w:rPr>
      <w:b/>
      <w:color w:val="auto"/>
      <w:sz w:val="15"/>
    </w:rPr>
  </w:style>
  <w:style w:type="paragraph" w:customStyle="1" w:styleId="BlockText2Client">
    <w:name w:val="Block Text 2 Client"/>
    <w:basedOn w:val="BlockText2"/>
    <w:uiPriority w:val="19"/>
    <w:rsid w:val="00842A36"/>
    <w:pPr>
      <w:spacing w:after="120" w:line="300" w:lineRule="atLeast"/>
      <w:contextualSpacing/>
    </w:pPr>
    <w:rPr>
      <w:rFonts w:asciiTheme="minorHAnsi" w:hAnsiTheme="minorHAnsi"/>
      <w:b/>
      <w:sz w:val="24"/>
      <w:szCs w:val="20"/>
    </w:rPr>
  </w:style>
  <w:style w:type="paragraph" w:customStyle="1" w:styleId="BlockText2Position">
    <w:name w:val="Block Text 2 Position"/>
    <w:basedOn w:val="BlockText2"/>
    <w:uiPriority w:val="19"/>
    <w:rsid w:val="00842A36"/>
    <w:rPr>
      <w:i/>
      <w:sz w:val="20"/>
      <w:szCs w:val="20"/>
    </w:rPr>
  </w:style>
  <w:style w:type="character" w:styleId="LineNumber">
    <w:name w:val="line number"/>
    <w:basedOn w:val="DefaultParagraphFont"/>
    <w:semiHidden/>
    <w:rsid w:val="00842A36"/>
  </w:style>
  <w:style w:type="paragraph" w:styleId="ListBullet">
    <w:name w:val="List Bullet"/>
    <w:basedOn w:val="Normal"/>
    <w:uiPriority w:val="2"/>
    <w:qFormat/>
    <w:locked/>
    <w:rsid w:val="008835C7"/>
    <w:pPr>
      <w:numPr>
        <w:numId w:val="10"/>
      </w:numPr>
      <w:spacing w:before="60" w:after="60" w:line="240" w:lineRule="auto"/>
    </w:pPr>
    <w:rPr>
      <w:sz w:val="20"/>
    </w:rPr>
  </w:style>
  <w:style w:type="paragraph" w:styleId="ListBullet5">
    <w:name w:val="List Bullet 5"/>
    <w:basedOn w:val="ListBullet4"/>
    <w:uiPriority w:val="2"/>
    <w:unhideWhenUsed/>
    <w:locked/>
    <w:rsid w:val="00842A36"/>
    <w:pPr>
      <w:numPr>
        <w:ilvl w:val="4"/>
      </w:numPr>
      <w:tabs>
        <w:tab w:val="num" w:pos="2268"/>
      </w:tabs>
      <w:contextualSpacing/>
    </w:pPr>
  </w:style>
  <w:style w:type="paragraph" w:styleId="ListNumber">
    <w:name w:val="List Number"/>
    <w:basedOn w:val="Normal"/>
    <w:uiPriority w:val="13"/>
    <w:unhideWhenUsed/>
    <w:qFormat/>
    <w:locked/>
    <w:rsid w:val="00E52631"/>
    <w:pPr>
      <w:numPr>
        <w:numId w:val="11"/>
      </w:numPr>
      <w:spacing w:before="60" w:after="60"/>
      <w:ind w:left="357" w:hanging="357"/>
    </w:pPr>
    <w:rPr>
      <w:sz w:val="20"/>
    </w:rPr>
  </w:style>
  <w:style w:type="paragraph" w:styleId="ListNumber2">
    <w:name w:val="List Number 2"/>
    <w:basedOn w:val="ListNumber"/>
    <w:uiPriority w:val="13"/>
    <w:unhideWhenUsed/>
    <w:qFormat/>
    <w:locked/>
    <w:rsid w:val="00842A36"/>
    <w:pPr>
      <w:numPr>
        <w:ilvl w:val="1"/>
      </w:numPr>
    </w:pPr>
  </w:style>
  <w:style w:type="paragraph" w:styleId="ListNumber3">
    <w:name w:val="List Number 3"/>
    <w:basedOn w:val="ListNumber2"/>
    <w:uiPriority w:val="13"/>
    <w:unhideWhenUsed/>
    <w:qFormat/>
    <w:locked/>
    <w:rsid w:val="00842A36"/>
    <w:pPr>
      <w:numPr>
        <w:ilvl w:val="2"/>
      </w:numPr>
    </w:pPr>
  </w:style>
  <w:style w:type="paragraph" w:styleId="ListNumber4">
    <w:name w:val="List Number 4"/>
    <w:basedOn w:val="ListNumber3"/>
    <w:uiPriority w:val="13"/>
    <w:unhideWhenUsed/>
    <w:locked/>
    <w:rsid w:val="00842A36"/>
    <w:pPr>
      <w:numPr>
        <w:ilvl w:val="3"/>
      </w:numPr>
    </w:pPr>
  </w:style>
  <w:style w:type="paragraph" w:styleId="ListNumber5">
    <w:name w:val="List Number 5"/>
    <w:basedOn w:val="ListNumber4"/>
    <w:uiPriority w:val="13"/>
    <w:unhideWhenUsed/>
    <w:locked/>
    <w:rsid w:val="00842A36"/>
    <w:pPr>
      <w:numPr>
        <w:ilvl w:val="4"/>
      </w:numPr>
    </w:pPr>
  </w:style>
  <w:style w:type="paragraph" w:styleId="MessageHeader">
    <w:name w:val="Message Header"/>
    <w:basedOn w:val="Normal"/>
    <w:link w:val="MessageHeaderChar"/>
    <w:semiHidden/>
    <w:rsid w:val="00842A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42A36"/>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842A36"/>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842A36"/>
    <w:pPr>
      <w:ind w:left="720"/>
    </w:pPr>
  </w:style>
  <w:style w:type="paragraph" w:styleId="NoteHeading">
    <w:name w:val="Note Heading"/>
    <w:basedOn w:val="Normal"/>
    <w:next w:val="Normal"/>
    <w:link w:val="NoteHeadingChar"/>
    <w:semiHidden/>
    <w:unhideWhenUsed/>
    <w:rsid w:val="00842A36"/>
  </w:style>
  <w:style w:type="character" w:customStyle="1" w:styleId="NoteHeadingChar">
    <w:name w:val="Note Heading Char"/>
    <w:basedOn w:val="DefaultParagraphFont"/>
    <w:link w:val="NoteHeading"/>
    <w:semiHidden/>
    <w:rsid w:val="00842A36"/>
    <w:rPr>
      <w:rFonts w:asciiTheme="minorHAnsi" w:hAnsiTheme="minorHAnsi" w:cs="Arial"/>
      <w:snapToGrid w:val="0"/>
      <w:sz w:val="18"/>
      <w:lang w:eastAsia="en-US"/>
    </w:rPr>
  </w:style>
  <w:style w:type="character" w:styleId="PlaceholderText">
    <w:name w:val="Placeholder Text"/>
    <w:basedOn w:val="DefaultParagraphFont"/>
    <w:uiPriority w:val="99"/>
    <w:semiHidden/>
    <w:rsid w:val="00842A36"/>
    <w:rPr>
      <w:color w:val="808080"/>
    </w:rPr>
  </w:style>
  <w:style w:type="paragraph" w:styleId="PlainText">
    <w:name w:val="Plain Text"/>
    <w:basedOn w:val="Normal"/>
    <w:link w:val="PlainTextChar"/>
    <w:semiHidden/>
    <w:rsid w:val="00842A36"/>
    <w:rPr>
      <w:rFonts w:ascii="Consolas" w:hAnsi="Consolas"/>
    </w:rPr>
  </w:style>
  <w:style w:type="character" w:customStyle="1" w:styleId="PlainTextChar">
    <w:name w:val="Plain Text Char"/>
    <w:basedOn w:val="DefaultParagraphFont"/>
    <w:link w:val="PlainText"/>
    <w:semiHidden/>
    <w:rsid w:val="00842A36"/>
    <w:rPr>
      <w:rFonts w:ascii="Consolas" w:hAnsi="Consolas" w:cs="Arial"/>
      <w:snapToGrid w:val="0"/>
      <w:sz w:val="18"/>
      <w:lang w:eastAsia="en-US"/>
    </w:rPr>
  </w:style>
  <w:style w:type="paragraph" w:styleId="Quote">
    <w:name w:val="Quote"/>
    <w:basedOn w:val="Normal"/>
    <w:next w:val="Normal"/>
    <w:link w:val="QuoteChar"/>
    <w:uiPriority w:val="29"/>
    <w:semiHidden/>
    <w:qFormat/>
    <w:rsid w:val="00842A36"/>
    <w:rPr>
      <w:i/>
      <w:iCs/>
      <w:color w:val="000000" w:themeColor="text1"/>
    </w:rPr>
  </w:style>
  <w:style w:type="character" w:customStyle="1" w:styleId="QuoteChar">
    <w:name w:val="Quote Char"/>
    <w:basedOn w:val="DefaultParagraphFont"/>
    <w:link w:val="Quote"/>
    <w:uiPriority w:val="29"/>
    <w:semiHidden/>
    <w:rsid w:val="00842A36"/>
    <w:rPr>
      <w:rFonts w:asciiTheme="minorHAnsi" w:hAnsiTheme="minorHAnsi" w:cs="Arial"/>
      <w:i/>
      <w:iCs/>
      <w:snapToGrid w:val="0"/>
      <w:color w:val="000000" w:themeColor="text1"/>
      <w:sz w:val="18"/>
      <w:lang w:eastAsia="en-US"/>
    </w:rPr>
  </w:style>
  <w:style w:type="paragraph" w:styleId="Salutation">
    <w:name w:val="Salutation"/>
    <w:basedOn w:val="Normal"/>
    <w:next w:val="Normal"/>
    <w:link w:val="SalutationChar"/>
    <w:semiHidden/>
    <w:unhideWhenUsed/>
    <w:rsid w:val="00842A36"/>
  </w:style>
  <w:style w:type="character" w:customStyle="1" w:styleId="SalutationChar">
    <w:name w:val="Salutation Char"/>
    <w:basedOn w:val="DefaultParagraphFont"/>
    <w:link w:val="Salutation"/>
    <w:semiHidden/>
    <w:rsid w:val="00842A36"/>
    <w:rPr>
      <w:rFonts w:asciiTheme="minorHAnsi" w:hAnsiTheme="minorHAnsi" w:cs="Arial"/>
      <w:snapToGrid w:val="0"/>
      <w:sz w:val="18"/>
      <w:lang w:eastAsia="en-US"/>
    </w:rPr>
  </w:style>
  <w:style w:type="paragraph" w:styleId="Signature">
    <w:name w:val="Signature"/>
    <w:basedOn w:val="Normal"/>
    <w:link w:val="SignatureChar"/>
    <w:semiHidden/>
    <w:rsid w:val="00842A36"/>
    <w:pPr>
      <w:ind w:left="4252"/>
    </w:pPr>
  </w:style>
  <w:style w:type="character" w:customStyle="1" w:styleId="SignatureChar">
    <w:name w:val="Signature Char"/>
    <w:basedOn w:val="DefaultParagraphFont"/>
    <w:link w:val="Signature"/>
    <w:semiHidden/>
    <w:rsid w:val="00842A36"/>
    <w:rPr>
      <w:rFonts w:asciiTheme="minorHAnsi" w:hAnsiTheme="minorHAnsi" w:cs="Arial"/>
      <w:snapToGrid w:val="0"/>
      <w:sz w:val="18"/>
      <w:lang w:eastAsia="en-US"/>
    </w:rPr>
  </w:style>
  <w:style w:type="paragraph" w:styleId="TableofAuthorities">
    <w:name w:val="table of authorities"/>
    <w:basedOn w:val="Normal"/>
    <w:next w:val="Normal"/>
    <w:semiHidden/>
    <w:unhideWhenUsed/>
    <w:rsid w:val="00842A36"/>
    <w:pPr>
      <w:ind w:left="210" w:hanging="210"/>
    </w:pPr>
  </w:style>
  <w:style w:type="paragraph" w:styleId="TableofFigures">
    <w:name w:val="table of figures"/>
    <w:basedOn w:val="Normal"/>
    <w:next w:val="Normal"/>
    <w:semiHidden/>
    <w:unhideWhenUsed/>
    <w:rsid w:val="00842A36"/>
  </w:style>
  <w:style w:type="paragraph" w:styleId="TOAHeading">
    <w:name w:val="toa heading"/>
    <w:basedOn w:val="Normal"/>
    <w:next w:val="Normal"/>
    <w:semiHidden/>
    <w:unhideWhenUsed/>
    <w:rsid w:val="00842A3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42A36"/>
    <w:pPr>
      <w:framePr w:wrap="around" w:hAnchor="text"/>
      <w:spacing w:before="480"/>
      <w:outlineLvl w:val="9"/>
    </w:pPr>
    <w:rPr>
      <w:rFonts w:eastAsiaTheme="majorEastAsia" w:cstheme="majorBidi"/>
      <w:color w:val="00386C" w:themeColor="accent1" w:themeShade="BF"/>
      <w:sz w:val="28"/>
      <w:szCs w:val="28"/>
    </w:rPr>
  </w:style>
  <w:style w:type="paragraph" w:customStyle="1" w:styleId="URLCover">
    <w:name w:val="URL Cover"/>
    <w:basedOn w:val="Normal"/>
    <w:uiPriority w:val="49"/>
    <w:rsid w:val="00842A36"/>
    <w:rPr>
      <w:color w:val="FFFFFF"/>
      <w:sz w:val="19"/>
    </w:rPr>
  </w:style>
  <w:style w:type="paragraph" w:customStyle="1" w:styleId="CoverOutcomeHeadline">
    <w:name w:val="Cover Outcome Headline"/>
    <w:basedOn w:val="PwCNormal"/>
    <w:uiPriority w:val="9"/>
    <w:rsid w:val="00E52631"/>
    <w:pPr>
      <w:spacing w:before="960" w:after="0"/>
      <w:ind w:right="2268"/>
    </w:pPr>
    <w:rPr>
      <w:rFonts w:asciiTheme="majorHAnsi" w:hAnsiTheme="majorHAnsi"/>
      <w:b/>
      <w:color w:val="004C91" w:themeColor="accent1"/>
      <w:sz w:val="48"/>
      <w:szCs w:val="88"/>
      <w:lang w:val="en-GB"/>
    </w:rPr>
  </w:style>
  <w:style w:type="paragraph" w:customStyle="1" w:styleId="CoverOutcomeSubtitle">
    <w:name w:val="Cover Outcome Subtitle"/>
    <w:basedOn w:val="CoverOutcomeHeadline"/>
    <w:uiPriority w:val="19"/>
    <w:rsid w:val="00E52631"/>
    <w:pPr>
      <w:spacing w:before="0" w:line="320" w:lineRule="atLeast"/>
      <w:contextualSpacing/>
    </w:pPr>
    <w:rPr>
      <w:rFonts w:asciiTheme="minorHAnsi" w:hAnsiTheme="minorHAnsi"/>
      <w:b w:val="0"/>
      <w:sz w:val="40"/>
    </w:rPr>
  </w:style>
  <w:style w:type="paragraph" w:customStyle="1" w:styleId="TableNumberedList1">
    <w:name w:val="Table Numbered List 1"/>
    <w:basedOn w:val="TableTextNormal"/>
    <w:rsid w:val="00842A36"/>
    <w:pPr>
      <w:numPr>
        <w:numId w:val="22"/>
      </w:numPr>
    </w:pPr>
  </w:style>
  <w:style w:type="paragraph" w:customStyle="1" w:styleId="TableNumberedList2">
    <w:name w:val="Table Numbered List 2"/>
    <w:basedOn w:val="TableNumberedList1"/>
    <w:rsid w:val="00842A36"/>
    <w:pPr>
      <w:numPr>
        <w:ilvl w:val="1"/>
      </w:numPr>
      <w:spacing w:before="40" w:after="40"/>
    </w:pPr>
  </w:style>
  <w:style w:type="paragraph" w:customStyle="1" w:styleId="TableNumberedList3">
    <w:name w:val="Table Numbered List 3"/>
    <w:basedOn w:val="TableNumberedList2"/>
    <w:rsid w:val="00842A36"/>
    <w:pPr>
      <w:numPr>
        <w:ilvl w:val="2"/>
      </w:numPr>
    </w:pPr>
  </w:style>
  <w:style w:type="paragraph" w:customStyle="1" w:styleId="TableNumberedListSmall1">
    <w:name w:val="Table Numbered List Small 1"/>
    <w:basedOn w:val="Normal"/>
    <w:rsid w:val="002B0C2C"/>
    <w:pPr>
      <w:numPr>
        <w:numId w:val="24"/>
      </w:numPr>
      <w:spacing w:before="40" w:after="40"/>
    </w:pPr>
    <w:rPr>
      <w:rFonts w:ascii="Arial" w:hAnsi="Arial"/>
      <w:sz w:val="16"/>
      <w:szCs w:val="18"/>
    </w:rPr>
  </w:style>
  <w:style w:type="paragraph" w:customStyle="1" w:styleId="TableNumberedListSmall2">
    <w:name w:val="Table Numbered List Small 2"/>
    <w:basedOn w:val="TableNumberedListSmall1"/>
    <w:rsid w:val="00842A36"/>
    <w:pPr>
      <w:numPr>
        <w:ilvl w:val="1"/>
      </w:numPr>
    </w:pPr>
    <w:rPr>
      <w:szCs w:val="21"/>
    </w:rPr>
  </w:style>
  <w:style w:type="character" w:customStyle="1" w:styleId="TableHeadingWhiteChar">
    <w:name w:val="Table Heading White Char"/>
    <w:basedOn w:val="DefaultParagraphFont"/>
    <w:link w:val="TableHeadingWhite"/>
    <w:uiPriority w:val="39"/>
    <w:rsid w:val="00C57F9A"/>
    <w:rPr>
      <w:rFonts w:asciiTheme="minorHAnsi" w:eastAsiaTheme="minorHAnsi" w:hAnsiTheme="minorHAnsi" w:cs="Arial"/>
      <w:b/>
      <w:bCs/>
      <w:snapToGrid w:val="0"/>
      <w:color w:val="FFFFFF" w:themeColor="background1"/>
      <w:sz w:val="22"/>
      <w:szCs w:val="22"/>
      <w:lang w:val="en-GB" w:eastAsia="en-US"/>
    </w:rPr>
  </w:style>
  <w:style w:type="numbering" w:customStyle="1" w:styleId="ListNumberList">
    <w:name w:val="List Number List"/>
    <w:uiPriority w:val="99"/>
    <w:rsid w:val="00842A36"/>
    <w:pPr>
      <w:numPr>
        <w:numId w:val="12"/>
      </w:numPr>
    </w:pPr>
  </w:style>
  <w:style w:type="numbering" w:styleId="111111">
    <w:name w:val="Outline List 2"/>
    <w:basedOn w:val="NoList"/>
    <w:rsid w:val="00842A36"/>
    <w:pPr>
      <w:numPr>
        <w:numId w:val="1"/>
      </w:numPr>
    </w:pPr>
  </w:style>
  <w:style w:type="numbering" w:styleId="1ai">
    <w:name w:val="Outline List 1"/>
    <w:basedOn w:val="NoList"/>
    <w:rsid w:val="00842A36"/>
    <w:pPr>
      <w:numPr>
        <w:numId w:val="2"/>
      </w:numPr>
    </w:pPr>
  </w:style>
  <w:style w:type="numbering" w:styleId="ArticleSection">
    <w:name w:val="Outline List 3"/>
    <w:basedOn w:val="NoList"/>
    <w:rsid w:val="00842A36"/>
    <w:pPr>
      <w:numPr>
        <w:numId w:val="3"/>
      </w:numPr>
    </w:pPr>
  </w:style>
  <w:style w:type="paragraph" w:customStyle="1" w:styleId="Minorheading3">
    <w:name w:val="Minor heading 3"/>
    <w:basedOn w:val="Minorheading2"/>
    <w:uiPriority w:val="1"/>
    <w:rsid w:val="00842A36"/>
    <w:rPr>
      <w:b/>
      <w:i w:val="0"/>
    </w:rPr>
  </w:style>
  <w:style w:type="paragraph" w:customStyle="1" w:styleId="Bullet1">
    <w:name w:val="Bullet 1"/>
    <w:basedOn w:val="PwCNormal"/>
    <w:uiPriority w:val="4"/>
    <w:rsid w:val="00842A36"/>
    <w:pPr>
      <w:numPr>
        <w:numId w:val="5"/>
      </w:numPr>
      <w:spacing w:before="120"/>
    </w:pPr>
  </w:style>
  <w:style w:type="paragraph" w:customStyle="1" w:styleId="Bullet2">
    <w:name w:val="Bullet 2"/>
    <w:basedOn w:val="Bullet1"/>
    <w:uiPriority w:val="4"/>
    <w:rsid w:val="00842A36"/>
    <w:pPr>
      <w:numPr>
        <w:ilvl w:val="1"/>
      </w:numPr>
    </w:pPr>
  </w:style>
  <w:style w:type="paragraph" w:customStyle="1" w:styleId="Bullet3">
    <w:name w:val="Bullet 3"/>
    <w:basedOn w:val="Bullet2"/>
    <w:uiPriority w:val="4"/>
    <w:rsid w:val="00842A36"/>
    <w:pPr>
      <w:numPr>
        <w:ilvl w:val="2"/>
      </w:numPr>
    </w:pPr>
  </w:style>
  <w:style w:type="paragraph" w:customStyle="1" w:styleId="Bullet4">
    <w:name w:val="Bullet 4"/>
    <w:basedOn w:val="Bullet3"/>
    <w:uiPriority w:val="4"/>
    <w:rsid w:val="00842A36"/>
    <w:pPr>
      <w:numPr>
        <w:ilvl w:val="3"/>
      </w:numPr>
    </w:pPr>
  </w:style>
  <w:style w:type="numbering" w:customStyle="1" w:styleId="Bullets">
    <w:name w:val="Bullets"/>
    <w:uiPriority w:val="99"/>
    <w:rsid w:val="00842A36"/>
    <w:pPr>
      <w:numPr>
        <w:numId w:val="5"/>
      </w:numPr>
    </w:pPr>
  </w:style>
  <w:style w:type="numbering" w:customStyle="1" w:styleId="ChapterNumberingList0">
    <w:name w:val="Chapter Numbering List"/>
    <w:uiPriority w:val="99"/>
    <w:rsid w:val="00842A36"/>
    <w:pPr>
      <w:numPr>
        <w:numId w:val="6"/>
      </w:numPr>
    </w:pPr>
  </w:style>
  <w:style w:type="paragraph" w:customStyle="1" w:styleId="Bodyheadline">
    <w:name w:val="Body headline"/>
    <w:basedOn w:val="Normal"/>
    <w:qFormat/>
    <w:rsid w:val="001F55E5"/>
    <w:pPr>
      <w:pBdr>
        <w:top w:val="single" w:sz="4" w:space="4" w:color="7D7D7D" w:themeColor="accent4"/>
        <w:bottom w:val="single" w:sz="4" w:space="4" w:color="7D7D7D" w:themeColor="accent4"/>
      </w:pBdr>
      <w:kinsoku/>
      <w:overflowPunct/>
      <w:autoSpaceDE/>
      <w:autoSpaceDN/>
      <w:adjustRightInd/>
      <w:snapToGrid/>
      <w:spacing w:before="240" w:after="240"/>
    </w:pPr>
    <w:rPr>
      <w:rFonts w:eastAsiaTheme="minorHAnsi" w:cstheme="minorBidi"/>
      <w:b/>
      <w:snapToGrid/>
      <w:color w:val="7D7D7D" w:themeColor="accent4"/>
      <w:sz w:val="20"/>
      <w:szCs w:val="17"/>
      <w:lang w:val="en-GB"/>
    </w:rPr>
  </w:style>
  <w:style w:type="numbering" w:customStyle="1" w:styleId="ListBullets">
    <w:name w:val="List Bullets"/>
    <w:uiPriority w:val="99"/>
    <w:rsid w:val="000172BC"/>
    <w:pPr>
      <w:numPr>
        <w:numId w:val="26"/>
      </w:numPr>
    </w:pPr>
  </w:style>
  <w:style w:type="table" w:customStyle="1" w:styleId="PwCBasic">
    <w:name w:val="PwC Basic"/>
    <w:basedOn w:val="TableNormal"/>
    <w:uiPriority w:val="99"/>
    <w:rsid w:val="00F77F4F"/>
    <w:pPr>
      <w:spacing w:line="216" w:lineRule="auto"/>
      <w:contextualSpacing/>
    </w:pPr>
    <w:rPr>
      <w:rFonts w:asciiTheme="minorHAnsi" w:eastAsiaTheme="minorHAnsi" w:hAnsiTheme="minorHAnsi" w:cs="Times New Roman (Body CS)"/>
      <w:sz w:val="22"/>
      <w:szCs w:val="17"/>
      <w:lang w:val="en-GB" w:eastAsia="en-US"/>
    </w:rPr>
    <w:tblPr>
      <w:tblBorders>
        <w:top w:val="dotted" w:sz="4" w:space="0" w:color="auto"/>
        <w:bottom w:val="single" w:sz="4" w:space="0" w:color="auto"/>
        <w:insideH w:val="dotted" w:sz="4" w:space="0" w:color="auto"/>
      </w:tblBorders>
      <w:tblCellMar>
        <w:top w:w="28" w:type="dxa"/>
        <w:bottom w:w="28" w:type="dxa"/>
      </w:tblCellMar>
    </w:tblPr>
    <w:tblStylePr w:type="firstRow">
      <w:pPr>
        <w:jc w:val="left"/>
      </w:pPr>
      <w:rPr>
        <w:rFonts w:asciiTheme="minorHAnsi" w:hAnsiTheme="minorHAnsi"/>
        <w:b/>
        <w:color w:val="FFFFFF" w:themeColor="background1"/>
        <w:sz w:val="24"/>
      </w:rPr>
      <w:tblPr/>
      <w:trPr>
        <w:tblHeader/>
      </w:trPr>
      <w:tcPr>
        <w:shd w:val="clear" w:color="auto" w:fill="00727E" w:themeFill="accent3"/>
        <w:vAlign w:val="center"/>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astPageFooter">
    <w:name w:val="Last Page Footer"/>
    <w:basedOn w:val="Normal"/>
    <w:uiPriority w:val="39"/>
    <w:rsid w:val="00C57A6A"/>
    <w:rPr>
      <w:color w:val="FFFFFF" w:themeColor="background1"/>
      <w:sz w:val="14"/>
    </w:rPr>
  </w:style>
  <w:style w:type="numbering" w:customStyle="1" w:styleId="Chapternumberinglist">
    <w:name w:val="Chapter numbering list"/>
    <w:uiPriority w:val="99"/>
    <w:rsid w:val="007F7653"/>
    <w:pPr>
      <w:numPr>
        <w:numId w:val="27"/>
      </w:numPr>
    </w:pPr>
  </w:style>
  <w:style w:type="paragraph" w:customStyle="1" w:styleId="AppendixNumberLongAlt">
    <w:name w:val="Appendix Number (Long) Alt"/>
    <w:basedOn w:val="AppendixNumberLong"/>
    <w:uiPriority w:val="39"/>
    <w:rsid w:val="006842FF"/>
    <w:pPr>
      <w:framePr w:w="1701" w:wrap="around" w:hAnchor="margin" w:x="1" w:y="1"/>
      <w:numPr>
        <w:numId w:val="28"/>
      </w:numPr>
    </w:pPr>
    <w:rPr>
      <w:sz w:val="230"/>
    </w:rPr>
  </w:style>
  <w:style w:type="paragraph" w:customStyle="1" w:styleId="ChapterNumberLongAlt">
    <w:name w:val="Chapter Number (Long) Alt"/>
    <w:basedOn w:val="ChapterNumberLong"/>
    <w:uiPriority w:val="39"/>
    <w:rsid w:val="00DD4E21"/>
    <w:pPr>
      <w:framePr w:w="1701" w:wrap="around" w:vAnchor="margin" w:hAnchor="margin" w:x="1"/>
      <w:numPr>
        <w:numId w:val="28"/>
      </w:numPr>
    </w:pPr>
    <w:rPr>
      <w:sz w:val="230"/>
    </w:rPr>
  </w:style>
  <w:style w:type="paragraph" w:customStyle="1" w:styleId="FilledFrame">
    <w:name w:val="Filled Frame"/>
    <w:basedOn w:val="PwCNormal"/>
    <w:uiPriority w:val="39"/>
    <w:rsid w:val="00081A57"/>
    <w:pPr>
      <w:framePr w:w="1701" w:wrap="around" w:vAnchor="text" w:hAnchor="text" w:y="1"/>
      <w:numPr>
        <w:numId w:val="0"/>
      </w:numPr>
      <w:shd w:val="clear" w:color="auto" w:fill="004C91" w:themeFill="accent1"/>
      <w:spacing w:before="120"/>
    </w:pPr>
  </w:style>
  <w:style w:type="paragraph" w:customStyle="1" w:styleId="DividerOpt2">
    <w:name w:val="Divider Opt 2"/>
    <w:basedOn w:val="Normal"/>
    <w:uiPriority w:val="39"/>
    <w:rsid w:val="00081A57"/>
    <w:pPr>
      <w:spacing w:before="119" w:after="238" w:line="240" w:lineRule="auto"/>
      <w:ind w:left="539" w:right="539"/>
    </w:pPr>
    <w:rPr>
      <w:rFonts w:ascii="Georgia" w:hAnsi="Georgia"/>
      <w:color w:val="FFFFFF" w:themeColor="background1"/>
      <w:sz w:val="132"/>
    </w:rPr>
  </w:style>
  <w:style w:type="paragraph" w:customStyle="1" w:styleId="DividerOpt2paragraphspacing">
    <w:name w:val="Divider Opt 2 paragraph spacing"/>
    <w:basedOn w:val="PwCNormal"/>
    <w:uiPriority w:val="39"/>
    <w:rsid w:val="009D05C9"/>
    <w:pPr>
      <w:numPr>
        <w:numId w:val="0"/>
      </w:numPr>
      <w:tabs>
        <w:tab w:val="right" w:pos="3402"/>
        <w:tab w:val="right" w:pos="3969"/>
        <w:tab w:val="right" w:pos="4536"/>
        <w:tab w:val="right" w:pos="5103"/>
        <w:tab w:val="right" w:pos="5670"/>
        <w:tab w:val="right" w:pos="6237"/>
        <w:tab w:val="right" w:pos="6804"/>
        <w:tab w:val="right" w:pos="7371"/>
        <w:tab w:val="right" w:pos="7938"/>
        <w:tab w:val="right" w:pos="8505"/>
        <w:tab w:val="right" w:pos="9072"/>
        <w:tab w:val="right" w:pos="9639"/>
        <w:tab w:val="right" w:pos="10206"/>
      </w:tabs>
      <w:spacing w:before="0" w:after="0" w:line="1840" w:lineRule="exact"/>
      <w:ind w:right="-567"/>
    </w:pPr>
  </w:style>
  <w:style w:type="paragraph" w:customStyle="1" w:styleId="DividerOpt2paragraphspacing1st">
    <w:name w:val="Divider Opt 2 paragraph spacing 1st"/>
    <w:basedOn w:val="DividerOpt2paragraphspacing"/>
    <w:uiPriority w:val="39"/>
    <w:rsid w:val="009D05C9"/>
    <w:pPr>
      <w:tabs>
        <w:tab w:val="right" w:pos="1134"/>
        <w:tab w:val="right" w:pos="1701"/>
        <w:tab w:val="right" w:pos="2268"/>
        <w:tab w:val="right" w:pos="2835"/>
      </w:tabs>
    </w:pPr>
  </w:style>
  <w:style w:type="paragraph" w:customStyle="1" w:styleId="Heading1nonumbering">
    <w:name w:val="Heading 1 no numbering"/>
    <w:link w:val="Heading1nonumberingChar"/>
    <w:uiPriority w:val="39"/>
    <w:qFormat/>
    <w:rsid w:val="002311EE"/>
    <w:pPr>
      <w:outlineLvl w:val="0"/>
    </w:pPr>
    <w:rPr>
      <w:rFonts w:asciiTheme="majorHAnsi" w:hAnsiTheme="majorHAnsi" w:cs="Arial"/>
      <w:b/>
      <w:bCs/>
      <w:iCs/>
      <w:snapToGrid w:val="0"/>
      <w:color w:val="004C91" w:themeColor="accent1"/>
      <w:sz w:val="36"/>
      <w:szCs w:val="36"/>
      <w:lang w:eastAsia="en-US"/>
    </w:rPr>
  </w:style>
  <w:style w:type="paragraph" w:customStyle="1" w:styleId="Footer-White">
    <w:name w:val="Footer - White"/>
    <w:basedOn w:val="Footer-Even"/>
    <w:uiPriority w:val="39"/>
    <w:rsid w:val="00361597"/>
    <w:rPr>
      <w:noProof/>
      <w:color w:val="FFFFFF" w:themeColor="background1"/>
    </w:rPr>
  </w:style>
  <w:style w:type="paragraph" w:styleId="Subtitle">
    <w:name w:val="Subtitle"/>
    <w:basedOn w:val="Normal"/>
    <w:next w:val="Normal"/>
    <w:link w:val="SubtitleChar"/>
    <w:uiPriority w:val="11"/>
    <w:qFormat/>
    <w:rsid w:val="001B6322"/>
    <w:pPr>
      <w:keepNext/>
      <w:keepLines/>
      <w:kinsoku/>
      <w:overflowPunct/>
      <w:autoSpaceDE/>
      <w:autoSpaceDN/>
      <w:adjustRightInd/>
      <w:snapToGrid/>
      <w:spacing w:after="320" w:line="276" w:lineRule="auto"/>
    </w:pPr>
    <w:rPr>
      <w:rFonts w:ascii="Arial" w:eastAsia="Arial" w:hAnsi="Arial"/>
      <w:snapToGrid/>
      <w:color w:val="666666"/>
      <w:sz w:val="30"/>
      <w:szCs w:val="30"/>
      <w:lang w:val="en" w:eastAsia="en-AU"/>
    </w:rPr>
  </w:style>
  <w:style w:type="character" w:customStyle="1" w:styleId="SubtitleChar">
    <w:name w:val="Subtitle Char"/>
    <w:basedOn w:val="DefaultParagraphFont"/>
    <w:link w:val="Subtitle"/>
    <w:rsid w:val="001B6322"/>
    <w:rPr>
      <w:rFonts w:ascii="Arial" w:eastAsia="Arial" w:hAnsi="Arial" w:cs="Arial"/>
      <w:color w:val="666666"/>
      <w:sz w:val="30"/>
      <w:szCs w:val="30"/>
      <w:lang w:val="en"/>
    </w:rPr>
  </w:style>
  <w:style w:type="character" w:customStyle="1" w:styleId="BalloonTextChar">
    <w:name w:val="Balloon Text Char"/>
    <w:basedOn w:val="DefaultParagraphFont"/>
    <w:link w:val="BalloonText"/>
    <w:uiPriority w:val="99"/>
    <w:semiHidden/>
    <w:rsid w:val="001B6322"/>
    <w:rPr>
      <w:rFonts w:ascii="Tahoma" w:hAnsi="Tahoma" w:cs="Arial"/>
      <w:snapToGrid w:val="0"/>
      <w:sz w:val="16"/>
      <w:szCs w:val="16"/>
      <w:lang w:eastAsia="en-US"/>
    </w:rPr>
  </w:style>
  <w:style w:type="numbering" w:customStyle="1" w:styleId="Chapters">
    <w:name w:val="Chapters"/>
    <w:uiPriority w:val="99"/>
    <w:rsid w:val="00F34182"/>
    <w:pPr>
      <w:numPr>
        <w:numId w:val="31"/>
      </w:numPr>
    </w:pPr>
  </w:style>
  <w:style w:type="paragraph" w:customStyle="1" w:styleId="AppendixHeading">
    <w:name w:val="Appendix Heading"/>
    <w:basedOn w:val="Heading1"/>
    <w:uiPriority w:val="39"/>
    <w:rsid w:val="005F2310"/>
    <w:pPr>
      <w:pageBreakBefore/>
      <w:numPr>
        <w:numId w:val="32"/>
      </w:numPr>
      <w:outlineLvl w:val="1"/>
    </w:pPr>
    <w:rPr>
      <w:rFonts w:eastAsia="Georgia"/>
    </w:rPr>
  </w:style>
  <w:style w:type="numbering" w:customStyle="1" w:styleId="Appendices">
    <w:name w:val="Appendices"/>
    <w:uiPriority w:val="99"/>
    <w:rsid w:val="00947DB7"/>
    <w:pPr>
      <w:numPr>
        <w:numId w:val="32"/>
      </w:numPr>
    </w:pPr>
  </w:style>
  <w:style w:type="paragraph" w:customStyle="1" w:styleId="ESHeading">
    <w:name w:val="ES Heading"/>
    <w:basedOn w:val="Majorheading"/>
    <w:uiPriority w:val="39"/>
    <w:rsid w:val="00E36C8D"/>
    <w:pPr>
      <w:outlineLvl w:val="1"/>
    </w:pPr>
  </w:style>
  <w:style w:type="character" w:customStyle="1" w:styleId="FootnoteTextChar">
    <w:name w:val="Footnote Text Char"/>
    <w:basedOn w:val="DefaultParagraphFont"/>
    <w:link w:val="FootnoteText"/>
    <w:uiPriority w:val="99"/>
    <w:rsid w:val="00361210"/>
    <w:rPr>
      <w:rFonts w:asciiTheme="minorHAnsi" w:hAnsiTheme="minorHAnsi" w:cs="Arial"/>
      <w:snapToGrid w:val="0"/>
      <w:sz w:val="14"/>
      <w:lang w:eastAsia="en-US"/>
    </w:rPr>
  </w:style>
  <w:style w:type="character" w:styleId="UnresolvedMention">
    <w:name w:val="Unresolved Mention"/>
    <w:basedOn w:val="DefaultParagraphFont"/>
    <w:uiPriority w:val="99"/>
    <w:semiHidden/>
    <w:unhideWhenUsed/>
    <w:rsid w:val="00EA2D41"/>
    <w:rPr>
      <w:color w:val="605E5C"/>
      <w:shd w:val="clear" w:color="auto" w:fill="E1DFDD"/>
    </w:rPr>
  </w:style>
  <w:style w:type="character" w:customStyle="1" w:styleId="Heading8Char">
    <w:name w:val="Heading 8 Char"/>
    <w:basedOn w:val="DefaultParagraphFont"/>
    <w:link w:val="Heading8"/>
    <w:uiPriority w:val="9"/>
    <w:rsid w:val="00EA2D41"/>
    <w:rPr>
      <w:rFonts w:asciiTheme="minorHAnsi" w:hAnsiTheme="minorHAnsi" w:cs="Arial"/>
      <w:b/>
      <w:snapToGrid w:val="0"/>
      <w:color w:val="000000" w:themeColor="text1"/>
      <w:sz w:val="32"/>
      <w:szCs w:val="21"/>
      <w:lang w:eastAsia="en-US"/>
    </w:rPr>
  </w:style>
  <w:style w:type="paragraph" w:styleId="Revision">
    <w:name w:val="Revision"/>
    <w:hidden/>
    <w:uiPriority w:val="99"/>
    <w:semiHidden/>
    <w:rsid w:val="00EA2D41"/>
    <w:rPr>
      <w:rFonts w:ascii="Arial" w:eastAsia="Arial" w:hAnsi="Arial" w:cs="Arial"/>
      <w:sz w:val="22"/>
      <w:szCs w:val="22"/>
    </w:rPr>
  </w:style>
  <w:style w:type="character" w:customStyle="1" w:styleId="DocsCorpHyperlinkStyle">
    <w:name w:val="DocsCorpHyperlinkStyle"/>
    <w:basedOn w:val="DefaultParagraphFont"/>
    <w:unhideWhenUsed/>
    <w:rsid w:val="00EA2D41"/>
    <w:rPr>
      <w:color w:val="004C91" w:themeColor="hyperlink"/>
      <w:u w:val="single"/>
    </w:rPr>
  </w:style>
  <w:style w:type="table" w:customStyle="1" w:styleId="Tables-APbase">
    <w:name w:val="Tables-AP base"/>
    <w:basedOn w:val="TableNormal"/>
    <w:uiPriority w:val="99"/>
    <w:rsid w:val="003D7BCB"/>
    <w:rPr>
      <w:rFonts w:ascii="Arial" w:hAnsi="Arial"/>
      <w:sz w:val="18"/>
    </w:rPr>
    <w:tblPr>
      <w:tblBorders>
        <w:bottom w:val="single" w:sz="8" w:space="0" w:color="000000" w:themeColor="text1"/>
        <w:insideH w:val="single" w:sz="8" w:space="0" w:color="000000" w:themeColor="text1"/>
      </w:tblBorders>
    </w:tblPr>
    <w:tblStylePr w:type="firstRow">
      <w:rPr>
        <w:rFonts w:ascii="Arial" w:hAnsi="Arial"/>
        <w:b/>
        <w:color w:val="000000" w:themeColor="text1"/>
        <w:sz w:val="18"/>
      </w:rPr>
      <w:tblPr/>
      <w:trPr>
        <w:tblHeader/>
      </w:trPr>
      <w:tcPr>
        <w:tcBorders>
          <w:bottom w:val="single" w:sz="4" w:space="0" w:color="004C91" w:themeColor="accent1"/>
        </w:tcBorders>
      </w:tcPr>
    </w:tblStylePr>
  </w:style>
  <w:style w:type="paragraph" w:customStyle="1" w:styleId="Tablebulletnormal">
    <w:name w:val="Table bullet normal"/>
    <w:basedOn w:val="ListBullet"/>
    <w:uiPriority w:val="39"/>
    <w:rsid w:val="009B4A76"/>
    <w:pPr>
      <w:ind w:left="288" w:hanging="288"/>
    </w:pPr>
  </w:style>
  <w:style w:type="paragraph" w:customStyle="1" w:styleId="CalloutText">
    <w:name w:val="Callout Text"/>
    <w:basedOn w:val="PwCNormal"/>
    <w:uiPriority w:val="39"/>
    <w:rsid w:val="00836C31"/>
    <w:pPr>
      <w:pBdr>
        <w:top w:val="single" w:sz="8" w:space="5" w:color="004C91" w:themeColor="accent1"/>
        <w:left w:val="single" w:sz="8" w:space="4" w:color="004C91" w:themeColor="accent1"/>
        <w:bottom w:val="single" w:sz="8" w:space="5" w:color="004C91" w:themeColor="accent1"/>
        <w:right w:val="single" w:sz="8" w:space="4" w:color="004C91" w:themeColor="accent1"/>
      </w:pBdr>
      <w:shd w:val="clear" w:color="auto" w:fill="F2F2F2" w:themeFill="background1" w:themeFillShade="F2"/>
      <w:spacing w:before="60" w:after="60"/>
      <w:ind w:left="108" w:right="108"/>
    </w:pPr>
    <w:rPr>
      <w:iCs/>
    </w:rPr>
  </w:style>
  <w:style w:type="paragraph" w:customStyle="1" w:styleId="AppendixHeading2">
    <w:name w:val="Appendix Heading 2"/>
    <w:basedOn w:val="Heading3"/>
    <w:uiPriority w:val="39"/>
    <w:rsid w:val="005F2310"/>
  </w:style>
  <w:style w:type="character" w:styleId="Mention">
    <w:name w:val="Mention"/>
    <w:basedOn w:val="DefaultParagraphFont"/>
    <w:uiPriority w:val="99"/>
    <w:unhideWhenUsed/>
    <w:rsid w:val="00A25F17"/>
    <w:rPr>
      <w:color w:val="2B579A"/>
      <w:shd w:val="clear" w:color="auto" w:fill="E6E6E6"/>
    </w:rPr>
  </w:style>
  <w:style w:type="character" w:styleId="Strong">
    <w:name w:val="Strong"/>
    <w:basedOn w:val="DefaultParagraphFont"/>
    <w:uiPriority w:val="22"/>
    <w:qFormat/>
    <w:rsid w:val="00093395"/>
    <w:rPr>
      <w:b/>
      <w:bCs/>
    </w:rPr>
  </w:style>
  <w:style w:type="character" w:customStyle="1" w:styleId="Heading1nonumberingChar">
    <w:name w:val="Heading 1 no numbering Char"/>
    <w:basedOn w:val="DefaultParagraphFont"/>
    <w:link w:val="Heading1nonumbering"/>
    <w:uiPriority w:val="39"/>
    <w:rsid w:val="002311EE"/>
    <w:rPr>
      <w:rFonts w:asciiTheme="majorHAnsi" w:hAnsiTheme="majorHAnsi" w:cs="Arial"/>
      <w:b/>
      <w:bCs/>
      <w:iCs/>
      <w:snapToGrid w:val="0"/>
      <w:color w:val="004C91" w:themeColor="accent1"/>
      <w:sz w:val="36"/>
      <w:szCs w:val="36"/>
      <w:lang w:eastAsia="en-US"/>
    </w:rPr>
  </w:style>
  <w:style w:type="character" w:styleId="Emphasis">
    <w:name w:val="Emphasis"/>
    <w:basedOn w:val="DefaultParagraphFont"/>
    <w:semiHidden/>
    <w:qFormat/>
    <w:locked/>
    <w:rsid w:val="00A23EF0"/>
    <w:rPr>
      <w:i/>
      <w:iCs/>
    </w:rPr>
  </w:style>
  <w:style w:type="paragraph" w:customStyle="1" w:styleId="TableBulletEmphasis">
    <w:name w:val="Table Bullet Emphasis"/>
    <w:basedOn w:val="TableBullet1Normal"/>
    <w:link w:val="TableBulletEmphasisChar"/>
    <w:uiPriority w:val="39"/>
    <w:qFormat/>
    <w:rsid w:val="00B47C07"/>
    <w:pPr>
      <w:contextualSpacing/>
    </w:pPr>
    <w:rPr>
      <w:rFonts w:eastAsiaTheme="minorHAnsi"/>
      <w:i/>
      <w:szCs w:val="17"/>
      <w:lang w:val="en-GB"/>
    </w:rPr>
  </w:style>
  <w:style w:type="character" w:customStyle="1" w:styleId="TableTextNormalChar">
    <w:name w:val="Table Text Normal Char"/>
    <w:basedOn w:val="DefaultParagraphFont"/>
    <w:link w:val="TableTextNormal"/>
    <w:rsid w:val="00B47C07"/>
    <w:rPr>
      <w:rFonts w:asciiTheme="minorHAnsi" w:hAnsiTheme="minorHAnsi" w:cs="Arial"/>
      <w:snapToGrid w:val="0"/>
      <w:lang w:eastAsia="en-US"/>
    </w:rPr>
  </w:style>
  <w:style w:type="character" w:customStyle="1" w:styleId="TableBullet1NormalChar">
    <w:name w:val="Table Bullet 1 Normal Char"/>
    <w:basedOn w:val="TableTextNormalChar"/>
    <w:link w:val="TableBullet1Normal"/>
    <w:rsid w:val="00B47C07"/>
    <w:rPr>
      <w:rFonts w:asciiTheme="minorHAnsi" w:hAnsiTheme="minorHAnsi" w:cs="Arial"/>
      <w:snapToGrid w:val="0"/>
      <w:lang w:eastAsia="en-US"/>
    </w:rPr>
  </w:style>
  <w:style w:type="character" w:customStyle="1" w:styleId="TableBulletEmphasisChar">
    <w:name w:val="Table Bullet Emphasis Char"/>
    <w:basedOn w:val="TableBullet1NormalChar"/>
    <w:link w:val="TableBulletEmphasis"/>
    <w:uiPriority w:val="39"/>
    <w:rsid w:val="00B47C07"/>
    <w:rPr>
      <w:rFonts w:asciiTheme="minorHAnsi" w:eastAsiaTheme="minorHAnsi" w:hAnsiTheme="minorHAnsi" w:cs="Arial"/>
      <w:i/>
      <w:snapToGrid w:val="0"/>
      <w:szCs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559">
      <w:bodyDiv w:val="1"/>
      <w:marLeft w:val="0"/>
      <w:marRight w:val="0"/>
      <w:marTop w:val="0"/>
      <w:marBottom w:val="0"/>
      <w:divBdr>
        <w:top w:val="none" w:sz="0" w:space="0" w:color="auto"/>
        <w:left w:val="none" w:sz="0" w:space="0" w:color="auto"/>
        <w:bottom w:val="none" w:sz="0" w:space="0" w:color="auto"/>
        <w:right w:val="none" w:sz="0" w:space="0" w:color="auto"/>
      </w:divBdr>
      <w:divsChild>
        <w:div w:id="233247093">
          <w:marLeft w:val="230"/>
          <w:marRight w:val="0"/>
          <w:marTop w:val="0"/>
          <w:marBottom w:val="60"/>
          <w:divBdr>
            <w:top w:val="none" w:sz="0" w:space="0" w:color="auto"/>
            <w:left w:val="none" w:sz="0" w:space="0" w:color="auto"/>
            <w:bottom w:val="none" w:sz="0" w:space="0" w:color="auto"/>
            <w:right w:val="none" w:sz="0" w:space="0" w:color="auto"/>
          </w:divBdr>
        </w:div>
        <w:div w:id="918097371">
          <w:marLeft w:val="230"/>
          <w:marRight w:val="0"/>
          <w:marTop w:val="0"/>
          <w:marBottom w:val="60"/>
          <w:divBdr>
            <w:top w:val="none" w:sz="0" w:space="0" w:color="auto"/>
            <w:left w:val="none" w:sz="0" w:space="0" w:color="auto"/>
            <w:bottom w:val="none" w:sz="0" w:space="0" w:color="auto"/>
            <w:right w:val="none" w:sz="0" w:space="0" w:color="auto"/>
          </w:divBdr>
        </w:div>
        <w:div w:id="1336808087">
          <w:marLeft w:val="230"/>
          <w:marRight w:val="0"/>
          <w:marTop w:val="0"/>
          <w:marBottom w:val="60"/>
          <w:divBdr>
            <w:top w:val="none" w:sz="0" w:space="0" w:color="auto"/>
            <w:left w:val="none" w:sz="0" w:space="0" w:color="auto"/>
            <w:bottom w:val="none" w:sz="0" w:space="0" w:color="auto"/>
            <w:right w:val="none" w:sz="0" w:space="0" w:color="auto"/>
          </w:divBdr>
        </w:div>
        <w:div w:id="1703821490">
          <w:marLeft w:val="230"/>
          <w:marRight w:val="0"/>
          <w:marTop w:val="0"/>
          <w:marBottom w:val="60"/>
          <w:divBdr>
            <w:top w:val="none" w:sz="0" w:space="0" w:color="auto"/>
            <w:left w:val="none" w:sz="0" w:space="0" w:color="auto"/>
            <w:bottom w:val="none" w:sz="0" w:space="0" w:color="auto"/>
            <w:right w:val="none" w:sz="0" w:space="0" w:color="auto"/>
          </w:divBdr>
        </w:div>
        <w:div w:id="2129161288">
          <w:marLeft w:val="230"/>
          <w:marRight w:val="0"/>
          <w:marTop w:val="0"/>
          <w:marBottom w:val="60"/>
          <w:divBdr>
            <w:top w:val="none" w:sz="0" w:space="0" w:color="auto"/>
            <w:left w:val="none" w:sz="0" w:space="0" w:color="auto"/>
            <w:bottom w:val="none" w:sz="0" w:space="0" w:color="auto"/>
            <w:right w:val="none" w:sz="0" w:space="0" w:color="auto"/>
          </w:divBdr>
        </w:div>
      </w:divsChild>
    </w:div>
    <w:div w:id="151725824">
      <w:bodyDiv w:val="1"/>
      <w:marLeft w:val="0"/>
      <w:marRight w:val="0"/>
      <w:marTop w:val="0"/>
      <w:marBottom w:val="0"/>
      <w:divBdr>
        <w:top w:val="none" w:sz="0" w:space="0" w:color="auto"/>
        <w:left w:val="none" w:sz="0" w:space="0" w:color="auto"/>
        <w:bottom w:val="none" w:sz="0" w:space="0" w:color="auto"/>
        <w:right w:val="none" w:sz="0" w:space="0" w:color="auto"/>
      </w:divBdr>
      <w:divsChild>
        <w:div w:id="563951897">
          <w:marLeft w:val="288"/>
          <w:marRight w:val="0"/>
          <w:marTop w:val="0"/>
          <w:marBottom w:val="120"/>
          <w:divBdr>
            <w:top w:val="none" w:sz="0" w:space="0" w:color="auto"/>
            <w:left w:val="none" w:sz="0" w:space="0" w:color="auto"/>
            <w:bottom w:val="none" w:sz="0" w:space="0" w:color="auto"/>
            <w:right w:val="none" w:sz="0" w:space="0" w:color="auto"/>
          </w:divBdr>
        </w:div>
        <w:div w:id="1255433642">
          <w:marLeft w:val="288"/>
          <w:marRight w:val="0"/>
          <w:marTop w:val="0"/>
          <w:marBottom w:val="120"/>
          <w:divBdr>
            <w:top w:val="none" w:sz="0" w:space="0" w:color="auto"/>
            <w:left w:val="none" w:sz="0" w:space="0" w:color="auto"/>
            <w:bottom w:val="none" w:sz="0" w:space="0" w:color="auto"/>
            <w:right w:val="none" w:sz="0" w:space="0" w:color="auto"/>
          </w:divBdr>
        </w:div>
        <w:div w:id="1263608295">
          <w:marLeft w:val="288"/>
          <w:marRight w:val="0"/>
          <w:marTop w:val="0"/>
          <w:marBottom w:val="120"/>
          <w:divBdr>
            <w:top w:val="none" w:sz="0" w:space="0" w:color="auto"/>
            <w:left w:val="none" w:sz="0" w:space="0" w:color="auto"/>
            <w:bottom w:val="none" w:sz="0" w:space="0" w:color="auto"/>
            <w:right w:val="none" w:sz="0" w:space="0" w:color="auto"/>
          </w:divBdr>
        </w:div>
        <w:div w:id="1751004737">
          <w:marLeft w:val="288"/>
          <w:marRight w:val="0"/>
          <w:marTop w:val="0"/>
          <w:marBottom w:val="120"/>
          <w:divBdr>
            <w:top w:val="none" w:sz="0" w:space="0" w:color="auto"/>
            <w:left w:val="none" w:sz="0" w:space="0" w:color="auto"/>
            <w:bottom w:val="none" w:sz="0" w:space="0" w:color="auto"/>
            <w:right w:val="none" w:sz="0" w:space="0" w:color="auto"/>
          </w:divBdr>
        </w:div>
      </w:divsChild>
    </w:div>
    <w:div w:id="276067550">
      <w:bodyDiv w:val="1"/>
      <w:marLeft w:val="0"/>
      <w:marRight w:val="0"/>
      <w:marTop w:val="0"/>
      <w:marBottom w:val="0"/>
      <w:divBdr>
        <w:top w:val="none" w:sz="0" w:space="0" w:color="auto"/>
        <w:left w:val="none" w:sz="0" w:space="0" w:color="auto"/>
        <w:bottom w:val="none" w:sz="0" w:space="0" w:color="auto"/>
        <w:right w:val="none" w:sz="0" w:space="0" w:color="auto"/>
      </w:divBdr>
    </w:div>
    <w:div w:id="288711522">
      <w:bodyDiv w:val="1"/>
      <w:marLeft w:val="0"/>
      <w:marRight w:val="0"/>
      <w:marTop w:val="0"/>
      <w:marBottom w:val="0"/>
      <w:divBdr>
        <w:top w:val="none" w:sz="0" w:space="0" w:color="auto"/>
        <w:left w:val="none" w:sz="0" w:space="0" w:color="auto"/>
        <w:bottom w:val="none" w:sz="0" w:space="0" w:color="auto"/>
        <w:right w:val="none" w:sz="0" w:space="0" w:color="auto"/>
      </w:divBdr>
    </w:div>
    <w:div w:id="304942071">
      <w:bodyDiv w:val="1"/>
      <w:marLeft w:val="0"/>
      <w:marRight w:val="0"/>
      <w:marTop w:val="0"/>
      <w:marBottom w:val="0"/>
      <w:divBdr>
        <w:top w:val="none" w:sz="0" w:space="0" w:color="auto"/>
        <w:left w:val="none" w:sz="0" w:space="0" w:color="auto"/>
        <w:bottom w:val="none" w:sz="0" w:space="0" w:color="auto"/>
        <w:right w:val="none" w:sz="0" w:space="0" w:color="auto"/>
      </w:divBdr>
    </w:div>
    <w:div w:id="808212157">
      <w:bodyDiv w:val="1"/>
      <w:marLeft w:val="0"/>
      <w:marRight w:val="0"/>
      <w:marTop w:val="0"/>
      <w:marBottom w:val="0"/>
      <w:divBdr>
        <w:top w:val="none" w:sz="0" w:space="0" w:color="auto"/>
        <w:left w:val="none" w:sz="0" w:space="0" w:color="auto"/>
        <w:bottom w:val="none" w:sz="0" w:space="0" w:color="auto"/>
        <w:right w:val="none" w:sz="0" w:space="0" w:color="auto"/>
      </w:divBdr>
      <w:divsChild>
        <w:div w:id="1262029197">
          <w:marLeft w:val="230"/>
          <w:marRight w:val="0"/>
          <w:marTop w:val="0"/>
          <w:marBottom w:val="60"/>
          <w:divBdr>
            <w:top w:val="none" w:sz="0" w:space="0" w:color="auto"/>
            <w:left w:val="none" w:sz="0" w:space="0" w:color="auto"/>
            <w:bottom w:val="none" w:sz="0" w:space="0" w:color="auto"/>
            <w:right w:val="none" w:sz="0" w:space="0" w:color="auto"/>
          </w:divBdr>
        </w:div>
        <w:div w:id="1768230167">
          <w:marLeft w:val="230"/>
          <w:marRight w:val="0"/>
          <w:marTop w:val="0"/>
          <w:marBottom w:val="60"/>
          <w:divBdr>
            <w:top w:val="none" w:sz="0" w:space="0" w:color="auto"/>
            <w:left w:val="none" w:sz="0" w:space="0" w:color="auto"/>
            <w:bottom w:val="none" w:sz="0" w:space="0" w:color="auto"/>
            <w:right w:val="none" w:sz="0" w:space="0" w:color="auto"/>
          </w:divBdr>
        </w:div>
        <w:div w:id="2105032024">
          <w:marLeft w:val="230"/>
          <w:marRight w:val="0"/>
          <w:marTop w:val="0"/>
          <w:marBottom w:val="60"/>
          <w:divBdr>
            <w:top w:val="none" w:sz="0" w:space="0" w:color="auto"/>
            <w:left w:val="none" w:sz="0" w:space="0" w:color="auto"/>
            <w:bottom w:val="none" w:sz="0" w:space="0" w:color="auto"/>
            <w:right w:val="none" w:sz="0" w:space="0" w:color="auto"/>
          </w:divBdr>
        </w:div>
      </w:divsChild>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1243374606">
      <w:bodyDiv w:val="1"/>
      <w:marLeft w:val="0"/>
      <w:marRight w:val="0"/>
      <w:marTop w:val="0"/>
      <w:marBottom w:val="0"/>
      <w:divBdr>
        <w:top w:val="none" w:sz="0" w:space="0" w:color="auto"/>
        <w:left w:val="none" w:sz="0" w:space="0" w:color="auto"/>
        <w:bottom w:val="none" w:sz="0" w:space="0" w:color="auto"/>
        <w:right w:val="none" w:sz="0" w:space="0" w:color="auto"/>
      </w:divBdr>
    </w:div>
    <w:div w:id="1741516264">
      <w:bodyDiv w:val="1"/>
      <w:marLeft w:val="0"/>
      <w:marRight w:val="0"/>
      <w:marTop w:val="0"/>
      <w:marBottom w:val="0"/>
      <w:divBdr>
        <w:top w:val="none" w:sz="0" w:space="0" w:color="auto"/>
        <w:left w:val="none" w:sz="0" w:space="0" w:color="auto"/>
        <w:bottom w:val="none" w:sz="0" w:space="0" w:color="auto"/>
        <w:right w:val="none" w:sz="0" w:space="0" w:color="auto"/>
      </w:divBdr>
      <w:divsChild>
        <w:div w:id="266812237">
          <w:marLeft w:val="230"/>
          <w:marRight w:val="0"/>
          <w:marTop w:val="0"/>
          <w:marBottom w:val="60"/>
          <w:divBdr>
            <w:top w:val="none" w:sz="0" w:space="0" w:color="auto"/>
            <w:left w:val="none" w:sz="0" w:space="0" w:color="auto"/>
            <w:bottom w:val="none" w:sz="0" w:space="0" w:color="auto"/>
            <w:right w:val="none" w:sz="0" w:space="0" w:color="auto"/>
          </w:divBdr>
        </w:div>
        <w:div w:id="1045985704">
          <w:marLeft w:val="230"/>
          <w:marRight w:val="0"/>
          <w:marTop w:val="0"/>
          <w:marBottom w:val="60"/>
          <w:divBdr>
            <w:top w:val="none" w:sz="0" w:space="0" w:color="auto"/>
            <w:left w:val="none" w:sz="0" w:space="0" w:color="auto"/>
            <w:bottom w:val="none" w:sz="0" w:space="0" w:color="auto"/>
            <w:right w:val="none" w:sz="0" w:space="0" w:color="auto"/>
          </w:divBdr>
        </w:div>
        <w:div w:id="1374309180">
          <w:marLeft w:val="230"/>
          <w:marRight w:val="0"/>
          <w:marTop w:val="0"/>
          <w:marBottom w:val="60"/>
          <w:divBdr>
            <w:top w:val="none" w:sz="0" w:space="0" w:color="auto"/>
            <w:left w:val="none" w:sz="0" w:space="0" w:color="auto"/>
            <w:bottom w:val="none" w:sz="0" w:space="0" w:color="auto"/>
            <w:right w:val="none" w:sz="0" w:space="0" w:color="auto"/>
          </w:divBdr>
        </w:div>
      </w:divsChild>
    </w:div>
    <w:div w:id="186366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10.png"/><Relationship Id="rId42" Type="http://schemas.openxmlformats.org/officeDocument/2006/relationships/image" Target="media/image16.png"/><Relationship Id="rId47" Type="http://schemas.openxmlformats.org/officeDocument/2006/relationships/footer" Target="footer7.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image" Target="media/image9.png"/><Relationship Id="rId38" Type="http://schemas.openxmlformats.org/officeDocument/2006/relationships/hyperlink" Target="https://www.health.gov.au/resources/publications/privacy-policy" TargetMode="Externa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7.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5.png"/><Relationship Id="rId45"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image" Target="media/image12.pn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hyperlink" Target="https://www.myagedcare.gov.au/sites/default/files/2023-01/operational-manual-for-home-care-package-consumer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11.png"/><Relationship Id="rId43" Type="http://schemas.openxmlformats.org/officeDocument/2006/relationships/hyperlink" Target="https://www.health.gov.au/resources/publications/home-care-packages-program-operational-manual-a-guide-for-home-care-providers" TargetMode="External"/><Relationship Id="rId48" Type="http://schemas.openxmlformats.org/officeDocument/2006/relationships/footer" Target="footer8.xml"/><Relationship Id="rId8" Type="http://schemas.openxmlformats.org/officeDocument/2006/relationships/webSettings" Target="webSettings.xml"/><Relationship Id="rId51"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theiia.org/globalassets/documents/resources/the-iias-three-lines-model-an-update-of-the-three-lines-of-defense-july-2020/three-lines-model-updated-english.pdf" TargetMode="External"/><Relationship Id="rId2" Type="http://schemas.openxmlformats.org/officeDocument/2006/relationships/hyperlink" Target="https://www.theiia.org/globalassets/documents/resources/the-iias-three-lines-model-an-update-of-the-three-lines-of-defense-july-2020/three-lines-model-updated-english.pdf" TargetMode="External"/><Relationship Id="rId1" Type="http://schemas.openxmlformats.org/officeDocument/2006/relationships/hyperlink" Target="https://www.theiia.org/globalassets/documents/resources/the-iias-three-lines-model-an-update-of-the-three-lines-of-defense-july-2020/three-lines-model-updated-english.pdf" TargetMode="External"/><Relationship Id="rId5" Type="http://schemas.openxmlformats.org/officeDocument/2006/relationships/hyperlink" Target="https://www.agedcarequality.gov.au/about-us" TargetMode="External"/><Relationship Id="rId4" Type="http://schemas.openxmlformats.org/officeDocument/2006/relationships/hyperlink" Target="https://www.theiia.org/globalassets/documents/resources/the-iias-three-lines-model-an-update-of-the-three-lines-of-defense-july-2020/three-lines-model-updated-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ganes\Desktop\01102021\WCAG2.0%20for%20Home%20Care%20Assurance%20Framework\Source\WCAG%20friendly%20PwC_A4%20Portrait%20template.dotx" TargetMode="External"/></Relationships>
</file>

<file path=word/documenttasks/documenttasks1.xml><?xml version="1.0" encoding="utf-8"?>
<t:Tasks xmlns:t="http://schemas.microsoft.com/office/tasks/2019/documenttasks" xmlns:oel="http://schemas.microsoft.com/office/2019/extlst">
  <t:Task id="{2D6DAAF8-9DA7-4770-94BC-07BFB77CF433}">
    <t:Anchor>
      <t:Comment id="676236166"/>
    </t:Anchor>
    <t:History>
      <t:Event id="{7D0E5443-733C-4F72-A5DA-D4F969B5A00F}" time="2023-07-10T04:23:34.597Z">
        <t:Attribution userId="S::nicky.king@health.gov.au::122a5bf8-1903-4495-90c1-512b8422c07c" userProvider="AD" userName="KING, Nicky"/>
        <t:Anchor>
          <t:Comment id="1707133475"/>
        </t:Anchor>
        <t:Create/>
      </t:Event>
      <t:Event id="{22BBDC3B-C24B-441A-8E9B-1E92007B8CD3}" time="2023-07-10T04:23:34.597Z">
        <t:Attribution userId="S::nicky.king@health.gov.au::122a5bf8-1903-4495-90c1-512b8422c07c" userProvider="AD" userName="KING, Nicky"/>
        <t:Anchor>
          <t:Comment id="1707133475"/>
        </t:Anchor>
        <t:Assign userId="S::Tanya.LYNCH@Health.gov.au::d5ec8bfc-ab02-42cf-97b1-9839d278f74d" userProvider="AD" userName="LYNCH, Tanya"/>
      </t:Event>
      <t:Event id="{7B883430-F8F1-4B49-916C-C71216DF5CB8}" time="2023-07-10T04:23:34.597Z">
        <t:Attribution userId="S::nicky.king@health.gov.au::122a5bf8-1903-4495-90c1-512b8422c07c" userProvider="AD" userName="KING, Nicky"/>
        <t:Anchor>
          <t:Comment id="1707133475"/>
        </t:Anchor>
        <t:SetTitle title="@LYNCH, Tanya do you think we need to change 'consumers' to care recipients in this graphic?"/>
      </t:Event>
    </t:History>
  </t:Task>
  <t:Task id="{C99BE961-1301-451F-9211-408EA8A5C2CD}">
    <t:Anchor>
      <t:Comment id="692329451"/>
    </t:Anchor>
    <t:History>
      <t:Event id="{23438695-6BFD-44E0-8824-B0BFA305BADD}" time="2023-07-10T04:27:26.418Z">
        <t:Attribution userId="S::nicky.king@health.gov.au::122a5bf8-1903-4495-90c1-512b8422c07c" userProvider="AD" userName="KING, Nicky"/>
        <t:Anchor>
          <t:Comment id="692329451"/>
        </t:Anchor>
        <t:Create/>
      </t:Event>
      <t:Event id="{FDA0FAD8-7EAD-4BDB-AC3B-109B7272B7F5}" time="2023-07-10T04:27:26.418Z">
        <t:Attribution userId="S::nicky.king@health.gov.au::122a5bf8-1903-4495-90c1-512b8422c07c" userProvider="AD" userName="KING, Nicky"/>
        <t:Anchor>
          <t:Comment id="692329451"/>
        </t:Anchor>
        <t:Assign userId="S::Tanya.LYNCH@Health.gov.au::d5ec8bfc-ab02-42cf-97b1-9839d278f74d" userProvider="AD" userName="LYNCH, Tanya"/>
      </t:Event>
      <t:Event id="{453DA87A-C8A0-4456-9B73-7D6AC8F49905}" time="2023-07-10T04:27:26.418Z">
        <t:Attribution userId="S::nicky.king@health.gov.au::122a5bf8-1903-4495-90c1-512b8422c07c" userProvider="AD" userName="KING, Nicky"/>
        <t:Anchor>
          <t:Comment id="692329451"/>
        </t:Anchor>
        <t:SetTitle title="@LYNCH, Tanya , do you think we should change the reference to 'fraud management' under the PAB heading in the graphic to 'referral to the fraud control and investigations branch'?"/>
      </t:Event>
    </t:History>
  </t:Task>
</t:Tasks>
</file>

<file path=word/theme/theme1.xml><?xml version="1.0" encoding="utf-8"?>
<a:theme xmlns:a="http://schemas.openxmlformats.org/drawingml/2006/main" name="PwC">
  <a:themeElements>
    <a:clrScheme name="HCP">
      <a:dk1>
        <a:srgbClr val="000000"/>
      </a:dk1>
      <a:lt1>
        <a:srgbClr val="FFFFFF"/>
      </a:lt1>
      <a:dk2>
        <a:srgbClr val="7D7D7D"/>
      </a:dk2>
      <a:lt2>
        <a:srgbClr val="DEDEDE"/>
      </a:lt2>
      <a:accent1>
        <a:srgbClr val="004C91"/>
      </a:accent1>
      <a:accent2>
        <a:srgbClr val="1286DA"/>
      </a:accent2>
      <a:accent3>
        <a:srgbClr val="00727E"/>
      </a:accent3>
      <a:accent4>
        <a:srgbClr val="7D7D7D"/>
      </a:accent4>
      <a:accent5>
        <a:srgbClr val="00B4C4"/>
      </a:accent5>
      <a:accent6>
        <a:srgbClr val="004C91"/>
      </a:accent6>
      <a:hlink>
        <a:srgbClr val="004C91"/>
      </a:hlink>
      <a:folHlink>
        <a:srgbClr val="1286DA"/>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0" ma:contentTypeDescription="Create a new document." ma:contentTypeScope="" ma:versionID="e91b7d9b807dac37de37679edb4bb27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3bbd60627d21f73bd00e1e7ae992d481"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e465b5-e3d8-4ab0-b214-e6567d21fce9}"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1DBE6-4091-4927-ACC8-E66088184244}">
  <ds:schemaRefs>
    <ds:schemaRef ds:uri="http://schemas.openxmlformats.org/officeDocument/2006/bibliography"/>
  </ds:schemaRefs>
</ds:datastoreItem>
</file>

<file path=customXml/itemProps2.xml><?xml version="1.0" encoding="utf-8"?>
<ds:datastoreItem xmlns:ds="http://schemas.openxmlformats.org/officeDocument/2006/customXml" ds:itemID="{5C3E711C-C6C1-43C8-9329-8BD329D02B0F}">
  <ds:schemaRefs>
    <ds:schemaRef ds:uri="http://schemas.microsoft.com/office/2006/metadata/properties"/>
    <ds:schemaRef ds:uri="http://schemas.microsoft.com/office/infopath/2007/PartnerControls"/>
    <ds:schemaRef ds:uri="fa7702e7-9218-4178-9b6d-65ad6f40fd45"/>
    <ds:schemaRef ds:uri="04499938-1c0e-445d-84a7-a95f7e43b45d"/>
  </ds:schemaRefs>
</ds:datastoreItem>
</file>

<file path=customXml/itemProps3.xml><?xml version="1.0" encoding="utf-8"?>
<ds:datastoreItem xmlns:ds="http://schemas.openxmlformats.org/officeDocument/2006/customXml" ds:itemID="{96B0A104-8140-4781-A147-740CBC07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655FB-0216-4882-92AB-FDDB1B13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WCAG friendly PwC_A4 Portrait template.dotx</Template>
  <TotalTime>153</TotalTime>
  <Pages>31</Pages>
  <Words>8778</Words>
  <Characters>50035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Home Care Packages Program Assurance Framework</vt:lpstr>
    </vt:vector>
  </TitlesOfParts>
  <Company/>
  <LinksUpToDate>false</LinksUpToDate>
  <CharactersWithSpaces>58696</CharactersWithSpaces>
  <SharedDoc>false</SharedDoc>
  <HLinks>
    <vt:vector size="222" baseType="variant">
      <vt:variant>
        <vt:i4>4718594</vt:i4>
      </vt:variant>
      <vt:variant>
        <vt:i4>222</vt:i4>
      </vt:variant>
      <vt:variant>
        <vt:i4>0</vt:i4>
      </vt:variant>
      <vt:variant>
        <vt:i4>5</vt:i4>
      </vt:variant>
      <vt:variant>
        <vt:lpwstr>https://www.myagedcare.gov.au/sites/default/files/2023-01/operational-manual-for-home-care-package-consumers.pdf</vt:lpwstr>
      </vt:variant>
      <vt:variant>
        <vt:lpwstr/>
      </vt:variant>
      <vt:variant>
        <vt:i4>6684769</vt:i4>
      </vt:variant>
      <vt:variant>
        <vt:i4>219</vt:i4>
      </vt:variant>
      <vt:variant>
        <vt:i4>0</vt:i4>
      </vt:variant>
      <vt:variant>
        <vt:i4>5</vt:i4>
      </vt:variant>
      <vt:variant>
        <vt:lpwstr>https://www.health.gov.au/resources/publications/home-care-packages-program-operational-manual-a-guide-for-home-care-providers</vt:lpwstr>
      </vt:variant>
      <vt:variant>
        <vt:lpwstr/>
      </vt:variant>
      <vt:variant>
        <vt:i4>2621501</vt:i4>
      </vt:variant>
      <vt:variant>
        <vt:i4>210</vt:i4>
      </vt:variant>
      <vt:variant>
        <vt:i4>0</vt:i4>
      </vt:variant>
      <vt:variant>
        <vt:i4>5</vt:i4>
      </vt:variant>
      <vt:variant>
        <vt:lpwstr>https://www.health.gov.au/resources/publications/privacy-policy</vt:lpwstr>
      </vt:variant>
      <vt:variant>
        <vt:lpwstr/>
      </vt:variant>
      <vt:variant>
        <vt:i4>1441840</vt:i4>
      </vt:variant>
      <vt:variant>
        <vt:i4>176</vt:i4>
      </vt:variant>
      <vt:variant>
        <vt:i4>0</vt:i4>
      </vt:variant>
      <vt:variant>
        <vt:i4>5</vt:i4>
      </vt:variant>
      <vt:variant>
        <vt:lpwstr/>
      </vt:variant>
      <vt:variant>
        <vt:lpwstr>_Toc157602600</vt:lpwstr>
      </vt:variant>
      <vt:variant>
        <vt:i4>2031667</vt:i4>
      </vt:variant>
      <vt:variant>
        <vt:i4>170</vt:i4>
      </vt:variant>
      <vt:variant>
        <vt:i4>0</vt:i4>
      </vt:variant>
      <vt:variant>
        <vt:i4>5</vt:i4>
      </vt:variant>
      <vt:variant>
        <vt:lpwstr/>
      </vt:variant>
      <vt:variant>
        <vt:lpwstr>_Toc157602599</vt:lpwstr>
      </vt:variant>
      <vt:variant>
        <vt:i4>2031667</vt:i4>
      </vt:variant>
      <vt:variant>
        <vt:i4>164</vt:i4>
      </vt:variant>
      <vt:variant>
        <vt:i4>0</vt:i4>
      </vt:variant>
      <vt:variant>
        <vt:i4>5</vt:i4>
      </vt:variant>
      <vt:variant>
        <vt:lpwstr/>
      </vt:variant>
      <vt:variant>
        <vt:lpwstr>_Toc157602598</vt:lpwstr>
      </vt:variant>
      <vt:variant>
        <vt:i4>2031667</vt:i4>
      </vt:variant>
      <vt:variant>
        <vt:i4>158</vt:i4>
      </vt:variant>
      <vt:variant>
        <vt:i4>0</vt:i4>
      </vt:variant>
      <vt:variant>
        <vt:i4>5</vt:i4>
      </vt:variant>
      <vt:variant>
        <vt:lpwstr/>
      </vt:variant>
      <vt:variant>
        <vt:lpwstr>_Toc157602597</vt:lpwstr>
      </vt:variant>
      <vt:variant>
        <vt:i4>2031667</vt:i4>
      </vt:variant>
      <vt:variant>
        <vt:i4>152</vt:i4>
      </vt:variant>
      <vt:variant>
        <vt:i4>0</vt:i4>
      </vt:variant>
      <vt:variant>
        <vt:i4>5</vt:i4>
      </vt:variant>
      <vt:variant>
        <vt:lpwstr/>
      </vt:variant>
      <vt:variant>
        <vt:lpwstr>_Toc157602596</vt:lpwstr>
      </vt:variant>
      <vt:variant>
        <vt:i4>2031667</vt:i4>
      </vt:variant>
      <vt:variant>
        <vt:i4>146</vt:i4>
      </vt:variant>
      <vt:variant>
        <vt:i4>0</vt:i4>
      </vt:variant>
      <vt:variant>
        <vt:i4>5</vt:i4>
      </vt:variant>
      <vt:variant>
        <vt:lpwstr/>
      </vt:variant>
      <vt:variant>
        <vt:lpwstr>_Toc157602595</vt:lpwstr>
      </vt:variant>
      <vt:variant>
        <vt:i4>2031667</vt:i4>
      </vt:variant>
      <vt:variant>
        <vt:i4>140</vt:i4>
      </vt:variant>
      <vt:variant>
        <vt:i4>0</vt:i4>
      </vt:variant>
      <vt:variant>
        <vt:i4>5</vt:i4>
      </vt:variant>
      <vt:variant>
        <vt:lpwstr/>
      </vt:variant>
      <vt:variant>
        <vt:lpwstr>_Toc157602594</vt:lpwstr>
      </vt:variant>
      <vt:variant>
        <vt:i4>2031667</vt:i4>
      </vt:variant>
      <vt:variant>
        <vt:i4>134</vt:i4>
      </vt:variant>
      <vt:variant>
        <vt:i4>0</vt:i4>
      </vt:variant>
      <vt:variant>
        <vt:i4>5</vt:i4>
      </vt:variant>
      <vt:variant>
        <vt:lpwstr/>
      </vt:variant>
      <vt:variant>
        <vt:lpwstr>_Toc157602593</vt:lpwstr>
      </vt:variant>
      <vt:variant>
        <vt:i4>2031667</vt:i4>
      </vt:variant>
      <vt:variant>
        <vt:i4>128</vt:i4>
      </vt:variant>
      <vt:variant>
        <vt:i4>0</vt:i4>
      </vt:variant>
      <vt:variant>
        <vt:i4>5</vt:i4>
      </vt:variant>
      <vt:variant>
        <vt:lpwstr/>
      </vt:variant>
      <vt:variant>
        <vt:lpwstr>_Toc157602592</vt:lpwstr>
      </vt:variant>
      <vt:variant>
        <vt:i4>2031667</vt:i4>
      </vt:variant>
      <vt:variant>
        <vt:i4>122</vt:i4>
      </vt:variant>
      <vt:variant>
        <vt:i4>0</vt:i4>
      </vt:variant>
      <vt:variant>
        <vt:i4>5</vt:i4>
      </vt:variant>
      <vt:variant>
        <vt:lpwstr/>
      </vt:variant>
      <vt:variant>
        <vt:lpwstr>_Toc157602591</vt:lpwstr>
      </vt:variant>
      <vt:variant>
        <vt:i4>2031667</vt:i4>
      </vt:variant>
      <vt:variant>
        <vt:i4>116</vt:i4>
      </vt:variant>
      <vt:variant>
        <vt:i4>0</vt:i4>
      </vt:variant>
      <vt:variant>
        <vt:i4>5</vt:i4>
      </vt:variant>
      <vt:variant>
        <vt:lpwstr/>
      </vt:variant>
      <vt:variant>
        <vt:lpwstr>_Toc157602590</vt:lpwstr>
      </vt:variant>
      <vt:variant>
        <vt:i4>1966131</vt:i4>
      </vt:variant>
      <vt:variant>
        <vt:i4>110</vt:i4>
      </vt:variant>
      <vt:variant>
        <vt:i4>0</vt:i4>
      </vt:variant>
      <vt:variant>
        <vt:i4>5</vt:i4>
      </vt:variant>
      <vt:variant>
        <vt:lpwstr/>
      </vt:variant>
      <vt:variant>
        <vt:lpwstr>_Toc157602589</vt:lpwstr>
      </vt:variant>
      <vt:variant>
        <vt:i4>1966131</vt:i4>
      </vt:variant>
      <vt:variant>
        <vt:i4>104</vt:i4>
      </vt:variant>
      <vt:variant>
        <vt:i4>0</vt:i4>
      </vt:variant>
      <vt:variant>
        <vt:i4>5</vt:i4>
      </vt:variant>
      <vt:variant>
        <vt:lpwstr/>
      </vt:variant>
      <vt:variant>
        <vt:lpwstr>_Toc157602588</vt:lpwstr>
      </vt:variant>
      <vt:variant>
        <vt:i4>1966131</vt:i4>
      </vt:variant>
      <vt:variant>
        <vt:i4>98</vt:i4>
      </vt:variant>
      <vt:variant>
        <vt:i4>0</vt:i4>
      </vt:variant>
      <vt:variant>
        <vt:i4>5</vt:i4>
      </vt:variant>
      <vt:variant>
        <vt:lpwstr/>
      </vt:variant>
      <vt:variant>
        <vt:lpwstr>_Toc157602587</vt:lpwstr>
      </vt:variant>
      <vt:variant>
        <vt:i4>1966131</vt:i4>
      </vt:variant>
      <vt:variant>
        <vt:i4>92</vt:i4>
      </vt:variant>
      <vt:variant>
        <vt:i4>0</vt:i4>
      </vt:variant>
      <vt:variant>
        <vt:i4>5</vt:i4>
      </vt:variant>
      <vt:variant>
        <vt:lpwstr/>
      </vt:variant>
      <vt:variant>
        <vt:lpwstr>_Toc157602586</vt:lpwstr>
      </vt:variant>
      <vt:variant>
        <vt:i4>1966131</vt:i4>
      </vt:variant>
      <vt:variant>
        <vt:i4>86</vt:i4>
      </vt:variant>
      <vt:variant>
        <vt:i4>0</vt:i4>
      </vt:variant>
      <vt:variant>
        <vt:i4>5</vt:i4>
      </vt:variant>
      <vt:variant>
        <vt:lpwstr/>
      </vt:variant>
      <vt:variant>
        <vt:lpwstr>_Toc157602585</vt:lpwstr>
      </vt:variant>
      <vt:variant>
        <vt:i4>1966131</vt:i4>
      </vt:variant>
      <vt:variant>
        <vt:i4>80</vt:i4>
      </vt:variant>
      <vt:variant>
        <vt:i4>0</vt:i4>
      </vt:variant>
      <vt:variant>
        <vt:i4>5</vt:i4>
      </vt:variant>
      <vt:variant>
        <vt:lpwstr/>
      </vt:variant>
      <vt:variant>
        <vt:lpwstr>_Toc157602584</vt:lpwstr>
      </vt:variant>
      <vt:variant>
        <vt:i4>1966131</vt:i4>
      </vt:variant>
      <vt:variant>
        <vt:i4>74</vt:i4>
      </vt:variant>
      <vt:variant>
        <vt:i4>0</vt:i4>
      </vt:variant>
      <vt:variant>
        <vt:i4>5</vt:i4>
      </vt:variant>
      <vt:variant>
        <vt:lpwstr/>
      </vt:variant>
      <vt:variant>
        <vt:lpwstr>_Toc157602583</vt:lpwstr>
      </vt:variant>
      <vt:variant>
        <vt:i4>1966131</vt:i4>
      </vt:variant>
      <vt:variant>
        <vt:i4>68</vt:i4>
      </vt:variant>
      <vt:variant>
        <vt:i4>0</vt:i4>
      </vt:variant>
      <vt:variant>
        <vt:i4>5</vt:i4>
      </vt:variant>
      <vt:variant>
        <vt:lpwstr/>
      </vt:variant>
      <vt:variant>
        <vt:lpwstr>_Toc157602582</vt:lpwstr>
      </vt:variant>
      <vt:variant>
        <vt:i4>1966131</vt:i4>
      </vt:variant>
      <vt:variant>
        <vt:i4>62</vt:i4>
      </vt:variant>
      <vt:variant>
        <vt:i4>0</vt:i4>
      </vt:variant>
      <vt:variant>
        <vt:i4>5</vt:i4>
      </vt:variant>
      <vt:variant>
        <vt:lpwstr/>
      </vt:variant>
      <vt:variant>
        <vt:lpwstr>_Toc157602581</vt:lpwstr>
      </vt:variant>
      <vt:variant>
        <vt:i4>1966131</vt:i4>
      </vt:variant>
      <vt:variant>
        <vt:i4>56</vt:i4>
      </vt:variant>
      <vt:variant>
        <vt:i4>0</vt:i4>
      </vt:variant>
      <vt:variant>
        <vt:i4>5</vt:i4>
      </vt:variant>
      <vt:variant>
        <vt:lpwstr/>
      </vt:variant>
      <vt:variant>
        <vt:lpwstr>_Toc157602580</vt:lpwstr>
      </vt:variant>
      <vt:variant>
        <vt:i4>1114163</vt:i4>
      </vt:variant>
      <vt:variant>
        <vt:i4>50</vt:i4>
      </vt:variant>
      <vt:variant>
        <vt:i4>0</vt:i4>
      </vt:variant>
      <vt:variant>
        <vt:i4>5</vt:i4>
      </vt:variant>
      <vt:variant>
        <vt:lpwstr/>
      </vt:variant>
      <vt:variant>
        <vt:lpwstr>_Toc157602579</vt:lpwstr>
      </vt:variant>
      <vt:variant>
        <vt:i4>1114163</vt:i4>
      </vt:variant>
      <vt:variant>
        <vt:i4>44</vt:i4>
      </vt:variant>
      <vt:variant>
        <vt:i4>0</vt:i4>
      </vt:variant>
      <vt:variant>
        <vt:i4>5</vt:i4>
      </vt:variant>
      <vt:variant>
        <vt:lpwstr/>
      </vt:variant>
      <vt:variant>
        <vt:lpwstr>_Toc157602578</vt:lpwstr>
      </vt:variant>
      <vt:variant>
        <vt:i4>1114163</vt:i4>
      </vt:variant>
      <vt:variant>
        <vt:i4>38</vt:i4>
      </vt:variant>
      <vt:variant>
        <vt:i4>0</vt:i4>
      </vt:variant>
      <vt:variant>
        <vt:i4>5</vt:i4>
      </vt:variant>
      <vt:variant>
        <vt:lpwstr/>
      </vt:variant>
      <vt:variant>
        <vt:lpwstr>_Toc157602577</vt:lpwstr>
      </vt:variant>
      <vt:variant>
        <vt:i4>1114163</vt:i4>
      </vt:variant>
      <vt:variant>
        <vt:i4>32</vt:i4>
      </vt:variant>
      <vt:variant>
        <vt:i4>0</vt:i4>
      </vt:variant>
      <vt:variant>
        <vt:i4>5</vt:i4>
      </vt:variant>
      <vt:variant>
        <vt:lpwstr/>
      </vt:variant>
      <vt:variant>
        <vt:lpwstr>_Toc157602576</vt:lpwstr>
      </vt:variant>
      <vt:variant>
        <vt:i4>1114163</vt:i4>
      </vt:variant>
      <vt:variant>
        <vt:i4>26</vt:i4>
      </vt:variant>
      <vt:variant>
        <vt:i4>0</vt:i4>
      </vt:variant>
      <vt:variant>
        <vt:i4>5</vt:i4>
      </vt:variant>
      <vt:variant>
        <vt:lpwstr/>
      </vt:variant>
      <vt:variant>
        <vt:lpwstr>_Toc157602575</vt:lpwstr>
      </vt:variant>
      <vt:variant>
        <vt:i4>1114163</vt:i4>
      </vt:variant>
      <vt:variant>
        <vt:i4>20</vt:i4>
      </vt:variant>
      <vt:variant>
        <vt:i4>0</vt:i4>
      </vt:variant>
      <vt:variant>
        <vt:i4>5</vt:i4>
      </vt:variant>
      <vt:variant>
        <vt:lpwstr/>
      </vt:variant>
      <vt:variant>
        <vt:lpwstr>_Toc157602574</vt:lpwstr>
      </vt:variant>
      <vt:variant>
        <vt:i4>1114163</vt:i4>
      </vt:variant>
      <vt:variant>
        <vt:i4>14</vt:i4>
      </vt:variant>
      <vt:variant>
        <vt:i4>0</vt:i4>
      </vt:variant>
      <vt:variant>
        <vt:i4>5</vt:i4>
      </vt:variant>
      <vt:variant>
        <vt:lpwstr/>
      </vt:variant>
      <vt:variant>
        <vt:lpwstr>_Toc157602573</vt:lpwstr>
      </vt:variant>
      <vt:variant>
        <vt:i4>1114163</vt:i4>
      </vt:variant>
      <vt:variant>
        <vt:i4>8</vt:i4>
      </vt:variant>
      <vt:variant>
        <vt:i4>0</vt:i4>
      </vt:variant>
      <vt:variant>
        <vt:i4>5</vt:i4>
      </vt:variant>
      <vt:variant>
        <vt:lpwstr/>
      </vt:variant>
      <vt:variant>
        <vt:lpwstr>_Toc157602572</vt:lpwstr>
      </vt:variant>
      <vt:variant>
        <vt:i4>1114163</vt:i4>
      </vt:variant>
      <vt:variant>
        <vt:i4>2</vt:i4>
      </vt:variant>
      <vt:variant>
        <vt:i4>0</vt:i4>
      </vt:variant>
      <vt:variant>
        <vt:i4>5</vt:i4>
      </vt:variant>
      <vt:variant>
        <vt:lpwstr/>
      </vt:variant>
      <vt:variant>
        <vt:lpwstr>_Toc157602571</vt:lpwstr>
      </vt:variant>
      <vt:variant>
        <vt:i4>3604528</vt:i4>
      </vt:variant>
      <vt:variant>
        <vt:i4>6</vt:i4>
      </vt:variant>
      <vt:variant>
        <vt:i4>0</vt:i4>
      </vt:variant>
      <vt:variant>
        <vt:i4>5</vt:i4>
      </vt:variant>
      <vt:variant>
        <vt:lpwstr>https://www.agedcarequality.gov.au/about-us</vt:lpwstr>
      </vt:variant>
      <vt:variant>
        <vt:lpwstr/>
      </vt:variant>
      <vt:variant>
        <vt:i4>2556021</vt:i4>
      </vt:variant>
      <vt:variant>
        <vt:i4>2</vt:i4>
      </vt:variant>
      <vt:variant>
        <vt:i4>0</vt:i4>
      </vt:variant>
      <vt:variant>
        <vt:i4>5</vt:i4>
      </vt:variant>
      <vt:variant>
        <vt:lpwstr>https://www.theiia.org/globalassets/documents/resources/the-iias-three-lines-model-an-update-of-the-three-lines-of-defense-july-2020/three-lines-model-updated-english.pdf</vt:lpwstr>
      </vt:variant>
      <vt:variant>
        <vt:lpwstr/>
      </vt:variant>
      <vt:variant>
        <vt:i4>2556021</vt:i4>
      </vt:variant>
      <vt:variant>
        <vt:i4>0</vt:i4>
      </vt:variant>
      <vt:variant>
        <vt:i4>0</vt:i4>
      </vt:variant>
      <vt:variant>
        <vt:i4>5</vt:i4>
      </vt:variant>
      <vt:variant>
        <vt:lpwstr>https://www.theiia.org/globalassets/documents/resources/the-iias-three-lines-model-an-update-of-the-three-lines-of-defense-july-2020/three-lines-model-updated-english.pdf</vt:lpwstr>
      </vt:variant>
      <vt:variant>
        <vt:lpwstr/>
      </vt:variant>
      <vt:variant>
        <vt:i4>2556021</vt:i4>
      </vt:variant>
      <vt:variant>
        <vt:i4>0</vt:i4>
      </vt:variant>
      <vt:variant>
        <vt:i4>0</vt:i4>
      </vt:variant>
      <vt:variant>
        <vt:i4>5</vt:i4>
      </vt:variant>
      <vt:variant>
        <vt:lpwstr>https://www.theiia.org/globalassets/documents/resources/the-iias-three-lines-model-an-update-of-the-three-lines-of-defense-july-2020/three-lines-model-updated-english.pdf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Program Assurance Framework</dc:title>
  <dc:subject>Aged care</dc:subject>
  <dc:creator>Australian Government Department of Health and Aged Care</dc:creator>
  <cp:keywords>Aged care Home; Care Packages Program</cp:keywords>
  <cp:revision>69</cp:revision>
  <cp:lastPrinted>2021-10-05T15:31:00Z</cp:lastPrinted>
  <dcterms:created xsi:type="dcterms:W3CDTF">2024-02-13T04:32:00Z</dcterms:created>
  <dcterms:modified xsi:type="dcterms:W3CDTF">2024-07-07T23:43:00Z</dcterms:modified>
</cp:coreProperties>
</file>