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8C60" w14:textId="77777777" w:rsidR="00CC1860" w:rsidRPr="00F45883" w:rsidRDefault="00CC1860" w:rsidP="00CC1860">
      <w:pPr>
        <w:pStyle w:val="Title"/>
        <w:spacing w:before="4400"/>
      </w:pPr>
      <w:bookmarkStart w:id="0" w:name="_Hlk170976803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BF6CB4" wp14:editId="63BA185E">
                <wp:simplePos x="0" y="0"/>
                <wp:positionH relativeFrom="page">
                  <wp:posOffset>0</wp:posOffset>
                </wp:positionH>
                <wp:positionV relativeFrom="paragraph">
                  <wp:posOffset>2524760</wp:posOffset>
                </wp:positionV>
                <wp:extent cx="6257925" cy="22860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28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BDB10" id="Rectangle 1" o:spid="_x0000_s1026" alt="&quot;&quot;" style="position:absolute;margin-left:0;margin-top:198.8pt;width:492.75pt;height:180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" fillcolor="#2f5496 [2404]" stroked="f" strokeweight="1pt">
                <w10:wrap anchorx="page"/>
              </v:rect>
            </w:pict>
          </mc:Fallback>
        </mc:AlternateContent>
      </w:r>
      <w:r w:rsidRPr="00F45883">
        <w:t xml:space="preserve">Environmental Health </w:t>
      </w:r>
    </w:p>
    <w:p w14:paraId="1B9F0BFB" w14:textId="77777777" w:rsidR="00CC1860" w:rsidRPr="00F45883" w:rsidRDefault="00CC1860" w:rsidP="00CC1860">
      <w:pPr>
        <w:pStyle w:val="Title"/>
      </w:pPr>
      <w:r w:rsidRPr="00F45883">
        <w:t xml:space="preserve">Standing Committee </w:t>
      </w:r>
    </w:p>
    <w:p w14:paraId="3F9B4C23" w14:textId="77777777" w:rsidR="00CC1860" w:rsidRPr="00F45883" w:rsidRDefault="00CC1860" w:rsidP="00CC1860">
      <w:pPr>
        <w:pStyle w:val="Title"/>
      </w:pPr>
      <w:r w:rsidRPr="00F45883">
        <w:t>(enHealth)</w:t>
      </w:r>
    </w:p>
    <w:p w14:paraId="43C4BE25" w14:textId="77777777" w:rsidR="00CC1860" w:rsidRDefault="00CC1860" w:rsidP="00CC1860">
      <w:pPr>
        <w:pStyle w:val="Subtitle"/>
      </w:pPr>
      <w:r w:rsidRPr="00F45883">
        <w:t>of the Australian Health Protection Committee</w:t>
      </w:r>
    </w:p>
    <w:p w14:paraId="729F6DE0" w14:textId="5D8D3B7C" w:rsidR="00CC1860" w:rsidRPr="00CC1860" w:rsidRDefault="00CC1860" w:rsidP="00CC1860">
      <w:pPr>
        <w:pStyle w:val="Title2"/>
      </w:pPr>
      <w:r w:rsidRPr="00CC1860">
        <w:rPr>
          <w:lang w:val="en-AU"/>
        </w:rPr>
        <w:t>Work Plan (2024-27)</w:t>
      </w:r>
    </w:p>
    <w:p w14:paraId="325EBA13" w14:textId="56D98A67" w:rsidR="00E245A3" w:rsidRPr="00CC1860" w:rsidRDefault="00E245A3" w:rsidP="00CC1860">
      <w:r>
        <w:br w:type="page"/>
      </w:r>
    </w:p>
    <w:p w14:paraId="390EB63A" w14:textId="130D68A3" w:rsidR="00E245A3" w:rsidRPr="00185FF0" w:rsidRDefault="00E245A3" w:rsidP="00C32B9A">
      <w:pPr>
        <w:pStyle w:val="Heading1"/>
      </w:pPr>
      <w:bookmarkStart w:id="1" w:name="_Toc170982257"/>
      <w:r w:rsidRPr="00E245A3">
        <w:lastRenderedPageBreak/>
        <w:t>V</w:t>
      </w:r>
      <w:r w:rsidR="00001146">
        <w:t xml:space="preserve">ersion </w:t>
      </w:r>
      <w:r w:rsidR="00001146" w:rsidRPr="00001146">
        <w:t>History</w:t>
      </w:r>
      <w:bookmarkEnd w:id="1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760"/>
      </w:tblGrid>
      <w:tr w:rsidR="00E245A3" w14:paraId="4CAA4784" w14:textId="77777777" w:rsidTr="00925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BBBA99C" w14:textId="138342E3" w:rsidR="00E245A3" w:rsidRPr="00E245A3" w:rsidRDefault="00E245A3" w:rsidP="00925FD5">
            <w:pPr>
              <w:jc w:val="center"/>
              <w:rPr>
                <w:b w:val="0"/>
                <w:bCs w:val="0"/>
              </w:rPr>
            </w:pPr>
            <w:r w:rsidRPr="00E245A3">
              <w:t>Version No.</w:t>
            </w:r>
          </w:p>
        </w:tc>
        <w:tc>
          <w:tcPr>
            <w:tcW w:w="1701" w:type="dxa"/>
            <w:vAlign w:val="center"/>
          </w:tcPr>
          <w:p w14:paraId="4966A940" w14:textId="464A1955" w:rsidR="00E245A3" w:rsidRPr="00E245A3" w:rsidRDefault="00E245A3" w:rsidP="00925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245A3">
              <w:t>Version Date</w:t>
            </w:r>
          </w:p>
        </w:tc>
        <w:tc>
          <w:tcPr>
            <w:tcW w:w="5760" w:type="dxa"/>
            <w:vAlign w:val="center"/>
          </w:tcPr>
          <w:p w14:paraId="0277E574" w14:textId="6C6721B5" w:rsidR="00E245A3" w:rsidRPr="00E245A3" w:rsidRDefault="00E245A3" w:rsidP="00925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245A3">
              <w:t>Description</w:t>
            </w:r>
          </w:p>
        </w:tc>
      </w:tr>
      <w:tr w:rsidR="00E245A3" w14:paraId="3A7C9C8D" w14:textId="77777777" w:rsidTr="00F45883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866B85" w14:textId="7E8513DF" w:rsidR="00E245A3" w:rsidRDefault="00C80F7D" w:rsidP="00E245A3">
            <w:r>
              <w:t>1</w:t>
            </w:r>
          </w:p>
        </w:tc>
        <w:tc>
          <w:tcPr>
            <w:tcW w:w="1701" w:type="dxa"/>
          </w:tcPr>
          <w:p w14:paraId="2ED7B29F" w14:textId="0CD63AC7" w:rsidR="00E245A3" w:rsidRDefault="00C80F7D" w:rsidP="00E24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3/07/2024</w:t>
            </w:r>
          </w:p>
        </w:tc>
        <w:tc>
          <w:tcPr>
            <w:tcW w:w="5760" w:type="dxa"/>
          </w:tcPr>
          <w:p w14:paraId="23EC476B" w14:textId="0163FB1C" w:rsidR="00E245A3" w:rsidRPr="00697126" w:rsidRDefault="00C80F7D" w:rsidP="009C6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Finalised version.</w:t>
            </w:r>
          </w:p>
        </w:tc>
      </w:tr>
    </w:tbl>
    <w:sdt>
      <w:sdtPr>
        <w:rPr>
          <w:rFonts w:asciiTheme="minorHAnsi" w:eastAsia="Times New Roman" w:hAnsiTheme="minorHAnsi" w:cs="Times New Roman"/>
          <w:color w:val="auto"/>
          <w:sz w:val="22"/>
          <w:szCs w:val="20"/>
          <w:lang w:val="en-AU"/>
        </w:rPr>
        <w:id w:val="-14657354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D496F08" w14:textId="7B67B32B" w:rsidR="00001146" w:rsidRDefault="00001146" w:rsidP="00C32B9A">
          <w:pPr>
            <w:pStyle w:val="TOCHeading"/>
          </w:pPr>
          <w:r>
            <w:t xml:space="preserve">Table of </w:t>
          </w:r>
          <w:r w:rsidRPr="00C32B9A">
            <w:t>Contents</w:t>
          </w:r>
        </w:p>
        <w:p w14:paraId="09B57753" w14:textId="3E878F26" w:rsidR="00156A0B" w:rsidRDefault="000011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82257" w:history="1">
            <w:r w:rsidR="00156A0B" w:rsidRPr="00D333B8">
              <w:rPr>
                <w:rStyle w:val="Hyperlink"/>
              </w:rPr>
              <w:t>Version History</w:t>
            </w:r>
            <w:r w:rsidR="00156A0B">
              <w:rPr>
                <w:webHidden/>
              </w:rPr>
              <w:tab/>
            </w:r>
            <w:r w:rsidR="00156A0B">
              <w:rPr>
                <w:webHidden/>
              </w:rPr>
              <w:fldChar w:fldCharType="begin"/>
            </w:r>
            <w:r w:rsidR="00156A0B">
              <w:rPr>
                <w:webHidden/>
              </w:rPr>
              <w:instrText xml:space="preserve"> PAGEREF _Toc170982257 \h </w:instrText>
            </w:r>
            <w:r w:rsidR="00156A0B">
              <w:rPr>
                <w:webHidden/>
              </w:rPr>
            </w:r>
            <w:r w:rsidR="00156A0B">
              <w:rPr>
                <w:webHidden/>
              </w:rPr>
              <w:fldChar w:fldCharType="separate"/>
            </w:r>
            <w:r w:rsidR="00156A0B">
              <w:rPr>
                <w:webHidden/>
              </w:rPr>
              <w:t>2</w:t>
            </w:r>
            <w:r w:rsidR="00156A0B">
              <w:rPr>
                <w:webHidden/>
              </w:rPr>
              <w:fldChar w:fldCharType="end"/>
            </w:r>
          </w:hyperlink>
        </w:p>
        <w:p w14:paraId="11AF6E37" w14:textId="3C844416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58" w:history="1">
            <w:r w:rsidRPr="00D333B8">
              <w:rPr>
                <w:rStyle w:val="Hyperlink"/>
              </w:rPr>
              <w:t>Overview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223FD43" w14:textId="66634258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59" w:history="1">
            <w:r w:rsidRPr="00D333B8">
              <w:rPr>
                <w:rStyle w:val="Hyperlink"/>
              </w:rPr>
              <w:t>Key Focus Areas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9B7BF8C" w14:textId="28432588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60" w:history="1">
            <w:r w:rsidRPr="00D333B8">
              <w:rPr>
                <w:rStyle w:val="Hyperlink"/>
              </w:rPr>
              <w:t>Work Priorities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93C06EB" w14:textId="197150E8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61" w:history="1">
            <w:r w:rsidRPr="00D333B8">
              <w:rPr>
                <w:rStyle w:val="Hyperlink"/>
              </w:rPr>
              <w:t>Priorities managed by Expert Reference Panels and key stakeholders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EE253E4" w14:textId="0970730E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62" w:history="1">
            <w:r w:rsidRPr="00D333B8">
              <w:rPr>
                <w:rStyle w:val="Hyperlink"/>
              </w:rPr>
              <w:t>Publications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BB92899" w14:textId="682EAC1C" w:rsidR="00156A0B" w:rsidRDefault="00156A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0982263" w:history="1">
            <w:r w:rsidRPr="00D333B8">
              <w:rPr>
                <w:rStyle w:val="Hyperlink"/>
              </w:rPr>
              <w:t>Acronyms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_Toc170982263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5355CE5" w14:textId="59573618" w:rsidR="00001146" w:rsidRDefault="00001146">
          <w:r>
            <w:rPr>
              <w:b/>
              <w:bCs/>
              <w:noProof/>
            </w:rPr>
            <w:fldChar w:fldCharType="end"/>
          </w:r>
        </w:p>
      </w:sdtContent>
    </w:sdt>
    <w:p w14:paraId="5FC24E4E" w14:textId="77777777" w:rsidR="001B7D96" w:rsidRPr="00CC1860" w:rsidRDefault="001B7D96" w:rsidP="008B1047">
      <w:pPr>
        <w:rPr>
          <w:rFonts w:eastAsiaTheme="majorEastAsia"/>
        </w:rPr>
      </w:pPr>
      <w:r>
        <w:br w:type="page"/>
      </w:r>
    </w:p>
    <w:p w14:paraId="34FE2429" w14:textId="4450B18D" w:rsidR="007E0DDE" w:rsidRDefault="00AC263A" w:rsidP="00C32B9A">
      <w:pPr>
        <w:pStyle w:val="Heading1"/>
      </w:pPr>
      <w:bookmarkStart w:id="2" w:name="_Toc170982258"/>
      <w:r>
        <w:lastRenderedPageBreak/>
        <w:t>Overview</w:t>
      </w:r>
      <w:bookmarkEnd w:id="2"/>
    </w:p>
    <w:p w14:paraId="163E646F" w14:textId="42A89940" w:rsidR="00C04124" w:rsidRDefault="0085412F" w:rsidP="00661D4C">
      <w:pPr>
        <w:spacing w:line="276" w:lineRule="auto"/>
      </w:pPr>
      <w:r>
        <w:t>This Work Plan has been developed to be read in conjunction with the enHealth Strategic Plan 2024-2027</w:t>
      </w:r>
      <w:r w:rsidR="00F40878">
        <w:t xml:space="preserve"> and </w:t>
      </w:r>
      <w:proofErr w:type="spellStart"/>
      <w:r w:rsidR="008B5C77">
        <w:t>enHealth</w:t>
      </w:r>
      <w:r w:rsidR="00D037DF">
        <w:t>’s</w:t>
      </w:r>
      <w:proofErr w:type="spellEnd"/>
      <w:r w:rsidR="008B5C77">
        <w:t xml:space="preserve"> </w:t>
      </w:r>
      <w:r w:rsidR="00F40878">
        <w:t>Terms of Reference</w:t>
      </w:r>
      <w:r w:rsidR="00425DDA">
        <w:t xml:space="preserve">. </w:t>
      </w:r>
      <w:r w:rsidR="008B5C77">
        <w:t xml:space="preserve">The </w:t>
      </w:r>
      <w:r w:rsidR="00145FE1">
        <w:t xml:space="preserve">Strategic Plan 2024-2027 outlines </w:t>
      </w:r>
      <w:proofErr w:type="spellStart"/>
      <w:r w:rsidR="008B5C77">
        <w:t>enHealth’s</w:t>
      </w:r>
      <w:proofErr w:type="spellEnd"/>
      <w:r w:rsidR="008B5C77">
        <w:t xml:space="preserve"> key strategic direction, whereas the </w:t>
      </w:r>
      <w:r w:rsidR="00C04124">
        <w:t xml:space="preserve">Terms of Reference defines </w:t>
      </w:r>
      <w:proofErr w:type="spellStart"/>
      <w:r w:rsidR="00C04124">
        <w:t>enHealth’s</w:t>
      </w:r>
      <w:proofErr w:type="spellEnd"/>
      <w:r w:rsidR="00C04124">
        <w:t xml:space="preserve"> purpose, outlines the scope of work</w:t>
      </w:r>
      <w:r w:rsidR="00D037DF">
        <w:t>,</w:t>
      </w:r>
      <w:r w:rsidR="00C04124">
        <w:t xml:space="preserve"> and identifies how enHealth members will work together to achieve its objectives. </w:t>
      </w:r>
    </w:p>
    <w:p w14:paraId="12B08811" w14:textId="37A77355" w:rsidR="00B93759" w:rsidRDefault="004B69D0" w:rsidP="00661D4C">
      <w:pPr>
        <w:spacing w:line="276" w:lineRule="auto"/>
      </w:pPr>
      <w:r>
        <w:t xml:space="preserve">The </w:t>
      </w:r>
      <w:r w:rsidR="004A1302">
        <w:t xml:space="preserve">work priorities outlined in this document </w:t>
      </w:r>
      <w:r w:rsidR="009E6DA6">
        <w:t>assist enHealth</w:t>
      </w:r>
      <w:r w:rsidR="004A1302">
        <w:t xml:space="preserve"> to </w:t>
      </w:r>
      <w:r w:rsidR="009E6DA6">
        <w:t xml:space="preserve">continue to </w:t>
      </w:r>
      <w:r w:rsidR="004A1302">
        <w:t xml:space="preserve">play a key role in coordinating policy advice </w:t>
      </w:r>
      <w:r w:rsidR="00C977DF">
        <w:t xml:space="preserve">and the national response </w:t>
      </w:r>
      <w:r w:rsidR="004A1302">
        <w:t>on environmental health issues</w:t>
      </w:r>
      <w:r w:rsidR="001B57A1">
        <w:t xml:space="preserve"> and </w:t>
      </w:r>
      <w:r w:rsidR="00C977DF">
        <w:t xml:space="preserve">in </w:t>
      </w:r>
      <w:r w:rsidR="001B57A1">
        <w:t xml:space="preserve">developing environmental health-related national guidance and resources. </w:t>
      </w:r>
      <w:r w:rsidR="009F4B73">
        <w:t xml:space="preserve">By doing this, enHealth </w:t>
      </w:r>
      <w:r w:rsidR="009F5A74">
        <w:t xml:space="preserve">will be able to create healthier communities for all Australians. </w:t>
      </w:r>
    </w:p>
    <w:p w14:paraId="78FA0D93" w14:textId="3F3E0875" w:rsidR="00C87E2B" w:rsidRPr="00BB1158" w:rsidRDefault="00C41415" w:rsidP="00C32B9A">
      <w:pPr>
        <w:pStyle w:val="Heading1"/>
      </w:pPr>
      <w:bookmarkStart w:id="3" w:name="_Toc170982259"/>
      <w:r>
        <w:t>Key Focus Areas</w:t>
      </w:r>
      <w:bookmarkEnd w:id="3"/>
    </w:p>
    <w:p w14:paraId="0E400919" w14:textId="5F9BE8E5" w:rsidR="00283871" w:rsidRDefault="005B6782" w:rsidP="00661D4C">
      <w:pPr>
        <w:spacing w:line="276" w:lineRule="auto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As reflected in </w:t>
      </w:r>
      <w:proofErr w:type="spellStart"/>
      <w:r>
        <w:rPr>
          <w:rFonts w:ascii="Calibri" w:eastAsia="Calibri" w:hAnsi="Calibri" w:cs="Calibri"/>
          <w:szCs w:val="22"/>
        </w:rPr>
        <w:t>enHealth’s</w:t>
      </w:r>
      <w:proofErr w:type="spellEnd"/>
      <w:r>
        <w:rPr>
          <w:rFonts w:ascii="Calibri" w:eastAsia="Calibri" w:hAnsi="Calibri" w:cs="Calibri"/>
          <w:szCs w:val="22"/>
        </w:rPr>
        <w:t xml:space="preserve"> Strategic Plan 2024-2027, enHealth</w:t>
      </w:r>
      <w:r w:rsidR="00503BFA">
        <w:rPr>
          <w:rFonts w:ascii="Calibri" w:eastAsia="Calibri" w:hAnsi="Calibri" w:cs="Calibri"/>
          <w:szCs w:val="22"/>
        </w:rPr>
        <w:t xml:space="preserve"> has</w:t>
      </w:r>
      <w:r>
        <w:rPr>
          <w:rFonts w:ascii="Calibri" w:eastAsia="Calibri" w:hAnsi="Calibri" w:cs="Calibri"/>
          <w:szCs w:val="22"/>
        </w:rPr>
        <w:t xml:space="preserve"> identified the following key focus areas </w:t>
      </w:r>
      <w:proofErr w:type="gramStart"/>
      <w:r>
        <w:rPr>
          <w:rFonts w:ascii="Calibri" w:eastAsia="Calibri" w:hAnsi="Calibri" w:cs="Calibri"/>
          <w:szCs w:val="22"/>
        </w:rPr>
        <w:t>i</w:t>
      </w:r>
      <w:r w:rsidR="008D490A">
        <w:rPr>
          <w:rFonts w:ascii="Calibri" w:eastAsia="Calibri" w:hAnsi="Calibri" w:cs="Calibri"/>
          <w:szCs w:val="22"/>
        </w:rPr>
        <w:t>n order to</w:t>
      </w:r>
      <w:proofErr w:type="gramEnd"/>
      <w:r w:rsidR="008D490A">
        <w:rPr>
          <w:rFonts w:ascii="Calibri" w:eastAsia="Calibri" w:hAnsi="Calibri" w:cs="Calibri"/>
          <w:szCs w:val="22"/>
        </w:rPr>
        <w:t xml:space="preserve"> achieve positive health outcomes</w:t>
      </w:r>
      <w:r>
        <w:rPr>
          <w:rFonts w:ascii="Calibri" w:eastAsia="Calibri" w:hAnsi="Calibri" w:cs="Calibri"/>
          <w:szCs w:val="22"/>
        </w:rPr>
        <w:t>:</w:t>
      </w:r>
    </w:p>
    <w:p w14:paraId="7C421EE0" w14:textId="24A9E97B" w:rsidR="008D490A" w:rsidRDefault="008D490A" w:rsidP="00185FF0">
      <w:pPr>
        <w:pStyle w:val="ListNumber2"/>
        <w:rPr>
          <w:rFonts w:eastAsia="Calibri"/>
        </w:rPr>
      </w:pPr>
      <w:r>
        <w:rPr>
          <w:rFonts w:eastAsia="Calibri"/>
        </w:rPr>
        <w:t>Aboriginal and Torres Strait Islander Health</w:t>
      </w:r>
    </w:p>
    <w:p w14:paraId="2AE5E780" w14:textId="17A61B93" w:rsidR="008D490A" w:rsidRDefault="00811185" w:rsidP="00185FF0">
      <w:pPr>
        <w:pStyle w:val="ListNumber2"/>
        <w:rPr>
          <w:rFonts w:eastAsia="Calibri"/>
        </w:rPr>
      </w:pPr>
      <w:r>
        <w:rPr>
          <w:rFonts w:eastAsia="Calibri"/>
        </w:rPr>
        <w:t>Air Quality</w:t>
      </w:r>
    </w:p>
    <w:p w14:paraId="77B98349" w14:textId="78914014" w:rsidR="00811185" w:rsidRDefault="00811185" w:rsidP="00185FF0">
      <w:pPr>
        <w:pStyle w:val="ListNumber2"/>
        <w:rPr>
          <w:rFonts w:eastAsia="Calibri"/>
        </w:rPr>
      </w:pPr>
      <w:r>
        <w:rPr>
          <w:rFonts w:eastAsia="Calibri"/>
        </w:rPr>
        <w:t>National Approach</w:t>
      </w:r>
    </w:p>
    <w:p w14:paraId="2E0D40E7" w14:textId="6D4A4F29" w:rsidR="00430C79" w:rsidRDefault="00430C79" w:rsidP="00185FF0">
      <w:pPr>
        <w:pStyle w:val="ListNumber2"/>
        <w:rPr>
          <w:rFonts w:eastAsia="Calibri"/>
        </w:rPr>
      </w:pPr>
      <w:r>
        <w:rPr>
          <w:rFonts w:eastAsia="Calibri"/>
        </w:rPr>
        <w:t>Radiation</w:t>
      </w:r>
    </w:p>
    <w:p w14:paraId="06B0D9CF" w14:textId="0B872715" w:rsidR="00811185" w:rsidRPr="00572DB1" w:rsidRDefault="00811185" w:rsidP="00185FF0">
      <w:pPr>
        <w:pStyle w:val="ListNumber2"/>
        <w:rPr>
          <w:rFonts w:eastAsia="Calibri"/>
        </w:rPr>
      </w:pPr>
      <w:r>
        <w:rPr>
          <w:rFonts w:eastAsia="Calibri"/>
        </w:rPr>
        <w:t>Water Quality</w:t>
      </w:r>
    </w:p>
    <w:p w14:paraId="24B39719" w14:textId="04C47950" w:rsidR="00850D42" w:rsidRDefault="00661D4C" w:rsidP="00C32B9A">
      <w:pPr>
        <w:pStyle w:val="Heading1"/>
      </w:pPr>
      <w:bookmarkStart w:id="4" w:name="_Toc170982260"/>
      <w:r>
        <w:t>Work Priorities</w:t>
      </w:r>
      <w:bookmarkEnd w:id="4"/>
    </w:p>
    <w:p w14:paraId="5916BB8F" w14:textId="16E0871F" w:rsidR="00FD504B" w:rsidRDefault="003848A1" w:rsidP="003848A1">
      <w:r>
        <w:t xml:space="preserve">enHealth </w:t>
      </w:r>
      <w:r w:rsidR="00757FE3">
        <w:t>has identified</w:t>
      </w:r>
      <w:r w:rsidR="00064EAC">
        <w:t xml:space="preserve"> the below projects</w:t>
      </w:r>
      <w:r w:rsidR="00A32698">
        <w:t>, guideline updates</w:t>
      </w:r>
      <w:r w:rsidR="002E5F7A">
        <w:t>, and</w:t>
      </w:r>
      <w:r w:rsidR="00064EAC">
        <w:t xml:space="preserve"> </w:t>
      </w:r>
      <w:r w:rsidR="002E5F7A">
        <w:t>tasks</w:t>
      </w:r>
      <w:r w:rsidR="00064EAC">
        <w:t xml:space="preserve"> as key priorities</w:t>
      </w:r>
      <w:r w:rsidR="008516CB">
        <w:t>. These items set a forward work plan and will be reviewed and amended when required</w:t>
      </w:r>
      <w:r w:rsidR="003821AA">
        <w:t xml:space="preserve">, particularly </w:t>
      </w:r>
      <w:proofErr w:type="gramStart"/>
      <w:r w:rsidR="003821AA">
        <w:t>in light of</w:t>
      </w:r>
      <w:proofErr w:type="gramEnd"/>
      <w:r w:rsidR="003821AA">
        <w:t xml:space="preserve"> updated or emerging priorities. </w:t>
      </w:r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3397"/>
        <w:gridCol w:w="1276"/>
        <w:gridCol w:w="2268"/>
        <w:gridCol w:w="2075"/>
      </w:tblGrid>
      <w:tr w:rsidR="001838CB" w:rsidRPr="00E245A3" w14:paraId="6F910B4F" w14:textId="77777777" w:rsidTr="0018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tblHeader/>
        </w:trPr>
        <w:tc>
          <w:tcPr>
            <w:tcW w:w="3397" w:type="dxa"/>
            <w:vAlign w:val="center"/>
          </w:tcPr>
          <w:p w14:paraId="0EA772F7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>
              <w:t>Project/Task</w:t>
            </w:r>
          </w:p>
        </w:tc>
        <w:tc>
          <w:tcPr>
            <w:tcW w:w="1276" w:type="dxa"/>
            <w:vAlign w:val="center"/>
          </w:tcPr>
          <w:p w14:paraId="48F23390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 w:rsidRPr="00A832B9">
              <w:t>Key Focus Area/s</w:t>
            </w:r>
            <w:r>
              <w:t>*</w:t>
            </w:r>
          </w:p>
        </w:tc>
        <w:tc>
          <w:tcPr>
            <w:tcW w:w="2268" w:type="dxa"/>
            <w:vAlign w:val="center"/>
          </w:tcPr>
          <w:p w14:paraId="0EB1003F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>
              <w:t>Lead/s</w:t>
            </w:r>
          </w:p>
        </w:tc>
        <w:tc>
          <w:tcPr>
            <w:tcW w:w="2075" w:type="dxa"/>
          </w:tcPr>
          <w:p w14:paraId="376317B3" w14:textId="77777777" w:rsidR="001838CB" w:rsidRPr="00E245A3" w:rsidRDefault="001838CB" w:rsidP="00BA7FB6">
            <w:pPr>
              <w:jc w:val="center"/>
            </w:pPr>
            <w:r>
              <w:t>Timeframe</w:t>
            </w:r>
          </w:p>
        </w:tc>
      </w:tr>
      <w:tr w:rsidR="001838CB" w:rsidRPr="00697126" w14:paraId="06CBA727" w14:textId="77777777" w:rsidTr="00185FF0">
        <w:trPr>
          <w:trHeight w:val="217"/>
        </w:trPr>
        <w:tc>
          <w:tcPr>
            <w:tcW w:w="9016" w:type="dxa"/>
            <w:gridSpan w:val="4"/>
            <w:shd w:val="clear" w:color="auto" w:fill="D9E2F3" w:themeFill="accent1" w:themeFillTint="33"/>
          </w:tcPr>
          <w:p w14:paraId="2A6BDB5F" w14:textId="77777777" w:rsidR="001838CB" w:rsidRDefault="001838CB" w:rsidP="00BA7FB6">
            <w:r>
              <w:t>High Priorities</w:t>
            </w:r>
          </w:p>
        </w:tc>
      </w:tr>
      <w:tr w:rsidR="001838CB" w:rsidRPr="00697126" w14:paraId="6123B9F1" w14:textId="77777777" w:rsidTr="00185FF0">
        <w:trPr>
          <w:trHeight w:val="217"/>
        </w:trPr>
        <w:tc>
          <w:tcPr>
            <w:tcW w:w="3397" w:type="dxa"/>
          </w:tcPr>
          <w:p w14:paraId="4DD83C43" w14:textId="3395EF85" w:rsidR="001838CB" w:rsidRDefault="001838CB" w:rsidP="00BA7FB6">
            <w:r>
              <w:t>Indoor Air Quality</w:t>
            </w:r>
          </w:p>
          <w:p w14:paraId="7B8CBFE9" w14:textId="77777777" w:rsidR="001838CB" w:rsidRPr="007C41C5" w:rsidRDefault="001838CB" w:rsidP="00185FF0">
            <w:pPr>
              <w:pStyle w:val="ListBullet"/>
              <w:rPr>
                <w:b/>
                <w:bCs/>
              </w:rPr>
            </w:pPr>
            <w:r>
              <w:t>Project on health aspects of the i</w:t>
            </w:r>
            <w:r w:rsidRPr="00D7013B">
              <w:t>ndoor Air Quality project</w:t>
            </w:r>
          </w:p>
        </w:tc>
        <w:tc>
          <w:tcPr>
            <w:tcW w:w="1276" w:type="dxa"/>
          </w:tcPr>
          <w:p w14:paraId="61AB4B39" w14:textId="77777777" w:rsidR="001838CB" w:rsidRDefault="001838CB" w:rsidP="00BA7FB6">
            <w:pPr>
              <w:jc w:val="center"/>
            </w:pPr>
            <w:r>
              <w:t>B, C</w:t>
            </w:r>
          </w:p>
        </w:tc>
        <w:tc>
          <w:tcPr>
            <w:tcW w:w="2268" w:type="dxa"/>
          </w:tcPr>
          <w:p w14:paraId="3C146715" w14:textId="77777777" w:rsidR="001838CB" w:rsidRDefault="001838CB" w:rsidP="00C32B9A">
            <w:pPr>
              <w:pStyle w:val="Tabletext"/>
              <w:spacing w:before="480"/>
            </w:pPr>
            <w:r>
              <w:t>Commonwealth</w:t>
            </w:r>
          </w:p>
        </w:tc>
        <w:tc>
          <w:tcPr>
            <w:tcW w:w="2075" w:type="dxa"/>
          </w:tcPr>
          <w:p w14:paraId="75C351BD" w14:textId="77777777" w:rsidR="001838CB" w:rsidRDefault="001838CB" w:rsidP="00BA7FB6">
            <w:pPr>
              <w:jc w:val="center"/>
            </w:pPr>
            <w:r>
              <w:t>Ongoing, 2024-2027</w:t>
            </w:r>
          </w:p>
        </w:tc>
      </w:tr>
      <w:tr w:rsidR="001838CB" w:rsidRPr="00697126" w14:paraId="6FA18374" w14:textId="77777777" w:rsidTr="00185FF0">
        <w:trPr>
          <w:trHeight w:val="217"/>
        </w:trPr>
        <w:tc>
          <w:tcPr>
            <w:tcW w:w="3397" w:type="dxa"/>
          </w:tcPr>
          <w:p w14:paraId="32A13D2D" w14:textId="77777777" w:rsidR="001838CB" w:rsidRPr="00C32B9A" w:rsidRDefault="001838CB" w:rsidP="00C32B9A">
            <w:r w:rsidRPr="00D7013B">
              <w:t>Nationally Consistent Radiation Protection and Nuclear Safety</w:t>
            </w:r>
          </w:p>
          <w:p w14:paraId="6EB4AD07" w14:textId="77777777" w:rsidR="001838CB" w:rsidRPr="00C32B9A" w:rsidRDefault="001838CB" w:rsidP="00C32B9A">
            <w:pPr>
              <w:pStyle w:val="ListBullet"/>
            </w:pPr>
            <w:r w:rsidRPr="00C32B9A">
              <w:t>Finalise National Strategy for Radiation Safety</w:t>
            </w:r>
          </w:p>
          <w:p w14:paraId="245EE2E6" w14:textId="77777777" w:rsidR="001838CB" w:rsidRPr="00C32B9A" w:rsidRDefault="001838CB" w:rsidP="00C32B9A">
            <w:pPr>
              <w:pStyle w:val="ListBullet"/>
            </w:pPr>
            <w:r w:rsidRPr="00C32B9A">
              <w:t>Assessment of State, Territory and Commonwealth legislation and identify opportunities for consistency</w:t>
            </w:r>
          </w:p>
          <w:p w14:paraId="6733670C" w14:textId="77777777" w:rsidR="001838CB" w:rsidRPr="00C32B9A" w:rsidRDefault="001838CB" w:rsidP="00C32B9A">
            <w:pPr>
              <w:pStyle w:val="ListBullet"/>
            </w:pPr>
            <w:r w:rsidRPr="00C32B9A">
              <w:lastRenderedPageBreak/>
              <w:t>Development of a competency framework to ensure a consistent level of qualification to use radiation sources</w:t>
            </w:r>
          </w:p>
          <w:p w14:paraId="3A051ADD" w14:textId="77777777" w:rsidR="001838CB" w:rsidRPr="00C32B9A" w:rsidRDefault="001838CB" w:rsidP="00C32B9A">
            <w:pPr>
              <w:pStyle w:val="ListBullet"/>
            </w:pPr>
            <w:r w:rsidRPr="006B211E">
              <w:t xml:space="preserve">Testing readiness and </w:t>
            </w:r>
            <w:r w:rsidRPr="00C32B9A">
              <w:t>responsiveness to large scale incidents</w:t>
            </w:r>
          </w:p>
          <w:p w14:paraId="70E47283" w14:textId="77777777" w:rsidR="001838CB" w:rsidRPr="00C32B9A" w:rsidRDefault="001838CB" w:rsidP="00C32B9A">
            <w:pPr>
              <w:pStyle w:val="ListBullet"/>
            </w:pPr>
            <w:r w:rsidRPr="00C32B9A">
              <w:t>Auditing national capabilities to respond to a national radiation emergency (facilities and people)</w:t>
            </w:r>
          </w:p>
          <w:p w14:paraId="070A10D1" w14:textId="77777777" w:rsidR="001838CB" w:rsidRPr="00D7013B" w:rsidRDefault="001838CB" w:rsidP="00C32B9A">
            <w:pPr>
              <w:pStyle w:val="ListBullet"/>
              <w:rPr>
                <w:b/>
                <w:bCs/>
              </w:rPr>
            </w:pPr>
            <w:r w:rsidRPr="00C32B9A">
              <w:t>Reviewing existing reporting systems, including the Australian Radiation Incident Register</w:t>
            </w:r>
          </w:p>
        </w:tc>
        <w:tc>
          <w:tcPr>
            <w:tcW w:w="1276" w:type="dxa"/>
          </w:tcPr>
          <w:p w14:paraId="2833D3E8" w14:textId="77777777" w:rsidR="001838CB" w:rsidRDefault="001838CB" w:rsidP="00BA7FB6">
            <w:pPr>
              <w:jc w:val="center"/>
            </w:pPr>
            <w:r>
              <w:lastRenderedPageBreak/>
              <w:t>C, D</w:t>
            </w:r>
          </w:p>
        </w:tc>
        <w:tc>
          <w:tcPr>
            <w:tcW w:w="2268" w:type="dxa"/>
          </w:tcPr>
          <w:p w14:paraId="13D79A8F" w14:textId="77777777" w:rsidR="001838CB" w:rsidRDefault="001838CB" w:rsidP="00C32B9A">
            <w:pPr>
              <w:pStyle w:val="Tabletext"/>
              <w:spacing w:before="840"/>
            </w:pPr>
            <w:r>
              <w:t>Commonwealth</w:t>
            </w:r>
          </w:p>
          <w:p w14:paraId="3114EF3C" w14:textId="77777777" w:rsidR="001838CB" w:rsidRDefault="001838CB" w:rsidP="00C32B9A">
            <w:pPr>
              <w:pStyle w:val="Tabletext"/>
              <w:spacing w:before="480"/>
            </w:pPr>
            <w:r>
              <w:t>Commonwealth</w:t>
            </w:r>
          </w:p>
          <w:p w14:paraId="7A51F564" w14:textId="77777777" w:rsidR="001838CB" w:rsidRDefault="001838CB" w:rsidP="00C32B9A">
            <w:pPr>
              <w:pStyle w:val="Tabletext"/>
              <w:spacing w:before="620"/>
            </w:pPr>
            <w:r>
              <w:lastRenderedPageBreak/>
              <w:t>TAS, QLD</w:t>
            </w:r>
          </w:p>
          <w:p w14:paraId="70A3B688" w14:textId="77777777" w:rsidR="001838CB" w:rsidRDefault="001838CB" w:rsidP="00205C35">
            <w:pPr>
              <w:pStyle w:val="Tabletext"/>
              <w:spacing w:before="420"/>
            </w:pPr>
            <w:r>
              <w:t>ARPANSA (QLD Support)</w:t>
            </w:r>
          </w:p>
          <w:p w14:paraId="030DEFF0" w14:textId="77777777" w:rsidR="001838CB" w:rsidRDefault="001838CB" w:rsidP="00C32B9A">
            <w:pPr>
              <w:pStyle w:val="Tabletext"/>
              <w:spacing w:before="360"/>
            </w:pPr>
            <w:r>
              <w:t>NT</w:t>
            </w:r>
          </w:p>
          <w:p w14:paraId="3EB80C70" w14:textId="0D50DE68" w:rsidR="001838CB" w:rsidRDefault="001838CB" w:rsidP="00205C35">
            <w:pPr>
              <w:pStyle w:val="Tabletext"/>
              <w:spacing w:before="360"/>
            </w:pPr>
            <w:r>
              <w:t>ARPANSA</w:t>
            </w:r>
          </w:p>
        </w:tc>
        <w:tc>
          <w:tcPr>
            <w:tcW w:w="2075" w:type="dxa"/>
          </w:tcPr>
          <w:p w14:paraId="35C2075E" w14:textId="77777777" w:rsidR="001838CB" w:rsidRDefault="001838CB" w:rsidP="00BA7FB6">
            <w:pPr>
              <w:jc w:val="center"/>
            </w:pPr>
            <w:r>
              <w:lastRenderedPageBreak/>
              <w:t>Ongoing, 2024-2027</w:t>
            </w:r>
          </w:p>
        </w:tc>
      </w:tr>
      <w:tr w:rsidR="001838CB" w14:paraId="1442A43E" w14:textId="77777777" w:rsidTr="00185FF0">
        <w:trPr>
          <w:trHeight w:val="81"/>
        </w:trPr>
        <w:tc>
          <w:tcPr>
            <w:tcW w:w="9016" w:type="dxa"/>
            <w:gridSpan w:val="4"/>
            <w:shd w:val="clear" w:color="auto" w:fill="D9E2F3" w:themeFill="accent1" w:themeFillTint="33"/>
          </w:tcPr>
          <w:p w14:paraId="223CDEF8" w14:textId="77777777" w:rsidR="001838CB" w:rsidRPr="009E7E2D" w:rsidRDefault="001838CB" w:rsidP="00BA7FB6">
            <w:pPr>
              <w:rPr>
                <w:b/>
                <w:bCs/>
              </w:rPr>
            </w:pPr>
            <w:r w:rsidRPr="009E7E2D">
              <w:t>Other Projects</w:t>
            </w:r>
            <w:r>
              <w:t>/Tasks</w:t>
            </w:r>
          </w:p>
        </w:tc>
      </w:tr>
      <w:tr w:rsidR="001838CB" w14:paraId="34DC1319" w14:textId="77777777" w:rsidTr="00185FF0">
        <w:trPr>
          <w:trHeight w:val="81"/>
        </w:trPr>
        <w:tc>
          <w:tcPr>
            <w:tcW w:w="3397" w:type="dxa"/>
          </w:tcPr>
          <w:p w14:paraId="5BA39153" w14:textId="77777777" w:rsidR="001838CB" w:rsidRPr="00C32B9A" w:rsidRDefault="001838CB" w:rsidP="00C32B9A">
            <w:r w:rsidRPr="00C32B9A">
              <w:t>National Approach to Environmental Health</w:t>
            </w:r>
          </w:p>
          <w:p w14:paraId="2D0AFCD6" w14:textId="77777777" w:rsidR="001838CB" w:rsidRPr="00C32B9A" w:rsidRDefault="001838CB" w:rsidP="00C32B9A">
            <w:pPr>
              <w:pStyle w:val="ListBullet"/>
            </w:pPr>
            <w:r w:rsidRPr="00C32B9A">
              <w:t>Possible areas to consider include national compliance management, consistent data and structure of services, and environmental health workforce approach</w:t>
            </w:r>
          </w:p>
        </w:tc>
        <w:tc>
          <w:tcPr>
            <w:tcW w:w="1276" w:type="dxa"/>
          </w:tcPr>
          <w:p w14:paraId="199275DC" w14:textId="77777777" w:rsidR="001838CB" w:rsidRDefault="001838CB" w:rsidP="00BA7FB6">
            <w:pPr>
              <w:jc w:val="center"/>
            </w:pPr>
            <w:r>
              <w:t>A-E</w:t>
            </w:r>
          </w:p>
        </w:tc>
        <w:tc>
          <w:tcPr>
            <w:tcW w:w="2268" w:type="dxa"/>
          </w:tcPr>
          <w:p w14:paraId="0369C4DA" w14:textId="77777777" w:rsidR="001838CB" w:rsidRDefault="001838CB" w:rsidP="00205C35">
            <w:pPr>
              <w:pStyle w:val="Tabletext"/>
              <w:spacing w:before="720"/>
            </w:pPr>
            <w:r>
              <w:t>Commonwealth</w:t>
            </w:r>
          </w:p>
        </w:tc>
        <w:tc>
          <w:tcPr>
            <w:tcW w:w="2075" w:type="dxa"/>
          </w:tcPr>
          <w:p w14:paraId="0BB188DC" w14:textId="77777777" w:rsidR="001838CB" w:rsidRDefault="001838CB" w:rsidP="00BA7FB6">
            <w:pPr>
              <w:jc w:val="center"/>
            </w:pPr>
            <w:r>
              <w:t>Ongoing, 2024-2027</w:t>
            </w:r>
          </w:p>
        </w:tc>
      </w:tr>
      <w:tr w:rsidR="001838CB" w14:paraId="2C9FEBBC" w14:textId="77777777" w:rsidTr="00185FF0">
        <w:trPr>
          <w:trHeight w:val="81"/>
        </w:trPr>
        <w:tc>
          <w:tcPr>
            <w:tcW w:w="3397" w:type="dxa"/>
          </w:tcPr>
          <w:p w14:paraId="79D5823E" w14:textId="77777777" w:rsidR="001838CB" w:rsidRPr="00C32B9A" w:rsidRDefault="001838CB" w:rsidP="00C32B9A">
            <w:r w:rsidRPr="00C32B9A">
              <w:t>Community Engagement and Risk Communication Project</w:t>
            </w:r>
          </w:p>
          <w:p w14:paraId="0EF26E67" w14:textId="77777777" w:rsidR="001838CB" w:rsidRPr="00C32B9A" w:rsidRDefault="001838CB" w:rsidP="00C32B9A">
            <w:pPr>
              <w:pStyle w:val="ListBullet"/>
            </w:pPr>
            <w:r w:rsidRPr="00C32B9A">
              <w:t>Continued development and implementation of Risk Communication Assessment Tool</w:t>
            </w:r>
          </w:p>
          <w:p w14:paraId="05820BDC" w14:textId="77777777" w:rsidR="001838CB" w:rsidRPr="000B555E" w:rsidRDefault="001838CB" w:rsidP="00C32B9A">
            <w:pPr>
              <w:pStyle w:val="ListBullet"/>
              <w:rPr>
                <w:b/>
                <w:bCs/>
              </w:rPr>
            </w:pPr>
            <w:r w:rsidRPr="00C32B9A">
              <w:t>Testing workshops</w:t>
            </w:r>
          </w:p>
        </w:tc>
        <w:tc>
          <w:tcPr>
            <w:tcW w:w="1276" w:type="dxa"/>
          </w:tcPr>
          <w:p w14:paraId="690DB15D" w14:textId="77777777" w:rsidR="001838CB" w:rsidRDefault="001838CB" w:rsidP="00BA7FB6">
            <w:pPr>
              <w:jc w:val="center"/>
            </w:pPr>
            <w:r>
              <w:t>C</w:t>
            </w:r>
          </w:p>
        </w:tc>
        <w:tc>
          <w:tcPr>
            <w:tcW w:w="2268" w:type="dxa"/>
          </w:tcPr>
          <w:p w14:paraId="7D5C6272" w14:textId="77777777" w:rsidR="001838CB" w:rsidRDefault="001838CB" w:rsidP="00205C35">
            <w:pPr>
              <w:pStyle w:val="Tabletext"/>
              <w:spacing w:before="720"/>
            </w:pPr>
            <w:r>
              <w:t>enHealth Risk Communication Working Group (VIC)</w:t>
            </w:r>
          </w:p>
        </w:tc>
        <w:tc>
          <w:tcPr>
            <w:tcW w:w="2075" w:type="dxa"/>
          </w:tcPr>
          <w:p w14:paraId="5C39B349" w14:textId="77777777" w:rsidR="001838CB" w:rsidRDefault="001838CB" w:rsidP="00BA7FB6">
            <w:pPr>
              <w:jc w:val="center"/>
            </w:pPr>
            <w:r>
              <w:t>2024-2025</w:t>
            </w:r>
          </w:p>
        </w:tc>
      </w:tr>
      <w:tr w:rsidR="001838CB" w14:paraId="7CC46728" w14:textId="77777777" w:rsidTr="00185FF0">
        <w:trPr>
          <w:trHeight w:val="81"/>
        </w:trPr>
        <w:tc>
          <w:tcPr>
            <w:tcW w:w="3397" w:type="dxa"/>
          </w:tcPr>
          <w:p w14:paraId="0E235A93" w14:textId="77777777" w:rsidR="001838CB" w:rsidRPr="00C32B9A" w:rsidRDefault="001838CB" w:rsidP="00C32B9A">
            <w:r w:rsidRPr="00C32B9A">
              <w:t>Continued engagement with Expert Reference Panels and stakeholders:</w:t>
            </w:r>
          </w:p>
          <w:p w14:paraId="7D56739E" w14:textId="77777777" w:rsidR="001838CB" w:rsidRPr="00C32B9A" w:rsidRDefault="001838CB" w:rsidP="00C32B9A">
            <w:pPr>
              <w:pStyle w:val="ListBullet"/>
            </w:pPr>
            <w:r w:rsidRPr="00C32B9A">
              <w:t xml:space="preserve">Aboriginal and Torres Strait Islander Environmental Health </w:t>
            </w:r>
          </w:p>
          <w:p w14:paraId="789E79C5" w14:textId="77777777" w:rsidR="001838CB" w:rsidRPr="00C32B9A" w:rsidRDefault="001838CB" w:rsidP="00C32B9A">
            <w:pPr>
              <w:pStyle w:val="ListBullet"/>
            </w:pPr>
            <w:r w:rsidRPr="00C32B9A">
              <w:t>Per- and poly-fluoroalkyl substances (PFAS) in various exposure settings</w:t>
            </w:r>
          </w:p>
          <w:p w14:paraId="72B260B1" w14:textId="77777777" w:rsidR="001838CB" w:rsidRPr="00E478C6" w:rsidRDefault="001838CB" w:rsidP="00C32B9A">
            <w:pPr>
              <w:pStyle w:val="ListBullet"/>
            </w:pPr>
            <w:r w:rsidRPr="00C32B9A">
              <w:lastRenderedPageBreak/>
              <w:t>Heat stress and building codes</w:t>
            </w:r>
          </w:p>
        </w:tc>
        <w:tc>
          <w:tcPr>
            <w:tcW w:w="1276" w:type="dxa"/>
          </w:tcPr>
          <w:p w14:paraId="40345652" w14:textId="77777777" w:rsidR="001838CB" w:rsidRDefault="001838CB" w:rsidP="00BA7FB6">
            <w:pPr>
              <w:jc w:val="center"/>
            </w:pPr>
            <w:r>
              <w:lastRenderedPageBreak/>
              <w:t>A, C</w:t>
            </w:r>
          </w:p>
        </w:tc>
        <w:tc>
          <w:tcPr>
            <w:tcW w:w="2268" w:type="dxa"/>
          </w:tcPr>
          <w:p w14:paraId="357DC237" w14:textId="77777777" w:rsidR="001838CB" w:rsidRDefault="001838CB" w:rsidP="00205C35">
            <w:pPr>
              <w:pStyle w:val="Tabletext"/>
              <w:spacing w:before="720"/>
            </w:pPr>
            <w:r>
              <w:t>All</w:t>
            </w:r>
          </w:p>
          <w:p w14:paraId="34907D84" w14:textId="77777777" w:rsidR="001838CB" w:rsidRDefault="001838CB" w:rsidP="00205C35">
            <w:pPr>
              <w:pStyle w:val="Tabletext"/>
              <w:spacing w:before="360"/>
            </w:pPr>
            <w:r>
              <w:t>Commonwealth</w:t>
            </w:r>
          </w:p>
          <w:p w14:paraId="59393DC0" w14:textId="7270F360" w:rsidR="001838CB" w:rsidRDefault="001838CB" w:rsidP="00205C35">
            <w:pPr>
              <w:pStyle w:val="Tabletext"/>
              <w:spacing w:before="360"/>
            </w:pPr>
            <w:r>
              <w:t>NSW</w:t>
            </w:r>
          </w:p>
        </w:tc>
        <w:tc>
          <w:tcPr>
            <w:tcW w:w="2075" w:type="dxa"/>
          </w:tcPr>
          <w:p w14:paraId="0402DC27" w14:textId="77777777" w:rsidR="001838CB" w:rsidRDefault="001838CB" w:rsidP="00BA7FB6">
            <w:pPr>
              <w:jc w:val="center"/>
            </w:pPr>
            <w:r>
              <w:t>Ongoing, 2024-2027</w:t>
            </w:r>
          </w:p>
        </w:tc>
      </w:tr>
    </w:tbl>
    <w:p w14:paraId="11034EA2" w14:textId="77777777" w:rsidR="001838CB" w:rsidRDefault="001838CB" w:rsidP="00C32B9A">
      <w:pPr>
        <w:pStyle w:val="Heading1"/>
      </w:pPr>
      <w:bookmarkStart w:id="5" w:name="_Toc170982261"/>
      <w:r w:rsidRPr="00E478C6">
        <w:t xml:space="preserve">Priorities managed </w:t>
      </w:r>
      <w:r>
        <w:t>by Expert Reference Panels and key stakeholders</w:t>
      </w:r>
      <w:bookmarkEnd w:id="5"/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3397"/>
        <w:gridCol w:w="1276"/>
        <w:gridCol w:w="2268"/>
        <w:gridCol w:w="2075"/>
      </w:tblGrid>
      <w:tr w:rsidR="001838CB" w:rsidRPr="00E245A3" w14:paraId="05CDD3AD" w14:textId="77777777" w:rsidTr="0018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tblHeader/>
        </w:trPr>
        <w:tc>
          <w:tcPr>
            <w:tcW w:w="3397" w:type="dxa"/>
            <w:vAlign w:val="center"/>
          </w:tcPr>
          <w:p w14:paraId="46EC4CF5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>
              <w:t>Project/Task</w:t>
            </w:r>
          </w:p>
        </w:tc>
        <w:tc>
          <w:tcPr>
            <w:tcW w:w="1276" w:type="dxa"/>
            <w:vAlign w:val="center"/>
          </w:tcPr>
          <w:p w14:paraId="72511E01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 w:rsidRPr="00A832B9">
              <w:t>Key Focus Area/s</w:t>
            </w:r>
            <w:r>
              <w:t>*</w:t>
            </w:r>
          </w:p>
        </w:tc>
        <w:tc>
          <w:tcPr>
            <w:tcW w:w="2268" w:type="dxa"/>
            <w:vAlign w:val="center"/>
          </w:tcPr>
          <w:p w14:paraId="2CF905C0" w14:textId="77777777" w:rsidR="001838CB" w:rsidRPr="00E245A3" w:rsidRDefault="001838CB" w:rsidP="00BA7FB6">
            <w:pPr>
              <w:jc w:val="center"/>
              <w:rPr>
                <w:b w:val="0"/>
                <w:bCs w:val="0"/>
              </w:rPr>
            </w:pPr>
            <w:r>
              <w:t>Lead/s</w:t>
            </w:r>
          </w:p>
        </w:tc>
        <w:tc>
          <w:tcPr>
            <w:tcW w:w="2075" w:type="dxa"/>
          </w:tcPr>
          <w:p w14:paraId="685E541D" w14:textId="77777777" w:rsidR="001838CB" w:rsidRPr="00E245A3" w:rsidRDefault="001838CB" w:rsidP="00BA7FB6">
            <w:pPr>
              <w:jc w:val="center"/>
            </w:pPr>
            <w:r>
              <w:t>Timeframe</w:t>
            </w:r>
          </w:p>
        </w:tc>
      </w:tr>
      <w:tr w:rsidR="001838CB" w:rsidRPr="00AE4077" w14:paraId="23295980" w14:textId="77777777" w:rsidTr="00185FF0">
        <w:tc>
          <w:tcPr>
            <w:tcW w:w="9016" w:type="dxa"/>
            <w:gridSpan w:val="4"/>
            <w:shd w:val="clear" w:color="auto" w:fill="D9E2F3" w:themeFill="accent1" w:themeFillTint="33"/>
          </w:tcPr>
          <w:p w14:paraId="443E3FFB" w14:textId="77777777" w:rsidR="001838CB" w:rsidRPr="00AE4077" w:rsidRDefault="001838CB" w:rsidP="00BA7FB6">
            <w:pPr>
              <w:rPr>
                <w:b/>
                <w:bCs/>
              </w:rPr>
            </w:pPr>
            <w:r>
              <w:t>Guidelines</w:t>
            </w:r>
          </w:p>
        </w:tc>
      </w:tr>
      <w:tr w:rsidR="001838CB" w14:paraId="52404C01" w14:textId="77777777" w:rsidTr="00185FF0">
        <w:trPr>
          <w:trHeight w:val="81"/>
        </w:trPr>
        <w:tc>
          <w:tcPr>
            <w:tcW w:w="3397" w:type="dxa"/>
          </w:tcPr>
          <w:p w14:paraId="045B4AC3" w14:textId="77777777" w:rsidR="001838CB" w:rsidRPr="00C32B9A" w:rsidRDefault="001838CB" w:rsidP="00C32B9A">
            <w:r w:rsidRPr="00C32B9A">
              <w:t>Guidance updates and maintenance</w:t>
            </w:r>
          </w:p>
          <w:p w14:paraId="3D4FC45A" w14:textId="77777777" w:rsidR="001838CB" w:rsidRPr="00C32B9A" w:rsidRDefault="001838CB" w:rsidP="00C32B9A">
            <w:pPr>
              <w:pStyle w:val="ListBullet"/>
            </w:pPr>
            <w:r w:rsidRPr="00C32B9A">
              <w:t xml:space="preserve">Australian Guidelines for Water Recycling </w:t>
            </w:r>
          </w:p>
          <w:p w14:paraId="382C7C4C" w14:textId="77777777" w:rsidR="001838CB" w:rsidRPr="00C32B9A" w:rsidRDefault="001838CB" w:rsidP="00C32B9A">
            <w:pPr>
              <w:pStyle w:val="ListBullet"/>
            </w:pPr>
            <w:r w:rsidRPr="00C32B9A">
              <w:t>Environmental Health Risk Assessment (pending funding)</w:t>
            </w:r>
          </w:p>
          <w:p w14:paraId="1DA95404" w14:textId="77777777" w:rsidR="001838CB" w:rsidRPr="00C32B9A" w:rsidRDefault="001838CB" w:rsidP="00C32B9A">
            <w:pPr>
              <w:pStyle w:val="ListBullet"/>
            </w:pPr>
            <w:r w:rsidRPr="00C32B9A">
              <w:t>Australian Exposure Factor Guide (pending funding)</w:t>
            </w:r>
          </w:p>
          <w:p w14:paraId="0408E038" w14:textId="77777777" w:rsidR="001838CB" w:rsidRPr="00AE4077" w:rsidRDefault="001838CB" w:rsidP="00C32B9A">
            <w:pPr>
              <w:pStyle w:val="ListBullet"/>
              <w:rPr>
                <w:b/>
                <w:bCs/>
              </w:rPr>
            </w:pPr>
            <w:r w:rsidRPr="00C32B9A">
              <w:t>Guidance on the use of Rainwater Tanks</w:t>
            </w:r>
          </w:p>
        </w:tc>
        <w:tc>
          <w:tcPr>
            <w:tcW w:w="1276" w:type="dxa"/>
          </w:tcPr>
          <w:p w14:paraId="638E71C0" w14:textId="77777777" w:rsidR="001838CB" w:rsidRDefault="001838CB" w:rsidP="00BA7FB6">
            <w:pPr>
              <w:jc w:val="center"/>
            </w:pPr>
            <w:r>
              <w:t>C, E</w:t>
            </w:r>
          </w:p>
        </w:tc>
        <w:tc>
          <w:tcPr>
            <w:tcW w:w="2268" w:type="dxa"/>
          </w:tcPr>
          <w:p w14:paraId="24824248" w14:textId="77777777" w:rsidR="001838CB" w:rsidRDefault="001838CB" w:rsidP="00205C35">
            <w:pPr>
              <w:pStyle w:val="Tabletext"/>
              <w:spacing w:before="840"/>
            </w:pPr>
            <w:r>
              <w:t>NHMRC/WQERP (SA)</w:t>
            </w:r>
          </w:p>
          <w:p w14:paraId="34357A41" w14:textId="3C9B8553" w:rsidR="001838CB" w:rsidRDefault="001838CB" w:rsidP="00205C35">
            <w:pPr>
              <w:pStyle w:val="Tabletext"/>
            </w:pPr>
            <w:r>
              <w:t>ERPEH</w:t>
            </w:r>
          </w:p>
          <w:p w14:paraId="029FEF00" w14:textId="77777777" w:rsidR="001838CB" w:rsidRDefault="001838CB" w:rsidP="00205C35">
            <w:pPr>
              <w:pStyle w:val="Tabletext"/>
            </w:pPr>
            <w:r>
              <w:t>ERPEH</w:t>
            </w:r>
          </w:p>
          <w:p w14:paraId="46A418DD" w14:textId="7C09B2CE" w:rsidR="001838CB" w:rsidRDefault="001838CB" w:rsidP="00205C35">
            <w:pPr>
              <w:pStyle w:val="Tabletext"/>
              <w:spacing w:before="360"/>
            </w:pPr>
            <w:r>
              <w:t>WQERP (SA, TAS, VIC)</w:t>
            </w:r>
          </w:p>
        </w:tc>
        <w:tc>
          <w:tcPr>
            <w:tcW w:w="2075" w:type="dxa"/>
          </w:tcPr>
          <w:p w14:paraId="205AB0E0" w14:textId="77777777" w:rsidR="001838CB" w:rsidRDefault="001838CB" w:rsidP="00BA7FB6">
            <w:pPr>
              <w:jc w:val="center"/>
            </w:pPr>
            <w:r>
              <w:t>Ongoing, 2024-2027</w:t>
            </w:r>
          </w:p>
        </w:tc>
      </w:tr>
    </w:tbl>
    <w:p w14:paraId="1CE6CE41" w14:textId="77777777" w:rsidR="001838CB" w:rsidRDefault="001838CB" w:rsidP="00185FF0">
      <w:pPr>
        <w:pStyle w:val="FootnoteText"/>
      </w:pPr>
      <w:r w:rsidRPr="00AC3D6F">
        <w:t>*Key focus areas</w:t>
      </w:r>
      <w:r>
        <w:t xml:space="preserve">: </w:t>
      </w:r>
      <w:r w:rsidRPr="00AC3D6F">
        <w:t>A</w:t>
      </w:r>
      <w:r>
        <w:t xml:space="preserve"> = </w:t>
      </w:r>
      <w:r w:rsidRPr="00AC3D6F">
        <w:t>Aboriginal and Torres Strait Islander Health</w:t>
      </w:r>
      <w:r>
        <w:t>,</w:t>
      </w:r>
      <w:r w:rsidRPr="00AC3D6F">
        <w:t xml:space="preserve"> B</w:t>
      </w:r>
      <w:r>
        <w:t xml:space="preserve"> = </w:t>
      </w:r>
      <w:r w:rsidRPr="00AC3D6F">
        <w:t>Air Quality</w:t>
      </w:r>
      <w:r>
        <w:t>,</w:t>
      </w:r>
      <w:r w:rsidRPr="00AC3D6F">
        <w:t xml:space="preserve"> C</w:t>
      </w:r>
      <w:r>
        <w:t xml:space="preserve"> = </w:t>
      </w:r>
      <w:r w:rsidRPr="00AC3D6F">
        <w:t>National Approach</w:t>
      </w:r>
      <w:r>
        <w:t>,</w:t>
      </w:r>
      <w:r w:rsidRPr="00AC3D6F">
        <w:t xml:space="preserve"> </w:t>
      </w:r>
      <w:r>
        <w:t xml:space="preserve">D = Radiation, E = </w:t>
      </w:r>
      <w:r w:rsidRPr="00AC3D6F">
        <w:t>Water Quality</w:t>
      </w:r>
    </w:p>
    <w:p w14:paraId="061F0D2D" w14:textId="3B0A59DA" w:rsidR="00E179C6" w:rsidRDefault="0022414B" w:rsidP="00C32B9A">
      <w:pPr>
        <w:pStyle w:val="Heading1"/>
      </w:pPr>
      <w:bookmarkStart w:id="6" w:name="_Toc170982262"/>
      <w:r>
        <w:t>Publications</w:t>
      </w:r>
      <w:bookmarkEnd w:id="6"/>
    </w:p>
    <w:p w14:paraId="4E4FEAEA" w14:textId="02DEDCC0" w:rsidR="006B1F20" w:rsidRDefault="00526562" w:rsidP="0022414B">
      <w:r>
        <w:t xml:space="preserve">Completed enHealth publications can be found at </w:t>
      </w:r>
      <w:hyperlink r:id="rId11" w:anchor="publications" w:history="1">
        <w:r w:rsidRPr="00526562">
          <w:rPr>
            <w:color w:val="0000FF"/>
            <w:u w:val="single"/>
          </w:rPr>
          <w:t>Environmental Health Standing Committee (enHealth) | Australian Government Department of Health and Aged Care</w:t>
        </w:r>
      </w:hyperlink>
      <w:r>
        <w:t>.</w:t>
      </w:r>
    </w:p>
    <w:p w14:paraId="35C3951B" w14:textId="3A26F056" w:rsidR="00BB2770" w:rsidRDefault="004E418A" w:rsidP="00AE4077">
      <w:r>
        <w:t xml:space="preserve">Electronic copies of older publications can be requested from the enHealth Secretariat at </w:t>
      </w:r>
      <w:hyperlink r:id="rId12" w:history="1">
        <w:r w:rsidRPr="00967C45">
          <w:rPr>
            <w:rStyle w:val="Hyperlink"/>
          </w:rPr>
          <w:t>enHealth.Secretariat@health.gov.au</w:t>
        </w:r>
      </w:hyperlink>
      <w:r>
        <w:t>.</w:t>
      </w:r>
    </w:p>
    <w:p w14:paraId="482F1166" w14:textId="45C4BB0F" w:rsidR="00BB2770" w:rsidRDefault="00BB2770" w:rsidP="00C32B9A">
      <w:pPr>
        <w:pStyle w:val="Heading1"/>
      </w:pPr>
      <w:bookmarkStart w:id="7" w:name="_Toc170982263"/>
      <w:r>
        <w:t>Acronyms</w:t>
      </w:r>
      <w:bookmarkEnd w:id="7"/>
    </w:p>
    <w:p w14:paraId="37CCF0AF" w14:textId="15B81F0F" w:rsidR="00BB2770" w:rsidRPr="00453EA7" w:rsidRDefault="00CD777B" w:rsidP="00BB2770">
      <w:r>
        <w:t>This document uses the following acronyms:</w:t>
      </w:r>
    </w:p>
    <w:tbl>
      <w:tblPr>
        <w:tblStyle w:val="GridTable1Light-Accent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B2770" w:rsidRPr="00E245A3" w14:paraId="356FC0BF" w14:textId="77777777" w:rsidTr="0018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78C1FB1" w14:textId="0A02420D" w:rsidR="00BB2770" w:rsidRPr="00E245A3" w:rsidRDefault="00BB2770" w:rsidP="0019734D">
            <w:pPr>
              <w:jc w:val="center"/>
              <w:rPr>
                <w:b w:val="0"/>
                <w:bCs w:val="0"/>
              </w:rPr>
            </w:pPr>
            <w:r>
              <w:t>Acronym</w:t>
            </w:r>
          </w:p>
        </w:tc>
        <w:tc>
          <w:tcPr>
            <w:tcW w:w="7371" w:type="dxa"/>
            <w:vAlign w:val="center"/>
          </w:tcPr>
          <w:p w14:paraId="05A8BD38" w14:textId="256FCCA0" w:rsidR="00BB2770" w:rsidRPr="00E245A3" w:rsidRDefault="00BB2770" w:rsidP="00197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Expanded</w:t>
            </w:r>
          </w:p>
        </w:tc>
      </w:tr>
      <w:tr w:rsidR="005209D9" w14:paraId="6F6C918D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C7CB00" w14:textId="035ADF5B" w:rsidR="005209D9" w:rsidRDefault="005209D9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ABCB</w:t>
            </w:r>
          </w:p>
        </w:tc>
        <w:tc>
          <w:tcPr>
            <w:tcW w:w="7371" w:type="dxa"/>
          </w:tcPr>
          <w:p w14:paraId="3EC38FB3" w14:textId="5B75AF9B" w:rsidR="005209D9" w:rsidRDefault="005209D9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Australian Building Codes Board</w:t>
            </w:r>
          </w:p>
        </w:tc>
      </w:tr>
      <w:tr w:rsidR="00DD2A7C" w14:paraId="0D39374C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7E4FA6" w14:textId="37F1DA78" w:rsidR="00DD2A7C" w:rsidRPr="00DD2A7C" w:rsidRDefault="00DD2A7C" w:rsidP="0019734D">
            <w:pPr>
              <w:rPr>
                <w:b/>
                <w:bCs w:val="0"/>
              </w:rPr>
            </w:pPr>
            <w:r w:rsidRPr="00DD2A7C">
              <w:rPr>
                <w:bCs w:val="0"/>
              </w:rPr>
              <w:t>ARPANSA</w:t>
            </w:r>
          </w:p>
        </w:tc>
        <w:tc>
          <w:tcPr>
            <w:tcW w:w="7371" w:type="dxa"/>
          </w:tcPr>
          <w:p w14:paraId="59C24761" w14:textId="1C5474DB" w:rsidR="00DD2A7C" w:rsidRDefault="00DD2A7C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Australian Radiation Protection and Nuclear Safety Agency</w:t>
            </w:r>
          </w:p>
        </w:tc>
      </w:tr>
      <w:tr w:rsidR="00CD777B" w14:paraId="4602B46C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FC9AE9" w14:textId="274DA3C2" w:rsidR="00CD777B" w:rsidRDefault="00CD777B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ASEA</w:t>
            </w:r>
          </w:p>
        </w:tc>
        <w:tc>
          <w:tcPr>
            <w:tcW w:w="7371" w:type="dxa"/>
          </w:tcPr>
          <w:p w14:paraId="1DCFBFED" w14:textId="329AD1E6" w:rsidR="00CD777B" w:rsidRPr="00BB2770" w:rsidRDefault="00CD777B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Asbestos Safety Eradication Agency</w:t>
            </w:r>
          </w:p>
        </w:tc>
      </w:tr>
      <w:tr w:rsidR="00CD777B" w14:paraId="092064F4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222DF3" w14:textId="463669DB" w:rsidR="00CD777B" w:rsidRDefault="00CD777B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enHealth</w:t>
            </w:r>
          </w:p>
        </w:tc>
        <w:tc>
          <w:tcPr>
            <w:tcW w:w="7371" w:type="dxa"/>
          </w:tcPr>
          <w:p w14:paraId="13499687" w14:textId="7ACAB9AC" w:rsidR="00CD777B" w:rsidRPr="00BB2770" w:rsidRDefault="00CD777B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Environmental Health Standing Committee</w:t>
            </w:r>
          </w:p>
        </w:tc>
      </w:tr>
      <w:tr w:rsidR="00CD777B" w14:paraId="11573A5C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9207EE" w14:textId="51F2F0A1" w:rsidR="00CD777B" w:rsidRDefault="00CD777B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lastRenderedPageBreak/>
              <w:t>ERPATSIEH</w:t>
            </w:r>
          </w:p>
        </w:tc>
        <w:tc>
          <w:tcPr>
            <w:tcW w:w="7371" w:type="dxa"/>
          </w:tcPr>
          <w:p w14:paraId="6446F5F9" w14:textId="60E17C8D" w:rsidR="00CD777B" w:rsidRPr="00CD777B" w:rsidRDefault="00CD777B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777B">
              <w:rPr>
                <w:szCs w:val="22"/>
              </w:rPr>
              <w:t>Expert Reference Panel on Aboriginal and Torres Strait Islander Environmental Health</w:t>
            </w:r>
          </w:p>
        </w:tc>
      </w:tr>
      <w:tr w:rsidR="00BB2770" w14:paraId="3946C0DE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ED4053" w14:textId="5A0600AD" w:rsidR="00BB2770" w:rsidRDefault="00BB2770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ERPEH</w:t>
            </w:r>
          </w:p>
        </w:tc>
        <w:tc>
          <w:tcPr>
            <w:tcW w:w="7371" w:type="dxa"/>
          </w:tcPr>
          <w:p w14:paraId="72C98D83" w14:textId="5AA9CDD1" w:rsidR="00BB2770" w:rsidRDefault="00BB2770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770">
              <w:rPr>
                <w:szCs w:val="22"/>
              </w:rPr>
              <w:t>Expert Reference Panel on Environmental Health</w:t>
            </w:r>
          </w:p>
        </w:tc>
      </w:tr>
      <w:tr w:rsidR="00DD2A7C" w14:paraId="6E152FCC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B57222" w14:textId="3DEAF3C7" w:rsidR="00DD2A7C" w:rsidRPr="00DD2A7C" w:rsidRDefault="00DD2A7C" w:rsidP="0019734D">
            <w:pPr>
              <w:rPr>
                <w:b/>
                <w:bCs w:val="0"/>
              </w:rPr>
            </w:pPr>
            <w:r w:rsidRPr="00DD2A7C">
              <w:rPr>
                <w:bCs w:val="0"/>
              </w:rPr>
              <w:t>NHMRC</w:t>
            </w:r>
          </w:p>
        </w:tc>
        <w:tc>
          <w:tcPr>
            <w:tcW w:w="7371" w:type="dxa"/>
          </w:tcPr>
          <w:p w14:paraId="3EE83A66" w14:textId="160AFE6F" w:rsidR="00DD2A7C" w:rsidRPr="00BB2770" w:rsidRDefault="00DD2A7C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National Health and Medical Research Council</w:t>
            </w:r>
          </w:p>
        </w:tc>
      </w:tr>
      <w:tr w:rsidR="00BB2770" w14:paraId="7FC16CA9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C9BF7F" w14:textId="51C4CB3E" w:rsidR="00BB2770" w:rsidRPr="00D80CF1" w:rsidRDefault="00BB2770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RHERP</w:t>
            </w:r>
          </w:p>
        </w:tc>
        <w:tc>
          <w:tcPr>
            <w:tcW w:w="7371" w:type="dxa"/>
          </w:tcPr>
          <w:p w14:paraId="63C460C6" w14:textId="42D9D70E" w:rsidR="00BB2770" w:rsidRDefault="00BB2770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Radiation Health Expert Reference Panel</w:t>
            </w:r>
          </w:p>
        </w:tc>
      </w:tr>
      <w:tr w:rsidR="00BB2770" w14:paraId="3947B2D8" w14:textId="77777777" w:rsidTr="00CD777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727C57" w14:textId="24499B04" w:rsidR="00BB2770" w:rsidRDefault="00CD777B" w:rsidP="0019734D">
            <w:pPr>
              <w:rPr>
                <w:b/>
                <w:bCs w:val="0"/>
              </w:rPr>
            </w:pPr>
            <w:r>
              <w:rPr>
                <w:bCs w:val="0"/>
              </w:rPr>
              <w:t>WQERP</w:t>
            </w:r>
          </w:p>
        </w:tc>
        <w:tc>
          <w:tcPr>
            <w:tcW w:w="7371" w:type="dxa"/>
          </w:tcPr>
          <w:p w14:paraId="5518F3A4" w14:textId="17EF258D" w:rsidR="00BB2770" w:rsidRPr="00BB2770" w:rsidRDefault="00CD777B" w:rsidP="00197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Water Quality Expert Reference Panel</w:t>
            </w:r>
          </w:p>
        </w:tc>
      </w:tr>
    </w:tbl>
    <w:p w14:paraId="66763C43" w14:textId="77777777" w:rsidR="00BB2770" w:rsidRPr="00BB2770" w:rsidRDefault="00BB2770" w:rsidP="00BB2770"/>
    <w:sectPr w:rsidR="00BB2770" w:rsidRPr="00BB2770" w:rsidSect="00453EA7">
      <w:headerReference w:type="first" r:id="rId13"/>
      <w:pgSz w:w="11906" w:h="16838"/>
      <w:pgMar w:top="1440" w:right="1440" w:bottom="1134" w:left="1440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1EAB" w14:textId="77777777" w:rsidR="003A07DB" w:rsidRDefault="003A07DB" w:rsidP="007E08E1">
      <w:pPr>
        <w:spacing w:after="0"/>
      </w:pPr>
      <w:r>
        <w:separator/>
      </w:r>
    </w:p>
  </w:endnote>
  <w:endnote w:type="continuationSeparator" w:id="0">
    <w:p w14:paraId="6E07F2B3" w14:textId="77777777" w:rsidR="003A07DB" w:rsidRDefault="003A07DB" w:rsidP="007E08E1">
      <w:pPr>
        <w:spacing w:after="0"/>
      </w:pPr>
      <w:r>
        <w:continuationSeparator/>
      </w:r>
    </w:p>
  </w:endnote>
  <w:endnote w:type="continuationNotice" w:id="1">
    <w:p w14:paraId="300BB1A3" w14:textId="77777777" w:rsidR="003A07DB" w:rsidRDefault="003A07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44A5" w14:textId="77777777" w:rsidR="003A07DB" w:rsidRDefault="003A07DB" w:rsidP="007E08E1">
      <w:pPr>
        <w:spacing w:after="0"/>
      </w:pPr>
      <w:r>
        <w:separator/>
      </w:r>
    </w:p>
  </w:footnote>
  <w:footnote w:type="continuationSeparator" w:id="0">
    <w:p w14:paraId="4E2E3A5B" w14:textId="77777777" w:rsidR="003A07DB" w:rsidRDefault="003A07DB" w:rsidP="007E08E1">
      <w:pPr>
        <w:spacing w:after="0"/>
      </w:pPr>
      <w:r>
        <w:continuationSeparator/>
      </w:r>
    </w:p>
  </w:footnote>
  <w:footnote w:type="continuationNotice" w:id="1">
    <w:p w14:paraId="2E75DB25" w14:textId="77777777" w:rsidR="003A07DB" w:rsidRDefault="003A07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57A" w14:textId="6D535A04" w:rsidR="00CC1860" w:rsidRDefault="00CC186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B12E49" wp14:editId="68D6AE32">
              <wp:simplePos x="0" y="0"/>
              <wp:positionH relativeFrom="margin">
                <wp:posOffset>-712381</wp:posOffset>
              </wp:positionH>
              <wp:positionV relativeFrom="margin">
                <wp:posOffset>-688739</wp:posOffset>
              </wp:positionV>
              <wp:extent cx="7038975" cy="10248900"/>
              <wp:effectExtent l="0" t="0" r="9525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38975" cy="10248900"/>
                      </a:xfrm>
                      <a:prstGeom prst="rect">
                        <a:avLst/>
                      </a:prstGeom>
                      <a:solidFill>
                        <a:srgbClr val="A5A5A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D3109D7" w14:textId="77777777" w:rsidR="00CC1860" w:rsidRPr="00CC1860" w:rsidRDefault="00CC1860" w:rsidP="00CC1860"/>
                      </w:txbxContent>
                    </wps:txbx>
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12E49" id="Rectangle 9" o:spid="_x0000_s1026" alt="&quot;&quot;" style="position:absolute;margin-left:-56.1pt;margin-top:-54.25pt;width:554.25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" fillcolor="#ededed" stroked="f" strokeweight="1pt">
              <v:textbox inset="21.6pt,,21.6pt">
                <w:txbxContent>
                  <w:p w14:paraId="4D3109D7" w14:textId="77777777" w:rsidR="00CC1860" w:rsidRPr="00CC1860" w:rsidRDefault="00CC1860" w:rsidP="00CC1860"/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36C4B4"/>
    <w:lvl w:ilvl="0">
      <w:start w:val="1"/>
      <w:numFmt w:val="lowerLetter"/>
      <w:pStyle w:val="ListNumber2"/>
      <w:lvlText w:val="%1."/>
      <w:lvlJc w:val="lef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9BA44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8886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96A75"/>
    <w:multiLevelType w:val="multilevel"/>
    <w:tmpl w:val="CAD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114F1E"/>
    <w:multiLevelType w:val="hybridMultilevel"/>
    <w:tmpl w:val="D0A270E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D61D8"/>
    <w:multiLevelType w:val="hybridMultilevel"/>
    <w:tmpl w:val="DC4A99F6"/>
    <w:lvl w:ilvl="0" w:tplc="FF60CC1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FCEC9EC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B1B8945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E3A85B6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EFD452E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F5FEB13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00564A1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D0DC0FB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0A3AB84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6" w15:restartNumberingAfterBreak="0">
    <w:nsid w:val="13443C05"/>
    <w:multiLevelType w:val="multilevel"/>
    <w:tmpl w:val="B83A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B3CA0"/>
    <w:multiLevelType w:val="multilevel"/>
    <w:tmpl w:val="F620C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824F6C"/>
    <w:multiLevelType w:val="hybridMultilevel"/>
    <w:tmpl w:val="D0CC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E7097"/>
    <w:multiLevelType w:val="hybridMultilevel"/>
    <w:tmpl w:val="62781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3C59"/>
    <w:multiLevelType w:val="hybridMultilevel"/>
    <w:tmpl w:val="A122F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10B9"/>
    <w:multiLevelType w:val="multilevel"/>
    <w:tmpl w:val="5D9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D78C6"/>
    <w:multiLevelType w:val="hybridMultilevel"/>
    <w:tmpl w:val="4DA2A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331A"/>
    <w:multiLevelType w:val="hybridMultilevel"/>
    <w:tmpl w:val="F620E054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F4275"/>
    <w:multiLevelType w:val="hybridMultilevel"/>
    <w:tmpl w:val="4656E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309AB"/>
    <w:multiLevelType w:val="hybridMultilevel"/>
    <w:tmpl w:val="31F02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B5FD2"/>
    <w:multiLevelType w:val="hybridMultilevel"/>
    <w:tmpl w:val="56AEE4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1C87"/>
    <w:multiLevelType w:val="hybridMultilevel"/>
    <w:tmpl w:val="62EE9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CA1"/>
    <w:multiLevelType w:val="hybridMultilevel"/>
    <w:tmpl w:val="6540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976DC"/>
    <w:multiLevelType w:val="hybridMultilevel"/>
    <w:tmpl w:val="511CF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14377">
    <w:abstractNumId w:val="13"/>
  </w:num>
  <w:num w:numId="2" w16cid:durableId="212541056">
    <w:abstractNumId w:val="4"/>
  </w:num>
  <w:num w:numId="3" w16cid:durableId="612178794">
    <w:abstractNumId w:val="3"/>
  </w:num>
  <w:num w:numId="4" w16cid:durableId="1144346467">
    <w:abstractNumId w:val="6"/>
  </w:num>
  <w:num w:numId="5" w16cid:durableId="100688247">
    <w:abstractNumId w:val="7"/>
  </w:num>
  <w:num w:numId="6" w16cid:durableId="1176387252">
    <w:abstractNumId w:val="11"/>
  </w:num>
  <w:num w:numId="7" w16cid:durableId="1357198081">
    <w:abstractNumId w:val="19"/>
  </w:num>
  <w:num w:numId="8" w16cid:durableId="1589315631">
    <w:abstractNumId w:val="16"/>
  </w:num>
  <w:num w:numId="9" w16cid:durableId="77873171">
    <w:abstractNumId w:val="15"/>
  </w:num>
  <w:num w:numId="10" w16cid:durableId="125127091">
    <w:abstractNumId w:val="8"/>
  </w:num>
  <w:num w:numId="11" w16cid:durableId="3020009">
    <w:abstractNumId w:val="17"/>
  </w:num>
  <w:num w:numId="12" w16cid:durableId="430007092">
    <w:abstractNumId w:val="9"/>
  </w:num>
  <w:num w:numId="13" w16cid:durableId="1986885764">
    <w:abstractNumId w:val="14"/>
  </w:num>
  <w:num w:numId="14" w16cid:durableId="11342724">
    <w:abstractNumId w:val="5"/>
  </w:num>
  <w:num w:numId="15" w16cid:durableId="27880329">
    <w:abstractNumId w:val="12"/>
  </w:num>
  <w:num w:numId="16" w16cid:durableId="1798989197">
    <w:abstractNumId w:val="10"/>
  </w:num>
  <w:num w:numId="17" w16cid:durableId="1738363187">
    <w:abstractNumId w:val="18"/>
  </w:num>
  <w:num w:numId="18" w16cid:durableId="1109395632">
    <w:abstractNumId w:val="2"/>
  </w:num>
  <w:num w:numId="19" w16cid:durableId="51587863">
    <w:abstractNumId w:val="1"/>
  </w:num>
  <w:num w:numId="20" w16cid:durableId="134200165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8D"/>
    <w:rsid w:val="000000C3"/>
    <w:rsid w:val="00001146"/>
    <w:rsid w:val="0000679F"/>
    <w:rsid w:val="00010E56"/>
    <w:rsid w:val="00011597"/>
    <w:rsid w:val="00011E06"/>
    <w:rsid w:val="0001266C"/>
    <w:rsid w:val="00012E4F"/>
    <w:rsid w:val="0001352E"/>
    <w:rsid w:val="0001557C"/>
    <w:rsid w:val="00015BAC"/>
    <w:rsid w:val="00016B09"/>
    <w:rsid w:val="00020723"/>
    <w:rsid w:val="000242A9"/>
    <w:rsid w:val="00025203"/>
    <w:rsid w:val="0002688E"/>
    <w:rsid w:val="00026C69"/>
    <w:rsid w:val="0002756A"/>
    <w:rsid w:val="000327FC"/>
    <w:rsid w:val="000343B7"/>
    <w:rsid w:val="00037AAF"/>
    <w:rsid w:val="00040565"/>
    <w:rsid w:val="00041081"/>
    <w:rsid w:val="0004246B"/>
    <w:rsid w:val="00042FBD"/>
    <w:rsid w:val="00043048"/>
    <w:rsid w:val="0004471F"/>
    <w:rsid w:val="0004689B"/>
    <w:rsid w:val="0005277F"/>
    <w:rsid w:val="000540F6"/>
    <w:rsid w:val="00055F53"/>
    <w:rsid w:val="00063561"/>
    <w:rsid w:val="00064EAC"/>
    <w:rsid w:val="00071E89"/>
    <w:rsid w:val="00072040"/>
    <w:rsid w:val="00072160"/>
    <w:rsid w:val="000730CE"/>
    <w:rsid w:val="000754DB"/>
    <w:rsid w:val="000844EE"/>
    <w:rsid w:val="000850B0"/>
    <w:rsid w:val="00085501"/>
    <w:rsid w:val="000867CA"/>
    <w:rsid w:val="00086CE9"/>
    <w:rsid w:val="00087252"/>
    <w:rsid w:val="000876A9"/>
    <w:rsid w:val="00090C33"/>
    <w:rsid w:val="00093F29"/>
    <w:rsid w:val="00095173"/>
    <w:rsid w:val="00095D8D"/>
    <w:rsid w:val="000960AA"/>
    <w:rsid w:val="00096864"/>
    <w:rsid w:val="000A00E1"/>
    <w:rsid w:val="000A025A"/>
    <w:rsid w:val="000A06E6"/>
    <w:rsid w:val="000A1010"/>
    <w:rsid w:val="000A12B3"/>
    <w:rsid w:val="000A1C47"/>
    <w:rsid w:val="000A1E05"/>
    <w:rsid w:val="000A2E83"/>
    <w:rsid w:val="000A62DF"/>
    <w:rsid w:val="000A6569"/>
    <w:rsid w:val="000B0357"/>
    <w:rsid w:val="000B555E"/>
    <w:rsid w:val="000B5A1E"/>
    <w:rsid w:val="000B5C36"/>
    <w:rsid w:val="000B70C2"/>
    <w:rsid w:val="000B72E2"/>
    <w:rsid w:val="000C0269"/>
    <w:rsid w:val="000C09A7"/>
    <w:rsid w:val="000C1E47"/>
    <w:rsid w:val="000C324A"/>
    <w:rsid w:val="000C52A4"/>
    <w:rsid w:val="000D3AA1"/>
    <w:rsid w:val="000D7C36"/>
    <w:rsid w:val="000E1505"/>
    <w:rsid w:val="000E22B3"/>
    <w:rsid w:val="000E5122"/>
    <w:rsid w:val="000F040C"/>
    <w:rsid w:val="000F06C3"/>
    <w:rsid w:val="000F073B"/>
    <w:rsid w:val="000F2153"/>
    <w:rsid w:val="000F4CED"/>
    <w:rsid w:val="000F5AEE"/>
    <w:rsid w:val="000F665D"/>
    <w:rsid w:val="000F79B2"/>
    <w:rsid w:val="001009A8"/>
    <w:rsid w:val="00101537"/>
    <w:rsid w:val="00101CCE"/>
    <w:rsid w:val="00102A16"/>
    <w:rsid w:val="00105812"/>
    <w:rsid w:val="00110315"/>
    <w:rsid w:val="00111319"/>
    <w:rsid w:val="00114F8D"/>
    <w:rsid w:val="00125F79"/>
    <w:rsid w:val="00126FE7"/>
    <w:rsid w:val="00127F37"/>
    <w:rsid w:val="00133818"/>
    <w:rsid w:val="00133E2D"/>
    <w:rsid w:val="00137F6B"/>
    <w:rsid w:val="00140245"/>
    <w:rsid w:val="001423A8"/>
    <w:rsid w:val="001433D6"/>
    <w:rsid w:val="00145FE1"/>
    <w:rsid w:val="00147A30"/>
    <w:rsid w:val="0015167A"/>
    <w:rsid w:val="00152B5F"/>
    <w:rsid w:val="001549C5"/>
    <w:rsid w:val="00156A0B"/>
    <w:rsid w:val="00157AAC"/>
    <w:rsid w:val="00157EDA"/>
    <w:rsid w:val="00176F02"/>
    <w:rsid w:val="00177CE5"/>
    <w:rsid w:val="00180C51"/>
    <w:rsid w:val="001819E3"/>
    <w:rsid w:val="001827A4"/>
    <w:rsid w:val="001838CB"/>
    <w:rsid w:val="00183F04"/>
    <w:rsid w:val="00184048"/>
    <w:rsid w:val="0018584F"/>
    <w:rsid w:val="00185D47"/>
    <w:rsid w:val="00185DA3"/>
    <w:rsid w:val="00185FF0"/>
    <w:rsid w:val="00192E35"/>
    <w:rsid w:val="001A6654"/>
    <w:rsid w:val="001B57A1"/>
    <w:rsid w:val="001B7842"/>
    <w:rsid w:val="001B7D96"/>
    <w:rsid w:val="001C0D3C"/>
    <w:rsid w:val="001C291D"/>
    <w:rsid w:val="001C38DA"/>
    <w:rsid w:val="001C5857"/>
    <w:rsid w:val="001C5A86"/>
    <w:rsid w:val="001C7AB8"/>
    <w:rsid w:val="001D22E3"/>
    <w:rsid w:val="001D5255"/>
    <w:rsid w:val="001D7467"/>
    <w:rsid w:val="001E0736"/>
    <w:rsid w:val="001E138C"/>
    <w:rsid w:val="001E204F"/>
    <w:rsid w:val="001E4134"/>
    <w:rsid w:val="001F7BD2"/>
    <w:rsid w:val="0020425E"/>
    <w:rsid w:val="002045E8"/>
    <w:rsid w:val="00205C35"/>
    <w:rsid w:val="00206D0B"/>
    <w:rsid w:val="00207E56"/>
    <w:rsid w:val="00210D14"/>
    <w:rsid w:val="00211807"/>
    <w:rsid w:val="00212461"/>
    <w:rsid w:val="002168FA"/>
    <w:rsid w:val="0021781C"/>
    <w:rsid w:val="002221A6"/>
    <w:rsid w:val="0022227C"/>
    <w:rsid w:val="00222A03"/>
    <w:rsid w:val="00223ECD"/>
    <w:rsid w:val="0022414B"/>
    <w:rsid w:val="00226FA6"/>
    <w:rsid w:val="002272C4"/>
    <w:rsid w:val="00230F10"/>
    <w:rsid w:val="00231690"/>
    <w:rsid w:val="002316E4"/>
    <w:rsid w:val="0023306A"/>
    <w:rsid w:val="00237665"/>
    <w:rsid w:val="002378BA"/>
    <w:rsid w:val="00240AEC"/>
    <w:rsid w:val="0024130A"/>
    <w:rsid w:val="00241643"/>
    <w:rsid w:val="002428BD"/>
    <w:rsid w:val="0024366C"/>
    <w:rsid w:val="00250FFA"/>
    <w:rsid w:val="00253C78"/>
    <w:rsid w:val="0025508F"/>
    <w:rsid w:val="00256BE0"/>
    <w:rsid w:val="0025727E"/>
    <w:rsid w:val="002574F4"/>
    <w:rsid w:val="0026233C"/>
    <w:rsid w:val="002626CA"/>
    <w:rsid w:val="002629CA"/>
    <w:rsid w:val="002659F5"/>
    <w:rsid w:val="0027790A"/>
    <w:rsid w:val="00277EA8"/>
    <w:rsid w:val="00280523"/>
    <w:rsid w:val="002806B6"/>
    <w:rsid w:val="00283871"/>
    <w:rsid w:val="00287B7D"/>
    <w:rsid w:val="00290482"/>
    <w:rsid w:val="00292AF7"/>
    <w:rsid w:val="00296E25"/>
    <w:rsid w:val="00297011"/>
    <w:rsid w:val="002A3CCA"/>
    <w:rsid w:val="002A481F"/>
    <w:rsid w:val="002A6FB6"/>
    <w:rsid w:val="002A78D9"/>
    <w:rsid w:val="002B18F9"/>
    <w:rsid w:val="002B1DFF"/>
    <w:rsid w:val="002B7142"/>
    <w:rsid w:val="002C01E4"/>
    <w:rsid w:val="002C07DE"/>
    <w:rsid w:val="002C1FF9"/>
    <w:rsid w:val="002C55E6"/>
    <w:rsid w:val="002C620C"/>
    <w:rsid w:val="002C6C16"/>
    <w:rsid w:val="002C7651"/>
    <w:rsid w:val="002D0C06"/>
    <w:rsid w:val="002D3BD8"/>
    <w:rsid w:val="002D51E9"/>
    <w:rsid w:val="002D6D25"/>
    <w:rsid w:val="002E171F"/>
    <w:rsid w:val="002E2DB6"/>
    <w:rsid w:val="002E5749"/>
    <w:rsid w:val="002E5F7A"/>
    <w:rsid w:val="002F111D"/>
    <w:rsid w:val="002F161A"/>
    <w:rsid w:val="002F26FF"/>
    <w:rsid w:val="002F2C8D"/>
    <w:rsid w:val="002F6785"/>
    <w:rsid w:val="00301291"/>
    <w:rsid w:val="00302FE3"/>
    <w:rsid w:val="003045F2"/>
    <w:rsid w:val="00304B8A"/>
    <w:rsid w:val="0031174D"/>
    <w:rsid w:val="003157F4"/>
    <w:rsid w:val="00317646"/>
    <w:rsid w:val="00317B70"/>
    <w:rsid w:val="00320AEB"/>
    <w:rsid w:val="00324C5E"/>
    <w:rsid w:val="003254DB"/>
    <w:rsid w:val="00326C5C"/>
    <w:rsid w:val="00330834"/>
    <w:rsid w:val="00332446"/>
    <w:rsid w:val="003327C1"/>
    <w:rsid w:val="003327FB"/>
    <w:rsid w:val="00335C3A"/>
    <w:rsid w:val="00336B2F"/>
    <w:rsid w:val="003427AF"/>
    <w:rsid w:val="00347002"/>
    <w:rsid w:val="003470AE"/>
    <w:rsid w:val="00350A0C"/>
    <w:rsid w:val="00352732"/>
    <w:rsid w:val="0035757A"/>
    <w:rsid w:val="00372913"/>
    <w:rsid w:val="00374377"/>
    <w:rsid w:val="00375146"/>
    <w:rsid w:val="003766EB"/>
    <w:rsid w:val="003821AA"/>
    <w:rsid w:val="0038240F"/>
    <w:rsid w:val="00382BDD"/>
    <w:rsid w:val="00382F51"/>
    <w:rsid w:val="0038341A"/>
    <w:rsid w:val="00383B28"/>
    <w:rsid w:val="003848A1"/>
    <w:rsid w:val="003851F8"/>
    <w:rsid w:val="00386328"/>
    <w:rsid w:val="0039117D"/>
    <w:rsid w:val="003953B2"/>
    <w:rsid w:val="00395FBF"/>
    <w:rsid w:val="003A07DB"/>
    <w:rsid w:val="003A5CD4"/>
    <w:rsid w:val="003A5FA2"/>
    <w:rsid w:val="003A7494"/>
    <w:rsid w:val="003A7B2C"/>
    <w:rsid w:val="003B1357"/>
    <w:rsid w:val="003B2A9E"/>
    <w:rsid w:val="003B2B57"/>
    <w:rsid w:val="003B3A06"/>
    <w:rsid w:val="003B4891"/>
    <w:rsid w:val="003B61E1"/>
    <w:rsid w:val="003C1E63"/>
    <w:rsid w:val="003C384E"/>
    <w:rsid w:val="003D0148"/>
    <w:rsid w:val="003D07A4"/>
    <w:rsid w:val="003D47F1"/>
    <w:rsid w:val="003D61F0"/>
    <w:rsid w:val="003E07FA"/>
    <w:rsid w:val="003E4E79"/>
    <w:rsid w:val="003E52C7"/>
    <w:rsid w:val="003E67B9"/>
    <w:rsid w:val="003E773B"/>
    <w:rsid w:val="003F2AA3"/>
    <w:rsid w:val="003F2E7B"/>
    <w:rsid w:val="0040010B"/>
    <w:rsid w:val="004027DF"/>
    <w:rsid w:val="00404104"/>
    <w:rsid w:val="00407A25"/>
    <w:rsid w:val="00407CCC"/>
    <w:rsid w:val="00410CCF"/>
    <w:rsid w:val="00413F11"/>
    <w:rsid w:val="00414ED1"/>
    <w:rsid w:val="00420381"/>
    <w:rsid w:val="00421A40"/>
    <w:rsid w:val="00422C8E"/>
    <w:rsid w:val="00423555"/>
    <w:rsid w:val="00424167"/>
    <w:rsid w:val="00425DDA"/>
    <w:rsid w:val="00430C79"/>
    <w:rsid w:val="00436003"/>
    <w:rsid w:val="004375E4"/>
    <w:rsid w:val="00437753"/>
    <w:rsid w:val="004400A4"/>
    <w:rsid w:val="00442090"/>
    <w:rsid w:val="004475F7"/>
    <w:rsid w:val="00450377"/>
    <w:rsid w:val="004505BD"/>
    <w:rsid w:val="0045354D"/>
    <w:rsid w:val="00453EA7"/>
    <w:rsid w:val="004540AA"/>
    <w:rsid w:val="00460F6D"/>
    <w:rsid w:val="0046471E"/>
    <w:rsid w:val="004657BF"/>
    <w:rsid w:val="00465BA3"/>
    <w:rsid w:val="004677CD"/>
    <w:rsid w:val="00467864"/>
    <w:rsid w:val="00467B03"/>
    <w:rsid w:val="00470CE5"/>
    <w:rsid w:val="00470E74"/>
    <w:rsid w:val="00471401"/>
    <w:rsid w:val="00472E1F"/>
    <w:rsid w:val="00475A7B"/>
    <w:rsid w:val="00477053"/>
    <w:rsid w:val="00480F99"/>
    <w:rsid w:val="00481590"/>
    <w:rsid w:val="00483EFA"/>
    <w:rsid w:val="00485428"/>
    <w:rsid w:val="004873E8"/>
    <w:rsid w:val="00491BC2"/>
    <w:rsid w:val="00491CDC"/>
    <w:rsid w:val="00492560"/>
    <w:rsid w:val="004943E1"/>
    <w:rsid w:val="004956F8"/>
    <w:rsid w:val="004A1302"/>
    <w:rsid w:val="004A14DE"/>
    <w:rsid w:val="004A2707"/>
    <w:rsid w:val="004A4A66"/>
    <w:rsid w:val="004A5CFC"/>
    <w:rsid w:val="004A6FF9"/>
    <w:rsid w:val="004A7C0D"/>
    <w:rsid w:val="004B3F26"/>
    <w:rsid w:val="004B69D0"/>
    <w:rsid w:val="004B795F"/>
    <w:rsid w:val="004C0ACB"/>
    <w:rsid w:val="004C543E"/>
    <w:rsid w:val="004D1A9B"/>
    <w:rsid w:val="004D291C"/>
    <w:rsid w:val="004D2A4A"/>
    <w:rsid w:val="004D37F5"/>
    <w:rsid w:val="004D64BD"/>
    <w:rsid w:val="004E16DC"/>
    <w:rsid w:val="004E20A1"/>
    <w:rsid w:val="004E35E2"/>
    <w:rsid w:val="004E3A36"/>
    <w:rsid w:val="004E418A"/>
    <w:rsid w:val="004E44AB"/>
    <w:rsid w:val="004E57C5"/>
    <w:rsid w:val="004E5C5A"/>
    <w:rsid w:val="004E7296"/>
    <w:rsid w:val="004E777A"/>
    <w:rsid w:val="004E7C18"/>
    <w:rsid w:val="004F048C"/>
    <w:rsid w:val="004F14B9"/>
    <w:rsid w:val="004F34D7"/>
    <w:rsid w:val="004F3DAC"/>
    <w:rsid w:val="00500CC6"/>
    <w:rsid w:val="00503BFA"/>
    <w:rsid w:val="0050693D"/>
    <w:rsid w:val="00506A04"/>
    <w:rsid w:val="00510F31"/>
    <w:rsid w:val="00512FE0"/>
    <w:rsid w:val="0051318A"/>
    <w:rsid w:val="00517E8A"/>
    <w:rsid w:val="005207B4"/>
    <w:rsid w:val="005209D9"/>
    <w:rsid w:val="00520DCD"/>
    <w:rsid w:val="005238F5"/>
    <w:rsid w:val="00526562"/>
    <w:rsid w:val="005268B3"/>
    <w:rsid w:val="00526DEB"/>
    <w:rsid w:val="00527A48"/>
    <w:rsid w:val="00527A6C"/>
    <w:rsid w:val="00530034"/>
    <w:rsid w:val="0053242F"/>
    <w:rsid w:val="00533B70"/>
    <w:rsid w:val="0053669D"/>
    <w:rsid w:val="0054070A"/>
    <w:rsid w:val="00540C55"/>
    <w:rsid w:val="005416E9"/>
    <w:rsid w:val="00541ADC"/>
    <w:rsid w:val="00543BD9"/>
    <w:rsid w:val="00545B5C"/>
    <w:rsid w:val="005468AE"/>
    <w:rsid w:val="005509DF"/>
    <w:rsid w:val="00550EC3"/>
    <w:rsid w:val="0055268D"/>
    <w:rsid w:val="00554899"/>
    <w:rsid w:val="00557EC2"/>
    <w:rsid w:val="00560093"/>
    <w:rsid w:val="00562790"/>
    <w:rsid w:val="00565D8B"/>
    <w:rsid w:val="00566B16"/>
    <w:rsid w:val="00567A92"/>
    <w:rsid w:val="00572DB1"/>
    <w:rsid w:val="00573389"/>
    <w:rsid w:val="00576F19"/>
    <w:rsid w:val="005801BD"/>
    <w:rsid w:val="005803E2"/>
    <w:rsid w:val="00580636"/>
    <w:rsid w:val="00584237"/>
    <w:rsid w:val="00587A5D"/>
    <w:rsid w:val="00590428"/>
    <w:rsid w:val="00590E29"/>
    <w:rsid w:val="0059166B"/>
    <w:rsid w:val="00593837"/>
    <w:rsid w:val="00593868"/>
    <w:rsid w:val="00595661"/>
    <w:rsid w:val="005976A9"/>
    <w:rsid w:val="00597C6B"/>
    <w:rsid w:val="005A0BB9"/>
    <w:rsid w:val="005A0E76"/>
    <w:rsid w:val="005A314F"/>
    <w:rsid w:val="005A3533"/>
    <w:rsid w:val="005A36D0"/>
    <w:rsid w:val="005A559B"/>
    <w:rsid w:val="005A56A5"/>
    <w:rsid w:val="005A61F7"/>
    <w:rsid w:val="005A748E"/>
    <w:rsid w:val="005A752C"/>
    <w:rsid w:val="005A776F"/>
    <w:rsid w:val="005B0488"/>
    <w:rsid w:val="005B18BB"/>
    <w:rsid w:val="005B225E"/>
    <w:rsid w:val="005B25C3"/>
    <w:rsid w:val="005B3AB3"/>
    <w:rsid w:val="005B3EEC"/>
    <w:rsid w:val="005B4F57"/>
    <w:rsid w:val="005B59E7"/>
    <w:rsid w:val="005B5DCB"/>
    <w:rsid w:val="005B63DB"/>
    <w:rsid w:val="005B6782"/>
    <w:rsid w:val="005C1302"/>
    <w:rsid w:val="005C1AE6"/>
    <w:rsid w:val="005C36D1"/>
    <w:rsid w:val="005C3A5A"/>
    <w:rsid w:val="005C4A56"/>
    <w:rsid w:val="005C4CC2"/>
    <w:rsid w:val="005C4E2E"/>
    <w:rsid w:val="005D2157"/>
    <w:rsid w:val="005D3215"/>
    <w:rsid w:val="005D5A1D"/>
    <w:rsid w:val="005E22B9"/>
    <w:rsid w:val="005E2A6B"/>
    <w:rsid w:val="005E3132"/>
    <w:rsid w:val="005E4AAC"/>
    <w:rsid w:val="005E5AB2"/>
    <w:rsid w:val="005E70FF"/>
    <w:rsid w:val="005F57A2"/>
    <w:rsid w:val="00600002"/>
    <w:rsid w:val="00600CC9"/>
    <w:rsid w:val="00603A09"/>
    <w:rsid w:val="00605478"/>
    <w:rsid w:val="006057DB"/>
    <w:rsid w:val="00606123"/>
    <w:rsid w:val="00607DE0"/>
    <w:rsid w:val="006127BB"/>
    <w:rsid w:val="00613EDB"/>
    <w:rsid w:val="00615A5D"/>
    <w:rsid w:val="00615AD0"/>
    <w:rsid w:val="00617750"/>
    <w:rsid w:val="006209AB"/>
    <w:rsid w:val="00623ADA"/>
    <w:rsid w:val="006264EF"/>
    <w:rsid w:val="0062679C"/>
    <w:rsid w:val="006313F2"/>
    <w:rsid w:val="006315B5"/>
    <w:rsid w:val="00632031"/>
    <w:rsid w:val="006335A1"/>
    <w:rsid w:val="006341B8"/>
    <w:rsid w:val="006345AE"/>
    <w:rsid w:val="0063508F"/>
    <w:rsid w:val="006359FF"/>
    <w:rsid w:val="00635EEF"/>
    <w:rsid w:val="006363ED"/>
    <w:rsid w:val="006365A3"/>
    <w:rsid w:val="00641179"/>
    <w:rsid w:val="006440BF"/>
    <w:rsid w:val="006455A0"/>
    <w:rsid w:val="0064669E"/>
    <w:rsid w:val="00646C91"/>
    <w:rsid w:val="006474EC"/>
    <w:rsid w:val="006478F2"/>
    <w:rsid w:val="00650025"/>
    <w:rsid w:val="0065046A"/>
    <w:rsid w:val="00651944"/>
    <w:rsid w:val="00652407"/>
    <w:rsid w:val="00653954"/>
    <w:rsid w:val="006542F9"/>
    <w:rsid w:val="00655977"/>
    <w:rsid w:val="006566A5"/>
    <w:rsid w:val="00657046"/>
    <w:rsid w:val="006572EB"/>
    <w:rsid w:val="0066010E"/>
    <w:rsid w:val="00661D4C"/>
    <w:rsid w:val="00666221"/>
    <w:rsid w:val="006672D1"/>
    <w:rsid w:val="0067244C"/>
    <w:rsid w:val="006725DD"/>
    <w:rsid w:val="00673BB8"/>
    <w:rsid w:val="00677785"/>
    <w:rsid w:val="006809EC"/>
    <w:rsid w:val="006811DC"/>
    <w:rsid w:val="00681670"/>
    <w:rsid w:val="00684A38"/>
    <w:rsid w:val="0068523C"/>
    <w:rsid w:val="0068AA83"/>
    <w:rsid w:val="00693889"/>
    <w:rsid w:val="00693F76"/>
    <w:rsid w:val="0069438F"/>
    <w:rsid w:val="00697126"/>
    <w:rsid w:val="006A2C1D"/>
    <w:rsid w:val="006A3565"/>
    <w:rsid w:val="006A4F08"/>
    <w:rsid w:val="006A6032"/>
    <w:rsid w:val="006A716B"/>
    <w:rsid w:val="006B0153"/>
    <w:rsid w:val="006B03A8"/>
    <w:rsid w:val="006B0A9A"/>
    <w:rsid w:val="006B1F20"/>
    <w:rsid w:val="006B211E"/>
    <w:rsid w:val="006B28B6"/>
    <w:rsid w:val="006B7D62"/>
    <w:rsid w:val="006B7FEB"/>
    <w:rsid w:val="006C6800"/>
    <w:rsid w:val="006C7CC2"/>
    <w:rsid w:val="006D0F80"/>
    <w:rsid w:val="006D2210"/>
    <w:rsid w:val="006D3581"/>
    <w:rsid w:val="006D3624"/>
    <w:rsid w:val="006D391F"/>
    <w:rsid w:val="006D431F"/>
    <w:rsid w:val="006D438F"/>
    <w:rsid w:val="006D5B28"/>
    <w:rsid w:val="006D7839"/>
    <w:rsid w:val="006E122A"/>
    <w:rsid w:val="006E1293"/>
    <w:rsid w:val="006E1D85"/>
    <w:rsid w:val="006E37C5"/>
    <w:rsid w:val="006E62D0"/>
    <w:rsid w:val="006F1E73"/>
    <w:rsid w:val="006F29A3"/>
    <w:rsid w:val="006F68E0"/>
    <w:rsid w:val="006F6FB7"/>
    <w:rsid w:val="00701322"/>
    <w:rsid w:val="007022B6"/>
    <w:rsid w:val="00704A16"/>
    <w:rsid w:val="00704EEF"/>
    <w:rsid w:val="00705512"/>
    <w:rsid w:val="007116FE"/>
    <w:rsid w:val="00711D5F"/>
    <w:rsid w:val="00711ECE"/>
    <w:rsid w:val="00717411"/>
    <w:rsid w:val="00721961"/>
    <w:rsid w:val="00721D8D"/>
    <w:rsid w:val="00722FDE"/>
    <w:rsid w:val="00723114"/>
    <w:rsid w:val="00723CE9"/>
    <w:rsid w:val="00726661"/>
    <w:rsid w:val="00732366"/>
    <w:rsid w:val="00732654"/>
    <w:rsid w:val="00735229"/>
    <w:rsid w:val="007362D4"/>
    <w:rsid w:val="007362D5"/>
    <w:rsid w:val="007365A1"/>
    <w:rsid w:val="007377D7"/>
    <w:rsid w:val="00741273"/>
    <w:rsid w:val="00741842"/>
    <w:rsid w:val="00744F61"/>
    <w:rsid w:val="00745099"/>
    <w:rsid w:val="00745A70"/>
    <w:rsid w:val="00750E4C"/>
    <w:rsid w:val="007530FF"/>
    <w:rsid w:val="00756655"/>
    <w:rsid w:val="00757279"/>
    <w:rsid w:val="00757F55"/>
    <w:rsid w:val="00757FE3"/>
    <w:rsid w:val="00760646"/>
    <w:rsid w:val="00762F7D"/>
    <w:rsid w:val="00766E7F"/>
    <w:rsid w:val="00767B25"/>
    <w:rsid w:val="007727ED"/>
    <w:rsid w:val="00774FAF"/>
    <w:rsid w:val="007752E8"/>
    <w:rsid w:val="007811CC"/>
    <w:rsid w:val="00781950"/>
    <w:rsid w:val="00786024"/>
    <w:rsid w:val="00787852"/>
    <w:rsid w:val="00792717"/>
    <w:rsid w:val="0079285F"/>
    <w:rsid w:val="007930A9"/>
    <w:rsid w:val="007936A4"/>
    <w:rsid w:val="007952A5"/>
    <w:rsid w:val="007A0F62"/>
    <w:rsid w:val="007A1BEC"/>
    <w:rsid w:val="007A4478"/>
    <w:rsid w:val="007A44F0"/>
    <w:rsid w:val="007A5847"/>
    <w:rsid w:val="007A6D65"/>
    <w:rsid w:val="007A726F"/>
    <w:rsid w:val="007B38C8"/>
    <w:rsid w:val="007B3CE2"/>
    <w:rsid w:val="007B4021"/>
    <w:rsid w:val="007B5BAF"/>
    <w:rsid w:val="007B5C03"/>
    <w:rsid w:val="007B71D1"/>
    <w:rsid w:val="007B720B"/>
    <w:rsid w:val="007C06F5"/>
    <w:rsid w:val="007C1FC9"/>
    <w:rsid w:val="007C25D6"/>
    <w:rsid w:val="007C4197"/>
    <w:rsid w:val="007C41C5"/>
    <w:rsid w:val="007C61F0"/>
    <w:rsid w:val="007C6657"/>
    <w:rsid w:val="007D07B5"/>
    <w:rsid w:val="007D0EC7"/>
    <w:rsid w:val="007D1811"/>
    <w:rsid w:val="007D5317"/>
    <w:rsid w:val="007D546F"/>
    <w:rsid w:val="007D5A70"/>
    <w:rsid w:val="007D5E4A"/>
    <w:rsid w:val="007E08E1"/>
    <w:rsid w:val="007E0DDE"/>
    <w:rsid w:val="007E27C7"/>
    <w:rsid w:val="007E28B0"/>
    <w:rsid w:val="007E337C"/>
    <w:rsid w:val="007E3B3A"/>
    <w:rsid w:val="007E47CF"/>
    <w:rsid w:val="007F0629"/>
    <w:rsid w:val="007F31C9"/>
    <w:rsid w:val="007F53F3"/>
    <w:rsid w:val="007F5715"/>
    <w:rsid w:val="007F76B7"/>
    <w:rsid w:val="0080033F"/>
    <w:rsid w:val="00802563"/>
    <w:rsid w:val="00811185"/>
    <w:rsid w:val="008126DE"/>
    <w:rsid w:val="00816283"/>
    <w:rsid w:val="00816B09"/>
    <w:rsid w:val="00820C93"/>
    <w:rsid w:val="0083057B"/>
    <w:rsid w:val="008329E6"/>
    <w:rsid w:val="00835C0D"/>
    <w:rsid w:val="00836AD6"/>
    <w:rsid w:val="008402B7"/>
    <w:rsid w:val="00840873"/>
    <w:rsid w:val="0084195A"/>
    <w:rsid w:val="0084732A"/>
    <w:rsid w:val="0084A448"/>
    <w:rsid w:val="00850164"/>
    <w:rsid w:val="00850D42"/>
    <w:rsid w:val="00851336"/>
    <w:rsid w:val="008516CB"/>
    <w:rsid w:val="0085412F"/>
    <w:rsid w:val="00854374"/>
    <w:rsid w:val="0085527A"/>
    <w:rsid w:val="00855335"/>
    <w:rsid w:val="00855FA2"/>
    <w:rsid w:val="00864990"/>
    <w:rsid w:val="008664A7"/>
    <w:rsid w:val="008666F6"/>
    <w:rsid w:val="00872A9B"/>
    <w:rsid w:val="00875EB6"/>
    <w:rsid w:val="00877D97"/>
    <w:rsid w:val="00881FC8"/>
    <w:rsid w:val="00883044"/>
    <w:rsid w:val="0088326C"/>
    <w:rsid w:val="00883E13"/>
    <w:rsid w:val="00884FFC"/>
    <w:rsid w:val="00892E86"/>
    <w:rsid w:val="008937C9"/>
    <w:rsid w:val="00895E4A"/>
    <w:rsid w:val="00896088"/>
    <w:rsid w:val="0089703D"/>
    <w:rsid w:val="008A011E"/>
    <w:rsid w:val="008A2175"/>
    <w:rsid w:val="008A55CF"/>
    <w:rsid w:val="008A7A39"/>
    <w:rsid w:val="008A7CDF"/>
    <w:rsid w:val="008B1047"/>
    <w:rsid w:val="008B1212"/>
    <w:rsid w:val="008B19E0"/>
    <w:rsid w:val="008B2BE7"/>
    <w:rsid w:val="008B3180"/>
    <w:rsid w:val="008B3268"/>
    <w:rsid w:val="008B5C77"/>
    <w:rsid w:val="008B76F3"/>
    <w:rsid w:val="008B7896"/>
    <w:rsid w:val="008C163D"/>
    <w:rsid w:val="008C4F16"/>
    <w:rsid w:val="008C675B"/>
    <w:rsid w:val="008D14F8"/>
    <w:rsid w:val="008D2A37"/>
    <w:rsid w:val="008D2FC7"/>
    <w:rsid w:val="008D490A"/>
    <w:rsid w:val="008D71DF"/>
    <w:rsid w:val="008E00E8"/>
    <w:rsid w:val="008E0CC2"/>
    <w:rsid w:val="008E1B3E"/>
    <w:rsid w:val="008E6C3C"/>
    <w:rsid w:val="008E72F8"/>
    <w:rsid w:val="008F70E3"/>
    <w:rsid w:val="00901C3E"/>
    <w:rsid w:val="00903C0A"/>
    <w:rsid w:val="00906D2F"/>
    <w:rsid w:val="00907106"/>
    <w:rsid w:val="00912E8B"/>
    <w:rsid w:val="0091453E"/>
    <w:rsid w:val="00915982"/>
    <w:rsid w:val="0091762E"/>
    <w:rsid w:val="00920F7F"/>
    <w:rsid w:val="009217D5"/>
    <w:rsid w:val="00925362"/>
    <w:rsid w:val="00925FD5"/>
    <w:rsid w:val="00930519"/>
    <w:rsid w:val="00931C03"/>
    <w:rsid w:val="009328F8"/>
    <w:rsid w:val="00932A90"/>
    <w:rsid w:val="00935315"/>
    <w:rsid w:val="00935FB3"/>
    <w:rsid w:val="00936868"/>
    <w:rsid w:val="00937CC8"/>
    <w:rsid w:val="00944AA1"/>
    <w:rsid w:val="00950C75"/>
    <w:rsid w:val="00952836"/>
    <w:rsid w:val="00953B22"/>
    <w:rsid w:val="009540C4"/>
    <w:rsid w:val="00955132"/>
    <w:rsid w:val="0095559D"/>
    <w:rsid w:val="00964D19"/>
    <w:rsid w:val="00970AF6"/>
    <w:rsid w:val="009731F4"/>
    <w:rsid w:val="00973A5A"/>
    <w:rsid w:val="00974132"/>
    <w:rsid w:val="00974BEC"/>
    <w:rsid w:val="00976EC0"/>
    <w:rsid w:val="009773EA"/>
    <w:rsid w:val="009801B6"/>
    <w:rsid w:val="009804F5"/>
    <w:rsid w:val="00982C28"/>
    <w:rsid w:val="00983DAE"/>
    <w:rsid w:val="00985F9A"/>
    <w:rsid w:val="009940C2"/>
    <w:rsid w:val="009957B2"/>
    <w:rsid w:val="00996D2A"/>
    <w:rsid w:val="009A444A"/>
    <w:rsid w:val="009A54F5"/>
    <w:rsid w:val="009A733A"/>
    <w:rsid w:val="009A7B6F"/>
    <w:rsid w:val="009B172E"/>
    <w:rsid w:val="009B42AF"/>
    <w:rsid w:val="009B4360"/>
    <w:rsid w:val="009B52BD"/>
    <w:rsid w:val="009B53D5"/>
    <w:rsid w:val="009C1629"/>
    <w:rsid w:val="009C2F60"/>
    <w:rsid w:val="009C458E"/>
    <w:rsid w:val="009C4746"/>
    <w:rsid w:val="009C543F"/>
    <w:rsid w:val="009C6736"/>
    <w:rsid w:val="009C6880"/>
    <w:rsid w:val="009C68BA"/>
    <w:rsid w:val="009D069E"/>
    <w:rsid w:val="009D3685"/>
    <w:rsid w:val="009D6AA9"/>
    <w:rsid w:val="009D7DF7"/>
    <w:rsid w:val="009E6DA6"/>
    <w:rsid w:val="009E7E2D"/>
    <w:rsid w:val="009F2F61"/>
    <w:rsid w:val="009F4B73"/>
    <w:rsid w:val="009F5A74"/>
    <w:rsid w:val="009F78F9"/>
    <w:rsid w:val="009F7AA5"/>
    <w:rsid w:val="00A02CD4"/>
    <w:rsid w:val="00A037CD"/>
    <w:rsid w:val="00A03E8F"/>
    <w:rsid w:val="00A045C7"/>
    <w:rsid w:val="00A04687"/>
    <w:rsid w:val="00A077AD"/>
    <w:rsid w:val="00A129BC"/>
    <w:rsid w:val="00A12F26"/>
    <w:rsid w:val="00A134EB"/>
    <w:rsid w:val="00A1380E"/>
    <w:rsid w:val="00A1436F"/>
    <w:rsid w:val="00A203C8"/>
    <w:rsid w:val="00A24982"/>
    <w:rsid w:val="00A25C4B"/>
    <w:rsid w:val="00A26897"/>
    <w:rsid w:val="00A26C20"/>
    <w:rsid w:val="00A30E62"/>
    <w:rsid w:val="00A31276"/>
    <w:rsid w:val="00A32698"/>
    <w:rsid w:val="00A32B18"/>
    <w:rsid w:val="00A407B3"/>
    <w:rsid w:val="00A41351"/>
    <w:rsid w:val="00A422DC"/>
    <w:rsid w:val="00A431CF"/>
    <w:rsid w:val="00A43645"/>
    <w:rsid w:val="00A44670"/>
    <w:rsid w:val="00A45B60"/>
    <w:rsid w:val="00A46057"/>
    <w:rsid w:val="00A506EF"/>
    <w:rsid w:val="00A5152C"/>
    <w:rsid w:val="00A52CF9"/>
    <w:rsid w:val="00A537BE"/>
    <w:rsid w:val="00A53EC8"/>
    <w:rsid w:val="00A5572E"/>
    <w:rsid w:val="00A55F5E"/>
    <w:rsid w:val="00A70E1F"/>
    <w:rsid w:val="00A70F35"/>
    <w:rsid w:val="00A7223F"/>
    <w:rsid w:val="00A73158"/>
    <w:rsid w:val="00A7478E"/>
    <w:rsid w:val="00A81820"/>
    <w:rsid w:val="00A830BB"/>
    <w:rsid w:val="00A832B9"/>
    <w:rsid w:val="00A87F37"/>
    <w:rsid w:val="00A9286D"/>
    <w:rsid w:val="00A9309E"/>
    <w:rsid w:val="00A95134"/>
    <w:rsid w:val="00A951B8"/>
    <w:rsid w:val="00A958BF"/>
    <w:rsid w:val="00A9633B"/>
    <w:rsid w:val="00A96DD0"/>
    <w:rsid w:val="00AA06DE"/>
    <w:rsid w:val="00AA3EAD"/>
    <w:rsid w:val="00AA5EAF"/>
    <w:rsid w:val="00AB1C0C"/>
    <w:rsid w:val="00AB319B"/>
    <w:rsid w:val="00AB4231"/>
    <w:rsid w:val="00AB5640"/>
    <w:rsid w:val="00AB57EB"/>
    <w:rsid w:val="00AC06A5"/>
    <w:rsid w:val="00AC22D8"/>
    <w:rsid w:val="00AC263A"/>
    <w:rsid w:val="00AC33A4"/>
    <w:rsid w:val="00AC33CA"/>
    <w:rsid w:val="00AC3D6F"/>
    <w:rsid w:val="00AC6522"/>
    <w:rsid w:val="00AC70B4"/>
    <w:rsid w:val="00AD17FC"/>
    <w:rsid w:val="00AD185D"/>
    <w:rsid w:val="00AD243F"/>
    <w:rsid w:val="00AD41A3"/>
    <w:rsid w:val="00AD5ECE"/>
    <w:rsid w:val="00AD750D"/>
    <w:rsid w:val="00AE0619"/>
    <w:rsid w:val="00AE152D"/>
    <w:rsid w:val="00AE4077"/>
    <w:rsid w:val="00AE4BEE"/>
    <w:rsid w:val="00AE57BE"/>
    <w:rsid w:val="00AE733B"/>
    <w:rsid w:val="00AF4421"/>
    <w:rsid w:val="00AF5A66"/>
    <w:rsid w:val="00B002B8"/>
    <w:rsid w:val="00B00B16"/>
    <w:rsid w:val="00B00E27"/>
    <w:rsid w:val="00B0465D"/>
    <w:rsid w:val="00B06262"/>
    <w:rsid w:val="00B10494"/>
    <w:rsid w:val="00B104BC"/>
    <w:rsid w:val="00B12A5B"/>
    <w:rsid w:val="00B1548A"/>
    <w:rsid w:val="00B1760C"/>
    <w:rsid w:val="00B17806"/>
    <w:rsid w:val="00B17CB6"/>
    <w:rsid w:val="00B25F6F"/>
    <w:rsid w:val="00B33998"/>
    <w:rsid w:val="00B33FE0"/>
    <w:rsid w:val="00B36ED2"/>
    <w:rsid w:val="00B4071B"/>
    <w:rsid w:val="00B45AFD"/>
    <w:rsid w:val="00B50E5C"/>
    <w:rsid w:val="00B566E3"/>
    <w:rsid w:val="00B61312"/>
    <w:rsid w:val="00B6492C"/>
    <w:rsid w:val="00B666E6"/>
    <w:rsid w:val="00B66F85"/>
    <w:rsid w:val="00B67018"/>
    <w:rsid w:val="00B703DD"/>
    <w:rsid w:val="00B7225E"/>
    <w:rsid w:val="00B72741"/>
    <w:rsid w:val="00B7293C"/>
    <w:rsid w:val="00B761EF"/>
    <w:rsid w:val="00B769F1"/>
    <w:rsid w:val="00B77BFA"/>
    <w:rsid w:val="00B80283"/>
    <w:rsid w:val="00B820E8"/>
    <w:rsid w:val="00B826E2"/>
    <w:rsid w:val="00B84396"/>
    <w:rsid w:val="00B86295"/>
    <w:rsid w:val="00B86A43"/>
    <w:rsid w:val="00B909CB"/>
    <w:rsid w:val="00B91688"/>
    <w:rsid w:val="00B91CB6"/>
    <w:rsid w:val="00B92C93"/>
    <w:rsid w:val="00B93759"/>
    <w:rsid w:val="00BB00BE"/>
    <w:rsid w:val="00BB0B4F"/>
    <w:rsid w:val="00BB1158"/>
    <w:rsid w:val="00BB1FA0"/>
    <w:rsid w:val="00BB2770"/>
    <w:rsid w:val="00BB4F65"/>
    <w:rsid w:val="00BB505B"/>
    <w:rsid w:val="00BB7075"/>
    <w:rsid w:val="00BB7176"/>
    <w:rsid w:val="00BC06D1"/>
    <w:rsid w:val="00BC3191"/>
    <w:rsid w:val="00BC695D"/>
    <w:rsid w:val="00BC6EB8"/>
    <w:rsid w:val="00BD0B4C"/>
    <w:rsid w:val="00BD31A8"/>
    <w:rsid w:val="00BD5D25"/>
    <w:rsid w:val="00BD6C58"/>
    <w:rsid w:val="00BDAD59"/>
    <w:rsid w:val="00BE0D63"/>
    <w:rsid w:val="00BE252C"/>
    <w:rsid w:val="00BE35A2"/>
    <w:rsid w:val="00BE644C"/>
    <w:rsid w:val="00BF1456"/>
    <w:rsid w:val="00BF43B9"/>
    <w:rsid w:val="00BF58B1"/>
    <w:rsid w:val="00C04124"/>
    <w:rsid w:val="00C0559A"/>
    <w:rsid w:val="00C064D8"/>
    <w:rsid w:val="00C07BDC"/>
    <w:rsid w:val="00C126C0"/>
    <w:rsid w:val="00C13FCD"/>
    <w:rsid w:val="00C161B7"/>
    <w:rsid w:val="00C163B0"/>
    <w:rsid w:val="00C21B26"/>
    <w:rsid w:val="00C23538"/>
    <w:rsid w:val="00C27EA8"/>
    <w:rsid w:val="00C31188"/>
    <w:rsid w:val="00C3120B"/>
    <w:rsid w:val="00C32B9A"/>
    <w:rsid w:val="00C34865"/>
    <w:rsid w:val="00C366AC"/>
    <w:rsid w:val="00C367CD"/>
    <w:rsid w:val="00C41415"/>
    <w:rsid w:val="00C437A2"/>
    <w:rsid w:val="00C459B8"/>
    <w:rsid w:val="00C45B8F"/>
    <w:rsid w:val="00C46443"/>
    <w:rsid w:val="00C470B0"/>
    <w:rsid w:val="00C50BFE"/>
    <w:rsid w:val="00C519E3"/>
    <w:rsid w:val="00C53170"/>
    <w:rsid w:val="00C5454C"/>
    <w:rsid w:val="00C5471F"/>
    <w:rsid w:val="00C62394"/>
    <w:rsid w:val="00C638E0"/>
    <w:rsid w:val="00C64637"/>
    <w:rsid w:val="00C67A5E"/>
    <w:rsid w:val="00C67F6C"/>
    <w:rsid w:val="00C70D38"/>
    <w:rsid w:val="00C71DA8"/>
    <w:rsid w:val="00C7481C"/>
    <w:rsid w:val="00C77387"/>
    <w:rsid w:val="00C77AB2"/>
    <w:rsid w:val="00C80F7D"/>
    <w:rsid w:val="00C8302D"/>
    <w:rsid w:val="00C8307B"/>
    <w:rsid w:val="00C841AA"/>
    <w:rsid w:val="00C87754"/>
    <w:rsid w:val="00C87E2B"/>
    <w:rsid w:val="00C91F82"/>
    <w:rsid w:val="00C9298A"/>
    <w:rsid w:val="00C92CA9"/>
    <w:rsid w:val="00C977DF"/>
    <w:rsid w:val="00CA4BEE"/>
    <w:rsid w:val="00CB38BD"/>
    <w:rsid w:val="00CB6243"/>
    <w:rsid w:val="00CB6F18"/>
    <w:rsid w:val="00CB7D12"/>
    <w:rsid w:val="00CC0EE7"/>
    <w:rsid w:val="00CC1860"/>
    <w:rsid w:val="00CC543D"/>
    <w:rsid w:val="00CC5A8F"/>
    <w:rsid w:val="00CC6199"/>
    <w:rsid w:val="00CC73BF"/>
    <w:rsid w:val="00CD0DAF"/>
    <w:rsid w:val="00CD0E94"/>
    <w:rsid w:val="00CD410F"/>
    <w:rsid w:val="00CD45A5"/>
    <w:rsid w:val="00CD4B2F"/>
    <w:rsid w:val="00CD638E"/>
    <w:rsid w:val="00CD6F4A"/>
    <w:rsid w:val="00CD777B"/>
    <w:rsid w:val="00CE24DB"/>
    <w:rsid w:val="00CE2EA7"/>
    <w:rsid w:val="00CE3444"/>
    <w:rsid w:val="00CE363F"/>
    <w:rsid w:val="00CE7A3E"/>
    <w:rsid w:val="00CF2776"/>
    <w:rsid w:val="00CF4751"/>
    <w:rsid w:val="00CF48A7"/>
    <w:rsid w:val="00CF69C9"/>
    <w:rsid w:val="00D0326F"/>
    <w:rsid w:val="00D037DF"/>
    <w:rsid w:val="00D04555"/>
    <w:rsid w:val="00D10FB3"/>
    <w:rsid w:val="00D12039"/>
    <w:rsid w:val="00D13379"/>
    <w:rsid w:val="00D13C28"/>
    <w:rsid w:val="00D20D3A"/>
    <w:rsid w:val="00D213FA"/>
    <w:rsid w:val="00D21722"/>
    <w:rsid w:val="00D221A9"/>
    <w:rsid w:val="00D2306B"/>
    <w:rsid w:val="00D2795A"/>
    <w:rsid w:val="00D3399A"/>
    <w:rsid w:val="00D3566A"/>
    <w:rsid w:val="00D4196A"/>
    <w:rsid w:val="00D41BF2"/>
    <w:rsid w:val="00D42D28"/>
    <w:rsid w:val="00D4508F"/>
    <w:rsid w:val="00D523F6"/>
    <w:rsid w:val="00D52A4F"/>
    <w:rsid w:val="00D531C4"/>
    <w:rsid w:val="00D54A62"/>
    <w:rsid w:val="00D54BD0"/>
    <w:rsid w:val="00D603D3"/>
    <w:rsid w:val="00D60C4E"/>
    <w:rsid w:val="00D62696"/>
    <w:rsid w:val="00D634FE"/>
    <w:rsid w:val="00D63772"/>
    <w:rsid w:val="00D65B59"/>
    <w:rsid w:val="00D66601"/>
    <w:rsid w:val="00D67A6D"/>
    <w:rsid w:val="00D7013B"/>
    <w:rsid w:val="00D74F6D"/>
    <w:rsid w:val="00D75193"/>
    <w:rsid w:val="00D80CF1"/>
    <w:rsid w:val="00D813DF"/>
    <w:rsid w:val="00D8231D"/>
    <w:rsid w:val="00D84A77"/>
    <w:rsid w:val="00D84D8E"/>
    <w:rsid w:val="00D87588"/>
    <w:rsid w:val="00D921B5"/>
    <w:rsid w:val="00D92782"/>
    <w:rsid w:val="00DA1212"/>
    <w:rsid w:val="00DB39E5"/>
    <w:rsid w:val="00DB6155"/>
    <w:rsid w:val="00DB7998"/>
    <w:rsid w:val="00DC1E2B"/>
    <w:rsid w:val="00DC3F63"/>
    <w:rsid w:val="00DC6FD4"/>
    <w:rsid w:val="00DD2A7C"/>
    <w:rsid w:val="00DD2DF3"/>
    <w:rsid w:val="00DD41CA"/>
    <w:rsid w:val="00DD5FB9"/>
    <w:rsid w:val="00DE12E9"/>
    <w:rsid w:val="00DE795C"/>
    <w:rsid w:val="00DF2D06"/>
    <w:rsid w:val="00DF398A"/>
    <w:rsid w:val="00DF6F7F"/>
    <w:rsid w:val="00E00611"/>
    <w:rsid w:val="00E01FC8"/>
    <w:rsid w:val="00E02ED7"/>
    <w:rsid w:val="00E03B5E"/>
    <w:rsid w:val="00E06999"/>
    <w:rsid w:val="00E07480"/>
    <w:rsid w:val="00E1375E"/>
    <w:rsid w:val="00E14124"/>
    <w:rsid w:val="00E152FC"/>
    <w:rsid w:val="00E16CBE"/>
    <w:rsid w:val="00E179C6"/>
    <w:rsid w:val="00E245A3"/>
    <w:rsid w:val="00E27A18"/>
    <w:rsid w:val="00E27CBA"/>
    <w:rsid w:val="00E31268"/>
    <w:rsid w:val="00E3784F"/>
    <w:rsid w:val="00E37D37"/>
    <w:rsid w:val="00E37FDF"/>
    <w:rsid w:val="00E46260"/>
    <w:rsid w:val="00E478C6"/>
    <w:rsid w:val="00E53B04"/>
    <w:rsid w:val="00E53C9D"/>
    <w:rsid w:val="00E54012"/>
    <w:rsid w:val="00E54986"/>
    <w:rsid w:val="00E54B5A"/>
    <w:rsid w:val="00E56AE6"/>
    <w:rsid w:val="00E57085"/>
    <w:rsid w:val="00E57B7A"/>
    <w:rsid w:val="00E638EF"/>
    <w:rsid w:val="00E6393F"/>
    <w:rsid w:val="00E660D6"/>
    <w:rsid w:val="00E70A62"/>
    <w:rsid w:val="00E73289"/>
    <w:rsid w:val="00E73CBB"/>
    <w:rsid w:val="00E74741"/>
    <w:rsid w:val="00E74DE1"/>
    <w:rsid w:val="00E75D39"/>
    <w:rsid w:val="00E81384"/>
    <w:rsid w:val="00E81FF5"/>
    <w:rsid w:val="00E8279E"/>
    <w:rsid w:val="00E87C32"/>
    <w:rsid w:val="00E97418"/>
    <w:rsid w:val="00E97F68"/>
    <w:rsid w:val="00EA01BF"/>
    <w:rsid w:val="00EA6383"/>
    <w:rsid w:val="00EB0AE7"/>
    <w:rsid w:val="00EB30E9"/>
    <w:rsid w:val="00EB35D1"/>
    <w:rsid w:val="00EC0C38"/>
    <w:rsid w:val="00EC1652"/>
    <w:rsid w:val="00EC601C"/>
    <w:rsid w:val="00ED3252"/>
    <w:rsid w:val="00ED3698"/>
    <w:rsid w:val="00ED5036"/>
    <w:rsid w:val="00ED6CB5"/>
    <w:rsid w:val="00ED7693"/>
    <w:rsid w:val="00ED7F60"/>
    <w:rsid w:val="00ED7FC8"/>
    <w:rsid w:val="00EE100A"/>
    <w:rsid w:val="00EE1E40"/>
    <w:rsid w:val="00EE54C1"/>
    <w:rsid w:val="00EE6082"/>
    <w:rsid w:val="00EE658B"/>
    <w:rsid w:val="00EE7BA8"/>
    <w:rsid w:val="00EF52AC"/>
    <w:rsid w:val="00EF66C0"/>
    <w:rsid w:val="00F00A14"/>
    <w:rsid w:val="00F06D31"/>
    <w:rsid w:val="00F07AAE"/>
    <w:rsid w:val="00F15D05"/>
    <w:rsid w:val="00F25730"/>
    <w:rsid w:val="00F26CD4"/>
    <w:rsid w:val="00F27627"/>
    <w:rsid w:val="00F27AA9"/>
    <w:rsid w:val="00F32A3D"/>
    <w:rsid w:val="00F37CD1"/>
    <w:rsid w:val="00F40878"/>
    <w:rsid w:val="00F40D4E"/>
    <w:rsid w:val="00F41575"/>
    <w:rsid w:val="00F423A6"/>
    <w:rsid w:val="00F43ED7"/>
    <w:rsid w:val="00F45883"/>
    <w:rsid w:val="00F47D17"/>
    <w:rsid w:val="00F52EB9"/>
    <w:rsid w:val="00F52F61"/>
    <w:rsid w:val="00F5359B"/>
    <w:rsid w:val="00F54864"/>
    <w:rsid w:val="00F54DA7"/>
    <w:rsid w:val="00F55638"/>
    <w:rsid w:val="00F55711"/>
    <w:rsid w:val="00F55D0E"/>
    <w:rsid w:val="00F5704E"/>
    <w:rsid w:val="00F609BE"/>
    <w:rsid w:val="00F647F7"/>
    <w:rsid w:val="00F6714E"/>
    <w:rsid w:val="00F73645"/>
    <w:rsid w:val="00F75337"/>
    <w:rsid w:val="00F76EEA"/>
    <w:rsid w:val="00F77EFE"/>
    <w:rsid w:val="00F81D48"/>
    <w:rsid w:val="00F852B5"/>
    <w:rsid w:val="00F86CFA"/>
    <w:rsid w:val="00F97A96"/>
    <w:rsid w:val="00FA00B6"/>
    <w:rsid w:val="00FA01D4"/>
    <w:rsid w:val="00FA022E"/>
    <w:rsid w:val="00FA1C6A"/>
    <w:rsid w:val="00FA6DC5"/>
    <w:rsid w:val="00FB176E"/>
    <w:rsid w:val="00FB18B6"/>
    <w:rsid w:val="00FB587B"/>
    <w:rsid w:val="00FB6B35"/>
    <w:rsid w:val="00FB7E8B"/>
    <w:rsid w:val="00FC00C1"/>
    <w:rsid w:val="00FC66F8"/>
    <w:rsid w:val="00FD504B"/>
    <w:rsid w:val="00FD7C38"/>
    <w:rsid w:val="00FE1892"/>
    <w:rsid w:val="00FE1FBD"/>
    <w:rsid w:val="00FE2643"/>
    <w:rsid w:val="00FE4B2A"/>
    <w:rsid w:val="00FF5F15"/>
    <w:rsid w:val="0139BA1C"/>
    <w:rsid w:val="0172C7DD"/>
    <w:rsid w:val="02174396"/>
    <w:rsid w:val="0280B119"/>
    <w:rsid w:val="02D22B59"/>
    <w:rsid w:val="02F1541C"/>
    <w:rsid w:val="0334349F"/>
    <w:rsid w:val="0372BE44"/>
    <w:rsid w:val="03D3F4E2"/>
    <w:rsid w:val="03DB7B31"/>
    <w:rsid w:val="03F4A38E"/>
    <w:rsid w:val="0420B0F6"/>
    <w:rsid w:val="0536BD7F"/>
    <w:rsid w:val="05F2B28D"/>
    <w:rsid w:val="06458B27"/>
    <w:rsid w:val="06472C7E"/>
    <w:rsid w:val="07439F6B"/>
    <w:rsid w:val="075E7FE6"/>
    <w:rsid w:val="078AA830"/>
    <w:rsid w:val="07BBA845"/>
    <w:rsid w:val="07C93397"/>
    <w:rsid w:val="07E2FCDF"/>
    <w:rsid w:val="0851F04C"/>
    <w:rsid w:val="089A91DA"/>
    <w:rsid w:val="08CD42C1"/>
    <w:rsid w:val="0905957F"/>
    <w:rsid w:val="0987F4F7"/>
    <w:rsid w:val="099AC1C1"/>
    <w:rsid w:val="099B28F8"/>
    <w:rsid w:val="0A0417E0"/>
    <w:rsid w:val="0A54A497"/>
    <w:rsid w:val="0ABF87BD"/>
    <w:rsid w:val="0AC25F4A"/>
    <w:rsid w:val="0AEE8BE5"/>
    <w:rsid w:val="0B200FBC"/>
    <w:rsid w:val="0B20C4BF"/>
    <w:rsid w:val="0B86EC6A"/>
    <w:rsid w:val="0B8F476A"/>
    <w:rsid w:val="0C1E3C74"/>
    <w:rsid w:val="0C4351CD"/>
    <w:rsid w:val="0CB8981F"/>
    <w:rsid w:val="0CBC9520"/>
    <w:rsid w:val="0D12D9FB"/>
    <w:rsid w:val="0D6DCB9E"/>
    <w:rsid w:val="0D825D77"/>
    <w:rsid w:val="0DDBEE78"/>
    <w:rsid w:val="0DEEC143"/>
    <w:rsid w:val="0DF7287F"/>
    <w:rsid w:val="0E03C954"/>
    <w:rsid w:val="0E523E63"/>
    <w:rsid w:val="0EA6FB3E"/>
    <w:rsid w:val="0EAEAA5C"/>
    <w:rsid w:val="0EBF0DCA"/>
    <w:rsid w:val="0F46ACEF"/>
    <w:rsid w:val="0FB8F6BF"/>
    <w:rsid w:val="0FD22199"/>
    <w:rsid w:val="0FD4457C"/>
    <w:rsid w:val="103B95D1"/>
    <w:rsid w:val="10A44B30"/>
    <w:rsid w:val="10CB4BCE"/>
    <w:rsid w:val="1112475B"/>
    <w:rsid w:val="1167B391"/>
    <w:rsid w:val="116A1D16"/>
    <w:rsid w:val="1174A83F"/>
    <w:rsid w:val="117710B7"/>
    <w:rsid w:val="11DBD5A8"/>
    <w:rsid w:val="1260F342"/>
    <w:rsid w:val="12BD2BE3"/>
    <w:rsid w:val="12FAD151"/>
    <w:rsid w:val="1318DDE2"/>
    <w:rsid w:val="13299084"/>
    <w:rsid w:val="13315AB7"/>
    <w:rsid w:val="133AB0F4"/>
    <w:rsid w:val="134D8E00"/>
    <w:rsid w:val="13885925"/>
    <w:rsid w:val="139E610C"/>
    <w:rsid w:val="141CCF40"/>
    <w:rsid w:val="1473DFB9"/>
    <w:rsid w:val="1485528A"/>
    <w:rsid w:val="14B4AE43"/>
    <w:rsid w:val="14C70642"/>
    <w:rsid w:val="14E561EE"/>
    <w:rsid w:val="14EB276E"/>
    <w:rsid w:val="158EA9F5"/>
    <w:rsid w:val="15A599C0"/>
    <w:rsid w:val="15D7540B"/>
    <w:rsid w:val="16677534"/>
    <w:rsid w:val="1690CEF7"/>
    <w:rsid w:val="173FBCBF"/>
    <w:rsid w:val="174647C1"/>
    <w:rsid w:val="176A04CD"/>
    <w:rsid w:val="179F9D0A"/>
    <w:rsid w:val="181EDADB"/>
    <w:rsid w:val="185D7A28"/>
    <w:rsid w:val="18FF6078"/>
    <w:rsid w:val="191D1536"/>
    <w:rsid w:val="197C0173"/>
    <w:rsid w:val="199503C8"/>
    <w:rsid w:val="1A1CF86D"/>
    <w:rsid w:val="1A71FFFE"/>
    <w:rsid w:val="1B9A38D1"/>
    <w:rsid w:val="1BA4D072"/>
    <w:rsid w:val="1BBD62D0"/>
    <w:rsid w:val="1BC6D331"/>
    <w:rsid w:val="1C5A651F"/>
    <w:rsid w:val="1C8E4254"/>
    <w:rsid w:val="1CAB9EBD"/>
    <w:rsid w:val="1CF5E400"/>
    <w:rsid w:val="1D0017AC"/>
    <w:rsid w:val="1D30EB4B"/>
    <w:rsid w:val="1D694AEB"/>
    <w:rsid w:val="1D9767F4"/>
    <w:rsid w:val="1DAFB065"/>
    <w:rsid w:val="1DB34E5A"/>
    <w:rsid w:val="1DD003FA"/>
    <w:rsid w:val="1E110550"/>
    <w:rsid w:val="1EC6B298"/>
    <w:rsid w:val="1EDF06E8"/>
    <w:rsid w:val="1EE584C3"/>
    <w:rsid w:val="1EEE8367"/>
    <w:rsid w:val="1F140263"/>
    <w:rsid w:val="1F4B80C6"/>
    <w:rsid w:val="1FCE7033"/>
    <w:rsid w:val="204F731D"/>
    <w:rsid w:val="2079C20A"/>
    <w:rsid w:val="20811BF7"/>
    <w:rsid w:val="20FB28DC"/>
    <w:rsid w:val="214A3F48"/>
    <w:rsid w:val="21936C71"/>
    <w:rsid w:val="221CEC58"/>
    <w:rsid w:val="221FEE79"/>
    <w:rsid w:val="22408139"/>
    <w:rsid w:val="2280C4A3"/>
    <w:rsid w:val="22D05C9F"/>
    <w:rsid w:val="230B5D0E"/>
    <w:rsid w:val="234F281E"/>
    <w:rsid w:val="23ECD6EB"/>
    <w:rsid w:val="241EF1E9"/>
    <w:rsid w:val="2442515F"/>
    <w:rsid w:val="24840DC5"/>
    <w:rsid w:val="24C7FBB0"/>
    <w:rsid w:val="24E44C96"/>
    <w:rsid w:val="257DC676"/>
    <w:rsid w:val="259003E7"/>
    <w:rsid w:val="25C6DF4A"/>
    <w:rsid w:val="2602CD00"/>
    <w:rsid w:val="26589F81"/>
    <w:rsid w:val="268616EC"/>
    <w:rsid w:val="26BCCFBD"/>
    <w:rsid w:val="26BEA534"/>
    <w:rsid w:val="26C1C745"/>
    <w:rsid w:val="2760B278"/>
    <w:rsid w:val="27C73A66"/>
    <w:rsid w:val="27D824A2"/>
    <w:rsid w:val="27E1CFC0"/>
    <w:rsid w:val="286935AC"/>
    <w:rsid w:val="28EBF585"/>
    <w:rsid w:val="299EAC1A"/>
    <w:rsid w:val="29CA402F"/>
    <w:rsid w:val="29F645F6"/>
    <w:rsid w:val="2A1E93CF"/>
    <w:rsid w:val="2A3677B3"/>
    <w:rsid w:val="2A3AA997"/>
    <w:rsid w:val="2ABC1DE8"/>
    <w:rsid w:val="2B1CE3EA"/>
    <w:rsid w:val="2B38B18C"/>
    <w:rsid w:val="2B51B8E8"/>
    <w:rsid w:val="2B921657"/>
    <w:rsid w:val="2B9CB251"/>
    <w:rsid w:val="2BBD83F2"/>
    <w:rsid w:val="2C140D2A"/>
    <w:rsid w:val="2C8A34AC"/>
    <w:rsid w:val="2CD97EE7"/>
    <w:rsid w:val="2DDA6150"/>
    <w:rsid w:val="2E60797C"/>
    <w:rsid w:val="2E671792"/>
    <w:rsid w:val="2E7FC7FC"/>
    <w:rsid w:val="2EA1602E"/>
    <w:rsid w:val="2EB4B19F"/>
    <w:rsid w:val="2F78B49C"/>
    <w:rsid w:val="2F874D17"/>
    <w:rsid w:val="2FA00C15"/>
    <w:rsid w:val="2FD87F98"/>
    <w:rsid w:val="3022BB9A"/>
    <w:rsid w:val="30DE2C66"/>
    <w:rsid w:val="30F82449"/>
    <w:rsid w:val="311BA43F"/>
    <w:rsid w:val="31286F9D"/>
    <w:rsid w:val="31EA4C45"/>
    <w:rsid w:val="3293F4AA"/>
    <w:rsid w:val="32BF3FE5"/>
    <w:rsid w:val="32C4540E"/>
    <w:rsid w:val="33104601"/>
    <w:rsid w:val="33296E5E"/>
    <w:rsid w:val="3377F947"/>
    <w:rsid w:val="342FC50B"/>
    <w:rsid w:val="343F1CB1"/>
    <w:rsid w:val="34D14C0F"/>
    <w:rsid w:val="35827057"/>
    <w:rsid w:val="3604DB8E"/>
    <w:rsid w:val="367BF539"/>
    <w:rsid w:val="369C3F0C"/>
    <w:rsid w:val="369CE999"/>
    <w:rsid w:val="36AF5360"/>
    <w:rsid w:val="36C5DAB9"/>
    <w:rsid w:val="36F7E2F0"/>
    <w:rsid w:val="3711E1D4"/>
    <w:rsid w:val="373A684B"/>
    <w:rsid w:val="373C207F"/>
    <w:rsid w:val="37CC523B"/>
    <w:rsid w:val="37E3B724"/>
    <w:rsid w:val="382465CA"/>
    <w:rsid w:val="386BCC82"/>
    <w:rsid w:val="388AEEA9"/>
    <w:rsid w:val="38CC8821"/>
    <w:rsid w:val="38D40C08"/>
    <w:rsid w:val="38E78A72"/>
    <w:rsid w:val="38F5E696"/>
    <w:rsid w:val="3929DBA3"/>
    <w:rsid w:val="394D5200"/>
    <w:rsid w:val="394DC739"/>
    <w:rsid w:val="39CEFA5E"/>
    <w:rsid w:val="39D9FC7E"/>
    <w:rsid w:val="3A145746"/>
    <w:rsid w:val="3AE9A851"/>
    <w:rsid w:val="3BC91D51"/>
    <w:rsid w:val="3C051712"/>
    <w:rsid w:val="3C160740"/>
    <w:rsid w:val="3C709B7F"/>
    <w:rsid w:val="3CEC1878"/>
    <w:rsid w:val="3D140DD9"/>
    <w:rsid w:val="3DC2391F"/>
    <w:rsid w:val="3E72AE30"/>
    <w:rsid w:val="3E749E32"/>
    <w:rsid w:val="3E93FD1E"/>
    <w:rsid w:val="3EAD6DA1"/>
    <w:rsid w:val="3F109452"/>
    <w:rsid w:val="3F801AB1"/>
    <w:rsid w:val="3FBFD42F"/>
    <w:rsid w:val="3FD9B6D9"/>
    <w:rsid w:val="4023D1D7"/>
    <w:rsid w:val="4027A48D"/>
    <w:rsid w:val="408C7504"/>
    <w:rsid w:val="412FF8DE"/>
    <w:rsid w:val="418A996A"/>
    <w:rsid w:val="41D07868"/>
    <w:rsid w:val="424AD6C6"/>
    <w:rsid w:val="425152F1"/>
    <w:rsid w:val="427FF287"/>
    <w:rsid w:val="4290E1B2"/>
    <w:rsid w:val="42B48C13"/>
    <w:rsid w:val="42E84429"/>
    <w:rsid w:val="4323DF9E"/>
    <w:rsid w:val="438FFAFC"/>
    <w:rsid w:val="4448A65A"/>
    <w:rsid w:val="447B5DE1"/>
    <w:rsid w:val="448961BF"/>
    <w:rsid w:val="449B4D2A"/>
    <w:rsid w:val="44C23A2C"/>
    <w:rsid w:val="44F5A4AE"/>
    <w:rsid w:val="45300D25"/>
    <w:rsid w:val="456F935C"/>
    <w:rsid w:val="4633D7AC"/>
    <w:rsid w:val="465E0A8D"/>
    <w:rsid w:val="46899CB1"/>
    <w:rsid w:val="46BAFAE9"/>
    <w:rsid w:val="46F5B6F5"/>
    <w:rsid w:val="4761B497"/>
    <w:rsid w:val="478B2C96"/>
    <w:rsid w:val="47B3A6D2"/>
    <w:rsid w:val="47E55C59"/>
    <w:rsid w:val="4810A419"/>
    <w:rsid w:val="4856CB4A"/>
    <w:rsid w:val="48A73A99"/>
    <w:rsid w:val="491132E9"/>
    <w:rsid w:val="49E606B9"/>
    <w:rsid w:val="4AA49D25"/>
    <w:rsid w:val="4AE5F7AA"/>
    <w:rsid w:val="4AF2FF73"/>
    <w:rsid w:val="4B221A6F"/>
    <w:rsid w:val="4B65EAD7"/>
    <w:rsid w:val="4B6A615F"/>
    <w:rsid w:val="4BA34E0C"/>
    <w:rsid w:val="4BB302A3"/>
    <w:rsid w:val="4C0B8E05"/>
    <w:rsid w:val="4C79892B"/>
    <w:rsid w:val="4D2A3C6D"/>
    <w:rsid w:val="4D91D3B5"/>
    <w:rsid w:val="4DA5E3D1"/>
    <w:rsid w:val="4DA7E6A7"/>
    <w:rsid w:val="4E35B7E1"/>
    <w:rsid w:val="4E769228"/>
    <w:rsid w:val="4EEFCADA"/>
    <w:rsid w:val="4F077428"/>
    <w:rsid w:val="4F10DD2F"/>
    <w:rsid w:val="4F43B708"/>
    <w:rsid w:val="500CDA59"/>
    <w:rsid w:val="505F61CC"/>
    <w:rsid w:val="50707440"/>
    <w:rsid w:val="50C6B064"/>
    <w:rsid w:val="51000320"/>
    <w:rsid w:val="5139FC62"/>
    <w:rsid w:val="517DC461"/>
    <w:rsid w:val="520597D6"/>
    <w:rsid w:val="52375947"/>
    <w:rsid w:val="52BB1E3A"/>
    <w:rsid w:val="5416631E"/>
    <w:rsid w:val="545874C7"/>
    <w:rsid w:val="54B13133"/>
    <w:rsid w:val="55443B85"/>
    <w:rsid w:val="55573490"/>
    <w:rsid w:val="56B4F761"/>
    <w:rsid w:val="56DA651C"/>
    <w:rsid w:val="56F64F0E"/>
    <w:rsid w:val="570D2BB8"/>
    <w:rsid w:val="571A194A"/>
    <w:rsid w:val="571A5565"/>
    <w:rsid w:val="573131A4"/>
    <w:rsid w:val="5791F4A6"/>
    <w:rsid w:val="57FDC21C"/>
    <w:rsid w:val="58132E34"/>
    <w:rsid w:val="582F3999"/>
    <w:rsid w:val="5876357D"/>
    <w:rsid w:val="58857EFE"/>
    <w:rsid w:val="58BCD62E"/>
    <w:rsid w:val="58D6C2D7"/>
    <w:rsid w:val="59373E2E"/>
    <w:rsid w:val="593F5657"/>
    <w:rsid w:val="598B5E1D"/>
    <w:rsid w:val="59ADF6F1"/>
    <w:rsid w:val="59CF0A32"/>
    <w:rsid w:val="59FE2E29"/>
    <w:rsid w:val="5A32B48A"/>
    <w:rsid w:val="5A8D8E0F"/>
    <w:rsid w:val="5AA112FA"/>
    <w:rsid w:val="5AD90A31"/>
    <w:rsid w:val="5ADB9236"/>
    <w:rsid w:val="5AE411A2"/>
    <w:rsid w:val="5B917A87"/>
    <w:rsid w:val="5C064823"/>
    <w:rsid w:val="5C524110"/>
    <w:rsid w:val="5C5DD133"/>
    <w:rsid w:val="5C648CAF"/>
    <w:rsid w:val="5C79DC07"/>
    <w:rsid w:val="5D306417"/>
    <w:rsid w:val="5DF93A5D"/>
    <w:rsid w:val="5E18BE15"/>
    <w:rsid w:val="5E4384E6"/>
    <w:rsid w:val="5EF3C68A"/>
    <w:rsid w:val="5F6B078A"/>
    <w:rsid w:val="5FB44FCB"/>
    <w:rsid w:val="5FB72B3D"/>
    <w:rsid w:val="5FE5F26D"/>
    <w:rsid w:val="5FF5E424"/>
    <w:rsid w:val="604F90B1"/>
    <w:rsid w:val="60841041"/>
    <w:rsid w:val="60BB2591"/>
    <w:rsid w:val="61CDA83F"/>
    <w:rsid w:val="62EE6BF0"/>
    <w:rsid w:val="63BC62C6"/>
    <w:rsid w:val="6490BB93"/>
    <w:rsid w:val="64B193AB"/>
    <w:rsid w:val="64B983A3"/>
    <w:rsid w:val="64C6236C"/>
    <w:rsid w:val="65DFAF15"/>
    <w:rsid w:val="6629592B"/>
    <w:rsid w:val="668A3862"/>
    <w:rsid w:val="6690451C"/>
    <w:rsid w:val="66D80E2C"/>
    <w:rsid w:val="66DE521A"/>
    <w:rsid w:val="66F6F8E4"/>
    <w:rsid w:val="67120123"/>
    <w:rsid w:val="6729DFB0"/>
    <w:rsid w:val="674EA196"/>
    <w:rsid w:val="67BE7178"/>
    <w:rsid w:val="67BF61B0"/>
    <w:rsid w:val="67CE173F"/>
    <w:rsid w:val="681F5D04"/>
    <w:rsid w:val="69BDD05C"/>
    <w:rsid w:val="69D8B06B"/>
    <w:rsid w:val="69E99DBB"/>
    <w:rsid w:val="6A2FAFF7"/>
    <w:rsid w:val="6A4BFA35"/>
    <w:rsid w:val="6ADD9525"/>
    <w:rsid w:val="6AFE1BB1"/>
    <w:rsid w:val="6B7BE103"/>
    <w:rsid w:val="6BC9B7A9"/>
    <w:rsid w:val="6C267483"/>
    <w:rsid w:val="6C8CA6AB"/>
    <w:rsid w:val="6CA5BE6D"/>
    <w:rsid w:val="6D49D090"/>
    <w:rsid w:val="6D5F226A"/>
    <w:rsid w:val="6D8EC961"/>
    <w:rsid w:val="6D9686DF"/>
    <w:rsid w:val="6E44F146"/>
    <w:rsid w:val="6E4BD2A8"/>
    <w:rsid w:val="6EB4165C"/>
    <w:rsid w:val="6EC9ADDB"/>
    <w:rsid w:val="6F445E41"/>
    <w:rsid w:val="6FD2740E"/>
    <w:rsid w:val="702EC17D"/>
    <w:rsid w:val="70C05BB6"/>
    <w:rsid w:val="7111648E"/>
    <w:rsid w:val="7121CFAB"/>
    <w:rsid w:val="7189AAE5"/>
    <w:rsid w:val="71C11C2E"/>
    <w:rsid w:val="71C34FE6"/>
    <w:rsid w:val="71FEA72B"/>
    <w:rsid w:val="728A6695"/>
    <w:rsid w:val="72B6AC5E"/>
    <w:rsid w:val="72F71066"/>
    <w:rsid w:val="7343A21D"/>
    <w:rsid w:val="73571583"/>
    <w:rsid w:val="737D939B"/>
    <w:rsid w:val="739F4E62"/>
    <w:rsid w:val="73BDD117"/>
    <w:rsid w:val="73C6E5C8"/>
    <w:rsid w:val="73CD1A98"/>
    <w:rsid w:val="741BBDFE"/>
    <w:rsid w:val="743B7B2C"/>
    <w:rsid w:val="746CECC6"/>
    <w:rsid w:val="7484397B"/>
    <w:rsid w:val="74887C6C"/>
    <w:rsid w:val="74D53BB6"/>
    <w:rsid w:val="75413737"/>
    <w:rsid w:val="75CA18A7"/>
    <w:rsid w:val="75E72DA6"/>
    <w:rsid w:val="75EC8D77"/>
    <w:rsid w:val="7601271B"/>
    <w:rsid w:val="7601DD71"/>
    <w:rsid w:val="76291B2D"/>
    <w:rsid w:val="76320732"/>
    <w:rsid w:val="774EAA77"/>
    <w:rsid w:val="77C4EB8E"/>
    <w:rsid w:val="784EEB3F"/>
    <w:rsid w:val="785CE502"/>
    <w:rsid w:val="78AF9C7E"/>
    <w:rsid w:val="78C6A23F"/>
    <w:rsid w:val="78CBF4E3"/>
    <w:rsid w:val="78F80D06"/>
    <w:rsid w:val="78FD667D"/>
    <w:rsid w:val="7A9FA877"/>
    <w:rsid w:val="7AE9BDE2"/>
    <w:rsid w:val="7B006D4E"/>
    <w:rsid w:val="7B2794BD"/>
    <w:rsid w:val="7B5D2BFE"/>
    <w:rsid w:val="7B6BB0B2"/>
    <w:rsid w:val="7B70EC11"/>
    <w:rsid w:val="7B8EAF41"/>
    <w:rsid w:val="7BE36C28"/>
    <w:rsid w:val="7C3E6127"/>
    <w:rsid w:val="7C72D0E2"/>
    <w:rsid w:val="7C760644"/>
    <w:rsid w:val="7CD67BD8"/>
    <w:rsid w:val="7D27BC7D"/>
    <w:rsid w:val="7D64B35D"/>
    <w:rsid w:val="7D7AEF29"/>
    <w:rsid w:val="7D7F3AEB"/>
    <w:rsid w:val="7DC5D981"/>
    <w:rsid w:val="7DCCAC3C"/>
    <w:rsid w:val="7DFB7508"/>
    <w:rsid w:val="7E18D04C"/>
    <w:rsid w:val="7E215EA4"/>
    <w:rsid w:val="7E21E64F"/>
    <w:rsid w:val="7EA2798C"/>
    <w:rsid w:val="7ECC2A0A"/>
    <w:rsid w:val="7ED21E43"/>
    <w:rsid w:val="7EFA45BB"/>
    <w:rsid w:val="7FB60414"/>
    <w:rsid w:val="7FBAC68D"/>
    <w:rsid w:val="7FE7EC28"/>
    <w:rsid w:val="7FECA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C6BE"/>
  <w15:chartTrackingRefBased/>
  <w15:docId w15:val="{69D950B7-C82D-4706-836E-F0D80018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F0"/>
    <w:pPr>
      <w:spacing w:after="24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FF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21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(2)"/>
    <w:basedOn w:val="Normal"/>
    <w:rsid w:val="00CC1860"/>
    <w:pPr>
      <w:spacing w:before="2400" w:after="0" w:line="600" w:lineRule="exact"/>
    </w:pPr>
    <w:rPr>
      <w:rFonts w:ascii="Myriad Pro" w:hAnsi="Myriad Pro"/>
      <w:color w:val="2F5496" w:themeColor="accent1" w:themeShade="BF"/>
      <w:sz w:val="60"/>
      <w:szCs w:val="60"/>
      <w:lang w:val="en-US"/>
    </w:rPr>
  </w:style>
  <w:style w:type="paragraph" w:styleId="NoSpacing">
    <w:name w:val="No Spacing"/>
    <w:link w:val="NoSpacingChar"/>
    <w:uiPriority w:val="1"/>
    <w:qFormat/>
    <w:rsid w:val="00ED6C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6CB5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2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45C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6C3"/>
    <w:pPr>
      <w:tabs>
        <w:tab w:val="right" w:leader="dot" w:pos="9016"/>
      </w:tabs>
      <w:spacing w:after="10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A045C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9D3685"/>
    <w:pPr>
      <w:spacing w:after="100"/>
      <w:ind w:left="220"/>
    </w:pPr>
  </w:style>
  <w:style w:type="paragraph" w:customStyle="1" w:styleId="Tabletext">
    <w:name w:val="Table text"/>
    <w:link w:val="TabletextChar"/>
    <w:qFormat/>
    <w:rsid w:val="00C32B9A"/>
    <w:pPr>
      <w:spacing w:before="240"/>
      <w:jc w:val="center"/>
    </w:pPr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66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145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8A2175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A2175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table" w:styleId="PlainTable1">
    <w:name w:val="Plain Table 1"/>
    <w:basedOn w:val="TableNormal"/>
    <w:uiPriority w:val="41"/>
    <w:rsid w:val="00F45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C32B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7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D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D9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D97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7C9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TabletextChar">
    <w:name w:val="Table text Char"/>
    <w:basedOn w:val="DefaultParagraphFont"/>
    <w:link w:val="Tabletext"/>
    <w:rsid w:val="00C32B9A"/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931C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07A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3B2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185FF0"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unhideWhenUsed/>
    <w:rsid w:val="00185FF0"/>
    <w:pPr>
      <w:numPr>
        <w:numId w:val="1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85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E08E1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8E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8E1"/>
    <w:rPr>
      <w:vertAlign w:val="superscript"/>
    </w:rPr>
  </w:style>
  <w:style w:type="table" w:styleId="ListTable6Colorful-Accent5">
    <w:name w:val="List Table 6 Colorful Accent 5"/>
    <w:basedOn w:val="TableNormal"/>
    <w:uiPriority w:val="51"/>
    <w:rsid w:val="00AE57B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">
    <w:name w:val="List Table 6 Colorful"/>
    <w:basedOn w:val="TableNormal"/>
    <w:uiPriority w:val="51"/>
    <w:rsid w:val="00AE57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0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B707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52C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5D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52C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5D1"/>
    <w:rPr>
      <w:rFonts w:eastAsia="Times New Roman" w:cs="Times New Roman"/>
      <w:szCs w:val="20"/>
    </w:rPr>
  </w:style>
  <w:style w:type="paragraph" w:customStyle="1" w:styleId="Default">
    <w:name w:val="Default"/>
    <w:basedOn w:val="Normal"/>
    <w:rsid w:val="008E72F8"/>
    <w:pPr>
      <w:autoSpaceDE w:val="0"/>
      <w:autoSpaceDN w:val="0"/>
      <w:spacing w:after="0"/>
    </w:pPr>
    <w:rPr>
      <w:rFonts w:ascii="Times New Roman" w:eastAsiaTheme="minorHAnsi" w:hAnsi="Times New Roman"/>
      <w:color w:val="000000"/>
      <w:sz w:val="24"/>
      <w:szCs w:val="24"/>
      <w:lang w:eastAsia="en-AU"/>
    </w:rPr>
  </w:style>
  <w:style w:type="paragraph" w:styleId="ListNumber2">
    <w:name w:val="List Number 2"/>
    <w:basedOn w:val="Normal"/>
    <w:uiPriority w:val="99"/>
    <w:unhideWhenUsed/>
    <w:rsid w:val="00185FF0"/>
    <w:pPr>
      <w:numPr>
        <w:numId w:val="20"/>
      </w:numPr>
      <w:contextualSpacing/>
    </w:pPr>
  </w:style>
  <w:style w:type="paragraph" w:styleId="Title">
    <w:name w:val="Title"/>
    <w:next w:val="Normal"/>
    <w:link w:val="TitleChar"/>
    <w:uiPriority w:val="10"/>
    <w:qFormat/>
    <w:rsid w:val="00CC1860"/>
    <w:pPr>
      <w:spacing w:before="120" w:after="12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860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185FF0"/>
    <w:pPr>
      <w:numPr>
        <w:ilvl w:val="1"/>
      </w:numPr>
      <w:spacing w:after="160" w:line="276" w:lineRule="auto"/>
      <w:outlineLvl w:val="9"/>
    </w:pPr>
    <w:rPr>
      <w:rFonts w:eastAsiaTheme="minorEastAsia" w:cstheme="minorBidi"/>
      <w:color w:val="FFFFFF" w:themeColor="background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5FF0"/>
    <w:rPr>
      <w:rFonts w:asciiTheme="majorHAnsi" w:eastAsiaTheme="minorEastAsia" w:hAnsiTheme="majorHAnsi"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Health.Secretariat@health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ommittees-and-groups/enheal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B68D7196E647A4AEBA7AB6226350" ma:contentTypeVersion="10" ma:contentTypeDescription="Create a new document." ma:contentTypeScope="" ma:versionID="1bd018bcef3314d9fa71e26be9c02a8e">
  <xsd:schema xmlns:xsd="http://www.w3.org/2001/XMLSchema" xmlns:xs="http://www.w3.org/2001/XMLSchema" xmlns:p="http://schemas.microsoft.com/office/2006/metadata/properties" xmlns:ns2="b2db6d00-a5ee-4c7a-84c8-0f258acc4987" xmlns:ns3="3dd18265-326c-4663-9a51-69c1b30ad054" targetNamespace="http://schemas.microsoft.com/office/2006/metadata/properties" ma:root="true" ma:fieldsID="116f91493463e927adcfc7c2eef1082a" ns2:_="" ns3:_="">
    <xsd:import namespace="b2db6d00-a5ee-4c7a-84c8-0f258acc4987"/>
    <xsd:import namespace="3dd18265-326c-4663-9a51-69c1b30a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6d00-a5ee-4c7a-84c8-0f258acc4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8265-326c-4663-9a51-69c1b30a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dc55f2-6790-435c-a872-0eed07632581}" ma:internalName="TaxCatchAll" ma:showField="CatchAllData" ma:web="3dd18265-326c-4663-9a51-69c1b30ad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18265-326c-4663-9a51-69c1b30ad054" xsi:nil="true"/>
    <lcf76f155ced4ddcb4097134ff3c332f xmlns="b2db6d00-a5ee-4c7a-84c8-0f258acc49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21456-4F80-4AA6-A51B-F2E2D5C65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3D1F5-9DE8-4D1C-BEF4-26DCDBBC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b6d00-a5ee-4c7a-84c8-0f258acc4987"/>
    <ds:schemaRef ds:uri="3dd18265-326c-4663-9a51-69c1b30a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6A1D2-365A-45F6-AB2A-6799F2965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19BA8-8437-4A42-A2BF-1A216BD63728}">
  <ds:schemaRefs>
    <ds:schemaRef ds:uri="http://schemas.microsoft.com/office/2006/metadata/properties"/>
    <ds:schemaRef ds:uri="http://schemas.microsoft.com/office/infopath/2007/PartnerControls"/>
    <ds:schemaRef ds:uri="3dd18265-326c-4663-9a51-69c1b30ad054"/>
    <ds:schemaRef ds:uri="b2db6d00-a5ee-4c7a-84c8-0f258acc4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727</Words>
  <Characters>4562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enHealth – Work Plan (2024-27)</dc:title>
  <dc:subject>Environment health</dc:subject>
  <dc:creator>Australian Government Department of Health and Aged Care </dc:creator>
  <cp:keywords/>
  <dc:description/>
  <cp:lastModifiedBy>Australian Government Department of Health and Aged </cp:lastModifiedBy>
  <cp:revision>8</cp:revision>
  <dcterms:created xsi:type="dcterms:W3CDTF">2024-07-04T00:09:00Z</dcterms:created>
  <dcterms:modified xsi:type="dcterms:W3CDTF">2024-07-04T00:44:00Z</dcterms:modified>
</cp:coreProperties>
</file>