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D52D" w14:textId="498D4021" w:rsidR="00112F09" w:rsidRPr="003A60EF" w:rsidRDefault="003A60EF" w:rsidP="005B0FBF">
      <w:pPr>
        <w:pStyle w:val="Heading1"/>
        <w:keepNext w:val="0"/>
        <w:keepLines w:val="0"/>
        <w:spacing w:before="0" w:after="160" w:line="240" w:lineRule="auto"/>
        <w:rPr>
          <w:rFonts w:asciiTheme="minorHAnsi" w:eastAsiaTheme="minorEastAsia" w:hAnsiTheme="minorHAnsi" w:cstheme="minorHAnsi"/>
          <w:b w:val="0"/>
          <w:bCs w:val="0"/>
          <w:color w:val="44546A" w:themeColor="text2"/>
          <w:sz w:val="48"/>
          <w:szCs w:val="48"/>
        </w:rPr>
      </w:pPr>
      <w:r w:rsidRPr="003A60EF">
        <w:rPr>
          <w:rFonts w:asciiTheme="minorHAnsi" w:eastAsiaTheme="minorEastAsia" w:hAnsiTheme="minorHAnsi" w:cstheme="minorHAnsi"/>
          <w:b w:val="0"/>
          <w:bCs w:val="0"/>
          <w:noProof/>
          <w:color w:val="44546A" w:themeColor="text2"/>
          <w:sz w:val="48"/>
          <w:szCs w:val="48"/>
        </w:rPr>
        <w:drawing>
          <wp:anchor distT="0" distB="0" distL="114300" distR="114300" simplePos="0" relativeHeight="251659264" behindDoc="1" locked="0" layoutInCell="1" allowOverlap="1" wp14:anchorId="1A6B2780" wp14:editId="55C58AA2">
            <wp:simplePos x="0" y="0"/>
            <wp:positionH relativeFrom="margin">
              <wp:posOffset>-321733</wp:posOffset>
            </wp:positionH>
            <wp:positionV relativeFrom="paragraph">
              <wp:posOffset>212</wp:posOffset>
            </wp:positionV>
            <wp:extent cx="5759450" cy="941705"/>
            <wp:effectExtent l="0" t="0" r="0" b="0"/>
            <wp:wrapTight wrapText="bothSides">
              <wp:wrapPolygon edited="0">
                <wp:start x="0" y="874"/>
                <wp:lineTo x="0" y="20974"/>
                <wp:lineTo x="21505" y="20974"/>
                <wp:lineTo x="21505" y="874"/>
                <wp:lineTo x="0" y="874"/>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anchor>
        </w:drawing>
      </w:r>
      <w:r w:rsidR="00112F09" w:rsidRPr="003A60EF">
        <w:rPr>
          <w:rFonts w:asciiTheme="minorHAnsi" w:eastAsiaTheme="minorEastAsia" w:hAnsiTheme="minorHAnsi" w:cstheme="minorHAnsi"/>
          <w:b w:val="0"/>
          <w:bCs w:val="0"/>
          <w:color w:val="44546A" w:themeColor="text2"/>
          <w:sz w:val="48"/>
          <w:szCs w:val="48"/>
        </w:rPr>
        <w:t>Better Access Evaluation Methodology</w:t>
      </w:r>
    </w:p>
    <w:p w14:paraId="59060F3A" w14:textId="600AA931" w:rsidR="00112F09" w:rsidRPr="00012451" w:rsidRDefault="003A60EF" w:rsidP="00112F09">
      <w:pPr>
        <w:shd w:val="clear" w:color="auto" w:fill="FFFFFF"/>
        <w:spacing w:before="100" w:beforeAutospacing="1" w:after="100" w:afterAutospacing="1" w:line="240" w:lineRule="auto"/>
        <w:rPr>
          <w:rFonts w:eastAsia="Times New Roman" w:cs="Segoe UI"/>
          <w:color w:val="313131"/>
          <w:lang w:eastAsia="en-AU"/>
        </w:rPr>
      </w:pPr>
      <w:r>
        <w:rPr>
          <w:rFonts w:eastAsia="Times New Roman" w:cs="Segoe UI"/>
          <w:color w:val="313131"/>
          <w:lang w:eastAsia="en-AU"/>
        </w:rPr>
        <w:t>T</w:t>
      </w:r>
      <w:r w:rsidR="00112F09" w:rsidRPr="00012451">
        <w:rPr>
          <w:rFonts w:eastAsia="Times New Roman" w:cs="Segoe UI"/>
          <w:color w:val="313131"/>
          <w:lang w:eastAsia="en-AU"/>
        </w:rPr>
        <w:t xml:space="preserve">he </w:t>
      </w:r>
      <w:r w:rsidR="00112F09">
        <w:rPr>
          <w:rFonts w:eastAsia="Times New Roman" w:cs="Segoe UI"/>
          <w:color w:val="313131"/>
          <w:lang w:eastAsia="en-AU"/>
        </w:rPr>
        <w:t xml:space="preserve">Better Access </w:t>
      </w:r>
      <w:r w:rsidR="00112F09" w:rsidRPr="00012451">
        <w:rPr>
          <w:rFonts w:eastAsia="Times New Roman" w:cs="Segoe UI"/>
          <w:color w:val="313131"/>
          <w:lang w:eastAsia="en-AU"/>
        </w:rPr>
        <w:t xml:space="preserve">evaluation </w:t>
      </w:r>
      <w:r>
        <w:rPr>
          <w:rFonts w:eastAsia="Times New Roman" w:cs="Segoe UI"/>
          <w:color w:val="313131"/>
          <w:lang w:eastAsia="en-AU"/>
        </w:rPr>
        <w:t>took</w:t>
      </w:r>
      <w:r w:rsidR="00112F09" w:rsidRPr="00012451">
        <w:rPr>
          <w:rFonts w:eastAsia="Times New Roman" w:cs="Segoe UI"/>
          <w:color w:val="313131"/>
          <w:lang w:eastAsia="en-AU"/>
        </w:rPr>
        <w:t xml:space="preserve"> place in </w:t>
      </w:r>
      <w:r>
        <w:rPr>
          <w:rFonts w:eastAsia="Times New Roman" w:cs="Segoe UI"/>
          <w:color w:val="313131"/>
          <w:lang w:eastAsia="en-AU"/>
        </w:rPr>
        <w:t>two</w:t>
      </w:r>
      <w:r w:rsidR="00112F09" w:rsidRPr="00012451">
        <w:rPr>
          <w:rFonts w:eastAsia="Times New Roman" w:cs="Segoe UI"/>
          <w:color w:val="313131"/>
          <w:lang w:eastAsia="en-AU"/>
        </w:rPr>
        <w:t> stages</w:t>
      </w:r>
      <w:r>
        <w:rPr>
          <w:rFonts w:eastAsia="Times New Roman" w:cs="Segoe UI"/>
          <w:color w:val="313131"/>
          <w:lang w:eastAsia="en-AU"/>
        </w:rPr>
        <w:t xml:space="preserve"> across August 2021 to December 2022</w:t>
      </w:r>
      <w:r w:rsidR="00112F09" w:rsidRPr="00012451">
        <w:rPr>
          <w:rFonts w:eastAsia="Times New Roman" w:cs="Segoe UI"/>
          <w:color w:val="313131"/>
          <w:lang w:eastAsia="en-AU"/>
        </w:rPr>
        <w:t>:</w:t>
      </w:r>
    </w:p>
    <w:p w14:paraId="58831476" w14:textId="64CA274F" w:rsidR="00112F09" w:rsidRPr="00012451" w:rsidRDefault="003A60EF" w:rsidP="00112F09">
      <w:pPr>
        <w:numPr>
          <w:ilvl w:val="0"/>
          <w:numId w:val="5"/>
        </w:numPr>
        <w:shd w:val="clear" w:color="auto" w:fill="FFFFFF"/>
        <w:spacing w:before="100" w:beforeAutospacing="1" w:after="100" w:afterAutospacing="1" w:line="240" w:lineRule="auto"/>
        <w:ind w:left="540"/>
        <w:rPr>
          <w:rFonts w:eastAsia="Times New Roman" w:cs="Segoe UI"/>
          <w:color w:val="313131"/>
          <w:lang w:eastAsia="en-AU"/>
        </w:rPr>
      </w:pPr>
      <w:r>
        <w:rPr>
          <w:rFonts w:eastAsia="Times New Roman" w:cs="Segoe UI"/>
          <w:color w:val="313131"/>
          <w:lang w:eastAsia="en-AU"/>
        </w:rPr>
        <w:t>S</w:t>
      </w:r>
      <w:r w:rsidR="00112F09" w:rsidRPr="00012451">
        <w:rPr>
          <w:rFonts w:eastAsia="Times New Roman" w:cs="Segoe UI"/>
          <w:color w:val="313131"/>
          <w:lang w:eastAsia="en-AU"/>
        </w:rPr>
        <w:t xml:space="preserve">tage </w:t>
      </w:r>
      <w:r>
        <w:rPr>
          <w:rFonts w:eastAsia="Times New Roman" w:cs="Segoe UI"/>
          <w:color w:val="313131"/>
          <w:lang w:eastAsia="en-AU"/>
        </w:rPr>
        <w:t>one</w:t>
      </w:r>
      <w:r w:rsidR="00112F09" w:rsidRPr="00012451">
        <w:rPr>
          <w:rFonts w:eastAsia="Times New Roman" w:cs="Segoe UI"/>
          <w:color w:val="313131"/>
          <w:lang w:eastAsia="en-AU"/>
        </w:rPr>
        <w:t> look</w:t>
      </w:r>
      <w:r w:rsidR="00AE7641">
        <w:rPr>
          <w:rFonts w:eastAsia="Times New Roman" w:cs="Segoe UI"/>
          <w:color w:val="313131"/>
          <w:lang w:eastAsia="en-AU"/>
        </w:rPr>
        <w:t>ed</w:t>
      </w:r>
      <w:r w:rsidR="00112F09" w:rsidRPr="00012451">
        <w:rPr>
          <w:rFonts w:eastAsia="Times New Roman" w:cs="Segoe UI"/>
          <w:color w:val="313131"/>
          <w:lang w:eastAsia="en-AU"/>
        </w:rPr>
        <w:t xml:space="preserve"> at </w:t>
      </w:r>
      <w:r w:rsidR="00112F09">
        <w:rPr>
          <w:rFonts w:eastAsia="Times New Roman" w:cs="Segoe UI"/>
          <w:color w:val="313131"/>
          <w:lang w:eastAsia="en-AU"/>
        </w:rPr>
        <w:t>whether</w:t>
      </w:r>
      <w:r w:rsidR="00112F09" w:rsidRPr="00012451">
        <w:rPr>
          <w:rFonts w:eastAsia="Times New Roman" w:cs="Segoe UI"/>
          <w:color w:val="313131"/>
          <w:lang w:eastAsia="en-AU"/>
        </w:rPr>
        <w:t xml:space="preserve"> Better Access improves patient outcomes and increases access to mental health care</w:t>
      </w:r>
      <w:r>
        <w:rPr>
          <w:rFonts w:eastAsia="Times New Roman" w:cs="Segoe UI"/>
          <w:color w:val="313131"/>
          <w:lang w:eastAsia="en-AU"/>
        </w:rPr>
        <w:t>.</w:t>
      </w:r>
    </w:p>
    <w:p w14:paraId="37B4DE64" w14:textId="724BE62C" w:rsidR="00112F09" w:rsidRPr="0093462D" w:rsidRDefault="003A60EF" w:rsidP="00112F09">
      <w:pPr>
        <w:numPr>
          <w:ilvl w:val="0"/>
          <w:numId w:val="5"/>
        </w:numPr>
        <w:shd w:val="clear" w:color="auto" w:fill="FFFFFF"/>
        <w:spacing w:before="100" w:beforeAutospacing="1" w:after="100" w:afterAutospacing="1" w:line="240" w:lineRule="auto"/>
        <w:ind w:left="540"/>
        <w:rPr>
          <w:rFonts w:eastAsia="Times New Roman" w:cs="Segoe UI"/>
          <w:color w:val="313131"/>
          <w:lang w:eastAsia="en-AU"/>
        </w:rPr>
      </w:pPr>
      <w:r>
        <w:rPr>
          <w:rFonts w:eastAsia="Times New Roman" w:cs="Segoe UI"/>
          <w:color w:val="313131"/>
          <w:lang w:eastAsia="en-AU"/>
        </w:rPr>
        <w:t>S</w:t>
      </w:r>
      <w:r w:rsidR="00112F09" w:rsidRPr="0093462D">
        <w:rPr>
          <w:rFonts w:eastAsia="Times New Roman" w:cs="Segoe UI"/>
          <w:color w:val="313131"/>
          <w:lang w:eastAsia="en-AU"/>
        </w:rPr>
        <w:t xml:space="preserve">tage </w:t>
      </w:r>
      <w:r>
        <w:rPr>
          <w:rFonts w:eastAsia="Times New Roman" w:cs="Segoe UI"/>
          <w:color w:val="313131"/>
          <w:lang w:eastAsia="en-AU"/>
        </w:rPr>
        <w:t>two</w:t>
      </w:r>
      <w:r w:rsidR="00112F09" w:rsidRPr="0093462D">
        <w:rPr>
          <w:rFonts w:eastAsia="Times New Roman" w:cs="Segoe UI"/>
          <w:color w:val="313131"/>
          <w:lang w:eastAsia="en-AU"/>
        </w:rPr>
        <w:t> </w:t>
      </w:r>
      <w:r w:rsidR="00A708B3">
        <w:rPr>
          <w:rFonts w:eastAsia="Times New Roman" w:cs="Segoe UI"/>
          <w:color w:val="313131"/>
          <w:lang w:eastAsia="en-AU"/>
        </w:rPr>
        <w:t>assess</w:t>
      </w:r>
      <w:r w:rsidR="00AE7641">
        <w:rPr>
          <w:rFonts w:eastAsia="Times New Roman" w:cs="Segoe UI"/>
          <w:color w:val="313131"/>
          <w:lang w:eastAsia="en-AU"/>
        </w:rPr>
        <w:t>ed</w:t>
      </w:r>
      <w:r w:rsidR="00A708B3">
        <w:rPr>
          <w:rFonts w:eastAsia="Times New Roman" w:cs="Segoe UI"/>
          <w:color w:val="313131"/>
          <w:lang w:eastAsia="en-AU"/>
        </w:rPr>
        <w:t xml:space="preserve"> </w:t>
      </w:r>
      <w:r w:rsidR="00C050C1">
        <w:rPr>
          <w:rFonts w:eastAsia="Times New Roman" w:cs="Segoe UI"/>
          <w:color w:val="313131"/>
          <w:lang w:eastAsia="en-AU"/>
        </w:rPr>
        <w:t>whether changes are needed to improve Better Access</w:t>
      </w:r>
      <w:r w:rsidR="00112F09" w:rsidRPr="0093462D">
        <w:rPr>
          <w:rFonts w:eastAsia="Times New Roman" w:cs="Segoe UI"/>
          <w:color w:val="313131"/>
          <w:lang w:eastAsia="en-AU"/>
        </w:rPr>
        <w:t>.</w:t>
      </w:r>
    </w:p>
    <w:p w14:paraId="30C46EE8" w14:textId="03F84B7A" w:rsidR="00112F09" w:rsidRDefault="00112F09" w:rsidP="00112F09">
      <w:pPr>
        <w:shd w:val="clear" w:color="auto" w:fill="FFFFFF"/>
        <w:spacing w:before="100" w:beforeAutospacing="1" w:after="100" w:afterAutospacing="1" w:line="240" w:lineRule="auto"/>
        <w:rPr>
          <w:rFonts w:eastAsia="Times New Roman" w:cs="Segoe UI"/>
          <w:color w:val="313131"/>
          <w:lang w:eastAsia="en-AU"/>
        </w:rPr>
      </w:pPr>
      <w:r w:rsidRPr="00012451">
        <w:rPr>
          <w:rFonts w:eastAsia="Times New Roman" w:cs="Segoe UI"/>
          <w:color w:val="313131"/>
          <w:lang w:eastAsia="en-AU"/>
        </w:rPr>
        <w:t xml:space="preserve">The </w:t>
      </w:r>
      <w:r>
        <w:rPr>
          <w:rFonts w:eastAsia="Times New Roman" w:cs="Segoe UI"/>
          <w:color w:val="313131"/>
          <w:lang w:eastAsia="en-AU"/>
        </w:rPr>
        <w:t xml:space="preserve">evaluator, University of Melbourne, </w:t>
      </w:r>
      <w:r w:rsidRPr="00012451">
        <w:rPr>
          <w:rFonts w:eastAsia="Times New Roman" w:cs="Segoe UI"/>
          <w:color w:val="313131"/>
          <w:lang w:eastAsia="en-AU"/>
        </w:rPr>
        <w:t>use</w:t>
      </w:r>
      <w:r w:rsidR="00AE7641">
        <w:rPr>
          <w:rFonts w:eastAsia="Times New Roman" w:cs="Segoe UI"/>
          <w:color w:val="313131"/>
          <w:lang w:eastAsia="en-AU"/>
        </w:rPr>
        <w:t>d</w:t>
      </w:r>
      <w:r w:rsidRPr="00012451">
        <w:rPr>
          <w:rFonts w:eastAsia="Times New Roman" w:cs="Segoe UI"/>
          <w:color w:val="313131"/>
          <w:lang w:eastAsia="en-AU"/>
        </w:rPr>
        <w:t xml:space="preserve"> a mixed methods qualitative and quantitative approach to collect and analyse data through both stages of the evaluation.</w:t>
      </w:r>
      <w:r>
        <w:rPr>
          <w:rFonts w:eastAsia="Times New Roman" w:cs="Segoe UI"/>
          <w:color w:val="313131"/>
          <w:lang w:eastAsia="en-AU"/>
        </w:rPr>
        <w:t xml:space="preserve"> A total of nine studies </w:t>
      </w:r>
      <w:r w:rsidR="003A60EF">
        <w:rPr>
          <w:rFonts w:eastAsia="Times New Roman" w:cs="Segoe UI"/>
          <w:color w:val="313131"/>
          <w:lang w:eastAsia="en-AU"/>
        </w:rPr>
        <w:t>were</w:t>
      </w:r>
      <w:r>
        <w:rPr>
          <w:rFonts w:eastAsia="Times New Roman" w:cs="Segoe UI"/>
          <w:color w:val="313131"/>
          <w:lang w:eastAsia="en-AU"/>
        </w:rPr>
        <w:t xml:space="preserve"> conducted across the two stages.</w:t>
      </w:r>
    </w:p>
    <w:p w14:paraId="36C1120D" w14:textId="64BB9789" w:rsidR="0073108B" w:rsidRDefault="0073108B" w:rsidP="00112F09">
      <w:pPr>
        <w:shd w:val="clear" w:color="auto" w:fill="FFFFFF"/>
        <w:spacing w:before="100" w:beforeAutospacing="1" w:after="100" w:afterAutospacing="1" w:line="240" w:lineRule="auto"/>
        <w:rPr>
          <w:rFonts w:eastAsiaTheme="majorEastAsia" w:cstheme="majorBidi"/>
          <w:b/>
          <w:iCs/>
          <w:sz w:val="28"/>
          <w:szCs w:val="26"/>
        </w:rPr>
      </w:pPr>
      <w:r w:rsidRPr="0073108B">
        <w:rPr>
          <w:rFonts w:eastAsiaTheme="majorEastAsia" w:cstheme="majorBidi"/>
          <w:b/>
          <w:iCs/>
          <w:sz w:val="28"/>
          <w:szCs w:val="26"/>
        </w:rPr>
        <w:t>Outcomes of the Better Access evaluation</w:t>
      </w:r>
    </w:p>
    <w:p w14:paraId="3C798F65" w14:textId="2A98EA93" w:rsidR="003A60EF" w:rsidRDefault="0073108B" w:rsidP="003A60EF">
      <w:pPr>
        <w:spacing w:before="100" w:beforeAutospacing="1" w:after="100" w:afterAutospacing="1"/>
        <w:rPr>
          <w:rFonts w:eastAsia="Times New Roman" w:cs="Segoe UI"/>
          <w:color w:val="313131"/>
          <w:lang w:eastAsia="en-AU"/>
        </w:rPr>
      </w:pPr>
      <w:r w:rsidRPr="0073108B">
        <w:rPr>
          <w:rFonts w:eastAsia="Times New Roman" w:cs="Segoe UI"/>
          <w:color w:val="313131"/>
          <w:lang w:eastAsia="en-AU"/>
        </w:rPr>
        <w:t>A recent evaluation of the Better Access initiative found people who cannot afford out-of-pocket costs, who live outside major cities and First Nations people are missing out on M</w:t>
      </w:r>
      <w:r w:rsidR="009B1DBA">
        <w:rPr>
          <w:rFonts w:eastAsia="Times New Roman" w:cs="Segoe UI"/>
          <w:color w:val="313131"/>
          <w:lang w:eastAsia="en-AU"/>
        </w:rPr>
        <w:t xml:space="preserve">edical </w:t>
      </w:r>
      <w:r w:rsidRPr="0073108B">
        <w:rPr>
          <w:rFonts w:eastAsia="Times New Roman" w:cs="Segoe UI"/>
          <w:color w:val="313131"/>
          <w:lang w:eastAsia="en-AU"/>
        </w:rPr>
        <w:t>B</w:t>
      </w:r>
      <w:r w:rsidR="009B1DBA">
        <w:rPr>
          <w:rFonts w:eastAsia="Times New Roman" w:cs="Segoe UI"/>
          <w:color w:val="313131"/>
          <w:lang w:eastAsia="en-AU"/>
        </w:rPr>
        <w:t xml:space="preserve">enefits </w:t>
      </w:r>
      <w:r w:rsidRPr="0073108B">
        <w:rPr>
          <w:rFonts w:eastAsia="Times New Roman" w:cs="Segoe UI"/>
          <w:color w:val="313131"/>
          <w:lang w:eastAsia="en-AU"/>
        </w:rPr>
        <w:t>S</w:t>
      </w:r>
      <w:r w:rsidR="009B1DBA">
        <w:rPr>
          <w:rFonts w:eastAsia="Times New Roman" w:cs="Segoe UI"/>
          <w:color w:val="313131"/>
          <w:lang w:eastAsia="en-AU"/>
        </w:rPr>
        <w:t>chedule (MBS)</w:t>
      </w:r>
      <w:r w:rsidR="00055F8C">
        <w:rPr>
          <w:rFonts w:eastAsia="Times New Roman" w:cs="Segoe UI"/>
          <w:color w:val="313131"/>
          <w:lang w:eastAsia="en-AU"/>
        </w:rPr>
        <w:t xml:space="preserve"> </w:t>
      </w:r>
      <w:r w:rsidRPr="0073108B">
        <w:rPr>
          <w:rFonts w:eastAsia="Times New Roman" w:cs="Segoe UI"/>
          <w:color w:val="313131"/>
          <w:lang w:eastAsia="en-AU"/>
        </w:rPr>
        <w:t xml:space="preserve">subsidised mental health care. </w:t>
      </w:r>
      <w:r w:rsidR="00055F8C">
        <w:rPr>
          <w:rFonts w:eastAsia="Times New Roman" w:cs="Segoe UI"/>
          <w:color w:val="313131"/>
          <w:lang w:eastAsia="en-AU"/>
        </w:rPr>
        <w:t xml:space="preserve">In response to </w:t>
      </w:r>
      <w:r w:rsidRPr="0073108B">
        <w:rPr>
          <w:rFonts w:eastAsia="Times New Roman" w:cs="Segoe UI"/>
          <w:color w:val="313131"/>
          <w:lang w:eastAsia="en-AU"/>
        </w:rPr>
        <w:t xml:space="preserve">the </w:t>
      </w:r>
      <w:r w:rsidR="00055F8C">
        <w:rPr>
          <w:rFonts w:eastAsia="Times New Roman" w:cs="Segoe UI"/>
          <w:color w:val="313131"/>
          <w:lang w:eastAsia="en-AU"/>
        </w:rPr>
        <w:t xml:space="preserve">Evaluation, the </w:t>
      </w:r>
      <w:r w:rsidRPr="0073108B">
        <w:rPr>
          <w:rFonts w:eastAsia="Times New Roman" w:cs="Segoe UI"/>
          <w:color w:val="313131"/>
          <w:lang w:eastAsia="en-AU"/>
        </w:rPr>
        <w:t>Minister for Health and Aged Care, the Hon Mark Butler MP, established a Mental Health Reform Advisory Committee (Advisory Committee)</w:t>
      </w:r>
      <w:r w:rsidR="00055F8C">
        <w:rPr>
          <w:rFonts w:eastAsia="Times New Roman" w:cs="Segoe UI"/>
          <w:color w:val="313131"/>
          <w:lang w:eastAsia="en-AU"/>
        </w:rPr>
        <w:t xml:space="preserve"> in 2023</w:t>
      </w:r>
      <w:r w:rsidRPr="0073108B">
        <w:rPr>
          <w:rFonts w:eastAsia="Times New Roman" w:cs="Segoe UI"/>
          <w:color w:val="313131"/>
          <w:lang w:eastAsia="en-AU"/>
        </w:rPr>
        <w:t xml:space="preserve"> to help shape the Government’s response to the Better Access evaluation and longer-term mental health reforms. You can read more about the Advisory Committee at: </w:t>
      </w:r>
      <w:hyperlink r:id="rId9" w:history="1">
        <w:r w:rsidR="003A60EF" w:rsidRPr="0046060B">
          <w:rPr>
            <w:rStyle w:val="Hyperlink"/>
          </w:rPr>
          <w:t>www.health.gov.au/Mental Health Reform Advisory Committee</w:t>
        </w:r>
      </w:hyperlink>
      <w:r w:rsidR="003A60EF">
        <w:rPr>
          <w:rFonts w:eastAsia="Times New Roman" w:cs="Segoe UI"/>
          <w:color w:val="313131"/>
          <w:lang w:eastAsia="en-AU"/>
        </w:rPr>
        <w:t xml:space="preserve"> </w:t>
      </w:r>
    </w:p>
    <w:p w14:paraId="0BB142E8" w14:textId="211B43DE" w:rsidR="0073108B" w:rsidRPr="0073108B" w:rsidRDefault="0073108B" w:rsidP="00055F8C">
      <w:pPr>
        <w:shd w:val="clear" w:color="auto" w:fill="FFFFFF"/>
        <w:spacing w:before="100" w:beforeAutospacing="1" w:after="100" w:afterAutospacing="1" w:line="240" w:lineRule="auto"/>
        <w:rPr>
          <w:rFonts w:eastAsia="Times New Roman" w:cs="Segoe UI"/>
          <w:color w:val="313131"/>
          <w:lang w:eastAsia="en-AU"/>
        </w:rPr>
      </w:pPr>
      <w:r w:rsidRPr="0073108B">
        <w:rPr>
          <w:rFonts w:eastAsia="Times New Roman" w:cs="Segoe UI"/>
          <w:color w:val="313131"/>
          <w:lang w:eastAsia="en-AU"/>
        </w:rPr>
        <w:t>Importantly, the Advisory Committee's work builds on extensive consultation with the mental health sector and people with lived experience during and after the evaluation of the Better Access initiative, including through the Stakeholder Engagement Group established to support the evaluation and the Mental Health Equity and Access Forum in January 2023.</w:t>
      </w:r>
    </w:p>
    <w:p w14:paraId="28A495A9" w14:textId="6FE6F8AB" w:rsidR="00112F09" w:rsidRDefault="00112F09" w:rsidP="00896E08">
      <w:pPr>
        <w:pStyle w:val="Heading2"/>
        <w:spacing w:after="0"/>
        <w:rPr>
          <w:rFonts w:eastAsia="Times New Roman"/>
          <w:lang w:eastAsia="en-AU"/>
        </w:rPr>
      </w:pPr>
      <w:r>
        <w:rPr>
          <w:rFonts w:eastAsia="Times New Roman"/>
          <w:lang w:eastAsia="en-AU"/>
        </w:rPr>
        <w:t>Stage one</w:t>
      </w:r>
    </w:p>
    <w:p w14:paraId="0ADE99C2" w14:textId="60A10FFB" w:rsidR="00896E08" w:rsidRDefault="00896E08" w:rsidP="00896E08">
      <w:pPr>
        <w:pStyle w:val="Subtitle"/>
        <w:rPr>
          <w:rStyle w:val="SubtleEmphasis"/>
        </w:rPr>
      </w:pPr>
      <w:r w:rsidRPr="00896E08">
        <w:rPr>
          <w:rStyle w:val="SubtleEmphasis"/>
        </w:rPr>
        <w:t xml:space="preserve">Stage one </w:t>
      </w:r>
      <w:r>
        <w:rPr>
          <w:rStyle w:val="SubtleEmphasis"/>
        </w:rPr>
        <w:t>include</w:t>
      </w:r>
      <w:r w:rsidR="00AE7641">
        <w:rPr>
          <w:rStyle w:val="SubtleEmphasis"/>
        </w:rPr>
        <w:t>d</w:t>
      </w:r>
      <w:r>
        <w:rPr>
          <w:rStyle w:val="SubtleEmphasis"/>
        </w:rPr>
        <w:t xml:space="preserve"> </w:t>
      </w:r>
      <w:r w:rsidR="00CD75C7">
        <w:rPr>
          <w:rStyle w:val="SubtleEmphasis"/>
        </w:rPr>
        <w:t xml:space="preserve">7 </w:t>
      </w:r>
      <w:proofErr w:type="gramStart"/>
      <w:r>
        <w:rPr>
          <w:rStyle w:val="SubtleEmphasis"/>
        </w:rPr>
        <w:t>studies,</w:t>
      </w:r>
      <w:r w:rsidR="00AE7641">
        <w:rPr>
          <w:rStyle w:val="SubtleEmphasis"/>
        </w:rPr>
        <w:t xml:space="preserve"> and</w:t>
      </w:r>
      <w:proofErr w:type="gramEnd"/>
      <w:r>
        <w:rPr>
          <w:rStyle w:val="SubtleEmphasis"/>
        </w:rPr>
        <w:t xml:space="preserve"> </w:t>
      </w:r>
      <w:r w:rsidR="00AE7641">
        <w:rPr>
          <w:rStyle w:val="SubtleEmphasis"/>
        </w:rPr>
        <w:t>took</w:t>
      </w:r>
      <w:r w:rsidRPr="00896E08">
        <w:rPr>
          <w:rStyle w:val="SubtleEmphasis"/>
        </w:rPr>
        <w:t xml:space="preserve"> place </w:t>
      </w:r>
      <w:r w:rsidRPr="009E1CF8">
        <w:rPr>
          <w:rStyle w:val="SubtleEmphasis"/>
        </w:rPr>
        <w:t xml:space="preserve">between approximately August 2021 and </w:t>
      </w:r>
      <w:r w:rsidR="00A708B3">
        <w:rPr>
          <w:rStyle w:val="SubtleEmphasis"/>
        </w:rPr>
        <w:t>September</w:t>
      </w:r>
      <w:r w:rsidRPr="009E1CF8">
        <w:rPr>
          <w:rStyle w:val="SubtleEmphasis"/>
        </w:rPr>
        <w:t xml:space="preserve"> 2022.</w:t>
      </w:r>
      <w:r w:rsidRPr="00896E08">
        <w:rPr>
          <w:rStyle w:val="SubtleEmphasis"/>
        </w:rPr>
        <w:t xml:space="preserve"> </w:t>
      </w:r>
    </w:p>
    <w:p w14:paraId="4D0E4E15" w14:textId="77777777" w:rsidR="00112F09" w:rsidRDefault="00112F09" w:rsidP="00112F09">
      <w:pPr>
        <w:pStyle w:val="Heading4"/>
        <w:rPr>
          <w:rStyle w:val="Heading5Char"/>
          <w:b/>
          <w:bCs/>
        </w:rPr>
      </w:pPr>
      <w:r>
        <w:t>Study one: Analysis of Medicare Benefits Schedule (MBS) data</w:t>
      </w:r>
    </w:p>
    <w:p w14:paraId="38D665BA" w14:textId="038B015D" w:rsidR="00112F09" w:rsidRDefault="00112F09" w:rsidP="00112F09">
      <w:r>
        <w:t>The evaluator analyse</w:t>
      </w:r>
      <w:r w:rsidR="00AE7641">
        <w:t>d</w:t>
      </w:r>
      <w:r>
        <w:t xml:space="preserve"> de-identified, aggregated MBS </w:t>
      </w:r>
      <w:r w:rsidR="00055F8C">
        <w:t>and Pharmaceutical Benefits Scheme (P</w:t>
      </w:r>
      <w:r w:rsidR="003A60EF">
        <w:t>B</w:t>
      </w:r>
      <w:r w:rsidR="00055F8C">
        <w:t xml:space="preserve">S) </w:t>
      </w:r>
      <w:r>
        <w:t>data</w:t>
      </w:r>
      <w:r w:rsidR="00504C14">
        <w:t>, for the period 1 January 2018 to 30 June 2022,</w:t>
      </w:r>
      <w:r>
        <w:t xml:space="preserve"> to identify patterns in the use of Better Access services.</w:t>
      </w:r>
    </w:p>
    <w:p w14:paraId="14097234" w14:textId="77777777" w:rsidR="00112F09" w:rsidRDefault="00112F09" w:rsidP="00112F09">
      <w:pPr>
        <w:pStyle w:val="Heading4"/>
        <w:rPr>
          <w:rStyle w:val="Heading5Char"/>
          <w:b/>
          <w:bCs/>
        </w:rPr>
      </w:pPr>
      <w:r>
        <w:lastRenderedPageBreak/>
        <w:t xml:space="preserve">Study two: Analysis of routinely collected clinical outcome </w:t>
      </w:r>
      <w:proofErr w:type="gramStart"/>
      <w:r>
        <w:t>data</w:t>
      </w:r>
      <w:proofErr w:type="gramEnd"/>
    </w:p>
    <w:p w14:paraId="42BAA2F2" w14:textId="66A0B826" w:rsidR="00112F09" w:rsidRDefault="00112F09" w:rsidP="00112F09">
      <w:r>
        <w:t xml:space="preserve">The evaluator analysed outcome data that has been routinely collected by </w:t>
      </w:r>
      <w:proofErr w:type="spellStart"/>
      <w:r>
        <w:t>NovoPsych</w:t>
      </w:r>
      <w:proofErr w:type="spellEnd"/>
      <w:r>
        <w:t xml:space="preserve"> and three large psychology practices. </w:t>
      </w:r>
      <w:r w:rsidR="005754B1">
        <w:t xml:space="preserve">The </w:t>
      </w:r>
      <w:r>
        <w:t>data provide</w:t>
      </w:r>
      <w:r w:rsidR="003A60EF">
        <w:t>d</w:t>
      </w:r>
      <w:r>
        <w:t xml:space="preserve"> insight into whether consumers’ mental health improve</w:t>
      </w:r>
      <w:r w:rsidR="003A60EF">
        <w:t>d</w:t>
      </w:r>
      <w:r>
        <w:t xml:space="preserve"> over the course of their care and if improvements </w:t>
      </w:r>
      <w:r w:rsidR="003A60EF">
        <w:t>were</w:t>
      </w:r>
      <w:r>
        <w:t xml:space="preserve"> greater for some than others.</w:t>
      </w:r>
    </w:p>
    <w:p w14:paraId="0D09ECBE" w14:textId="24164CB7" w:rsidR="00112F09" w:rsidRDefault="00112F09" w:rsidP="00112F09">
      <w:pPr>
        <w:pStyle w:val="Heading4"/>
        <w:rPr>
          <w:rStyle w:val="Heading5Char"/>
          <w:b/>
          <w:bCs/>
        </w:rPr>
      </w:pPr>
      <w:r>
        <w:t>Study three: Survey on consumers’ experiences and outcomes</w:t>
      </w:r>
    </w:p>
    <w:p w14:paraId="6A6A8F05" w14:textId="57942D11" w:rsidR="00112F09" w:rsidRDefault="00112F09" w:rsidP="00112F09">
      <w:r>
        <w:t xml:space="preserve">The evaluator distributed a survey to </w:t>
      </w:r>
      <w:r w:rsidR="00CD75C7" w:rsidRPr="00CF4C4E">
        <w:t>a random stratified sample of approximately 27,000 people who have used Better Access services</w:t>
      </w:r>
      <w:r w:rsidR="00CD75C7">
        <w:t>. Survey participants</w:t>
      </w:r>
      <w:r>
        <w:t xml:space="preserve"> were asked about their experiences accessing care and the outcomes of this care. </w:t>
      </w:r>
      <w:r w:rsidR="00CD2F76">
        <w:t xml:space="preserve">Where respondents provided consent, their survey data </w:t>
      </w:r>
      <w:r w:rsidR="005667FD">
        <w:t>was</w:t>
      </w:r>
      <w:r w:rsidR="00CD2F76">
        <w:t xml:space="preserve"> linked to their deidentified MBS claims data. </w:t>
      </w:r>
    </w:p>
    <w:p w14:paraId="14FDA370" w14:textId="55E92B57" w:rsidR="00112F09" w:rsidRDefault="00112F09" w:rsidP="00112F09">
      <w:r>
        <w:t xml:space="preserve">The evaluator also distributed this survey to aged care residents who accessed services under the Better Access aged care expansion. </w:t>
      </w:r>
    </w:p>
    <w:p w14:paraId="6173B363" w14:textId="77777777" w:rsidR="00112F09" w:rsidRDefault="00112F09" w:rsidP="00112F09">
      <w:pPr>
        <w:pStyle w:val="Heading4"/>
        <w:rPr>
          <w:rStyle w:val="Heading5Char"/>
          <w:b/>
          <w:bCs/>
        </w:rPr>
      </w:pPr>
      <w:r>
        <w:t>Study four: Re-analysis of randomised controlled trial data</w:t>
      </w:r>
    </w:p>
    <w:p w14:paraId="0E1B7887" w14:textId="50623497" w:rsidR="00112F09" w:rsidRDefault="00112F09" w:rsidP="00112F09">
      <w:r>
        <w:t>The evaluator re-analysed data from two large-scale randomised controlled trials of tailored approaches to mental health care</w:t>
      </w:r>
      <w:r w:rsidR="00011CEF">
        <w:t xml:space="preserve"> to provide further insights into the accessibility, </w:t>
      </w:r>
      <w:r w:rsidR="003A60EF">
        <w:t>appropriateness,</w:t>
      </w:r>
      <w:r w:rsidR="00011CEF">
        <w:t xml:space="preserve"> and effectiveness of Better Access</w:t>
      </w:r>
    </w:p>
    <w:p w14:paraId="4EEB7C07" w14:textId="77777777" w:rsidR="00112F09" w:rsidRDefault="00112F09" w:rsidP="00112F09">
      <w:pPr>
        <w:pStyle w:val="ListParagraph"/>
        <w:numPr>
          <w:ilvl w:val="0"/>
          <w:numId w:val="2"/>
        </w:numPr>
      </w:pPr>
      <w:r>
        <w:t>Target-D</w:t>
      </w:r>
    </w:p>
    <w:p w14:paraId="3B020018" w14:textId="5E4A4185" w:rsidR="00112F09" w:rsidRDefault="00112F09" w:rsidP="00112F09">
      <w:pPr>
        <w:pStyle w:val="ListParagraph"/>
        <w:numPr>
          <w:ilvl w:val="0"/>
          <w:numId w:val="2"/>
        </w:numPr>
      </w:pPr>
      <w:r>
        <w:t>Link-me</w:t>
      </w:r>
    </w:p>
    <w:p w14:paraId="56CA739B" w14:textId="721BEF97" w:rsidR="00112F09" w:rsidRDefault="00112F09" w:rsidP="00112F09">
      <w:r>
        <w:t xml:space="preserve">These trials </w:t>
      </w:r>
      <w:r w:rsidR="00AE7641">
        <w:t xml:space="preserve">contain </w:t>
      </w:r>
      <w:r>
        <w:t xml:space="preserve">data on control group participants with varying levels of severity of depression </w:t>
      </w:r>
      <w:r w:rsidR="003A60EF">
        <w:t>and</w:t>
      </w:r>
      <w:r w:rsidR="00011CEF">
        <w:t xml:space="preserve"> </w:t>
      </w:r>
      <w:r>
        <w:t>anxiety</w:t>
      </w:r>
      <w:r w:rsidR="0098372B">
        <w:t xml:space="preserve"> and the services they reported using for mental health</w:t>
      </w:r>
      <w:r>
        <w:t xml:space="preserve">. Re-analysing this data </w:t>
      </w:r>
      <w:r w:rsidR="003A60EF">
        <w:t>provided</w:t>
      </w:r>
      <w:r>
        <w:t xml:space="preserve"> insights into characteristics and factors related to changes in symptoms and quality of life among people who</w:t>
      </w:r>
      <w:r w:rsidR="005667FD">
        <w:t xml:space="preserve"> were</w:t>
      </w:r>
      <w:r>
        <w:t xml:space="preserve"> </w:t>
      </w:r>
      <w:r w:rsidR="0098372B">
        <w:t xml:space="preserve">classified as users of </w:t>
      </w:r>
      <w:r>
        <w:t>Better Access treatment sessions.</w:t>
      </w:r>
    </w:p>
    <w:p w14:paraId="2FC1E7D0" w14:textId="77777777" w:rsidR="00112F09" w:rsidRDefault="00112F09" w:rsidP="00112F09">
      <w:pPr>
        <w:pStyle w:val="Heading4"/>
        <w:rPr>
          <w:rStyle w:val="Heading5Char"/>
          <w:b/>
          <w:bCs/>
        </w:rPr>
      </w:pPr>
      <w:r>
        <w:t>Study five: Analysis of population-level longitudinal data</w:t>
      </w:r>
    </w:p>
    <w:p w14:paraId="7FAA933A" w14:textId="11E608AE" w:rsidR="00112F09" w:rsidRDefault="00112F09" w:rsidP="00112F09">
      <w:r>
        <w:t xml:space="preserve">The evaluator </w:t>
      </w:r>
      <w:r w:rsidR="00896E08">
        <w:t>analyse</w:t>
      </w:r>
      <w:r w:rsidR="005667FD">
        <w:t>d</w:t>
      </w:r>
      <w:r>
        <w:t xml:space="preserve"> data from two large-scale longitudinal studies:</w:t>
      </w:r>
    </w:p>
    <w:p w14:paraId="4DDF259C" w14:textId="77777777" w:rsidR="00112F09" w:rsidRDefault="00112F09" w:rsidP="00112F09">
      <w:pPr>
        <w:pStyle w:val="ListParagraph"/>
        <w:numPr>
          <w:ilvl w:val="0"/>
          <w:numId w:val="3"/>
        </w:numPr>
      </w:pPr>
      <w:r>
        <w:t>Ten to Men (the Australian Longitudinal Study on Men’s Health)</w:t>
      </w:r>
    </w:p>
    <w:p w14:paraId="04B2B029" w14:textId="77777777" w:rsidR="00112F09" w:rsidRDefault="00112F09" w:rsidP="00112F09">
      <w:pPr>
        <w:pStyle w:val="ListParagraph"/>
        <w:numPr>
          <w:ilvl w:val="0"/>
          <w:numId w:val="3"/>
        </w:numPr>
      </w:pPr>
      <w:r>
        <w:t xml:space="preserve">the Australian Longitudinal Study on Women’s Health. </w:t>
      </w:r>
    </w:p>
    <w:p w14:paraId="561CCA3E" w14:textId="4C4D2984" w:rsidR="00112F09" w:rsidRDefault="00112F09" w:rsidP="00112F09">
      <w:r>
        <w:t xml:space="preserve">This </w:t>
      </w:r>
      <w:r w:rsidR="00AE7641">
        <w:t>data provided</w:t>
      </w:r>
      <w:r>
        <w:t xml:space="preserve"> insights into </w:t>
      </w:r>
      <w:r w:rsidR="00AE7641">
        <w:t xml:space="preserve">the </w:t>
      </w:r>
      <w:r>
        <w:t>factors</w:t>
      </w:r>
      <w:r w:rsidR="00AE7641">
        <w:t xml:space="preserve"> that</w:t>
      </w:r>
      <w:r>
        <w:t xml:space="preserve"> impact changes in symptoms and quality of life among men and women who have received Better Access treatment sessions. </w:t>
      </w:r>
    </w:p>
    <w:p w14:paraId="298792F4" w14:textId="77777777" w:rsidR="00112F09" w:rsidRDefault="00112F09" w:rsidP="00112F09">
      <w:pPr>
        <w:pStyle w:val="Heading4"/>
        <w:rPr>
          <w:rStyle w:val="Heading5Char"/>
          <w:b/>
          <w:bCs/>
        </w:rPr>
      </w:pPr>
      <w:r>
        <w:lastRenderedPageBreak/>
        <w:t>Study six: Qualitative interviews with people with lived experience</w:t>
      </w:r>
    </w:p>
    <w:p w14:paraId="6E083286" w14:textId="35B8F2A2" w:rsidR="00112F09" w:rsidRDefault="00112F09" w:rsidP="00112F09">
      <w:r>
        <w:t xml:space="preserve">The evaluator conducted in-depth interviews with people </w:t>
      </w:r>
      <w:r w:rsidR="0072686A">
        <w:t xml:space="preserve">with lived experience </w:t>
      </w:r>
      <w:r>
        <w:t xml:space="preserve">who have and have not accessed Better Access services. </w:t>
      </w:r>
      <w:r w:rsidR="0098372B">
        <w:t>37</w:t>
      </w:r>
      <w:r>
        <w:t xml:space="preserve"> participants were recruited through Beyond Blue’s Blue Voices network and Lived Experience Australia</w:t>
      </w:r>
      <w:r w:rsidR="005667FD">
        <w:t>.</w:t>
      </w:r>
      <w:r>
        <w:t xml:space="preserve"> </w:t>
      </w:r>
    </w:p>
    <w:p w14:paraId="4B87257B" w14:textId="1EBE273B" w:rsidR="00112F09" w:rsidRDefault="00112F09" w:rsidP="00112F09">
      <w:r>
        <w:t xml:space="preserve">Further interviews were completed with aged care residents </w:t>
      </w:r>
      <w:r w:rsidR="005B0FBF">
        <w:t>that</w:t>
      </w:r>
      <w:r>
        <w:t xml:space="preserve"> accessed services under the </w:t>
      </w:r>
      <w:r w:rsidR="00AD1ED7" w:rsidRPr="00CF4C4E">
        <w:t>Better Access aged care expansion</w:t>
      </w:r>
      <w:r w:rsidR="005B0FBF">
        <w:t>.</w:t>
      </w:r>
    </w:p>
    <w:p w14:paraId="1AB5C19E" w14:textId="735CE6F2" w:rsidR="00112F09" w:rsidRDefault="00112F09" w:rsidP="00112F09">
      <w:pPr>
        <w:pStyle w:val="Heading4"/>
        <w:rPr>
          <w:rStyle w:val="Heading5Char"/>
          <w:b/>
          <w:bCs/>
        </w:rPr>
      </w:pPr>
      <w:r>
        <w:t>Study seven: Survey of Better Access providers</w:t>
      </w:r>
      <w:r w:rsidR="005F7760">
        <w:t xml:space="preserve"> </w:t>
      </w:r>
    </w:p>
    <w:p w14:paraId="0729D148" w14:textId="4E14D4E3" w:rsidR="00112F09" w:rsidRDefault="00112F09" w:rsidP="00112F09">
      <w:r>
        <w:t xml:space="preserve">The evaluator distributed a survey to </w:t>
      </w:r>
      <w:r w:rsidR="005F7760">
        <w:t xml:space="preserve">providers </w:t>
      </w:r>
      <w:r>
        <w:t>that are eligible to deliver services under Better Access</w:t>
      </w:r>
      <w:r w:rsidR="00896E08">
        <w:t>, including</w:t>
      </w:r>
      <w:r>
        <w:t>:</w:t>
      </w:r>
    </w:p>
    <w:p w14:paraId="6A4E611D" w14:textId="77777777" w:rsidR="00112F09" w:rsidRDefault="00112F09" w:rsidP="00112F09">
      <w:pPr>
        <w:pStyle w:val="ListParagraph"/>
        <w:numPr>
          <w:ilvl w:val="0"/>
          <w:numId w:val="4"/>
        </w:numPr>
      </w:pPr>
      <w:r>
        <w:t>psychologists</w:t>
      </w:r>
    </w:p>
    <w:p w14:paraId="5BF08AF2" w14:textId="77777777" w:rsidR="00112F09" w:rsidRDefault="00112F09" w:rsidP="00112F09">
      <w:pPr>
        <w:pStyle w:val="ListParagraph"/>
        <w:numPr>
          <w:ilvl w:val="0"/>
          <w:numId w:val="4"/>
        </w:numPr>
      </w:pPr>
      <w:r>
        <w:t>social workers</w:t>
      </w:r>
    </w:p>
    <w:p w14:paraId="360F57F5" w14:textId="77777777" w:rsidR="00112F09" w:rsidRDefault="00112F09" w:rsidP="00112F09">
      <w:pPr>
        <w:pStyle w:val="ListParagraph"/>
        <w:numPr>
          <w:ilvl w:val="0"/>
          <w:numId w:val="4"/>
        </w:numPr>
      </w:pPr>
      <w:r>
        <w:t>occupational therapists</w:t>
      </w:r>
    </w:p>
    <w:p w14:paraId="05AE1704" w14:textId="77777777" w:rsidR="00112F09" w:rsidRDefault="00112F09" w:rsidP="00112F09">
      <w:pPr>
        <w:pStyle w:val="ListParagraph"/>
        <w:numPr>
          <w:ilvl w:val="0"/>
          <w:numId w:val="4"/>
        </w:numPr>
      </w:pPr>
      <w:r>
        <w:t>general practitioners</w:t>
      </w:r>
    </w:p>
    <w:p w14:paraId="02B5B319" w14:textId="760EBA77" w:rsidR="00112F09" w:rsidRDefault="00112F09" w:rsidP="00112F09">
      <w:pPr>
        <w:pStyle w:val="ListParagraph"/>
        <w:numPr>
          <w:ilvl w:val="0"/>
          <w:numId w:val="4"/>
        </w:numPr>
      </w:pPr>
      <w:r>
        <w:t>psychiatrists</w:t>
      </w:r>
    </w:p>
    <w:p w14:paraId="0FA473DE" w14:textId="47752017" w:rsidR="00112F09" w:rsidRDefault="00112F09" w:rsidP="00112F09">
      <w:r>
        <w:t xml:space="preserve">Invitations to complete the survey were distributed through relevant members of the </w:t>
      </w:r>
      <w:r w:rsidRPr="00E351C1">
        <w:t xml:space="preserve">evaluation’s Stakeholder Engagement Group and other organisations. The survey sought providers’ feedback on how </w:t>
      </w:r>
      <w:r w:rsidR="00E351C1" w:rsidRPr="00CF4C4E">
        <w:t>Better Access operates from the perspective of providers</w:t>
      </w:r>
      <w:r w:rsidRPr="00E351C1">
        <w:t>, including facilitators and barriers</w:t>
      </w:r>
      <w:r w:rsidR="005F7760">
        <w:t>, and what modifications might be desirable</w:t>
      </w:r>
      <w:r w:rsidRPr="00E351C1">
        <w:t>.</w:t>
      </w:r>
      <w:r w:rsidR="00896E08" w:rsidRPr="00896E08">
        <w:t xml:space="preserve"> </w:t>
      </w:r>
    </w:p>
    <w:p w14:paraId="32FDBE74" w14:textId="43E73E4E" w:rsidR="00112F09" w:rsidRDefault="00112F09" w:rsidP="005B0FBF">
      <w:pPr>
        <w:pStyle w:val="Heading2"/>
        <w:spacing w:before="0" w:after="0"/>
        <w:rPr>
          <w:rFonts w:eastAsia="Times New Roman"/>
          <w:lang w:eastAsia="en-AU"/>
        </w:rPr>
      </w:pPr>
      <w:r>
        <w:rPr>
          <w:rFonts w:eastAsia="Times New Roman"/>
          <w:lang w:eastAsia="en-AU"/>
        </w:rPr>
        <w:t>Stage two</w:t>
      </w:r>
    </w:p>
    <w:p w14:paraId="194E0324" w14:textId="2FE160F8" w:rsidR="00583CFB" w:rsidRPr="00583CFB" w:rsidRDefault="00583CFB" w:rsidP="00583CFB">
      <w:pPr>
        <w:rPr>
          <w:rStyle w:val="SubtleEmphasis"/>
          <w:lang w:eastAsia="en-AU"/>
        </w:rPr>
      </w:pPr>
      <w:r w:rsidRPr="00583CFB">
        <w:rPr>
          <w:i/>
          <w:iCs/>
          <w:color w:val="404040" w:themeColor="text1" w:themeTint="BF"/>
          <w:lang w:eastAsia="en-AU"/>
        </w:rPr>
        <w:t xml:space="preserve">Stage </w:t>
      </w:r>
      <w:r>
        <w:rPr>
          <w:i/>
          <w:iCs/>
          <w:color w:val="404040" w:themeColor="text1" w:themeTint="BF"/>
          <w:lang w:eastAsia="en-AU"/>
        </w:rPr>
        <w:t>two include</w:t>
      </w:r>
      <w:r w:rsidR="00AE7641">
        <w:rPr>
          <w:i/>
          <w:iCs/>
          <w:color w:val="404040" w:themeColor="text1" w:themeTint="BF"/>
          <w:lang w:eastAsia="en-AU"/>
        </w:rPr>
        <w:t>d</w:t>
      </w:r>
      <w:r>
        <w:rPr>
          <w:i/>
          <w:iCs/>
          <w:color w:val="404040" w:themeColor="text1" w:themeTint="BF"/>
          <w:lang w:eastAsia="en-AU"/>
        </w:rPr>
        <w:t xml:space="preserve"> two studies</w:t>
      </w:r>
      <w:r w:rsidRPr="00583CFB">
        <w:rPr>
          <w:i/>
          <w:iCs/>
          <w:color w:val="404040" w:themeColor="text1" w:themeTint="BF"/>
          <w:lang w:eastAsia="en-AU"/>
        </w:rPr>
        <w:t> </w:t>
      </w:r>
      <w:r w:rsidR="00AE7641">
        <w:rPr>
          <w:i/>
          <w:iCs/>
          <w:color w:val="404040" w:themeColor="text1" w:themeTint="BF"/>
          <w:lang w:eastAsia="en-AU"/>
        </w:rPr>
        <w:t>which were</w:t>
      </w:r>
      <w:r w:rsidRPr="00583CFB">
        <w:rPr>
          <w:i/>
          <w:iCs/>
          <w:color w:val="404040" w:themeColor="text1" w:themeTint="BF"/>
          <w:lang w:eastAsia="en-AU"/>
        </w:rPr>
        <w:t xml:space="preserve"> finalised in </w:t>
      </w:r>
      <w:r w:rsidR="005667FD">
        <w:rPr>
          <w:i/>
          <w:iCs/>
          <w:color w:val="404040" w:themeColor="text1" w:themeTint="BF"/>
          <w:lang w:eastAsia="en-AU"/>
        </w:rPr>
        <w:t>December</w:t>
      </w:r>
      <w:r w:rsidR="005667FD" w:rsidRPr="00583CFB">
        <w:rPr>
          <w:i/>
          <w:iCs/>
          <w:color w:val="404040" w:themeColor="text1" w:themeTint="BF"/>
          <w:lang w:eastAsia="en-AU"/>
        </w:rPr>
        <w:t xml:space="preserve"> </w:t>
      </w:r>
      <w:r w:rsidRPr="00583CFB">
        <w:rPr>
          <w:i/>
          <w:iCs/>
          <w:color w:val="404040" w:themeColor="text1" w:themeTint="BF"/>
          <w:lang w:eastAsia="en-AU"/>
        </w:rPr>
        <w:t>2022</w:t>
      </w:r>
      <w:r>
        <w:rPr>
          <w:i/>
          <w:iCs/>
          <w:color w:val="404040" w:themeColor="text1" w:themeTint="BF"/>
          <w:lang w:eastAsia="en-AU"/>
        </w:rPr>
        <w:t xml:space="preserve">. This stage </w:t>
      </w:r>
      <w:r w:rsidR="00AE7641">
        <w:rPr>
          <w:i/>
          <w:iCs/>
          <w:color w:val="404040" w:themeColor="text1" w:themeTint="BF"/>
          <w:lang w:eastAsia="en-AU"/>
        </w:rPr>
        <w:t>looked</w:t>
      </w:r>
      <w:r w:rsidRPr="00583CFB">
        <w:rPr>
          <w:i/>
          <w:iCs/>
          <w:color w:val="404040" w:themeColor="text1" w:themeTint="BF"/>
          <w:lang w:eastAsia="en-AU"/>
        </w:rPr>
        <w:t xml:space="preserve"> for solutions to any issues identified in stage </w:t>
      </w:r>
      <w:r w:rsidR="005B0FBF">
        <w:rPr>
          <w:i/>
          <w:iCs/>
          <w:color w:val="404040" w:themeColor="text1" w:themeTint="BF"/>
          <w:lang w:eastAsia="en-AU"/>
        </w:rPr>
        <w:t>one</w:t>
      </w:r>
      <w:r w:rsidRPr="00583CFB">
        <w:rPr>
          <w:i/>
          <w:iCs/>
          <w:color w:val="404040" w:themeColor="text1" w:themeTint="BF"/>
          <w:lang w:eastAsia="en-AU"/>
        </w:rPr>
        <w:t xml:space="preserve">. </w:t>
      </w:r>
    </w:p>
    <w:p w14:paraId="4B803877" w14:textId="77777777" w:rsidR="00112F09" w:rsidRDefault="00112F09" w:rsidP="00112F09">
      <w:pPr>
        <w:pStyle w:val="Heading4"/>
        <w:rPr>
          <w:rStyle w:val="Heading5Char"/>
          <w:b/>
          <w:bCs/>
        </w:rPr>
      </w:pPr>
      <w:r>
        <w:t>Study eight: A consultative virtual forum on future reforms to Better Access</w:t>
      </w:r>
    </w:p>
    <w:p w14:paraId="3A9521D6" w14:textId="5FC7BD2B" w:rsidR="00112F09" w:rsidRDefault="00112F09" w:rsidP="00112F09">
      <w:pPr>
        <w:rPr>
          <w:color w:val="FF0000"/>
        </w:rPr>
      </w:pPr>
      <w:r>
        <w:rPr>
          <w:rFonts w:eastAsia="Times New Roman"/>
          <w:lang w:eastAsia="en-AU"/>
        </w:rPr>
        <w:t xml:space="preserve">The evaluator </w:t>
      </w:r>
      <w:r w:rsidR="005B0FBF">
        <w:rPr>
          <w:rFonts w:eastAsia="Times New Roman"/>
          <w:lang w:eastAsia="en-AU"/>
        </w:rPr>
        <w:t>held</w:t>
      </w:r>
      <w:r>
        <w:rPr>
          <w:rFonts w:eastAsia="Times New Roman"/>
          <w:lang w:eastAsia="en-AU"/>
        </w:rPr>
        <w:t xml:space="preserve"> a virtual forum with 10</w:t>
      </w:r>
      <w:r w:rsidR="00B63515">
        <w:rPr>
          <w:rFonts w:eastAsia="Times New Roman"/>
          <w:lang w:eastAsia="en-AU"/>
        </w:rPr>
        <w:t>4</w:t>
      </w:r>
      <w:r>
        <w:rPr>
          <w:rFonts w:eastAsia="Times New Roman"/>
          <w:lang w:eastAsia="en-AU"/>
        </w:rPr>
        <w:t xml:space="preserve"> stakeholders, including people with lived experience of mental illness, carers, mental health professionals and policymakers</w:t>
      </w:r>
      <w:r w:rsidR="005F7760">
        <w:rPr>
          <w:rFonts w:eastAsia="Times New Roman"/>
          <w:lang w:eastAsia="en-AU"/>
        </w:rPr>
        <w:t xml:space="preserve">, to identify a collective view </w:t>
      </w:r>
      <w:r w:rsidR="00B63515">
        <w:rPr>
          <w:rFonts w:eastAsia="Times New Roman"/>
          <w:lang w:eastAsia="en-AU"/>
        </w:rPr>
        <w:t>of issues and priorities for future reform</w:t>
      </w:r>
      <w:r>
        <w:rPr>
          <w:rFonts w:eastAsia="Times New Roman"/>
          <w:lang w:eastAsia="en-AU"/>
        </w:rPr>
        <w:t xml:space="preserve">. </w:t>
      </w:r>
    </w:p>
    <w:p w14:paraId="063FD3C1" w14:textId="77777777" w:rsidR="00112F09" w:rsidRDefault="00112F09" w:rsidP="00112F09">
      <w:pPr>
        <w:pStyle w:val="Heading4"/>
        <w:rPr>
          <w:rStyle w:val="Heading5Char"/>
          <w:b/>
          <w:bCs/>
        </w:rPr>
      </w:pPr>
      <w:r>
        <w:t xml:space="preserve">Study nine: Piloting routine outcome measurement and feedback </w:t>
      </w:r>
    </w:p>
    <w:p w14:paraId="1C6C2D43" w14:textId="4E512E57" w:rsidR="00112F09" w:rsidRDefault="00112F09" w:rsidP="00112F09">
      <w:pPr>
        <w:rPr>
          <w:color w:val="FF0000"/>
        </w:rPr>
      </w:pPr>
      <w:r>
        <w:rPr>
          <w:rFonts w:eastAsia="Times New Roman"/>
          <w:lang w:eastAsia="en-AU"/>
        </w:rPr>
        <w:t>The evaluator pilot</w:t>
      </w:r>
      <w:r w:rsidR="00AE7641">
        <w:rPr>
          <w:rFonts w:eastAsia="Times New Roman"/>
          <w:lang w:eastAsia="en-AU"/>
        </w:rPr>
        <w:t>ed</w:t>
      </w:r>
      <w:r>
        <w:rPr>
          <w:rFonts w:eastAsia="Times New Roman"/>
          <w:lang w:eastAsia="en-AU"/>
        </w:rPr>
        <w:t xml:space="preserve"> a routine outcome measurement and feedback process with 250 practitioners </w:t>
      </w:r>
      <w:r w:rsidR="005B0FBF">
        <w:rPr>
          <w:rFonts w:eastAsia="Times New Roman"/>
          <w:lang w:eastAsia="en-AU"/>
        </w:rPr>
        <w:t xml:space="preserve">that </w:t>
      </w:r>
      <w:r>
        <w:rPr>
          <w:rFonts w:eastAsia="Times New Roman"/>
          <w:lang w:eastAsia="en-AU"/>
        </w:rPr>
        <w:t xml:space="preserve">deliver services under Better Access. The study </w:t>
      </w:r>
      <w:r w:rsidR="005B358B">
        <w:rPr>
          <w:rFonts w:eastAsia="Times New Roman"/>
          <w:lang w:eastAsia="en-AU"/>
        </w:rPr>
        <w:t>e</w:t>
      </w:r>
      <w:r w:rsidR="00AE7641">
        <w:rPr>
          <w:rFonts w:eastAsia="Times New Roman"/>
          <w:lang w:eastAsia="en-AU"/>
        </w:rPr>
        <w:t>nabled the</w:t>
      </w:r>
      <w:r>
        <w:rPr>
          <w:rFonts w:eastAsia="Times New Roman"/>
          <w:lang w:eastAsia="en-AU"/>
        </w:rPr>
        <w:t xml:space="preserve"> collect</w:t>
      </w:r>
      <w:r w:rsidR="00AE7641">
        <w:rPr>
          <w:rFonts w:eastAsia="Times New Roman"/>
          <w:lang w:eastAsia="en-AU"/>
        </w:rPr>
        <w:t>ion of</w:t>
      </w:r>
      <w:r>
        <w:rPr>
          <w:rFonts w:eastAsia="Times New Roman"/>
          <w:lang w:eastAsia="en-AU"/>
        </w:rPr>
        <w:t xml:space="preserve"> evidence on the </w:t>
      </w:r>
      <w:r w:rsidR="0084748F">
        <w:rPr>
          <w:rFonts w:eastAsia="Times New Roman"/>
          <w:lang w:eastAsia="en-AU"/>
        </w:rPr>
        <w:t xml:space="preserve">feasibility, </w:t>
      </w:r>
      <w:proofErr w:type="gramStart"/>
      <w:r w:rsidR="0084748F">
        <w:rPr>
          <w:rFonts w:eastAsia="Times New Roman"/>
          <w:lang w:eastAsia="en-AU"/>
        </w:rPr>
        <w:t>acceptability</w:t>
      </w:r>
      <w:proofErr w:type="gramEnd"/>
      <w:r w:rsidR="0084748F">
        <w:rPr>
          <w:rFonts w:eastAsia="Times New Roman"/>
          <w:lang w:eastAsia="en-AU"/>
        </w:rPr>
        <w:t xml:space="preserve"> and usefulness </w:t>
      </w:r>
      <w:r>
        <w:rPr>
          <w:rFonts w:eastAsia="Times New Roman"/>
          <w:lang w:eastAsia="en-AU"/>
        </w:rPr>
        <w:t>of routine outcome measurement</w:t>
      </w:r>
      <w:r w:rsidR="00B63515">
        <w:rPr>
          <w:rFonts w:eastAsia="Times New Roman"/>
          <w:lang w:eastAsia="en-AU"/>
        </w:rPr>
        <w:t xml:space="preserve"> to support clinical practice</w:t>
      </w:r>
      <w:r>
        <w:rPr>
          <w:rFonts w:eastAsia="Times New Roman"/>
          <w:lang w:eastAsia="en-AU"/>
        </w:rPr>
        <w:t xml:space="preserve">. </w:t>
      </w:r>
    </w:p>
    <w:p w14:paraId="4349FD49" w14:textId="77777777" w:rsidR="0086318F" w:rsidRDefault="0086318F"/>
    <w:sectPr w:rsidR="0086318F" w:rsidSect="00AA19EB">
      <w:footerReference w:type="default" r:id="rId10"/>
      <w:pgSz w:w="11906" w:h="16838"/>
      <w:pgMar w:top="567" w:right="1440" w:bottom="426" w:left="1440"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88E3" w14:textId="77777777" w:rsidR="000A42B8" w:rsidRDefault="000A42B8" w:rsidP="00AA19EB">
      <w:pPr>
        <w:spacing w:after="0" w:line="240" w:lineRule="auto"/>
      </w:pPr>
      <w:r>
        <w:separator/>
      </w:r>
    </w:p>
  </w:endnote>
  <w:endnote w:type="continuationSeparator" w:id="0">
    <w:p w14:paraId="371A3EF1" w14:textId="77777777" w:rsidR="000A42B8" w:rsidRDefault="000A42B8" w:rsidP="00AA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2909" w14:textId="7D6C4EED" w:rsidR="00AA19EB" w:rsidRDefault="00AA19EB">
    <w:pPr>
      <w:pStyle w:val="Footer"/>
    </w:pPr>
    <w:r>
      <w:t>Last updated: Ju</w:t>
    </w:r>
    <w:r w:rsidR="00F9514F">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78F7" w14:textId="77777777" w:rsidR="000A42B8" w:rsidRDefault="000A42B8" w:rsidP="00AA19EB">
      <w:pPr>
        <w:spacing w:after="0" w:line="240" w:lineRule="auto"/>
      </w:pPr>
      <w:r>
        <w:separator/>
      </w:r>
    </w:p>
  </w:footnote>
  <w:footnote w:type="continuationSeparator" w:id="0">
    <w:p w14:paraId="22A06897" w14:textId="77777777" w:rsidR="000A42B8" w:rsidRDefault="000A42B8" w:rsidP="00AA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73"/>
    <w:multiLevelType w:val="hybridMultilevel"/>
    <w:tmpl w:val="C0B8F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205117"/>
    <w:multiLevelType w:val="hybridMultilevel"/>
    <w:tmpl w:val="460A3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361C6F"/>
    <w:multiLevelType w:val="hybridMultilevel"/>
    <w:tmpl w:val="128AB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181C7D"/>
    <w:multiLevelType w:val="multilevel"/>
    <w:tmpl w:val="5B703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5801106">
    <w:abstractNumId w:val="3"/>
  </w:num>
  <w:num w:numId="2" w16cid:durableId="213929956">
    <w:abstractNumId w:val="2"/>
  </w:num>
  <w:num w:numId="3" w16cid:durableId="1838418632">
    <w:abstractNumId w:val="0"/>
  </w:num>
  <w:num w:numId="4" w16cid:durableId="889026920">
    <w:abstractNumId w:val="1"/>
  </w:num>
  <w:num w:numId="5" w16cid:durableId="566956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8F"/>
    <w:rsid w:val="00011CEF"/>
    <w:rsid w:val="00055F8C"/>
    <w:rsid w:val="000A387A"/>
    <w:rsid w:val="000A42B8"/>
    <w:rsid w:val="00112F09"/>
    <w:rsid w:val="00211DC2"/>
    <w:rsid w:val="00214619"/>
    <w:rsid w:val="002A0DF1"/>
    <w:rsid w:val="0034010A"/>
    <w:rsid w:val="003A60EF"/>
    <w:rsid w:val="00400C72"/>
    <w:rsid w:val="00426658"/>
    <w:rsid w:val="00475AD2"/>
    <w:rsid w:val="004B6BD4"/>
    <w:rsid w:val="004C0525"/>
    <w:rsid w:val="004D370E"/>
    <w:rsid w:val="00504C14"/>
    <w:rsid w:val="00525F91"/>
    <w:rsid w:val="005667FD"/>
    <w:rsid w:val="005754B1"/>
    <w:rsid w:val="00583CFB"/>
    <w:rsid w:val="005A536C"/>
    <w:rsid w:val="005B0FBF"/>
    <w:rsid w:val="005B358B"/>
    <w:rsid w:val="005F7760"/>
    <w:rsid w:val="00627A03"/>
    <w:rsid w:val="00672017"/>
    <w:rsid w:val="0070501C"/>
    <w:rsid w:val="0072686A"/>
    <w:rsid w:val="0073108B"/>
    <w:rsid w:val="0084748F"/>
    <w:rsid w:val="0086318F"/>
    <w:rsid w:val="0086522C"/>
    <w:rsid w:val="00896E08"/>
    <w:rsid w:val="0093462D"/>
    <w:rsid w:val="00952681"/>
    <w:rsid w:val="0098372B"/>
    <w:rsid w:val="009B1DBA"/>
    <w:rsid w:val="009E1CF8"/>
    <w:rsid w:val="009F0A0E"/>
    <w:rsid w:val="00A60445"/>
    <w:rsid w:val="00A62401"/>
    <w:rsid w:val="00A708B3"/>
    <w:rsid w:val="00A85B4E"/>
    <w:rsid w:val="00AA19EB"/>
    <w:rsid w:val="00AD1ED7"/>
    <w:rsid w:val="00AE7641"/>
    <w:rsid w:val="00B63515"/>
    <w:rsid w:val="00BC508F"/>
    <w:rsid w:val="00C050C1"/>
    <w:rsid w:val="00C7105D"/>
    <w:rsid w:val="00CD2F76"/>
    <w:rsid w:val="00CD75C7"/>
    <w:rsid w:val="00CF4C4E"/>
    <w:rsid w:val="00D13A5F"/>
    <w:rsid w:val="00D61915"/>
    <w:rsid w:val="00D90A6C"/>
    <w:rsid w:val="00DD4071"/>
    <w:rsid w:val="00DD5399"/>
    <w:rsid w:val="00E006BF"/>
    <w:rsid w:val="00E351C1"/>
    <w:rsid w:val="00EA7767"/>
    <w:rsid w:val="00F017EB"/>
    <w:rsid w:val="00F9514F"/>
    <w:rsid w:val="00FD3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0C91"/>
  <w15:chartTrackingRefBased/>
  <w15:docId w15:val="{19CD5D67-0AD7-45E8-8314-74AD7D15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F09"/>
    <w:pPr>
      <w:spacing w:after="200" w:line="276" w:lineRule="auto"/>
    </w:pPr>
    <w:rPr>
      <w:rFonts w:ascii="Segoe UI" w:eastAsiaTheme="minorEastAsia" w:hAnsi="Segoe UI"/>
      <w:sz w:val="24"/>
    </w:rPr>
  </w:style>
  <w:style w:type="paragraph" w:styleId="Heading1">
    <w:name w:val="heading 1"/>
    <w:basedOn w:val="Normal"/>
    <w:next w:val="Normal"/>
    <w:link w:val="Heading1Char"/>
    <w:uiPriority w:val="2"/>
    <w:qFormat/>
    <w:rsid w:val="00112F09"/>
    <w:pPr>
      <w:keepNext/>
      <w:keepLines/>
      <w:spacing w:before="480"/>
      <w:outlineLvl w:val="0"/>
    </w:pPr>
    <w:rPr>
      <w:rFonts w:eastAsiaTheme="majorEastAsia" w:cstheme="majorBidi"/>
      <w:b/>
      <w:bCs/>
      <w:sz w:val="60"/>
      <w:szCs w:val="28"/>
    </w:rPr>
  </w:style>
  <w:style w:type="paragraph" w:styleId="Heading2">
    <w:name w:val="heading 2"/>
    <w:basedOn w:val="Heading1"/>
    <w:next w:val="Normal"/>
    <w:link w:val="Heading2Char"/>
    <w:uiPriority w:val="9"/>
    <w:semiHidden/>
    <w:unhideWhenUsed/>
    <w:qFormat/>
    <w:rsid w:val="00112F09"/>
    <w:pPr>
      <w:spacing w:before="240"/>
      <w:outlineLvl w:val="1"/>
    </w:pPr>
    <w:rPr>
      <w:bCs w:val="0"/>
      <w:sz w:val="48"/>
      <w:szCs w:val="26"/>
    </w:rPr>
  </w:style>
  <w:style w:type="paragraph" w:styleId="Heading3">
    <w:name w:val="heading 3"/>
    <w:basedOn w:val="Normal"/>
    <w:next w:val="Normal"/>
    <w:link w:val="Heading3Char"/>
    <w:uiPriority w:val="9"/>
    <w:semiHidden/>
    <w:unhideWhenUsed/>
    <w:qFormat/>
    <w:rsid w:val="00112F0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semiHidden/>
    <w:unhideWhenUsed/>
    <w:qFormat/>
    <w:rsid w:val="00112F09"/>
    <w:pPr>
      <w:spacing w:before="240" w:after="200"/>
      <w:outlineLvl w:val="3"/>
    </w:pPr>
    <w:rPr>
      <w:rFonts w:ascii="Segoe UI" w:hAnsi="Segoe UI"/>
      <w:b/>
      <w:iCs/>
      <w:color w:val="auto"/>
      <w:sz w:val="28"/>
      <w:szCs w:val="26"/>
    </w:rPr>
  </w:style>
  <w:style w:type="paragraph" w:styleId="Heading5">
    <w:name w:val="heading 5"/>
    <w:basedOn w:val="Heading4"/>
    <w:next w:val="Normal"/>
    <w:link w:val="Heading5Char"/>
    <w:uiPriority w:val="9"/>
    <w:semiHidden/>
    <w:unhideWhenUsed/>
    <w:qFormat/>
    <w:rsid w:val="00112F09"/>
    <w:pPr>
      <w:outlineLvl w:val="4"/>
    </w:pPr>
  </w:style>
  <w:style w:type="paragraph" w:styleId="Heading6">
    <w:name w:val="heading 6"/>
    <w:basedOn w:val="Normal"/>
    <w:next w:val="Normal"/>
    <w:link w:val="Heading6Char"/>
    <w:uiPriority w:val="9"/>
    <w:semiHidden/>
    <w:unhideWhenUsed/>
    <w:qFormat/>
    <w:rsid w:val="00112F09"/>
    <w:pPr>
      <w:keepNext/>
      <w:keepLines/>
      <w:spacing w:before="200" w:after="0"/>
      <w:outlineLvl w:val="5"/>
    </w:pPr>
    <w:rPr>
      <w:rFonts w:asciiTheme="majorHAnsi" w:eastAsiaTheme="majorEastAsia" w:hAnsiTheme="majorHAnsi" w:cstheme="majorBidi"/>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12F09"/>
    <w:rPr>
      <w:rFonts w:ascii="Segoe UI" w:eastAsiaTheme="majorEastAsia" w:hAnsi="Segoe UI" w:cstheme="majorBidi"/>
      <w:b/>
      <w:bCs/>
      <w:sz w:val="60"/>
      <w:szCs w:val="28"/>
    </w:rPr>
  </w:style>
  <w:style w:type="character" w:customStyle="1" w:styleId="Heading2Char">
    <w:name w:val="Heading 2 Char"/>
    <w:basedOn w:val="DefaultParagraphFont"/>
    <w:link w:val="Heading2"/>
    <w:uiPriority w:val="9"/>
    <w:semiHidden/>
    <w:rsid w:val="00112F09"/>
    <w:rPr>
      <w:rFonts w:ascii="Segoe UI" w:eastAsiaTheme="majorEastAsia" w:hAnsi="Segoe UI" w:cstheme="majorBidi"/>
      <w:b/>
      <w:sz w:val="48"/>
      <w:szCs w:val="26"/>
    </w:rPr>
  </w:style>
  <w:style w:type="character" w:customStyle="1" w:styleId="Heading4Char">
    <w:name w:val="Heading 4 Char"/>
    <w:basedOn w:val="DefaultParagraphFont"/>
    <w:link w:val="Heading4"/>
    <w:uiPriority w:val="9"/>
    <w:semiHidden/>
    <w:rsid w:val="00112F09"/>
    <w:rPr>
      <w:rFonts w:ascii="Segoe UI" w:eastAsiaTheme="majorEastAsia" w:hAnsi="Segoe UI" w:cstheme="majorBidi"/>
      <w:b/>
      <w:iCs/>
      <w:sz w:val="28"/>
      <w:szCs w:val="26"/>
    </w:rPr>
  </w:style>
  <w:style w:type="character" w:customStyle="1" w:styleId="Heading5Char">
    <w:name w:val="Heading 5 Char"/>
    <w:basedOn w:val="DefaultParagraphFont"/>
    <w:link w:val="Heading5"/>
    <w:uiPriority w:val="9"/>
    <w:semiHidden/>
    <w:rsid w:val="00112F09"/>
    <w:rPr>
      <w:rFonts w:ascii="Segoe UI" w:eastAsiaTheme="majorEastAsia" w:hAnsi="Segoe UI" w:cstheme="majorBidi"/>
      <w:b/>
      <w:iCs/>
      <w:sz w:val="28"/>
      <w:szCs w:val="26"/>
    </w:rPr>
  </w:style>
  <w:style w:type="character" w:customStyle="1" w:styleId="Heading6Char">
    <w:name w:val="Heading 6 Char"/>
    <w:basedOn w:val="DefaultParagraphFont"/>
    <w:link w:val="Heading6"/>
    <w:uiPriority w:val="9"/>
    <w:semiHidden/>
    <w:rsid w:val="00112F09"/>
    <w:rPr>
      <w:rFonts w:asciiTheme="majorHAnsi" w:eastAsiaTheme="majorEastAsia" w:hAnsiTheme="majorHAnsi" w:cstheme="majorBidi"/>
      <w:i/>
      <w:iCs/>
      <w:color w:val="FF0000"/>
      <w:sz w:val="24"/>
    </w:rPr>
  </w:style>
  <w:style w:type="paragraph" w:styleId="CommentText">
    <w:name w:val="annotation text"/>
    <w:basedOn w:val="Normal"/>
    <w:link w:val="CommentTextChar"/>
    <w:uiPriority w:val="99"/>
    <w:unhideWhenUsed/>
    <w:rsid w:val="00112F09"/>
    <w:pPr>
      <w:spacing w:line="240" w:lineRule="auto"/>
    </w:pPr>
    <w:rPr>
      <w:sz w:val="20"/>
      <w:szCs w:val="20"/>
    </w:rPr>
  </w:style>
  <w:style w:type="character" w:customStyle="1" w:styleId="CommentTextChar">
    <w:name w:val="Comment Text Char"/>
    <w:basedOn w:val="DefaultParagraphFont"/>
    <w:link w:val="CommentText"/>
    <w:uiPriority w:val="99"/>
    <w:rsid w:val="00112F09"/>
    <w:rPr>
      <w:rFonts w:ascii="Segoe UI" w:eastAsiaTheme="minorEastAsia" w:hAnsi="Segoe UI"/>
      <w:sz w:val="20"/>
      <w:szCs w:val="20"/>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112F09"/>
    <w:rPr>
      <w:rFonts w:ascii="Segoe UI" w:hAnsi="Segoe UI" w:cs="Segoe UI"/>
      <w:sz w:val="24"/>
      <w:lang w:eastAsia="en-AU"/>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112F09"/>
    <w:pPr>
      <w:spacing w:line="240" w:lineRule="auto"/>
      <w:ind w:left="720"/>
      <w:contextualSpacing/>
    </w:pPr>
    <w:rPr>
      <w:rFonts w:eastAsiaTheme="minorHAnsi" w:cs="Segoe UI"/>
      <w:lang w:eastAsia="en-AU"/>
    </w:rPr>
  </w:style>
  <w:style w:type="character" w:styleId="CommentReference">
    <w:name w:val="annotation reference"/>
    <w:basedOn w:val="DefaultParagraphFont"/>
    <w:uiPriority w:val="99"/>
    <w:semiHidden/>
    <w:unhideWhenUsed/>
    <w:rsid w:val="00112F09"/>
    <w:rPr>
      <w:sz w:val="16"/>
      <w:szCs w:val="16"/>
    </w:rPr>
  </w:style>
  <w:style w:type="character" w:customStyle="1" w:styleId="Heading3Char">
    <w:name w:val="Heading 3 Char"/>
    <w:basedOn w:val="DefaultParagraphFont"/>
    <w:link w:val="Heading3"/>
    <w:uiPriority w:val="9"/>
    <w:semiHidden/>
    <w:rsid w:val="00112F0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2F09"/>
    <w:rPr>
      <w:color w:val="0000FF"/>
      <w:u w:val="single"/>
    </w:rPr>
  </w:style>
  <w:style w:type="paragraph" w:styleId="Subtitle">
    <w:name w:val="Subtitle"/>
    <w:basedOn w:val="Normal"/>
    <w:next w:val="Normal"/>
    <w:link w:val="SubtitleChar"/>
    <w:uiPriority w:val="11"/>
    <w:qFormat/>
    <w:rsid w:val="00896E08"/>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896E08"/>
    <w:rPr>
      <w:rFonts w:eastAsiaTheme="minorEastAsia"/>
      <w:color w:val="5A5A5A" w:themeColor="text1" w:themeTint="A5"/>
      <w:spacing w:val="15"/>
    </w:rPr>
  </w:style>
  <w:style w:type="character" w:styleId="SubtleEmphasis">
    <w:name w:val="Subtle Emphasis"/>
    <w:basedOn w:val="DefaultParagraphFont"/>
    <w:uiPriority w:val="19"/>
    <w:qFormat/>
    <w:rsid w:val="00896E08"/>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896E08"/>
    <w:rPr>
      <w:b/>
      <w:bCs/>
    </w:rPr>
  </w:style>
  <w:style w:type="character" w:customStyle="1" w:styleId="CommentSubjectChar">
    <w:name w:val="Comment Subject Char"/>
    <w:basedOn w:val="CommentTextChar"/>
    <w:link w:val="CommentSubject"/>
    <w:uiPriority w:val="99"/>
    <w:semiHidden/>
    <w:rsid w:val="00896E08"/>
    <w:rPr>
      <w:rFonts w:ascii="Segoe UI" w:eastAsiaTheme="minorEastAsia" w:hAnsi="Segoe UI"/>
      <w:b/>
      <w:bCs/>
      <w:sz w:val="20"/>
      <w:szCs w:val="20"/>
    </w:rPr>
  </w:style>
  <w:style w:type="character" w:styleId="UnresolvedMention">
    <w:name w:val="Unresolved Mention"/>
    <w:basedOn w:val="DefaultParagraphFont"/>
    <w:uiPriority w:val="99"/>
    <w:semiHidden/>
    <w:unhideWhenUsed/>
    <w:rsid w:val="00896E08"/>
    <w:rPr>
      <w:color w:val="605E5C"/>
      <w:shd w:val="clear" w:color="auto" w:fill="E1DFDD"/>
    </w:rPr>
  </w:style>
  <w:style w:type="paragraph" w:styleId="Revision">
    <w:name w:val="Revision"/>
    <w:hidden/>
    <w:uiPriority w:val="99"/>
    <w:semiHidden/>
    <w:rsid w:val="009E1CF8"/>
    <w:pPr>
      <w:spacing w:after="0" w:line="240" w:lineRule="auto"/>
    </w:pPr>
    <w:rPr>
      <w:rFonts w:ascii="Segoe UI" w:eastAsiaTheme="minorEastAsia" w:hAnsi="Segoe UI"/>
      <w:sz w:val="24"/>
    </w:rPr>
  </w:style>
  <w:style w:type="character" w:styleId="FollowedHyperlink">
    <w:name w:val="FollowedHyperlink"/>
    <w:basedOn w:val="DefaultParagraphFont"/>
    <w:uiPriority w:val="99"/>
    <w:semiHidden/>
    <w:unhideWhenUsed/>
    <w:rsid w:val="00426658"/>
    <w:rPr>
      <w:color w:val="954F72" w:themeColor="followedHyperlink"/>
      <w:u w:val="single"/>
    </w:rPr>
  </w:style>
  <w:style w:type="paragraph" w:styleId="Header">
    <w:name w:val="header"/>
    <w:basedOn w:val="Normal"/>
    <w:link w:val="HeaderChar"/>
    <w:uiPriority w:val="99"/>
    <w:unhideWhenUsed/>
    <w:rsid w:val="00AA1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EB"/>
    <w:rPr>
      <w:rFonts w:ascii="Segoe UI" w:eastAsiaTheme="minorEastAsia" w:hAnsi="Segoe UI"/>
      <w:sz w:val="24"/>
    </w:rPr>
  </w:style>
  <w:style w:type="paragraph" w:styleId="Footer">
    <w:name w:val="footer"/>
    <w:basedOn w:val="Normal"/>
    <w:link w:val="FooterChar"/>
    <w:uiPriority w:val="99"/>
    <w:unhideWhenUsed/>
    <w:rsid w:val="00AA1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EB"/>
    <w:rPr>
      <w:rFonts w:ascii="Segoe UI" w:eastAsiaTheme="minorEastAsia"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183">
      <w:bodyDiv w:val="1"/>
      <w:marLeft w:val="0"/>
      <w:marRight w:val="0"/>
      <w:marTop w:val="0"/>
      <w:marBottom w:val="0"/>
      <w:divBdr>
        <w:top w:val="none" w:sz="0" w:space="0" w:color="auto"/>
        <w:left w:val="none" w:sz="0" w:space="0" w:color="auto"/>
        <w:bottom w:val="none" w:sz="0" w:space="0" w:color="auto"/>
        <w:right w:val="none" w:sz="0" w:space="0" w:color="auto"/>
      </w:divBdr>
    </w:div>
    <w:div w:id="10658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Mental%20Health%20Reform%20Advisory%20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FF46-CEF4-415C-B296-961C7EBC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Better Access - Evaluation methodology - revised July 2024</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 Evaluation methodology - revised July 2024</dc:title>
  <dc:subject/>
  <dc:creator>Australian Government Department of Health and Aged Care</dc:creator>
  <cp:keywords>Medicare; Mental Health; MBS</cp:keywords>
  <dc:description/>
  <cp:lastModifiedBy>COSTIN, Siobhan</cp:lastModifiedBy>
  <cp:revision>4</cp:revision>
  <dcterms:created xsi:type="dcterms:W3CDTF">2024-06-14T00:48:00Z</dcterms:created>
  <dcterms:modified xsi:type="dcterms:W3CDTF">2024-07-09T06:12:00Z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2022-07-08T01:31:35Z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1a4c6491-71ed-40ad-b442-6b886b83c4ce</vt:lpwstr>
  </property>
  <property fmtid="{D5CDD505-2E9C-101B-9397-08002B2CF9AE}" pid="8" name="MSIP_Label_0f488380-630a-4f55-a077-a19445e3f360_ContentBits">
    <vt:lpwstr>0</vt:lpwstr>
  </property>
</Properties>
</file>