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AD424" w14:textId="0821EAAF" w:rsidR="003146BC" w:rsidRDefault="00A310A3" w:rsidP="003146BC">
      <w:pPr>
        <w:spacing w:before="360"/>
        <w:jc w:val="center"/>
      </w:pPr>
      <w:r>
        <w:rPr>
          <w:rFonts w:cs="Times New Roman"/>
          <w:b/>
          <w:noProof/>
          <w:szCs w:val="24"/>
          <w:lang w:eastAsia="en-AU"/>
        </w:rPr>
        <w:drawing>
          <wp:inline distT="0" distB="0" distL="0" distR="0" wp14:anchorId="3276337B" wp14:editId="5DA720AD">
            <wp:extent cx="2991658" cy="1657350"/>
            <wp:effectExtent l="0" t="0" r="0" b="0"/>
            <wp:docPr id="2" name="Picture 2" descr="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logo"/>
                    <pic:cNvPicPr>
                      <a:picLocks noChangeAspect="1" noChangeArrowheads="1"/>
                    </pic:cNvPicPr>
                  </pic:nvPicPr>
                  <pic:blipFill>
                    <a:blip r:embed="rId8">
                      <a:lum contrast="20000"/>
                      <a:extLst>
                        <a:ext uri="{28A0092B-C50C-407E-A947-70E740481C1C}">
                          <a14:useLocalDpi xmlns:a14="http://schemas.microsoft.com/office/drawing/2010/main" val="0"/>
                        </a:ext>
                      </a:extLst>
                    </a:blip>
                    <a:srcRect/>
                    <a:stretch>
                      <a:fillRect/>
                    </a:stretch>
                  </pic:blipFill>
                  <pic:spPr bwMode="auto">
                    <a:xfrm>
                      <a:off x="0" y="0"/>
                      <a:ext cx="3013680" cy="1669550"/>
                    </a:xfrm>
                    <a:prstGeom prst="rect">
                      <a:avLst/>
                    </a:prstGeom>
                    <a:noFill/>
                    <a:ln>
                      <a:noFill/>
                    </a:ln>
                  </pic:spPr>
                </pic:pic>
              </a:graphicData>
            </a:graphic>
          </wp:inline>
        </w:drawing>
      </w:r>
    </w:p>
    <w:p w14:paraId="42E95D15" w14:textId="77777777" w:rsidR="00752D52" w:rsidRPr="00752D52" w:rsidRDefault="00752D52" w:rsidP="00752D52">
      <w:pPr>
        <w:pStyle w:val="Title"/>
      </w:pPr>
      <w:r w:rsidRPr="00752D52">
        <w:t xml:space="preserve">Australian Government response to the </w:t>
      </w:r>
      <w:r w:rsidRPr="00752D52">
        <w:br/>
        <w:t>Senate Select Committee into the Provision of and Access to Dental Services in Australia report:</w:t>
      </w:r>
    </w:p>
    <w:p w14:paraId="371F1480" w14:textId="77777777" w:rsidR="007C1E30" w:rsidRPr="00B82AB7" w:rsidRDefault="007C1E30" w:rsidP="4AB80C67">
      <w:pPr>
        <w:spacing w:after="0" w:line="240" w:lineRule="auto"/>
        <w:jc w:val="center"/>
        <w:rPr>
          <w:i/>
          <w:sz w:val="36"/>
          <w:szCs w:val="36"/>
        </w:rPr>
      </w:pPr>
      <w:r w:rsidRPr="4AB80C67">
        <w:rPr>
          <w:i/>
          <w:sz w:val="36"/>
          <w:szCs w:val="36"/>
        </w:rPr>
        <w:t xml:space="preserve">A system in decay: a review into dental </w:t>
      </w:r>
    </w:p>
    <w:p w14:paraId="0C713467" w14:textId="00FEFCD6" w:rsidR="003146BC" w:rsidRPr="002A0C97" w:rsidRDefault="007C1E30" w:rsidP="002A0C97">
      <w:pPr>
        <w:spacing w:after="600" w:line="240" w:lineRule="auto"/>
        <w:jc w:val="center"/>
        <w:rPr>
          <w:i/>
          <w:sz w:val="36"/>
          <w:szCs w:val="36"/>
        </w:rPr>
      </w:pPr>
      <w:r w:rsidRPr="4AB80C67">
        <w:rPr>
          <w:i/>
          <w:sz w:val="36"/>
          <w:szCs w:val="36"/>
        </w:rPr>
        <w:t>services in Australia</w:t>
      </w:r>
    </w:p>
    <w:p w14:paraId="3368AB91" w14:textId="4EFFD9B7" w:rsidR="003146BC" w:rsidRDefault="000E7B18" w:rsidP="4AB80C67">
      <w:pPr>
        <w:spacing w:after="0" w:line="240" w:lineRule="auto"/>
        <w:jc w:val="center"/>
        <w:sectPr w:rsidR="003146BC" w:rsidSect="00414F3C">
          <w:footerReference w:type="first" r:id="rId9"/>
          <w:pgSz w:w="11906" w:h="16838" w:code="9"/>
          <w:pgMar w:top="1134" w:right="1418" w:bottom="709" w:left="1418" w:header="709" w:footer="584" w:gutter="0"/>
          <w:pgNumType w:start="1"/>
          <w:cols w:space="708"/>
          <w:docGrid w:linePitch="360"/>
        </w:sectPr>
      </w:pPr>
      <w:r>
        <w:rPr>
          <w:caps/>
          <w:sz w:val="28"/>
          <w:szCs w:val="28"/>
        </w:rPr>
        <w:t>JULY</w:t>
      </w:r>
      <w:r w:rsidR="00BF3E0F" w:rsidRPr="4AB80C67">
        <w:rPr>
          <w:caps/>
          <w:sz w:val="28"/>
          <w:szCs w:val="28"/>
        </w:rPr>
        <w:t xml:space="preserve"> </w:t>
      </w:r>
      <w:r w:rsidR="00B94CA4" w:rsidRPr="4AB80C67">
        <w:rPr>
          <w:caps/>
          <w:sz w:val="28"/>
          <w:szCs w:val="28"/>
        </w:rPr>
        <w:t>2024</w:t>
      </w:r>
      <w:r w:rsidR="003146BC">
        <w:br w:type="page"/>
      </w:r>
    </w:p>
    <w:p w14:paraId="62816A6D" w14:textId="332D0127" w:rsidR="009E6E22" w:rsidRPr="00D4484A" w:rsidRDefault="009E6E22" w:rsidP="00D4484A">
      <w:pPr>
        <w:pStyle w:val="Heading2"/>
      </w:pPr>
      <w:r w:rsidRPr="00D4484A">
        <w:lastRenderedPageBreak/>
        <w:t>Acknowledgements</w:t>
      </w:r>
    </w:p>
    <w:p w14:paraId="113FD92D" w14:textId="4B009F76" w:rsidR="003146BC" w:rsidRPr="00D65FFF" w:rsidRDefault="009E6E22" w:rsidP="008974EE">
      <w:pPr>
        <w:spacing w:before="60" w:after="0" w:line="240" w:lineRule="auto"/>
        <w:rPr>
          <w:lang w:val="en" w:eastAsia="en-AU"/>
        </w:rPr>
      </w:pPr>
      <w:r w:rsidRPr="4AB80C67">
        <w:rPr>
          <w:lang w:val="en" w:eastAsia="en-AU"/>
        </w:rPr>
        <w:t xml:space="preserve">The Australian Government </w:t>
      </w:r>
      <w:r w:rsidR="00AC2E1B" w:rsidRPr="4AB80C67">
        <w:rPr>
          <w:lang w:val="en" w:eastAsia="en-AU"/>
        </w:rPr>
        <w:t>(</w:t>
      </w:r>
      <w:r w:rsidR="00AD52CD">
        <w:rPr>
          <w:lang w:val="en" w:eastAsia="en-AU"/>
        </w:rPr>
        <w:t xml:space="preserve">the </w:t>
      </w:r>
      <w:r w:rsidR="00AC2E1B" w:rsidRPr="4AB80C67">
        <w:rPr>
          <w:lang w:val="en" w:eastAsia="en-AU"/>
        </w:rPr>
        <w:t xml:space="preserve">Government) </w:t>
      </w:r>
      <w:r w:rsidR="5605158D" w:rsidRPr="4AB80C67">
        <w:rPr>
          <w:lang w:val="en" w:eastAsia="en-AU"/>
        </w:rPr>
        <w:t>thanks</w:t>
      </w:r>
      <w:r w:rsidR="29FDAF20" w:rsidRPr="4AB80C67">
        <w:rPr>
          <w:lang w:val="en" w:eastAsia="en-AU"/>
        </w:rPr>
        <w:t xml:space="preserve"> </w:t>
      </w:r>
      <w:r w:rsidR="69E33687" w:rsidRPr="4AB80C67">
        <w:rPr>
          <w:lang w:val="en" w:eastAsia="en-AU"/>
        </w:rPr>
        <w:t>the Select Committee for its Inquiry into the Provision of and Access</w:t>
      </w:r>
      <w:r w:rsidRPr="4AB80C67">
        <w:rPr>
          <w:lang w:val="en" w:eastAsia="en-AU"/>
        </w:rPr>
        <w:t xml:space="preserve"> to </w:t>
      </w:r>
      <w:r w:rsidR="69E33687" w:rsidRPr="4AB80C67">
        <w:rPr>
          <w:lang w:val="en" w:eastAsia="en-AU"/>
        </w:rPr>
        <w:t>Dental Services in Australia</w:t>
      </w:r>
      <w:r w:rsidR="5E5CD296" w:rsidRPr="4AB80C67">
        <w:rPr>
          <w:lang w:val="en" w:eastAsia="en-AU"/>
        </w:rPr>
        <w:t>. The Government also thanks</w:t>
      </w:r>
      <w:r w:rsidRPr="4AB80C67">
        <w:rPr>
          <w:lang w:val="en" w:eastAsia="en-AU"/>
        </w:rPr>
        <w:t xml:space="preserve"> all </w:t>
      </w:r>
      <w:r w:rsidR="00E03928" w:rsidRPr="4AB80C67">
        <w:rPr>
          <w:lang w:val="en" w:eastAsia="en-AU"/>
        </w:rPr>
        <w:t>individuals and organisations who contributed to the inquiry</w:t>
      </w:r>
      <w:r w:rsidR="00DC2E6B" w:rsidRPr="4AB80C67">
        <w:rPr>
          <w:lang w:val="en" w:eastAsia="en-AU"/>
        </w:rPr>
        <w:t>, particularly to those who have shared their personal experiences</w:t>
      </w:r>
      <w:r w:rsidR="008512AB" w:rsidRPr="4AB80C67">
        <w:rPr>
          <w:lang w:val="en" w:eastAsia="en-AU"/>
        </w:rPr>
        <w:t xml:space="preserve"> </w:t>
      </w:r>
      <w:r w:rsidR="00401184" w:rsidRPr="4AB80C67">
        <w:rPr>
          <w:lang w:val="en" w:eastAsia="en-AU"/>
        </w:rPr>
        <w:t>accessing dental services</w:t>
      </w:r>
      <w:r w:rsidR="003D4CD3" w:rsidRPr="4AB80C67">
        <w:rPr>
          <w:lang w:val="en" w:eastAsia="en-AU"/>
        </w:rPr>
        <w:t>.</w:t>
      </w:r>
    </w:p>
    <w:p w14:paraId="49CF7DB3" w14:textId="2017295C" w:rsidR="171B1A7A" w:rsidRPr="00D4484A" w:rsidRDefault="171B1A7A" w:rsidP="00D4484A">
      <w:pPr>
        <w:pStyle w:val="Heading1"/>
      </w:pPr>
      <w:r w:rsidRPr="00D4484A">
        <w:t>Overview</w:t>
      </w:r>
    </w:p>
    <w:p w14:paraId="36CDE14F" w14:textId="71F24183" w:rsidR="00176D3B" w:rsidRPr="00176D3B" w:rsidRDefault="1D425E49" w:rsidP="4AB80C67">
      <w:pPr>
        <w:spacing w:before="60" w:after="120" w:line="240" w:lineRule="auto"/>
      </w:pPr>
      <w:r>
        <w:t>On 8 March 2023, the Senate</w:t>
      </w:r>
      <w:r w:rsidR="4C58DD04">
        <w:t xml:space="preserve"> established </w:t>
      </w:r>
      <w:r>
        <w:t>the Select Committee into the Provision of and Access to Dental Services in Australia</w:t>
      </w:r>
      <w:r w:rsidR="282FF6BC">
        <w:t xml:space="preserve"> to </w:t>
      </w:r>
      <w:r w:rsidR="64B1234D">
        <w:t>inquire into matters relating to the nation’s oral and dental health, and access to services.</w:t>
      </w:r>
    </w:p>
    <w:p w14:paraId="04427487" w14:textId="7E4BDED6" w:rsidR="00B67E0E" w:rsidRDefault="005553BB" w:rsidP="008974EE">
      <w:pPr>
        <w:spacing w:before="60" w:after="0" w:line="240" w:lineRule="auto"/>
      </w:pPr>
      <w:r>
        <w:t xml:space="preserve">Multiple hearings were held across Australia; the Department </w:t>
      </w:r>
      <w:r w:rsidR="00F70E35">
        <w:t xml:space="preserve">of Health and Aged Care </w:t>
      </w:r>
      <w:r>
        <w:t>appeared at the Hearing in Canberra on 20 October 2023.</w:t>
      </w:r>
      <w:r w:rsidR="00B67E0E">
        <w:t xml:space="preserve"> </w:t>
      </w:r>
      <w:r>
        <w:t>The Committee delivered its final report in November 2023 and highlighted ineq</w:t>
      </w:r>
      <w:r w:rsidR="00A05CE2">
        <w:t>uities in</w:t>
      </w:r>
      <w:r>
        <w:t xml:space="preserve"> the current oral health</w:t>
      </w:r>
      <w:r w:rsidR="00DE0062">
        <w:t xml:space="preserve">care </w:t>
      </w:r>
      <w:r>
        <w:t xml:space="preserve">system including barriers to access </w:t>
      </w:r>
      <w:r w:rsidR="00DE0062">
        <w:t>services</w:t>
      </w:r>
      <w:r>
        <w:t>. The committee made 35 recommendations to improve oral health status for all Australians. These recommendations are summarised as:</w:t>
      </w:r>
    </w:p>
    <w:p w14:paraId="6D54A604" w14:textId="75C84203" w:rsidR="00B67E0E" w:rsidRDefault="005553BB" w:rsidP="005553BB">
      <w:pPr>
        <w:pStyle w:val="ListParagraph"/>
        <w:numPr>
          <w:ilvl w:val="0"/>
          <w:numId w:val="78"/>
        </w:numPr>
        <w:spacing w:before="60" w:after="120" w:line="240" w:lineRule="auto"/>
      </w:pPr>
      <w:r>
        <w:t>More equitable access</w:t>
      </w:r>
    </w:p>
    <w:p w14:paraId="08949E73" w14:textId="26A7DC93" w:rsidR="00B67E0E" w:rsidRDefault="005553BB" w:rsidP="005553BB">
      <w:pPr>
        <w:pStyle w:val="ListParagraph"/>
        <w:numPr>
          <w:ilvl w:val="0"/>
          <w:numId w:val="78"/>
        </w:numPr>
        <w:spacing w:before="60" w:after="120" w:line="240" w:lineRule="auto"/>
      </w:pPr>
      <w:r>
        <w:t>Better integration</w:t>
      </w:r>
    </w:p>
    <w:p w14:paraId="0EF4FE4C" w14:textId="43D739F0" w:rsidR="00B67E0E" w:rsidRDefault="005553BB" w:rsidP="005553BB">
      <w:pPr>
        <w:pStyle w:val="ListParagraph"/>
        <w:numPr>
          <w:ilvl w:val="0"/>
          <w:numId w:val="78"/>
        </w:numPr>
        <w:spacing w:before="60" w:after="120" w:line="240" w:lineRule="auto"/>
      </w:pPr>
      <w:r>
        <w:t>National data and coordination</w:t>
      </w:r>
    </w:p>
    <w:p w14:paraId="267553F1" w14:textId="32D676BE" w:rsidR="00B67E0E" w:rsidRDefault="005553BB" w:rsidP="005553BB">
      <w:pPr>
        <w:pStyle w:val="ListParagraph"/>
        <w:numPr>
          <w:ilvl w:val="0"/>
          <w:numId w:val="78"/>
        </w:numPr>
        <w:spacing w:before="60" w:after="120" w:line="240" w:lineRule="auto"/>
      </w:pPr>
      <w:r>
        <w:t>Awareness and education</w:t>
      </w:r>
    </w:p>
    <w:p w14:paraId="514E42AE" w14:textId="7CB8425F" w:rsidR="337FCEEC" w:rsidRDefault="005553BB" w:rsidP="005553BB">
      <w:pPr>
        <w:pStyle w:val="ListParagraph"/>
        <w:numPr>
          <w:ilvl w:val="0"/>
          <w:numId w:val="78"/>
        </w:numPr>
        <w:spacing w:before="60" w:after="120" w:line="240" w:lineRule="auto"/>
      </w:pPr>
      <w:r>
        <w:t>Culturally safe, accessible care.</w:t>
      </w:r>
    </w:p>
    <w:p w14:paraId="5EEAC3A0" w14:textId="10C5AF6C" w:rsidR="337FCEEC" w:rsidRDefault="337FCEEC" w:rsidP="008974EE">
      <w:pPr>
        <w:spacing w:before="60" w:after="60" w:line="240" w:lineRule="auto"/>
      </w:pPr>
      <w:r>
        <w:t xml:space="preserve">The Australian Government response supports (or supports in principle) </w:t>
      </w:r>
      <w:r w:rsidR="00D57A8A">
        <w:t>11</w:t>
      </w:r>
      <w:r>
        <w:t xml:space="preserve"> of the 35 recommendations, and the remaining </w:t>
      </w:r>
      <w:r w:rsidR="001148A2">
        <w:t>24</w:t>
      </w:r>
      <w:r>
        <w:t xml:space="preserve"> recommendations are </w:t>
      </w:r>
      <w:r w:rsidR="001148A2">
        <w:t>noted</w:t>
      </w:r>
      <w:r>
        <w:t>. The Government already has arrangements in place to address some of the recommendations.</w:t>
      </w:r>
    </w:p>
    <w:p w14:paraId="3B2B1858" w14:textId="0AE788AC" w:rsidR="337FCEEC" w:rsidRPr="00B05B08" w:rsidRDefault="337FCEEC" w:rsidP="008974EE">
      <w:pPr>
        <w:spacing w:before="60" w:after="60" w:line="240" w:lineRule="auto"/>
      </w:pPr>
      <w:r>
        <w:t xml:space="preserve">Some recommendations have financial implications which need to be considered in context with the Government’s other competing budget priorities. </w:t>
      </w:r>
      <w:r w:rsidRPr="00B05B08">
        <w:t xml:space="preserve">Therefore, </w:t>
      </w:r>
      <w:r w:rsidR="00B05B08" w:rsidRPr="00B05B08">
        <w:t>support and support in-principle do not represent a commitment to funding</w:t>
      </w:r>
      <w:r w:rsidRPr="00B05B08">
        <w:t>.</w:t>
      </w:r>
    </w:p>
    <w:p w14:paraId="0B1C6735" w14:textId="7841BDBE" w:rsidR="00E205FD" w:rsidRDefault="337FCEEC" w:rsidP="008974EE">
      <w:pPr>
        <w:spacing w:before="60" w:after="60" w:line="240" w:lineRule="auto"/>
      </w:pPr>
      <w:r>
        <w:t>Some of the recommendations do not fall within the remit of the Australian Government. In</w:t>
      </w:r>
      <w:r w:rsidR="00B05B08">
        <w:noBreakHyphen/>
      </w:r>
      <w:proofErr w:type="gramStart"/>
      <w:r>
        <w:t>principle</w:t>
      </w:r>
      <w:proofErr w:type="gramEnd"/>
      <w:r>
        <w:t xml:space="preserve"> support for these recommendations indicates agreement with the benefits of these recommendations but recognises that another party, including state and territory governments, are responsible for their funding and </w:t>
      </w:r>
      <w:r w:rsidR="00E205FD">
        <w:t>implementation.</w:t>
      </w:r>
    </w:p>
    <w:p w14:paraId="616FB025" w14:textId="6F72D811" w:rsidR="00176D3B" w:rsidRPr="00176D3B" w:rsidRDefault="0DEC8A24" w:rsidP="008974EE">
      <w:pPr>
        <w:spacing w:before="60" w:after="60" w:line="240" w:lineRule="auto"/>
      </w:pPr>
      <w:r w:rsidRPr="4AB80C67">
        <w:t>The Government recognises that oral health is fundamental to overall health, wellbeing, and quality of life. Poor oral health has significant adverse impacts at individual, societal, and economic levels.</w:t>
      </w:r>
    </w:p>
    <w:p w14:paraId="2FFB13D0" w14:textId="1C34236E" w:rsidR="00176D3B" w:rsidRPr="00DA0EAA" w:rsidRDefault="363BEEE7" w:rsidP="00D33C6C">
      <w:pPr>
        <w:spacing w:before="60" w:after="60" w:line="240" w:lineRule="auto"/>
        <w:rPr>
          <w:szCs w:val="24"/>
        </w:rPr>
      </w:pPr>
      <w:r w:rsidRPr="00DA0EAA">
        <w:rPr>
          <w:szCs w:val="24"/>
        </w:rPr>
        <w:t xml:space="preserve">The </w:t>
      </w:r>
      <w:r w:rsidR="4EEBB1F4" w:rsidRPr="00DA0EAA">
        <w:rPr>
          <w:szCs w:val="24"/>
        </w:rPr>
        <w:t xml:space="preserve">Government </w:t>
      </w:r>
      <w:r w:rsidRPr="00DA0EAA">
        <w:rPr>
          <w:szCs w:val="24"/>
        </w:rPr>
        <w:t>supports access to</w:t>
      </w:r>
      <w:r w:rsidR="004C5D97">
        <w:rPr>
          <w:szCs w:val="24"/>
        </w:rPr>
        <w:t xml:space="preserve"> oral healthcare services</w:t>
      </w:r>
      <w:r w:rsidRPr="00DA0EAA">
        <w:rPr>
          <w:szCs w:val="24"/>
        </w:rPr>
        <w:t xml:space="preserve"> through:</w:t>
      </w:r>
    </w:p>
    <w:p w14:paraId="4E33E8CE" w14:textId="167131C5" w:rsidR="00176D3B" w:rsidRPr="00DA0EAA" w:rsidRDefault="00176D3B" w:rsidP="00DA0EAA">
      <w:pPr>
        <w:pStyle w:val="ListParagraph"/>
        <w:numPr>
          <w:ilvl w:val="0"/>
          <w:numId w:val="77"/>
        </w:numPr>
        <w:spacing w:before="60" w:after="120" w:line="240" w:lineRule="auto"/>
        <w:rPr>
          <w:rFonts w:cstheme="minorHAnsi"/>
          <w:iCs/>
          <w:szCs w:val="24"/>
        </w:rPr>
      </w:pPr>
      <w:r w:rsidRPr="00DA0EAA">
        <w:rPr>
          <w:rFonts w:cstheme="minorHAnsi"/>
          <w:iCs/>
          <w:szCs w:val="24"/>
        </w:rPr>
        <w:t xml:space="preserve">Federation Funding Agreement (FFA) for adult public dental </w:t>
      </w:r>
      <w:proofErr w:type="gramStart"/>
      <w:r w:rsidRPr="00DA0EAA">
        <w:rPr>
          <w:rFonts w:cstheme="minorHAnsi"/>
          <w:iCs/>
          <w:szCs w:val="24"/>
        </w:rPr>
        <w:t>services</w:t>
      </w:r>
      <w:r w:rsidR="00B05B08">
        <w:rPr>
          <w:rFonts w:cstheme="minorHAnsi"/>
          <w:iCs/>
          <w:szCs w:val="24"/>
        </w:rPr>
        <w:t>;</w:t>
      </w:r>
      <w:proofErr w:type="gramEnd"/>
    </w:p>
    <w:p w14:paraId="3877034C" w14:textId="0F8F1C00" w:rsidR="00176D3B" w:rsidRPr="00DA0EAA" w:rsidRDefault="00176D3B" w:rsidP="00DA0EAA">
      <w:pPr>
        <w:pStyle w:val="ListParagraph"/>
        <w:numPr>
          <w:ilvl w:val="0"/>
          <w:numId w:val="77"/>
        </w:numPr>
        <w:spacing w:before="60" w:after="120" w:line="240" w:lineRule="auto"/>
        <w:rPr>
          <w:rFonts w:cstheme="minorHAnsi"/>
          <w:iCs/>
          <w:szCs w:val="24"/>
        </w:rPr>
      </w:pPr>
      <w:r w:rsidRPr="00DA0EAA">
        <w:rPr>
          <w:rFonts w:cstheme="minorHAnsi"/>
          <w:iCs/>
          <w:szCs w:val="24"/>
        </w:rPr>
        <w:t>Child Dental Benefits Schedule (CDBS</w:t>
      </w:r>
      <w:proofErr w:type="gramStart"/>
      <w:r w:rsidRPr="00DA0EAA">
        <w:rPr>
          <w:rFonts w:cstheme="minorHAnsi"/>
          <w:iCs/>
          <w:szCs w:val="24"/>
        </w:rPr>
        <w:t>)</w:t>
      </w:r>
      <w:r w:rsidR="00B05B08">
        <w:rPr>
          <w:rFonts w:cstheme="minorHAnsi"/>
          <w:iCs/>
          <w:szCs w:val="24"/>
        </w:rPr>
        <w:t>;</w:t>
      </w:r>
      <w:proofErr w:type="gramEnd"/>
    </w:p>
    <w:p w14:paraId="48C659FE" w14:textId="0031DFC8" w:rsidR="00176D3B" w:rsidRPr="00DA0EAA" w:rsidRDefault="00176D3B" w:rsidP="00DA0EAA">
      <w:pPr>
        <w:pStyle w:val="ListParagraph"/>
        <w:numPr>
          <w:ilvl w:val="0"/>
          <w:numId w:val="77"/>
        </w:numPr>
        <w:spacing w:before="60" w:after="120" w:line="240" w:lineRule="auto"/>
        <w:rPr>
          <w:rFonts w:cstheme="minorHAnsi"/>
          <w:iCs/>
          <w:szCs w:val="24"/>
        </w:rPr>
      </w:pPr>
      <w:r w:rsidRPr="00DA0EAA">
        <w:rPr>
          <w:rFonts w:cstheme="minorHAnsi"/>
          <w:iCs/>
          <w:szCs w:val="24"/>
        </w:rPr>
        <w:t xml:space="preserve">National Health Reform Agreement (NHRA) funding for public hospital admitted and outpatient </w:t>
      </w:r>
      <w:proofErr w:type="gramStart"/>
      <w:r w:rsidRPr="00DA0EAA">
        <w:rPr>
          <w:rFonts w:cstheme="minorHAnsi"/>
          <w:iCs/>
          <w:szCs w:val="24"/>
        </w:rPr>
        <w:t>services</w:t>
      </w:r>
      <w:r w:rsidR="00B05B08">
        <w:rPr>
          <w:rFonts w:cstheme="minorHAnsi"/>
          <w:iCs/>
          <w:szCs w:val="24"/>
        </w:rPr>
        <w:t>;</w:t>
      </w:r>
      <w:proofErr w:type="gramEnd"/>
    </w:p>
    <w:p w14:paraId="074A31E0" w14:textId="14629C7A" w:rsidR="00DA0EAA" w:rsidRDefault="00176D3B" w:rsidP="00DA0EAA">
      <w:pPr>
        <w:pStyle w:val="ListParagraph"/>
        <w:numPr>
          <w:ilvl w:val="0"/>
          <w:numId w:val="77"/>
        </w:numPr>
        <w:spacing w:before="60" w:after="120" w:line="240" w:lineRule="auto"/>
        <w:rPr>
          <w:rFonts w:cstheme="minorHAnsi"/>
          <w:iCs/>
          <w:szCs w:val="24"/>
        </w:rPr>
      </w:pPr>
      <w:r w:rsidRPr="00DA0EAA">
        <w:rPr>
          <w:rFonts w:cstheme="minorHAnsi"/>
          <w:iCs/>
          <w:szCs w:val="24"/>
        </w:rPr>
        <w:t xml:space="preserve">Private Health Insurance (PHI) </w:t>
      </w:r>
      <w:proofErr w:type="gramStart"/>
      <w:r w:rsidRPr="00DA0EAA">
        <w:rPr>
          <w:rFonts w:cstheme="minorHAnsi"/>
          <w:iCs/>
          <w:szCs w:val="24"/>
        </w:rPr>
        <w:t>rebates</w:t>
      </w:r>
      <w:r w:rsidR="00B05B08">
        <w:rPr>
          <w:rFonts w:cstheme="minorHAnsi"/>
          <w:iCs/>
          <w:szCs w:val="24"/>
        </w:rPr>
        <w:t>;</w:t>
      </w:r>
      <w:proofErr w:type="gramEnd"/>
    </w:p>
    <w:p w14:paraId="2E8A69A8" w14:textId="68F4A921" w:rsidR="004C5D97" w:rsidRDefault="00176D3B" w:rsidP="00494B7B">
      <w:pPr>
        <w:pStyle w:val="ListParagraph"/>
        <w:numPr>
          <w:ilvl w:val="0"/>
          <w:numId w:val="77"/>
        </w:numPr>
        <w:spacing w:before="60" w:after="120" w:line="240" w:lineRule="auto"/>
        <w:rPr>
          <w:szCs w:val="24"/>
        </w:rPr>
      </w:pPr>
      <w:r w:rsidRPr="00DA0EAA">
        <w:rPr>
          <w:szCs w:val="24"/>
        </w:rPr>
        <w:t>Grants to the Royal Flying Doctors Service (RFDS)</w:t>
      </w:r>
      <w:r w:rsidR="00B05B08">
        <w:rPr>
          <w:szCs w:val="24"/>
        </w:rPr>
        <w:t>; and</w:t>
      </w:r>
    </w:p>
    <w:p w14:paraId="37DD1C65" w14:textId="411A33E6" w:rsidR="00414F3C" w:rsidRDefault="00C90A3E" w:rsidP="00D33C6C">
      <w:pPr>
        <w:pStyle w:val="ListParagraph"/>
        <w:numPr>
          <w:ilvl w:val="0"/>
          <w:numId w:val="77"/>
        </w:numPr>
        <w:spacing w:before="60" w:after="60" w:line="240" w:lineRule="auto"/>
        <w:rPr>
          <w:szCs w:val="24"/>
        </w:rPr>
      </w:pPr>
      <w:r w:rsidRPr="00DA0EAA">
        <w:rPr>
          <w:szCs w:val="24"/>
        </w:rPr>
        <w:t>The Department of Veterans’ Affairs dental program</w:t>
      </w:r>
      <w:r w:rsidR="00B05B08">
        <w:rPr>
          <w:szCs w:val="24"/>
        </w:rPr>
        <w:t>.</w:t>
      </w:r>
    </w:p>
    <w:p w14:paraId="14594E36" w14:textId="1D8E6186" w:rsidR="00870D87" w:rsidRPr="00752D52" w:rsidRDefault="00414F3C" w:rsidP="00752D52">
      <w:pPr>
        <w:spacing w:after="160" w:line="259" w:lineRule="auto"/>
        <w:rPr>
          <w:szCs w:val="24"/>
        </w:rPr>
      </w:pPr>
      <w:r>
        <w:rPr>
          <w:szCs w:val="24"/>
        </w:rPr>
        <w:br w:type="page"/>
      </w:r>
    </w:p>
    <w:p w14:paraId="4566DF0F" w14:textId="23D7FD1D" w:rsidR="003146BC" w:rsidRDefault="00922688" w:rsidP="00D33C6C">
      <w:pPr>
        <w:spacing w:before="60" w:after="60" w:line="240" w:lineRule="auto"/>
      </w:pPr>
      <w:r>
        <w:lastRenderedPageBreak/>
        <w:t>T</w:t>
      </w:r>
      <w:r w:rsidRPr="00922688">
        <w:t>he Health Chief Executive Forum (HCEF) established the National Dental Reform</w:t>
      </w:r>
      <w:r w:rsidR="00CB7564" w:rsidRPr="00922688">
        <w:t xml:space="preserve"> Oversight Group </w:t>
      </w:r>
      <w:r w:rsidRPr="00922688">
        <w:t>(the Oversight Group) to develop reform</w:t>
      </w:r>
      <w:r w:rsidR="00CB7564" w:rsidRPr="00922688">
        <w:t xml:space="preserve"> options for </w:t>
      </w:r>
      <w:r w:rsidR="00924A32" w:rsidRPr="00922688">
        <w:t xml:space="preserve">sustainable </w:t>
      </w:r>
      <w:r w:rsidRPr="00922688">
        <w:t xml:space="preserve">and longer-term </w:t>
      </w:r>
      <w:r w:rsidR="00924A32" w:rsidRPr="00922688">
        <w:t>funding</w:t>
      </w:r>
      <w:r w:rsidRPr="00922688">
        <w:t xml:space="preserve"> arrangements</w:t>
      </w:r>
      <w:r w:rsidR="00924A32" w:rsidRPr="00922688">
        <w:t xml:space="preserve"> </w:t>
      </w:r>
      <w:r w:rsidR="00CB7564" w:rsidRPr="00922688">
        <w:t xml:space="preserve">that better meet the needs of the </w:t>
      </w:r>
      <w:r w:rsidRPr="00922688">
        <w:t>communities across Australia</w:t>
      </w:r>
      <w:r w:rsidR="00CB7564">
        <w:t>, particularly those of Older Australians and First Nations people.</w:t>
      </w:r>
      <w:r w:rsidR="31B78B65">
        <w:t xml:space="preserve"> These options will be presented to Health Ministers for their consideration </w:t>
      </w:r>
      <w:r w:rsidR="00B05B08">
        <w:t>during</w:t>
      </w:r>
      <w:r w:rsidR="31B78B65">
        <w:t xml:space="preserve"> 2024</w:t>
      </w:r>
      <w:r w:rsidR="31B78B65" w:rsidRPr="00B05B08">
        <w:t>.</w:t>
      </w:r>
    </w:p>
    <w:p w14:paraId="118067AD" w14:textId="683EF65C" w:rsidR="00414F3C" w:rsidRDefault="00414F3C">
      <w:pPr>
        <w:spacing w:after="160" w:line="259" w:lineRule="auto"/>
        <w:rPr>
          <w:rFonts w:cstheme="minorHAnsi"/>
        </w:rPr>
      </w:pPr>
      <w:r>
        <w:rPr>
          <w:rFonts w:cstheme="minorHAnsi"/>
        </w:rPr>
        <w:br w:type="page"/>
      </w:r>
    </w:p>
    <w:p w14:paraId="6DFB7AA1" w14:textId="632F09F2" w:rsidR="2C7AE9BC" w:rsidRPr="00D4484A" w:rsidRDefault="00494B7B" w:rsidP="00D4484A">
      <w:pPr>
        <w:pStyle w:val="Heading1"/>
      </w:pPr>
      <w:r w:rsidRPr="00D4484A">
        <w:lastRenderedPageBreak/>
        <w:t>A</w:t>
      </w:r>
      <w:r w:rsidR="2C7AE9BC" w:rsidRPr="00D4484A">
        <w:t>ustralian Government response to recommendations</w:t>
      </w:r>
    </w:p>
    <w:p w14:paraId="25A5286E" w14:textId="77777777" w:rsidR="005A612C" w:rsidRPr="00D4484A" w:rsidRDefault="005A612C" w:rsidP="00D4484A">
      <w:pPr>
        <w:pStyle w:val="Heading2"/>
      </w:pPr>
      <w:r w:rsidRPr="00D4484A">
        <w:t>Recommendation 1</w:t>
      </w:r>
    </w:p>
    <w:p w14:paraId="4C0CDB5D" w14:textId="12256AE6" w:rsidR="005A612C" w:rsidRPr="00DE14FC" w:rsidRDefault="005A612C" w:rsidP="00DE14FC">
      <w:pPr>
        <w:spacing w:before="60" w:after="120" w:line="240" w:lineRule="auto"/>
        <w:rPr>
          <w:rFonts w:ascii="Calibri" w:eastAsia="Calibri" w:hAnsi="Calibri" w:cs="Calibri"/>
          <w:b/>
          <w:i/>
          <w:szCs w:val="24"/>
        </w:rPr>
      </w:pPr>
      <w:r w:rsidRPr="00DE14FC">
        <w:rPr>
          <w:rFonts w:ascii="Calibri" w:eastAsia="Calibri" w:hAnsi="Calibri" w:cs="Calibri"/>
          <w:b/>
          <w:i/>
          <w:szCs w:val="24"/>
        </w:rPr>
        <w:t>The committee recommends that the Australian Government considers commissioning biennial national oral health studies—incorporating consistent measures of oral and dental health, habits and practices, service utilisation and outcomes—alternating between adults and children.</w:t>
      </w:r>
    </w:p>
    <w:p w14:paraId="47629A28" w14:textId="49EEFFD0" w:rsidR="00BB18A6" w:rsidRPr="00DE14FC" w:rsidRDefault="00A42E03" w:rsidP="00DE14FC">
      <w:pPr>
        <w:spacing w:before="60" w:after="120" w:line="240" w:lineRule="auto"/>
      </w:pPr>
      <w:r>
        <w:t xml:space="preserve">The </w:t>
      </w:r>
      <w:r w:rsidR="24B625A6">
        <w:t xml:space="preserve">Australian </w:t>
      </w:r>
      <w:r>
        <w:t xml:space="preserve">Government </w:t>
      </w:r>
      <w:r w:rsidR="42CE6FB4" w:rsidRPr="00D02DEE">
        <w:rPr>
          <w:b/>
          <w:bCs/>
        </w:rPr>
        <w:t>supports</w:t>
      </w:r>
      <w:r w:rsidR="42CE6FB4">
        <w:t xml:space="preserve"> </w:t>
      </w:r>
      <w:r>
        <w:t>this recommendation</w:t>
      </w:r>
      <w:r w:rsidR="578F20B0">
        <w:t xml:space="preserve"> </w:t>
      </w:r>
      <w:r w:rsidR="578F20B0" w:rsidRPr="00D02DEE">
        <w:rPr>
          <w:b/>
          <w:bCs/>
        </w:rPr>
        <w:t>in</w:t>
      </w:r>
      <w:r w:rsidR="00BF3E0F">
        <w:rPr>
          <w:b/>
          <w:bCs/>
        </w:rPr>
        <w:t xml:space="preserve"> </w:t>
      </w:r>
      <w:r w:rsidR="578F20B0" w:rsidRPr="00D02DEE">
        <w:rPr>
          <w:b/>
          <w:bCs/>
        </w:rPr>
        <w:t>principle</w:t>
      </w:r>
      <w:r>
        <w:t>.</w:t>
      </w:r>
    </w:p>
    <w:p w14:paraId="38030928" w14:textId="74794DE5" w:rsidR="00367DB2" w:rsidRPr="00DE14FC" w:rsidRDefault="00E00306" w:rsidP="00DE14FC">
      <w:pPr>
        <w:spacing w:before="60" w:after="120" w:line="240" w:lineRule="auto"/>
      </w:pPr>
      <w:r w:rsidRPr="4AB80C67">
        <w:rPr>
          <w:rFonts w:ascii="Calibri" w:eastAsia="Calibri" w:hAnsi="Calibri" w:cs="Calibri"/>
        </w:rPr>
        <w:t xml:space="preserve">The Government acknowledges that </w:t>
      </w:r>
      <w:r w:rsidR="4FB2029C" w:rsidRPr="4AB80C67">
        <w:rPr>
          <w:rFonts w:ascii="Calibri" w:eastAsia="Calibri" w:hAnsi="Calibri" w:cs="Calibri"/>
        </w:rPr>
        <w:t>regular studies are important fo</w:t>
      </w:r>
      <w:r w:rsidR="0E1AE366" w:rsidRPr="4AB80C67">
        <w:rPr>
          <w:rFonts w:ascii="Calibri" w:eastAsia="Calibri" w:hAnsi="Calibri" w:cs="Calibri"/>
        </w:rPr>
        <w:t xml:space="preserve">r understanding the effectiveness of the current </w:t>
      </w:r>
      <w:r w:rsidR="4076CDF1" w:rsidRPr="4AB80C67">
        <w:rPr>
          <w:rFonts w:ascii="Calibri" w:eastAsia="Calibri" w:hAnsi="Calibri" w:cs="Calibri"/>
        </w:rPr>
        <w:t>oral health system</w:t>
      </w:r>
      <w:r w:rsidR="04FE1765" w:rsidRPr="4AB80C67">
        <w:rPr>
          <w:rFonts w:ascii="Calibri" w:eastAsia="Calibri" w:hAnsi="Calibri" w:cs="Calibri"/>
        </w:rPr>
        <w:t>,</w:t>
      </w:r>
      <w:r w:rsidR="4FB2029C" w:rsidRPr="4AB80C67">
        <w:rPr>
          <w:rFonts w:ascii="Calibri" w:eastAsia="Calibri" w:hAnsi="Calibri" w:cs="Calibri"/>
        </w:rPr>
        <w:t xml:space="preserve"> </w:t>
      </w:r>
      <w:r w:rsidR="009576FD" w:rsidRPr="4AB80C67">
        <w:rPr>
          <w:rFonts w:ascii="Calibri" w:eastAsia="Calibri" w:hAnsi="Calibri" w:cs="Calibri"/>
        </w:rPr>
        <w:t>identifying</w:t>
      </w:r>
      <w:r w:rsidR="001B507D" w:rsidRPr="4AB80C67">
        <w:rPr>
          <w:rFonts w:ascii="Calibri" w:eastAsia="Calibri" w:hAnsi="Calibri" w:cs="Calibri"/>
        </w:rPr>
        <w:t xml:space="preserve"> trends, disparities and challenges</w:t>
      </w:r>
      <w:r w:rsidR="00FA1248" w:rsidRPr="4AB80C67">
        <w:rPr>
          <w:rFonts w:ascii="Calibri" w:eastAsia="Calibri" w:hAnsi="Calibri" w:cs="Calibri"/>
        </w:rPr>
        <w:t xml:space="preserve"> in </w:t>
      </w:r>
      <w:r w:rsidR="001A4D26" w:rsidRPr="4AB80C67">
        <w:rPr>
          <w:rFonts w:ascii="Calibri" w:eastAsia="Calibri" w:hAnsi="Calibri" w:cs="Calibri"/>
        </w:rPr>
        <w:t xml:space="preserve">accessing oral health </w:t>
      </w:r>
      <w:r w:rsidR="00D02DEE" w:rsidRPr="4AB80C67">
        <w:rPr>
          <w:rFonts w:ascii="Calibri" w:eastAsia="Calibri" w:hAnsi="Calibri" w:cs="Calibri"/>
        </w:rPr>
        <w:t>services, and</w:t>
      </w:r>
      <w:r w:rsidR="71448A7B" w:rsidRPr="4AB80C67">
        <w:rPr>
          <w:rFonts w:ascii="Calibri" w:eastAsia="Calibri" w:hAnsi="Calibri" w:cs="Calibri"/>
        </w:rPr>
        <w:t xml:space="preserve"> </w:t>
      </w:r>
      <w:r w:rsidR="4C91EB6D" w:rsidRPr="4AB80C67">
        <w:rPr>
          <w:rFonts w:ascii="Calibri" w:eastAsia="Calibri" w:hAnsi="Calibri" w:cs="Calibri"/>
        </w:rPr>
        <w:t>enabl</w:t>
      </w:r>
      <w:r w:rsidR="5D76A6AE" w:rsidRPr="4AB80C67">
        <w:rPr>
          <w:rFonts w:ascii="Calibri" w:eastAsia="Calibri" w:hAnsi="Calibri" w:cs="Calibri"/>
        </w:rPr>
        <w:t>ing</w:t>
      </w:r>
      <w:r w:rsidR="00E34E48" w:rsidRPr="4AB80C67" w:rsidDel="008D318F">
        <w:rPr>
          <w:rFonts w:ascii="Calibri" w:eastAsia="Calibri" w:hAnsi="Calibri" w:cs="Calibri"/>
        </w:rPr>
        <w:t xml:space="preserve"> development </w:t>
      </w:r>
      <w:r w:rsidR="00E34E48" w:rsidRPr="4AB80C67">
        <w:rPr>
          <w:rFonts w:ascii="Calibri" w:eastAsia="Calibri" w:hAnsi="Calibri" w:cs="Calibri"/>
        </w:rPr>
        <w:t xml:space="preserve">of targeted </w:t>
      </w:r>
      <w:r w:rsidR="00EC63F1" w:rsidRPr="4AB80C67">
        <w:rPr>
          <w:rFonts w:ascii="Calibri" w:eastAsia="Calibri" w:hAnsi="Calibri" w:cs="Calibri"/>
        </w:rPr>
        <w:t>and e</w:t>
      </w:r>
      <w:r w:rsidR="00AC1462" w:rsidRPr="4AB80C67">
        <w:rPr>
          <w:rFonts w:ascii="Calibri" w:eastAsia="Calibri" w:hAnsi="Calibri" w:cs="Calibri"/>
        </w:rPr>
        <w:t xml:space="preserve">videnced based strategies that </w:t>
      </w:r>
      <w:r w:rsidR="008D0C8F" w:rsidRPr="4AB80C67">
        <w:rPr>
          <w:rFonts w:ascii="Calibri" w:eastAsia="Calibri" w:hAnsi="Calibri" w:cs="Calibri"/>
        </w:rPr>
        <w:t>can lead to improved oral health outcomes</w:t>
      </w:r>
      <w:r w:rsidR="00367DB2" w:rsidRPr="4AB80C67">
        <w:rPr>
          <w:rFonts w:ascii="Calibri" w:eastAsia="Calibri" w:hAnsi="Calibri" w:cs="Calibri"/>
        </w:rPr>
        <w:t xml:space="preserve">. </w:t>
      </w:r>
    </w:p>
    <w:p w14:paraId="235B6BEB" w14:textId="629A1CD0" w:rsidR="0015095F" w:rsidRPr="00DE14FC" w:rsidRDefault="003020A8" w:rsidP="00DE14FC">
      <w:pPr>
        <w:spacing w:before="60" w:after="120" w:line="240" w:lineRule="auto"/>
      </w:pPr>
      <w:r>
        <w:t xml:space="preserve">The Government </w:t>
      </w:r>
      <w:r w:rsidR="00761D2F">
        <w:t xml:space="preserve">currently </w:t>
      </w:r>
      <w:r>
        <w:t>funds</w:t>
      </w:r>
      <w:r w:rsidR="008F77B2">
        <w:t xml:space="preserve"> </w:t>
      </w:r>
      <w:r w:rsidR="001F0DFB">
        <w:t>several research studies in population oral health</w:t>
      </w:r>
      <w:r w:rsidR="00521FFB">
        <w:t>,</w:t>
      </w:r>
      <w:r w:rsidR="001F0DFB">
        <w:t xml:space="preserve"> conducted by</w:t>
      </w:r>
      <w:r w:rsidR="008F77B2">
        <w:t xml:space="preserve"> </w:t>
      </w:r>
      <w:r w:rsidR="001F0DFB">
        <w:t>t</w:t>
      </w:r>
      <w:r w:rsidR="00BE5B01">
        <w:t>he Australian Research Centre for Population Oral Health (ARCPOH</w:t>
      </w:r>
      <w:r w:rsidR="004B1627">
        <w:t>)</w:t>
      </w:r>
      <w:r w:rsidR="00622C5E">
        <w:t>, primarily focused on promoti</w:t>
      </w:r>
      <w:r w:rsidR="00070369">
        <w:t>on of good oral health outcomes and prevention of oral disease</w:t>
      </w:r>
      <w:r w:rsidR="002025AA">
        <w:t>.</w:t>
      </w:r>
      <w:r w:rsidR="00F60315" w:rsidDel="002025AA">
        <w:t xml:space="preserve"> </w:t>
      </w:r>
      <w:r w:rsidR="002D2410">
        <w:t>They are</w:t>
      </w:r>
      <w:r w:rsidR="008D318F">
        <w:t xml:space="preserve">: </w:t>
      </w:r>
    </w:p>
    <w:p w14:paraId="719DFC9E" w14:textId="70CBCCFF" w:rsidR="0015095F" w:rsidRPr="00DE14FC" w:rsidRDefault="7A6BDEAB" w:rsidP="006D5BB2">
      <w:pPr>
        <w:pStyle w:val="ListParagraph"/>
        <w:numPr>
          <w:ilvl w:val="0"/>
          <w:numId w:val="59"/>
        </w:numPr>
        <w:spacing w:before="60" w:after="120" w:line="240" w:lineRule="auto"/>
      </w:pPr>
      <w:r>
        <w:t xml:space="preserve">National Dental Telephone Interview Survey (NDTIS), now </w:t>
      </w:r>
      <w:r w:rsidR="29571F91">
        <w:t>called</w:t>
      </w:r>
      <w:r w:rsidR="69DA3B3B">
        <w:t xml:space="preserve"> </w:t>
      </w:r>
      <w:r>
        <w:t>National Dental Care Survey 2023-26</w:t>
      </w:r>
      <w:r w:rsidR="002E5289">
        <w:t xml:space="preserve"> </w:t>
      </w:r>
      <w:r>
        <w:t>(</w:t>
      </w:r>
      <w:r w:rsidR="569778A2">
        <w:t xml:space="preserve">conducted </w:t>
      </w:r>
      <w:r>
        <w:t>every three years</w:t>
      </w:r>
      <w:r w:rsidR="3CE3B32E">
        <w:t xml:space="preserve">, with </w:t>
      </w:r>
      <w:r w:rsidR="434A4992">
        <w:t>the next</w:t>
      </w:r>
      <w:r w:rsidR="3CE3B32E">
        <w:t xml:space="preserve"> planned for 2023</w:t>
      </w:r>
      <w:r w:rsidR="00B05B08">
        <w:noBreakHyphen/>
      </w:r>
      <w:r w:rsidR="3CE3B32E">
        <w:t>2026</w:t>
      </w:r>
      <w:proofErr w:type="gramStart"/>
      <w:r>
        <w:t>)</w:t>
      </w:r>
      <w:r w:rsidR="00B05B08">
        <w:t>;</w:t>
      </w:r>
      <w:proofErr w:type="gramEnd"/>
    </w:p>
    <w:p w14:paraId="3C1A3502" w14:textId="16E06543" w:rsidR="0015095F" w:rsidRPr="00DE14FC" w:rsidRDefault="7A6BDEAB" w:rsidP="006D5BB2">
      <w:pPr>
        <w:pStyle w:val="ListParagraph"/>
        <w:numPr>
          <w:ilvl w:val="0"/>
          <w:numId w:val="59"/>
        </w:numPr>
        <w:spacing w:before="60" w:after="120" w:line="240" w:lineRule="auto"/>
      </w:pPr>
      <w:r>
        <w:t xml:space="preserve">National Child Oral </w:t>
      </w:r>
      <w:r w:rsidR="439ED7F8">
        <w:t>H</w:t>
      </w:r>
      <w:r>
        <w:t>ealth Study (</w:t>
      </w:r>
      <w:r w:rsidR="00D02DEE">
        <w:t>NCOHS) (</w:t>
      </w:r>
      <w:r w:rsidR="16E31BE5">
        <w:t>conducted every ten years</w:t>
      </w:r>
      <w:r w:rsidR="414045CE">
        <w:t>, with the next planned for 2023-24</w:t>
      </w:r>
      <w:r w:rsidR="0E157863">
        <w:t>)</w:t>
      </w:r>
      <w:r w:rsidR="00B05B08">
        <w:t>; and</w:t>
      </w:r>
    </w:p>
    <w:p w14:paraId="16206C67" w14:textId="060ACD68" w:rsidR="0015095F" w:rsidRPr="00DE14FC" w:rsidRDefault="7A6BDEAB" w:rsidP="006D5BB2">
      <w:pPr>
        <w:pStyle w:val="ListParagraph"/>
        <w:numPr>
          <w:ilvl w:val="0"/>
          <w:numId w:val="59"/>
        </w:numPr>
        <w:spacing w:before="60" w:after="120" w:line="240" w:lineRule="auto"/>
      </w:pPr>
      <w:r>
        <w:t>National Study Adult Oral Health (NSAOH) (</w:t>
      </w:r>
      <w:r w:rsidR="60E4CAA2">
        <w:t>conducted</w:t>
      </w:r>
      <w:r>
        <w:t xml:space="preserve"> every </w:t>
      </w:r>
      <w:r w:rsidR="60E4CAA2">
        <w:t>ten</w:t>
      </w:r>
      <w:r>
        <w:t xml:space="preserve"> years</w:t>
      </w:r>
      <w:r w:rsidR="5AF74D10">
        <w:t xml:space="preserve">, with </w:t>
      </w:r>
      <w:r w:rsidR="50020CE2">
        <w:t>the next</w:t>
      </w:r>
      <w:r w:rsidR="5AF74D10">
        <w:t xml:space="preserve"> planned for 2027-28</w:t>
      </w:r>
      <w:r w:rsidR="7199515E">
        <w:t>).</w:t>
      </w:r>
    </w:p>
    <w:p w14:paraId="5EFF1AFF" w14:textId="05A53A9D" w:rsidR="00073BD7" w:rsidRPr="00D65FFF" w:rsidRDefault="46B806B3" w:rsidP="00D226CA">
      <w:pPr>
        <w:spacing w:before="60" w:after="120" w:line="240" w:lineRule="auto"/>
      </w:pPr>
      <w:r>
        <w:t xml:space="preserve">These surveys collect data on the oral health status of </w:t>
      </w:r>
      <w:r w:rsidR="73CF11EF">
        <w:t xml:space="preserve">Australian adults and </w:t>
      </w:r>
      <w:r w:rsidR="4F69DA43">
        <w:t>children</w:t>
      </w:r>
      <w:r>
        <w:t>, including the average number of decayed, missing, or filled teeth, and use of dental services, including frequency of dentist visits.</w:t>
      </w:r>
      <w:r w:rsidR="70C048F7">
        <w:t xml:space="preserve"> </w:t>
      </w:r>
      <w:r w:rsidR="258884D3">
        <w:t xml:space="preserve">Data on dental service usage, </w:t>
      </w:r>
      <w:r w:rsidR="4BDAD63E">
        <w:t xml:space="preserve">dental practices and the workforce are also collected. </w:t>
      </w:r>
      <w:r w:rsidR="10AF7909">
        <w:t xml:space="preserve">Together, the findings of these surveys </w:t>
      </w:r>
      <w:r w:rsidR="70C048F7">
        <w:t xml:space="preserve">deliver national-level evidence on child and adult oral health and </w:t>
      </w:r>
      <w:r w:rsidR="758E24E6">
        <w:t xml:space="preserve">access to dental services. </w:t>
      </w:r>
      <w:r w:rsidR="1BD54489">
        <w:t>T</w:t>
      </w:r>
      <w:r w:rsidR="38E4CF50">
        <w:t>h</w:t>
      </w:r>
      <w:r w:rsidR="0E840FA6">
        <w:t>e</w:t>
      </w:r>
      <w:r w:rsidR="13B40A48">
        <w:t xml:space="preserve"> Australian Institute of Health and Welfare (AIHW)</w:t>
      </w:r>
      <w:r w:rsidR="409D68A6">
        <w:t xml:space="preserve"> </w:t>
      </w:r>
      <w:r w:rsidR="5E07F8EB">
        <w:t xml:space="preserve">uses findings from these surveys in their </w:t>
      </w:r>
      <w:r w:rsidR="208223A3" w:rsidRPr="5A3FCF4F">
        <w:rPr>
          <w:i/>
          <w:iCs/>
        </w:rPr>
        <w:t>Dental and Oral Health Report</w:t>
      </w:r>
      <w:r w:rsidR="2ECC348E" w:rsidRPr="5A3FCF4F">
        <w:rPr>
          <w:i/>
          <w:iCs/>
        </w:rPr>
        <w:t>.</w:t>
      </w:r>
    </w:p>
    <w:p w14:paraId="09C87D56" w14:textId="7A4008F9" w:rsidR="31B636D6" w:rsidRDefault="31B636D6" w:rsidP="5A3FCF4F">
      <w:pPr>
        <w:spacing w:before="60" w:after="120" w:line="240" w:lineRule="auto"/>
      </w:pPr>
      <w:r>
        <w:t>The Government will consider opportunities to optimise the frequency of studies, implement best practice administrative and access arrangements to facilitate timely reporting and publication, and support co</w:t>
      </w:r>
      <w:r w:rsidR="17E2B96C">
        <w:t xml:space="preserve">ntinuous improvements to oral health through research. </w:t>
      </w:r>
      <w:r w:rsidR="7152C7C2">
        <w:t>The Government will also explore opportunities to leverage off existing data sources wherever possible.</w:t>
      </w:r>
    </w:p>
    <w:p w14:paraId="20D00824" w14:textId="3921B5D9" w:rsidR="00D4484A" w:rsidRDefault="28375137" w:rsidP="00DE14FC">
      <w:pPr>
        <w:spacing w:before="60" w:after="120" w:line="240" w:lineRule="auto"/>
      </w:pPr>
      <w:r>
        <w:t xml:space="preserve">Regular studies provide an </w:t>
      </w:r>
      <w:r w:rsidR="0C2D1DAB">
        <w:t xml:space="preserve">ongoing evidence base </w:t>
      </w:r>
      <w:r w:rsidR="420BC69A">
        <w:t xml:space="preserve">in relation to specific </w:t>
      </w:r>
      <w:r w:rsidR="0C2D1DAB">
        <w:t>cohorts whose oral health needs may differ from those of other Australians</w:t>
      </w:r>
      <w:r w:rsidR="386312ED">
        <w:t xml:space="preserve">. This would support improvement to targeted dental programs </w:t>
      </w:r>
      <w:r w:rsidR="0C2D1DAB">
        <w:t xml:space="preserve">such as the </w:t>
      </w:r>
      <w:r w:rsidR="5C6BCDE6">
        <w:t xml:space="preserve">Department of Veteran Affairs (DVA) </w:t>
      </w:r>
      <w:r w:rsidR="0C2D1DAB">
        <w:t>programs for veterans</w:t>
      </w:r>
      <w:r w:rsidR="7F239039">
        <w:t>.</w:t>
      </w:r>
      <w:r w:rsidR="00D4484A">
        <w:br w:type="page"/>
      </w:r>
    </w:p>
    <w:p w14:paraId="08B19A5A" w14:textId="77777777" w:rsidR="005A612C" w:rsidRPr="00DE14FC" w:rsidRDefault="005A612C" w:rsidP="00D4484A">
      <w:pPr>
        <w:pStyle w:val="Heading2"/>
      </w:pPr>
      <w:r w:rsidRPr="00D65FFF">
        <w:lastRenderedPageBreak/>
        <w:t>Recommendation 2</w:t>
      </w:r>
    </w:p>
    <w:p w14:paraId="207B1A15" w14:textId="77777777" w:rsidR="005A612C" w:rsidRPr="00DE14FC" w:rsidRDefault="005A612C" w:rsidP="00DE14FC">
      <w:pPr>
        <w:spacing w:before="60" w:after="120" w:line="240" w:lineRule="auto"/>
        <w:rPr>
          <w:rFonts w:ascii="Calibri" w:eastAsia="Calibri" w:hAnsi="Calibri" w:cs="Calibri"/>
          <w:b/>
          <w:i/>
          <w:szCs w:val="24"/>
        </w:rPr>
      </w:pPr>
      <w:r w:rsidRPr="00DE14FC">
        <w:rPr>
          <w:rFonts w:ascii="Calibri" w:eastAsia="Calibri" w:hAnsi="Calibri" w:cs="Calibri"/>
          <w:b/>
          <w:i/>
          <w:szCs w:val="24"/>
        </w:rPr>
        <w:t>The committee recommends that the Australian Government commissions research using data from the Longitudinal Study of Australian Children (LSAC), the Longitudinal Study of Indigenous Children (LSIC), and the Household, Income and Labour Dynamics in Australia (HILDA) to provide insights into:</w:t>
      </w:r>
    </w:p>
    <w:p w14:paraId="2DA451A0" w14:textId="77777777" w:rsidR="005A612C" w:rsidRPr="00DE14FC" w:rsidRDefault="005A612C" w:rsidP="00DE14FC">
      <w:pPr>
        <w:numPr>
          <w:ilvl w:val="0"/>
          <w:numId w:val="3"/>
        </w:numPr>
        <w:spacing w:before="60" w:after="120" w:line="240" w:lineRule="auto"/>
        <w:contextualSpacing/>
        <w:rPr>
          <w:rFonts w:ascii="Calibri" w:eastAsia="Calibri" w:hAnsi="Calibri" w:cs="Calibri"/>
          <w:b/>
          <w:i/>
          <w:szCs w:val="24"/>
        </w:rPr>
      </w:pPr>
      <w:r w:rsidRPr="00DE14FC">
        <w:rPr>
          <w:rFonts w:ascii="Calibri" w:eastAsia="Calibri" w:hAnsi="Calibri" w:cs="Calibri"/>
          <w:b/>
          <w:i/>
          <w:szCs w:val="24"/>
        </w:rPr>
        <w:t>oral health status, habits and practices, service utilisation, knowledge and awareness according to demographic factors;</w:t>
      </w:r>
    </w:p>
    <w:p w14:paraId="13DC313B" w14:textId="77777777" w:rsidR="005A612C" w:rsidRPr="00DE14FC" w:rsidRDefault="005A612C" w:rsidP="00DE14FC">
      <w:pPr>
        <w:numPr>
          <w:ilvl w:val="0"/>
          <w:numId w:val="3"/>
        </w:numPr>
        <w:spacing w:before="60" w:after="120" w:line="240" w:lineRule="auto"/>
        <w:contextualSpacing/>
        <w:rPr>
          <w:rFonts w:ascii="Calibri" w:eastAsia="Calibri" w:hAnsi="Calibri" w:cs="Calibri"/>
          <w:b/>
          <w:i/>
          <w:szCs w:val="24"/>
        </w:rPr>
      </w:pPr>
      <w:r w:rsidRPr="00DE14FC">
        <w:rPr>
          <w:rFonts w:ascii="Calibri" w:eastAsia="Calibri" w:hAnsi="Calibri" w:cs="Calibri"/>
          <w:b/>
          <w:i/>
          <w:szCs w:val="24"/>
        </w:rPr>
        <w:t>the way in which dental habits, oral health issues and dental service access interact with demographic factors;</w:t>
      </w:r>
    </w:p>
    <w:p w14:paraId="01597091" w14:textId="77777777" w:rsidR="005A612C" w:rsidRPr="00DE14FC" w:rsidRDefault="005A612C" w:rsidP="00DE14FC">
      <w:pPr>
        <w:numPr>
          <w:ilvl w:val="0"/>
          <w:numId w:val="3"/>
        </w:numPr>
        <w:spacing w:before="60" w:after="120" w:line="240" w:lineRule="auto"/>
        <w:contextualSpacing/>
        <w:rPr>
          <w:rFonts w:ascii="Calibri" w:eastAsia="Calibri" w:hAnsi="Calibri" w:cs="Calibri"/>
          <w:b/>
          <w:i/>
          <w:szCs w:val="24"/>
        </w:rPr>
      </w:pPr>
      <w:r w:rsidRPr="00DE14FC">
        <w:rPr>
          <w:rFonts w:ascii="Calibri" w:eastAsia="Calibri" w:hAnsi="Calibri" w:cs="Calibri"/>
          <w:b/>
          <w:i/>
          <w:szCs w:val="24"/>
        </w:rPr>
        <w:t>how habits and practices change across the life-course; and</w:t>
      </w:r>
    </w:p>
    <w:p w14:paraId="5F400CC4" w14:textId="77777777" w:rsidR="005A612C" w:rsidRPr="00DE14FC" w:rsidRDefault="005A612C" w:rsidP="00DE14FC">
      <w:pPr>
        <w:numPr>
          <w:ilvl w:val="0"/>
          <w:numId w:val="3"/>
        </w:numPr>
        <w:spacing w:before="60" w:after="120" w:line="240" w:lineRule="auto"/>
        <w:contextualSpacing/>
        <w:rPr>
          <w:rFonts w:ascii="Calibri" w:eastAsia="Calibri" w:hAnsi="Calibri" w:cs="Calibri"/>
          <w:b/>
          <w:i/>
          <w:szCs w:val="24"/>
        </w:rPr>
      </w:pPr>
      <w:r w:rsidRPr="00DE14FC">
        <w:rPr>
          <w:rFonts w:ascii="Calibri" w:eastAsia="Calibri" w:hAnsi="Calibri" w:cs="Calibri"/>
          <w:b/>
          <w:i/>
          <w:szCs w:val="24"/>
        </w:rPr>
        <w:t>long-term outcomes and impacts.</w:t>
      </w:r>
    </w:p>
    <w:p w14:paraId="14157C22" w14:textId="269D40CE" w:rsidR="008D6E92" w:rsidRPr="00DE14FC" w:rsidRDefault="005A612C" w:rsidP="00DE14FC">
      <w:pPr>
        <w:spacing w:before="60" w:after="120" w:line="240" w:lineRule="auto"/>
        <w:rPr>
          <w:rFonts w:cstheme="minorHAnsi"/>
          <w:b/>
          <w:szCs w:val="24"/>
        </w:rPr>
      </w:pPr>
      <w:r w:rsidRPr="00DE14FC">
        <w:rPr>
          <w:rFonts w:ascii="Calibri" w:eastAsia="Calibri" w:hAnsi="Calibri" w:cs="Calibri"/>
          <w:b/>
          <w:i/>
          <w:szCs w:val="24"/>
        </w:rPr>
        <w:t>The research should be used to inform design and promotion of dental programs for children and to better target funding.</w:t>
      </w:r>
    </w:p>
    <w:p w14:paraId="484E3008" w14:textId="183181B4" w:rsidR="00A42E03" w:rsidRPr="00DE14FC" w:rsidRDefault="42D44A42" w:rsidP="5A3FCF4F">
      <w:pPr>
        <w:spacing w:before="60" w:after="120" w:line="240" w:lineRule="auto"/>
      </w:pPr>
      <w:r>
        <w:t xml:space="preserve">The Government </w:t>
      </w:r>
      <w:r w:rsidR="58B67107" w:rsidRPr="00032D6F">
        <w:rPr>
          <w:b/>
          <w:bCs/>
        </w:rPr>
        <w:t>supports</w:t>
      </w:r>
      <w:r w:rsidR="58B67107">
        <w:t xml:space="preserve"> </w:t>
      </w:r>
      <w:r>
        <w:t>this recommendation</w:t>
      </w:r>
      <w:r w:rsidR="04F74703">
        <w:t xml:space="preserve"> </w:t>
      </w:r>
      <w:r w:rsidR="04F74703" w:rsidRPr="00032D6F">
        <w:rPr>
          <w:b/>
          <w:bCs/>
        </w:rPr>
        <w:t>in</w:t>
      </w:r>
      <w:r w:rsidR="00E12FB7">
        <w:rPr>
          <w:b/>
          <w:bCs/>
        </w:rPr>
        <w:t xml:space="preserve"> </w:t>
      </w:r>
      <w:r w:rsidR="04F74703" w:rsidRPr="00032D6F">
        <w:rPr>
          <w:b/>
          <w:bCs/>
        </w:rPr>
        <w:t>principle</w:t>
      </w:r>
      <w:r>
        <w:t>.</w:t>
      </w:r>
    </w:p>
    <w:p w14:paraId="26B5D426" w14:textId="684FAA09" w:rsidR="007301D9" w:rsidRPr="00E12FB7" w:rsidRDefault="37BF25D6" w:rsidP="00DE14FC">
      <w:pPr>
        <w:spacing w:before="60" w:after="120" w:line="240" w:lineRule="auto"/>
      </w:pPr>
      <w:r w:rsidRPr="5A3FCF4F">
        <w:t xml:space="preserve">The Government recognises the value </w:t>
      </w:r>
      <w:r>
        <w:t xml:space="preserve">in leveraging existing research </w:t>
      </w:r>
      <w:r w:rsidR="02550622">
        <w:t>to inform design and promotion</w:t>
      </w:r>
      <w:r>
        <w:t xml:space="preserve"> of </w:t>
      </w:r>
      <w:r w:rsidR="02550622">
        <w:t xml:space="preserve">dental programs. </w:t>
      </w:r>
      <w:r w:rsidR="3519D717">
        <w:t>However, actiona</w:t>
      </w:r>
      <w:r w:rsidR="5A338EDE">
        <w:t>b</w:t>
      </w:r>
      <w:r w:rsidR="3519D717">
        <w:t>l</w:t>
      </w:r>
      <w:r w:rsidR="5FCA0C1A">
        <w:t>e</w:t>
      </w:r>
      <w:r w:rsidR="3519D717">
        <w:t xml:space="preserve"> research findings might be limited from these</w:t>
      </w:r>
      <w:r w:rsidR="15DDC235">
        <w:t xml:space="preserve"> studies</w:t>
      </w:r>
      <w:r w:rsidR="3519D717">
        <w:t xml:space="preserve"> </w:t>
      </w:r>
      <w:r w:rsidR="753EEBA0">
        <w:t xml:space="preserve">depending on survey characteristics including sample size and response rates. </w:t>
      </w:r>
    </w:p>
    <w:p w14:paraId="2D1D2A1E" w14:textId="7C92500A" w:rsidR="0099392E" w:rsidRPr="00DE14FC" w:rsidRDefault="0099392E" w:rsidP="00D4484A">
      <w:pPr>
        <w:pStyle w:val="Heading2"/>
      </w:pPr>
      <w:r w:rsidRPr="00D65FFF">
        <w:t>Recommendation 3</w:t>
      </w:r>
    </w:p>
    <w:p w14:paraId="52E59019" w14:textId="77777777" w:rsidR="0099392E" w:rsidRPr="00DE14FC" w:rsidRDefault="0099392E" w:rsidP="00DE14FC">
      <w:pPr>
        <w:spacing w:before="60" w:after="120" w:line="240" w:lineRule="auto"/>
        <w:rPr>
          <w:rFonts w:cstheme="minorHAnsi"/>
          <w:b/>
          <w:i/>
          <w:szCs w:val="24"/>
        </w:rPr>
      </w:pPr>
      <w:r w:rsidRPr="00DE14FC">
        <w:rPr>
          <w:rFonts w:cstheme="minorHAnsi"/>
          <w:b/>
          <w:i/>
          <w:szCs w:val="24"/>
        </w:rPr>
        <w:t>The committee recommends that the Australian Government formally recognises that oral health is an essential part of general health.</w:t>
      </w:r>
    </w:p>
    <w:p w14:paraId="4BD5E8B2" w14:textId="4AC4A3EA" w:rsidR="0099392E" w:rsidRPr="00DE14FC" w:rsidRDefault="5C16CAB0" w:rsidP="5A3FCF4F">
      <w:pPr>
        <w:spacing w:before="60" w:after="120" w:line="240" w:lineRule="auto"/>
      </w:pPr>
      <w:r>
        <w:t xml:space="preserve">The Government </w:t>
      </w:r>
      <w:r w:rsidR="3FD19391" w:rsidRPr="00032D6F">
        <w:rPr>
          <w:b/>
          <w:bCs/>
        </w:rPr>
        <w:t>supports</w:t>
      </w:r>
      <w:r w:rsidR="6330C799">
        <w:t xml:space="preserve"> </w:t>
      </w:r>
      <w:r w:rsidR="33C0FEB3">
        <w:t>this recommendation</w:t>
      </w:r>
      <w:r w:rsidR="00DC606A">
        <w:t>.</w:t>
      </w:r>
      <w:r w:rsidR="07EE7CAB">
        <w:t xml:space="preserve"> </w:t>
      </w:r>
      <w:r w:rsidR="00DC606A" w:rsidRPr="00032D6F" w:rsidDel="00DC606A">
        <w:rPr>
          <w:b/>
          <w:bCs/>
        </w:rPr>
        <w:t xml:space="preserve"> </w:t>
      </w:r>
    </w:p>
    <w:p w14:paraId="07955F80" w14:textId="5EC0D90F" w:rsidR="000E2C65" w:rsidRDefault="17CEB8A6" w:rsidP="5A3FCF4F">
      <w:pPr>
        <w:spacing w:before="60" w:after="120" w:line="240" w:lineRule="auto"/>
      </w:pPr>
      <w:r>
        <w:t xml:space="preserve">The Government acknowledges that oral health is fundamental to overall health, </w:t>
      </w:r>
      <w:r w:rsidR="6532376E">
        <w:t>wellbeing,</w:t>
      </w:r>
      <w:r>
        <w:t xml:space="preserve"> and quality of life of all Australians. </w:t>
      </w:r>
      <w:r w:rsidR="59CB81F9">
        <w:t>Dental</w:t>
      </w:r>
      <w:r w:rsidR="3519D717">
        <w:t xml:space="preserve"> policy</w:t>
      </w:r>
      <w:r w:rsidR="59CB81F9">
        <w:t xml:space="preserve"> reform </w:t>
      </w:r>
      <w:r w:rsidR="44228DC7">
        <w:t>has been made a priority by Health Ministers</w:t>
      </w:r>
      <w:r w:rsidR="7C466F49">
        <w:t xml:space="preserve"> across Australia.</w:t>
      </w:r>
    </w:p>
    <w:p w14:paraId="0BA4F7BF" w14:textId="5B7351A2" w:rsidR="00D46BA1" w:rsidRPr="00DE14FC" w:rsidRDefault="31F482CB" w:rsidP="00D65FFF">
      <w:pPr>
        <w:spacing w:before="60" w:after="120" w:line="240" w:lineRule="auto"/>
      </w:pPr>
      <w:r>
        <w:t xml:space="preserve">The Government is </w:t>
      </w:r>
      <w:r w:rsidR="00032D6F">
        <w:t>also progressing</w:t>
      </w:r>
      <w:r w:rsidR="14FA6BB8">
        <w:t xml:space="preserve"> the development of the next National Oral Health Plan </w:t>
      </w:r>
      <w:r w:rsidR="2D53C3EC">
        <w:t>in collaboration with states and territories</w:t>
      </w:r>
      <w:r w:rsidR="5DEDBD1E">
        <w:t xml:space="preserve">. This work will build on the progress of the existing plan and </w:t>
      </w:r>
      <w:r w:rsidR="05E3C859">
        <w:t>provide opportunities to incorporate emerging areas of priorities</w:t>
      </w:r>
      <w:r w:rsidR="2E079833">
        <w:t xml:space="preserve"> identified.</w:t>
      </w:r>
    </w:p>
    <w:p w14:paraId="01D7235F" w14:textId="4CC92E1E" w:rsidR="003D3CDE" w:rsidRPr="00DE14FC" w:rsidRDefault="742AD72E" w:rsidP="5A3FCF4F">
      <w:pPr>
        <w:spacing w:before="60" w:after="120" w:line="240" w:lineRule="auto"/>
      </w:pPr>
      <w:r>
        <w:t xml:space="preserve">Together, these </w:t>
      </w:r>
      <w:r w:rsidR="1FA29330">
        <w:t>actions</w:t>
      </w:r>
      <w:r>
        <w:t xml:space="preserve"> recog</w:t>
      </w:r>
      <w:r w:rsidR="3AEB547B">
        <w:t xml:space="preserve">nise </w:t>
      </w:r>
      <w:r>
        <w:t>oral health as an</w:t>
      </w:r>
      <w:r w:rsidR="625319C6">
        <w:t xml:space="preserve"> important </w:t>
      </w:r>
      <w:r>
        <w:t>part of general health.</w:t>
      </w:r>
    </w:p>
    <w:p w14:paraId="684CD7CB" w14:textId="77777777" w:rsidR="0099392E" w:rsidRPr="00DE14FC" w:rsidRDefault="24B62EC7" w:rsidP="00D4484A">
      <w:pPr>
        <w:pStyle w:val="Heading2"/>
      </w:pPr>
      <w:r w:rsidRPr="00056F6C">
        <w:t>Recommendation 4</w:t>
      </w:r>
    </w:p>
    <w:p w14:paraId="66FF6C7F" w14:textId="5B4ED90E" w:rsidR="0099392E" w:rsidRPr="00DE14FC" w:rsidRDefault="24B62EC7" w:rsidP="5A3FCF4F">
      <w:pPr>
        <w:spacing w:before="60" w:after="120" w:line="240" w:lineRule="auto"/>
        <w:rPr>
          <w:b/>
          <w:i/>
        </w:rPr>
      </w:pPr>
      <w:r w:rsidRPr="1473AA2E">
        <w:rPr>
          <w:b/>
          <w:i/>
        </w:rPr>
        <w:t>The committee recommends that the Australian Government establishes a taskforce within the Department of Health and Aged Care, overseen by a Chief Dental and Oral Health Officer, to identify and progress opportunities to integrate oral and dental health care into primary health care. Opportunities could include:</w:t>
      </w:r>
    </w:p>
    <w:p w14:paraId="6FF23799" w14:textId="4D13D077" w:rsidR="0099392E" w:rsidRPr="00DE14FC" w:rsidRDefault="24B62EC7" w:rsidP="5A3FCF4F">
      <w:pPr>
        <w:pStyle w:val="ListParagraph"/>
        <w:numPr>
          <w:ilvl w:val="0"/>
          <w:numId w:val="10"/>
        </w:numPr>
        <w:spacing w:before="60" w:after="120" w:line="240" w:lineRule="auto"/>
        <w:rPr>
          <w:b/>
          <w:i/>
        </w:rPr>
      </w:pPr>
      <w:r w:rsidRPr="1473AA2E">
        <w:rPr>
          <w:b/>
          <w:i/>
        </w:rPr>
        <w:t>Adding an oral health assessment to existing targeted health assessments provided under Medicare, such as the Health Assessment Items 701, 703, 705, 707, and the children's Healthy Start for School assessments.</w:t>
      </w:r>
    </w:p>
    <w:p w14:paraId="3A4BE543" w14:textId="43E6562E" w:rsidR="0099392E" w:rsidRPr="00DE14FC" w:rsidRDefault="24B62EC7" w:rsidP="5A3FCF4F">
      <w:pPr>
        <w:pStyle w:val="ListParagraph"/>
        <w:numPr>
          <w:ilvl w:val="0"/>
          <w:numId w:val="10"/>
        </w:numPr>
        <w:spacing w:before="60" w:after="120" w:line="240" w:lineRule="auto"/>
        <w:rPr>
          <w:b/>
          <w:i/>
        </w:rPr>
      </w:pPr>
      <w:r w:rsidRPr="1473AA2E">
        <w:rPr>
          <w:b/>
          <w:i/>
        </w:rPr>
        <w:t>Introducing an oral health assessment as a standard component of the residential aged care intake process, and for residential disability care intake.</w:t>
      </w:r>
    </w:p>
    <w:p w14:paraId="0CA71EC6" w14:textId="212AADD4" w:rsidR="0099392E" w:rsidRPr="00DE14FC" w:rsidRDefault="24B62EC7" w:rsidP="5A3FCF4F">
      <w:pPr>
        <w:pStyle w:val="ListParagraph"/>
        <w:numPr>
          <w:ilvl w:val="0"/>
          <w:numId w:val="10"/>
        </w:numPr>
        <w:spacing w:before="60" w:after="120" w:line="240" w:lineRule="auto"/>
        <w:rPr>
          <w:b/>
          <w:i/>
        </w:rPr>
      </w:pPr>
      <w:r w:rsidRPr="1473AA2E">
        <w:rPr>
          <w:b/>
          <w:i/>
        </w:rPr>
        <w:t>Incorporating emergency dental services into nurse-led walk-in centres and/or hospital emergency departments.</w:t>
      </w:r>
    </w:p>
    <w:p w14:paraId="025446D5" w14:textId="3DA2130B" w:rsidR="0099392E" w:rsidRPr="00DE14FC" w:rsidRDefault="24B62EC7" w:rsidP="5A3FCF4F">
      <w:pPr>
        <w:pStyle w:val="ListParagraph"/>
        <w:numPr>
          <w:ilvl w:val="0"/>
          <w:numId w:val="10"/>
        </w:numPr>
        <w:spacing w:before="60" w:after="120" w:line="240" w:lineRule="auto"/>
        <w:rPr>
          <w:b/>
          <w:i/>
        </w:rPr>
      </w:pPr>
      <w:r w:rsidRPr="1473AA2E">
        <w:rPr>
          <w:b/>
          <w:i/>
        </w:rPr>
        <w:lastRenderedPageBreak/>
        <w:t>Providing mandatory training in basic oral health assessment and care to general practitioners and other health professionals.</w:t>
      </w:r>
    </w:p>
    <w:p w14:paraId="762E15FE" w14:textId="226A6E34" w:rsidR="0099392E" w:rsidRPr="00DE14FC" w:rsidRDefault="24B62EC7" w:rsidP="5A3FCF4F">
      <w:pPr>
        <w:pStyle w:val="ListParagraph"/>
        <w:numPr>
          <w:ilvl w:val="0"/>
          <w:numId w:val="10"/>
        </w:numPr>
        <w:spacing w:before="60" w:after="120" w:line="240" w:lineRule="auto"/>
        <w:rPr>
          <w:b/>
          <w:i/>
        </w:rPr>
      </w:pPr>
      <w:r w:rsidRPr="1473AA2E">
        <w:rPr>
          <w:b/>
          <w:i/>
        </w:rPr>
        <w:t>Funding and empowering pharmacists and non-dental health professionals to apply fluoride varnish in regional and remote areas.</w:t>
      </w:r>
    </w:p>
    <w:p w14:paraId="610EAF74" w14:textId="7D8C53EC" w:rsidR="0099392E" w:rsidRPr="00DE14FC" w:rsidRDefault="24B62EC7" w:rsidP="5A3FCF4F">
      <w:pPr>
        <w:pStyle w:val="ListParagraph"/>
        <w:numPr>
          <w:ilvl w:val="0"/>
          <w:numId w:val="10"/>
        </w:numPr>
        <w:spacing w:before="60" w:after="120" w:line="240" w:lineRule="auto"/>
        <w:rPr>
          <w:b/>
          <w:i/>
        </w:rPr>
      </w:pPr>
      <w:r w:rsidRPr="1473AA2E">
        <w:rPr>
          <w:b/>
          <w:i/>
        </w:rPr>
        <w:t>Adding 'oral health practitioners' to the terms of reference for the independent health workforce scope of practice review, being undertaken in 2023.</w:t>
      </w:r>
    </w:p>
    <w:p w14:paraId="0B6DE191" w14:textId="62F90713" w:rsidR="0099392E" w:rsidRPr="00DE14FC" w:rsidRDefault="24B62EC7" w:rsidP="5A3FCF4F">
      <w:pPr>
        <w:pStyle w:val="ListParagraph"/>
        <w:numPr>
          <w:ilvl w:val="0"/>
          <w:numId w:val="10"/>
        </w:numPr>
        <w:spacing w:before="60" w:after="120" w:line="240" w:lineRule="auto"/>
        <w:rPr>
          <w:b/>
          <w:i/>
        </w:rPr>
      </w:pPr>
      <w:r w:rsidRPr="1473AA2E">
        <w:rPr>
          <w:b/>
          <w:i/>
        </w:rPr>
        <w:t>Integrating oral health and dental care within the National Health Reform Agreement.</w:t>
      </w:r>
    </w:p>
    <w:p w14:paraId="452B7F88" w14:textId="5E237D6B" w:rsidR="00354D52" w:rsidRPr="00DE14FC" w:rsidRDefault="7C6FBE28" w:rsidP="5A3FCF4F">
      <w:pPr>
        <w:spacing w:before="60" w:after="120" w:line="240" w:lineRule="auto"/>
      </w:pPr>
      <w:r>
        <w:t xml:space="preserve">The Government </w:t>
      </w:r>
      <w:r w:rsidRPr="1473AA2E">
        <w:rPr>
          <w:b/>
        </w:rPr>
        <w:t>notes</w:t>
      </w:r>
      <w:r>
        <w:t xml:space="preserve"> this recommendation.</w:t>
      </w:r>
    </w:p>
    <w:p w14:paraId="72F2BD36" w14:textId="77777777" w:rsidR="003A43AB" w:rsidRDefault="009C01DF" w:rsidP="5A3FCF4F">
      <w:pPr>
        <w:spacing w:before="60" w:after="120" w:line="240" w:lineRule="auto"/>
      </w:pPr>
      <w:r w:rsidRPr="009C01DF">
        <w:t>The Government acknowledges that oral health is an important part of general health and will explore opportunities to support the primary care system to contribute to delivering better oral health outcomes.</w:t>
      </w:r>
      <w:r w:rsidR="00F92541">
        <w:t xml:space="preserve"> </w:t>
      </w:r>
    </w:p>
    <w:p w14:paraId="15E29127" w14:textId="1618D5C7" w:rsidR="00DB679B" w:rsidRPr="00E12FB7" w:rsidRDefault="003A43AB" w:rsidP="5A3FCF4F">
      <w:pPr>
        <w:spacing w:before="60" w:after="120" w:line="240" w:lineRule="auto"/>
      </w:pPr>
      <w:r>
        <w:t xml:space="preserve">Health Ministers have identified dental policy reform as a </w:t>
      </w:r>
      <w:r w:rsidR="642E76DE">
        <w:t>priority</w:t>
      </w:r>
      <w:r w:rsidR="00EB70CE">
        <w:t>.</w:t>
      </w:r>
      <w:r>
        <w:t xml:space="preserve"> </w:t>
      </w:r>
      <w:r w:rsidR="00EB70CE">
        <w:t>T</w:t>
      </w:r>
      <w:r>
        <w:t xml:space="preserve">he Oversight Group </w:t>
      </w:r>
      <w:r w:rsidR="00EB70CE">
        <w:t>is</w:t>
      </w:r>
      <w:r>
        <w:t xml:space="preserve"> develop</w:t>
      </w:r>
      <w:r w:rsidR="00EB70CE">
        <w:t>ing</w:t>
      </w:r>
      <w:r>
        <w:t xml:space="preserve"> reform options t</w:t>
      </w:r>
      <w:r w:rsidR="00EB70CE">
        <w:t>o</w:t>
      </w:r>
      <w:r>
        <w:t xml:space="preserve"> better meet </w:t>
      </w:r>
      <w:r w:rsidR="00BF3E0F">
        <w:t xml:space="preserve">the </w:t>
      </w:r>
      <w:r>
        <w:t xml:space="preserve">needs of communities across Australia. </w:t>
      </w:r>
      <w:r w:rsidR="00F92541">
        <w:t xml:space="preserve"> </w:t>
      </w:r>
      <w:r w:rsidR="00D23867">
        <w:t>R</w:t>
      </w:r>
      <w:r w:rsidR="0081492E">
        <w:t xml:space="preserve">eform options will be presented for Health Ministers’ consideration </w:t>
      </w:r>
      <w:r w:rsidR="001968CD">
        <w:t>during</w:t>
      </w:r>
      <w:r w:rsidR="0081492E">
        <w:t xml:space="preserve"> 2024. </w:t>
      </w:r>
    </w:p>
    <w:p w14:paraId="0956F3D6" w14:textId="5EA30B95" w:rsidR="0099392E" w:rsidRPr="00DE14FC" w:rsidRDefault="0099392E" w:rsidP="00D4484A">
      <w:pPr>
        <w:pStyle w:val="Heading2"/>
      </w:pPr>
      <w:r w:rsidRPr="00DE14FC">
        <w:t>Recommendation 5</w:t>
      </w:r>
    </w:p>
    <w:p w14:paraId="67D510C9" w14:textId="7AE9CD8B" w:rsidR="0099392E" w:rsidRPr="00DE14FC" w:rsidRDefault="0099392E" w:rsidP="00DE14FC">
      <w:pPr>
        <w:spacing w:before="60" w:after="120" w:line="240" w:lineRule="auto"/>
        <w:rPr>
          <w:b/>
          <w:i/>
        </w:rPr>
      </w:pPr>
      <w:r w:rsidRPr="318D3C7D">
        <w:rPr>
          <w:b/>
          <w:i/>
        </w:rPr>
        <w:t>The committee recommends the Department of Health and Aged Care works to increase the role of dental hygienists and other oral health therapists in providing preventative and basic oral health care.</w:t>
      </w:r>
    </w:p>
    <w:p w14:paraId="6E14EF74" w14:textId="3AE32D4B" w:rsidR="00460D64" w:rsidRPr="00DE14FC" w:rsidRDefault="0E4E0A53" w:rsidP="5A3FCF4F">
      <w:pPr>
        <w:spacing w:before="60" w:after="120" w:line="240" w:lineRule="auto"/>
      </w:pPr>
      <w:r>
        <w:t xml:space="preserve">The Government </w:t>
      </w:r>
      <w:r w:rsidR="6577D9A6" w:rsidRPr="57847B5A">
        <w:rPr>
          <w:b/>
          <w:bCs/>
        </w:rPr>
        <w:t>supports</w:t>
      </w:r>
      <w:r>
        <w:t xml:space="preserve"> this recommendation.</w:t>
      </w:r>
    </w:p>
    <w:p w14:paraId="2125B7B0" w14:textId="073EC0B8" w:rsidR="00C71876" w:rsidRDefault="00C71876" w:rsidP="00134737">
      <w:pPr>
        <w:spacing w:before="60" w:after="120" w:line="240" w:lineRule="auto"/>
        <w:rPr>
          <w:rFonts w:ascii="Calibri" w:eastAsia="Calibri" w:hAnsi="Calibri" w:cs="Calibri"/>
        </w:rPr>
      </w:pPr>
      <w:r>
        <w:t>The Government acknowledges the important role dental hygienists and other oral health professionals play in providing preventive and basic oral healthcare to improve the oral health status of Australia</w:t>
      </w:r>
      <w:r w:rsidR="00912047">
        <w:t>ns</w:t>
      </w:r>
      <w:r>
        <w:t>. In recognition of th</w:t>
      </w:r>
      <w:r w:rsidR="00517E91">
        <w:t>is</w:t>
      </w:r>
      <w:r>
        <w:t xml:space="preserve">, on 1 July 2022, the </w:t>
      </w:r>
      <w:r w:rsidRPr="5A3FCF4F">
        <w:rPr>
          <w:i/>
          <w:iCs/>
        </w:rPr>
        <w:t>Dental Benefits Rules</w:t>
      </w:r>
      <w:r>
        <w:t xml:space="preserve"> 2014 were amended to enable dental hygienists, dental therapists, and oral health therapists to directly claim for some CDBS services using their own provider number. This</w:t>
      </w:r>
      <w:r w:rsidR="00517E91">
        <w:t xml:space="preserve"> </w:t>
      </w:r>
      <w:r w:rsidRPr="5A3FCF4F">
        <w:rPr>
          <w:rFonts w:ascii="Calibri" w:eastAsia="Calibri" w:hAnsi="Calibri" w:cs="Calibri"/>
        </w:rPr>
        <w:t>follow</w:t>
      </w:r>
      <w:r w:rsidR="00517E91">
        <w:rPr>
          <w:rFonts w:ascii="Calibri" w:eastAsia="Calibri" w:hAnsi="Calibri" w:cs="Calibri"/>
        </w:rPr>
        <w:t>ed</w:t>
      </w:r>
      <w:r w:rsidRPr="5A3FCF4F">
        <w:rPr>
          <w:rFonts w:ascii="Calibri" w:eastAsia="Calibri" w:hAnsi="Calibri" w:cs="Calibri"/>
        </w:rPr>
        <w:t xml:space="preserve"> the Dental Board of Australia (the board) introducing a new Scope of Practice Registration Standard for dental practitioners in July 2020. </w:t>
      </w:r>
    </w:p>
    <w:p w14:paraId="0FA8792E" w14:textId="73AC5AE9" w:rsidR="39F60C57" w:rsidRDefault="39F60C57" w:rsidP="1A5C003B">
      <w:pPr>
        <w:spacing w:before="60" w:after="120" w:line="240" w:lineRule="auto"/>
        <w:rPr>
          <w:rFonts w:ascii="Calibri" w:eastAsia="Calibri" w:hAnsi="Calibri" w:cs="Calibri"/>
        </w:rPr>
      </w:pPr>
      <w:r w:rsidRPr="61B1C823">
        <w:rPr>
          <w:rFonts w:ascii="Calibri" w:eastAsia="Calibri" w:hAnsi="Calibri" w:cs="Calibri"/>
        </w:rPr>
        <w:t xml:space="preserve">Delivery of adult public dental services is the primary responsibility of states and territories. Therefore, each jurisdiction determines </w:t>
      </w:r>
      <w:r w:rsidR="009C10FF">
        <w:rPr>
          <w:rFonts w:ascii="Calibri" w:eastAsia="Calibri" w:hAnsi="Calibri" w:cs="Calibri"/>
        </w:rPr>
        <w:t>its</w:t>
      </w:r>
      <w:r w:rsidR="39C7DE09" w:rsidRPr="61B1C823">
        <w:rPr>
          <w:rFonts w:ascii="Calibri" w:eastAsia="Calibri" w:hAnsi="Calibri" w:cs="Calibri"/>
        </w:rPr>
        <w:t xml:space="preserve"> own</w:t>
      </w:r>
      <w:r w:rsidRPr="61B1C823">
        <w:rPr>
          <w:rFonts w:ascii="Calibri" w:eastAsia="Calibri" w:hAnsi="Calibri" w:cs="Calibri"/>
        </w:rPr>
        <w:t xml:space="preserve"> service delivery model. The Commonwealth provides additional support for delivery of these services </w:t>
      </w:r>
      <w:r w:rsidR="009C10FF">
        <w:rPr>
          <w:rFonts w:ascii="Calibri" w:eastAsia="Calibri" w:hAnsi="Calibri" w:cs="Calibri"/>
        </w:rPr>
        <w:t>through</w:t>
      </w:r>
      <w:r w:rsidRPr="61B1C823">
        <w:rPr>
          <w:rFonts w:ascii="Calibri" w:eastAsia="Calibri" w:hAnsi="Calibri" w:cs="Calibri"/>
        </w:rPr>
        <w:t xml:space="preserve"> the </w:t>
      </w:r>
      <w:r w:rsidR="00221BF6" w:rsidRPr="61B1C823">
        <w:rPr>
          <w:rFonts w:ascii="Calibri" w:eastAsia="Calibri" w:hAnsi="Calibri" w:cs="Calibri"/>
        </w:rPr>
        <w:t>FFAs.</w:t>
      </w:r>
    </w:p>
    <w:p w14:paraId="60B12E45" w14:textId="4EEAE471" w:rsidR="00A46383" w:rsidRDefault="002036C0" w:rsidP="00A46383">
      <w:pPr>
        <w:spacing w:before="60" w:after="120" w:line="240" w:lineRule="auto"/>
      </w:pPr>
      <w:r>
        <w:t>A</w:t>
      </w:r>
      <w:r w:rsidR="00A46383">
        <w:t xml:space="preserve">n independent Scope of Practice Review </w:t>
      </w:r>
      <w:r>
        <w:t xml:space="preserve">is </w:t>
      </w:r>
      <w:r w:rsidR="00A46383">
        <w:t>underway ‘Unleashing the Potential of our Health Workforce’ to examine the barriers and incentives health practitioners face working to their full scope of practice in primary care.</w:t>
      </w:r>
      <w:r w:rsidR="003B629F">
        <w:t xml:space="preserve"> This will include</w:t>
      </w:r>
      <w:r w:rsidR="00B274E9">
        <w:t xml:space="preserve"> dental therapists and other oral health therapists.</w:t>
      </w:r>
    </w:p>
    <w:p w14:paraId="1396674D" w14:textId="48229AD4" w:rsidR="00D4484A" w:rsidRDefault="00A46383" w:rsidP="00A46383">
      <w:pPr>
        <w:spacing w:before="60" w:after="120" w:line="240" w:lineRule="auto"/>
      </w:pPr>
      <w:r>
        <w:t>The board, supported in its role by Australian Health Practitioner Regulation Agency (</w:t>
      </w:r>
      <w:r w:rsidR="676E7A83">
        <w:t>A</w:t>
      </w:r>
      <w:r w:rsidR="00995BEC">
        <w:t>HPRA</w:t>
      </w:r>
      <w:r>
        <w:t>), is responsible for all matters relating to the registration and regulation of dental professionals, including dentists, dental hygienists, dental therapists</w:t>
      </w:r>
      <w:r w:rsidR="1AA9B853">
        <w:t>,</w:t>
      </w:r>
      <w:r>
        <w:t xml:space="preserve"> and oral health therapists in Australia.</w:t>
      </w:r>
    </w:p>
    <w:p w14:paraId="729A90DA" w14:textId="77777777" w:rsidR="00D4484A" w:rsidRDefault="00D4484A">
      <w:pPr>
        <w:spacing w:after="160" w:line="259" w:lineRule="auto"/>
      </w:pPr>
      <w:r>
        <w:br w:type="page"/>
      </w:r>
    </w:p>
    <w:p w14:paraId="22AFB82D" w14:textId="77777777" w:rsidR="0099392E" w:rsidRPr="00DE14FC" w:rsidRDefault="0099392E" w:rsidP="00D4484A">
      <w:pPr>
        <w:pStyle w:val="Heading2"/>
      </w:pPr>
      <w:r w:rsidRPr="00DE14FC">
        <w:lastRenderedPageBreak/>
        <w:t>Recommendation 6</w:t>
      </w:r>
    </w:p>
    <w:p w14:paraId="4A395536" w14:textId="77777777" w:rsidR="0099392E" w:rsidRPr="00DE14FC" w:rsidRDefault="0099392E" w:rsidP="00DE14FC">
      <w:pPr>
        <w:spacing w:before="60" w:after="120" w:line="240" w:lineRule="auto"/>
        <w:rPr>
          <w:rFonts w:cstheme="minorHAnsi"/>
          <w:b/>
          <w:i/>
          <w:szCs w:val="24"/>
        </w:rPr>
      </w:pPr>
      <w:r w:rsidRPr="00DE14FC">
        <w:rPr>
          <w:rFonts w:cstheme="minorHAnsi"/>
          <w:b/>
          <w:i/>
          <w:szCs w:val="24"/>
        </w:rPr>
        <w:t>The committee recommends the Department of Health and Aged Care assesses—with a view to reducing—regulatory barriers which limit the scope of practice for oral health practitioners who are trained and certified to proscribe and take radiographs. This could include reviewing provisions and/or definitions in:</w:t>
      </w:r>
    </w:p>
    <w:p w14:paraId="1486E1AB" w14:textId="48906A72" w:rsidR="0099392E" w:rsidRPr="00DE14FC" w:rsidRDefault="0099392E" w:rsidP="00DE14FC">
      <w:pPr>
        <w:pStyle w:val="ListParagraph"/>
        <w:numPr>
          <w:ilvl w:val="0"/>
          <w:numId w:val="12"/>
        </w:numPr>
        <w:spacing w:before="60" w:after="120" w:line="240" w:lineRule="auto"/>
        <w:rPr>
          <w:rFonts w:cstheme="minorHAnsi"/>
          <w:b/>
          <w:i/>
          <w:szCs w:val="24"/>
        </w:rPr>
      </w:pPr>
      <w:r w:rsidRPr="00DE14FC">
        <w:rPr>
          <w:rFonts w:cstheme="minorHAnsi"/>
          <w:b/>
          <w:i/>
          <w:szCs w:val="24"/>
        </w:rPr>
        <w:t>the Poisons Standard; and</w:t>
      </w:r>
    </w:p>
    <w:p w14:paraId="158C29ED" w14:textId="2413535E" w:rsidR="0099392E" w:rsidRPr="00DE14FC" w:rsidRDefault="0099392E" w:rsidP="00DE14FC">
      <w:pPr>
        <w:pStyle w:val="ListParagraph"/>
        <w:numPr>
          <w:ilvl w:val="0"/>
          <w:numId w:val="12"/>
        </w:numPr>
        <w:spacing w:before="60" w:after="120" w:line="240" w:lineRule="auto"/>
        <w:rPr>
          <w:rFonts w:cstheme="minorHAnsi"/>
          <w:b/>
          <w:i/>
          <w:szCs w:val="24"/>
        </w:rPr>
      </w:pPr>
      <w:r w:rsidRPr="00DE14FC">
        <w:rPr>
          <w:b/>
          <w:i/>
          <w:szCs w:val="24"/>
        </w:rPr>
        <w:t>the Code of Practice and Safety Guide for Radiation Protection in Dentistry.</w:t>
      </w:r>
    </w:p>
    <w:p w14:paraId="6780C1CF" w14:textId="77777777" w:rsidR="00E456F9" w:rsidRPr="00DE14FC" w:rsidRDefault="181DF7F7" w:rsidP="00DE14FC">
      <w:pPr>
        <w:spacing w:before="60" w:after="120" w:line="240" w:lineRule="auto"/>
        <w:rPr>
          <w:rFonts w:cstheme="minorHAnsi"/>
          <w:iCs/>
          <w:szCs w:val="24"/>
        </w:rPr>
      </w:pPr>
      <w:r w:rsidRPr="5A3FCF4F">
        <w:t xml:space="preserve">The Government </w:t>
      </w:r>
      <w:r w:rsidRPr="5A3FCF4F">
        <w:rPr>
          <w:b/>
          <w:bCs/>
        </w:rPr>
        <w:t>notes</w:t>
      </w:r>
      <w:r w:rsidRPr="5A3FCF4F">
        <w:t xml:space="preserve"> this recommendation.</w:t>
      </w:r>
    </w:p>
    <w:p w14:paraId="5CAEE437" w14:textId="6FCE4E7D" w:rsidR="00184077" w:rsidRPr="00DE14FC" w:rsidRDefault="5530F0A5" w:rsidP="5A3FCF4F">
      <w:pPr>
        <w:spacing w:before="60" w:after="120" w:line="240" w:lineRule="auto"/>
        <w:rPr>
          <w:rFonts w:ascii="Calibri" w:eastAsia="Calibri" w:hAnsi="Calibri" w:cs="Calibri"/>
        </w:rPr>
      </w:pPr>
      <w:r w:rsidRPr="5A3FCF4F">
        <w:rPr>
          <w:rFonts w:ascii="Calibri" w:eastAsia="Calibri" w:hAnsi="Calibri" w:cs="Calibri"/>
        </w:rPr>
        <w:t>The Poisons Standard is implemented under state and territory legislation. Establishment of any specific access controls, including those for dental health practitioners, is a matter for state and territory governments.</w:t>
      </w:r>
    </w:p>
    <w:p w14:paraId="4C3EE453" w14:textId="70D776E4" w:rsidR="00184077" w:rsidRPr="00DE14FC" w:rsidRDefault="5530F0A5" w:rsidP="5A3FCF4F">
      <w:pPr>
        <w:spacing w:before="60" w:after="120" w:line="240" w:lineRule="auto"/>
        <w:rPr>
          <w:rFonts w:ascii="Calibri" w:eastAsia="Calibri" w:hAnsi="Calibri" w:cs="Calibri"/>
        </w:rPr>
      </w:pPr>
      <w:r w:rsidRPr="5A3FCF4F">
        <w:rPr>
          <w:rFonts w:ascii="Calibri" w:eastAsia="Calibri" w:hAnsi="Calibri" w:cs="Calibri"/>
        </w:rPr>
        <w:t xml:space="preserve">The definition of dental practitioner in the Poisons Standard was aligned with the definition for a health practitioner practicing in the dental health profession in the </w:t>
      </w:r>
      <w:r w:rsidRPr="001C7D40">
        <w:rPr>
          <w:rFonts w:ascii="Calibri" w:eastAsia="Calibri" w:hAnsi="Calibri" w:cs="Calibri"/>
          <w:i/>
          <w:iCs/>
        </w:rPr>
        <w:t xml:space="preserve">Therapeutic Goods Act 1989 </w:t>
      </w:r>
      <w:r w:rsidRPr="5A3FCF4F">
        <w:rPr>
          <w:rFonts w:ascii="Calibri" w:eastAsia="Calibri" w:hAnsi="Calibri" w:cs="Calibri"/>
        </w:rPr>
        <w:t>(the Act). Any change to the definition in the Poisons Standard would require careful consideration of implications for the Act and may require legislative reform.</w:t>
      </w:r>
    </w:p>
    <w:p w14:paraId="18779BFB" w14:textId="0B4F310D" w:rsidR="00184077" w:rsidRPr="00DE14FC" w:rsidRDefault="5530F0A5" w:rsidP="5A3FCF4F">
      <w:pPr>
        <w:spacing w:before="60" w:after="120" w:line="240" w:lineRule="auto"/>
        <w:rPr>
          <w:rFonts w:ascii="Calibri" w:eastAsia="Calibri" w:hAnsi="Calibri" w:cs="Calibri"/>
        </w:rPr>
      </w:pPr>
      <w:r w:rsidRPr="5A3FCF4F">
        <w:rPr>
          <w:rFonts w:ascii="Calibri" w:eastAsia="Calibri" w:hAnsi="Calibri" w:cs="Calibri"/>
        </w:rPr>
        <w:t xml:space="preserve">However, noting the evolving role of oral health practitioners, the Government will commit to raising the definition for discussion at a future meeting of the Advisory Committee on Medicines Scheduling. </w:t>
      </w:r>
    </w:p>
    <w:p w14:paraId="00C6B7A5" w14:textId="7D798F14" w:rsidR="00184077" w:rsidRPr="00DE14FC" w:rsidRDefault="02A39C59" w:rsidP="00DE14FC">
      <w:pPr>
        <w:spacing w:before="60" w:after="120" w:line="240" w:lineRule="auto"/>
        <w:rPr>
          <w:rFonts w:ascii="Calibri" w:eastAsia="Calibri" w:hAnsi="Calibri" w:cs="Calibri"/>
        </w:rPr>
      </w:pPr>
      <w:r w:rsidRPr="5A3FCF4F">
        <w:rPr>
          <w:rFonts w:ascii="Calibri" w:eastAsia="Calibri" w:hAnsi="Calibri" w:cs="Calibri"/>
        </w:rPr>
        <w:t>The Government notes that the Australian Radiation Protection and Nuclear Safety Agency’s (ARPANSA) statutory Radiation Health Committee has been reviewing the Code of Practice and Safety Guide for Radiation Protection in Dentistry (2005</w:t>
      </w:r>
      <w:r w:rsidR="001C7D40" w:rsidRPr="5A3FCF4F">
        <w:rPr>
          <w:rFonts w:ascii="Calibri" w:eastAsia="Calibri" w:hAnsi="Calibri" w:cs="Calibri"/>
        </w:rPr>
        <w:t>) as</w:t>
      </w:r>
      <w:r w:rsidRPr="5A3FCF4F">
        <w:rPr>
          <w:rFonts w:ascii="Calibri" w:eastAsia="Calibri" w:hAnsi="Calibri" w:cs="Calibri"/>
        </w:rPr>
        <w:t xml:space="preserve"> a key project throughout 2023-24.</w:t>
      </w:r>
    </w:p>
    <w:p w14:paraId="7414D54C" w14:textId="482D6D55" w:rsidR="00184077" w:rsidRPr="00E12FB7" w:rsidRDefault="02A39C59" w:rsidP="00DE14FC">
      <w:pPr>
        <w:spacing w:before="60" w:after="120" w:line="240" w:lineRule="auto"/>
        <w:rPr>
          <w:rFonts w:ascii="Calibri" w:eastAsia="Calibri" w:hAnsi="Calibri" w:cs="Calibri"/>
        </w:rPr>
      </w:pPr>
      <w:r w:rsidRPr="5A3FCF4F">
        <w:rPr>
          <w:rFonts w:ascii="Calibri" w:eastAsia="Calibri" w:hAnsi="Calibri" w:cs="Calibri"/>
        </w:rPr>
        <w:t xml:space="preserve">This has included reviewing the evolving role of oral health practitioners in relation to radiographs, with a proposal to apply similar provisions and expectations (being responsible for overall patient care) to oral health practitioners as currently apply to </w:t>
      </w:r>
      <w:r w:rsidR="084E5121" w:rsidRPr="5A3FCF4F">
        <w:rPr>
          <w:rFonts w:ascii="Calibri" w:eastAsia="Calibri" w:hAnsi="Calibri" w:cs="Calibri"/>
        </w:rPr>
        <w:t>d</w:t>
      </w:r>
      <w:r w:rsidRPr="5A3FCF4F">
        <w:rPr>
          <w:rFonts w:ascii="Calibri" w:eastAsia="Calibri" w:hAnsi="Calibri" w:cs="Calibri"/>
        </w:rPr>
        <w:t>entists. However, it should be noted that the application of this code and its provisions (including any revised version) must acknowledge the authority of the jurisdictional regulators who ultimately administer state and territory legislation for the use of radiation.</w:t>
      </w:r>
    </w:p>
    <w:p w14:paraId="212D590D" w14:textId="3A8903F6" w:rsidR="0099392E" w:rsidRPr="00DE14FC" w:rsidRDefault="0099392E" w:rsidP="00D4484A">
      <w:pPr>
        <w:pStyle w:val="Heading2"/>
      </w:pPr>
      <w:r w:rsidRPr="00DE14FC">
        <w:t>Recommendation 7</w:t>
      </w:r>
    </w:p>
    <w:p w14:paraId="63BDFB1F" w14:textId="6AAE7DA0" w:rsidR="0099392E" w:rsidRPr="00DE14FC" w:rsidRDefault="0099392E" w:rsidP="00DE14FC">
      <w:pPr>
        <w:spacing w:before="60" w:after="120" w:line="240" w:lineRule="auto"/>
        <w:rPr>
          <w:rFonts w:cstheme="minorHAnsi"/>
          <w:b/>
          <w:i/>
          <w:szCs w:val="24"/>
        </w:rPr>
      </w:pPr>
      <w:r w:rsidRPr="00DE14FC">
        <w:rPr>
          <w:b/>
          <w:i/>
          <w:szCs w:val="24"/>
        </w:rPr>
        <w:t xml:space="preserve">The committee recommends the Department of Health and Aged Care works to increase the role of dental hygienists and other oral health therapists in providing preventative and basic care by adding a number of preventative oral health service items to the Medicare Benefits Schedule, under the category of Allied Health </w:t>
      </w:r>
      <w:proofErr w:type="gramStart"/>
      <w:r w:rsidRPr="00DE14FC">
        <w:rPr>
          <w:b/>
          <w:i/>
          <w:szCs w:val="24"/>
        </w:rPr>
        <w:t>Services;</w:t>
      </w:r>
      <w:proofErr w:type="gramEnd"/>
      <w:r w:rsidRPr="00DE14FC">
        <w:rPr>
          <w:b/>
          <w:i/>
          <w:szCs w:val="24"/>
        </w:rPr>
        <w:t xml:space="preserve"> and to the Department of Veterans</w:t>
      </w:r>
      <w:r w:rsidR="005D0F63">
        <w:rPr>
          <w:b/>
          <w:i/>
          <w:szCs w:val="24"/>
        </w:rPr>
        <w:t>’</w:t>
      </w:r>
      <w:r w:rsidRPr="00DE14FC">
        <w:rPr>
          <w:b/>
          <w:i/>
          <w:szCs w:val="24"/>
        </w:rPr>
        <w:t xml:space="preserve"> Affairs dental schedule.</w:t>
      </w:r>
    </w:p>
    <w:p w14:paraId="6FAD2B5F" w14:textId="6777D382" w:rsidR="00DE5B94" w:rsidRPr="00DE14FC" w:rsidRDefault="00DE5B94" w:rsidP="00DE14FC">
      <w:pPr>
        <w:spacing w:before="60" w:after="120" w:line="240" w:lineRule="auto"/>
      </w:pPr>
      <w:r w:rsidRPr="3F1BD2E4">
        <w:t xml:space="preserve">The Government </w:t>
      </w:r>
      <w:r w:rsidRPr="3F1BD2E4">
        <w:rPr>
          <w:b/>
        </w:rPr>
        <w:t>notes</w:t>
      </w:r>
      <w:r w:rsidRPr="3F1BD2E4">
        <w:t xml:space="preserve"> this recommendation.</w:t>
      </w:r>
    </w:p>
    <w:p w14:paraId="3DD1E35D" w14:textId="3F5E7433" w:rsidR="00C458F0" w:rsidRDefault="2FA6DCD1" w:rsidP="5555B027">
      <w:pPr>
        <w:spacing w:before="60" w:after="120" w:line="240" w:lineRule="auto"/>
        <w:rPr>
          <w:rFonts w:ascii="Calibri" w:eastAsia="Calibri" w:hAnsi="Calibri" w:cs="Calibri"/>
        </w:rPr>
      </w:pPr>
      <w:r w:rsidRPr="57847B5A">
        <w:rPr>
          <w:rFonts w:ascii="Calibri" w:eastAsia="Calibri" w:hAnsi="Calibri" w:cs="Calibri"/>
        </w:rPr>
        <w:t>The Government recognises the important role dental hygienists, and dental therapists and oral health therapists play in improving oral health outcomes for Australians</w:t>
      </w:r>
      <w:r w:rsidR="00CE353E">
        <w:rPr>
          <w:rFonts w:ascii="Calibri" w:eastAsia="Calibri" w:hAnsi="Calibri" w:cs="Calibri"/>
        </w:rPr>
        <w:t>.</w:t>
      </w:r>
      <w:r w:rsidR="00AA1F9D" w:rsidRPr="00AA1F9D">
        <w:rPr>
          <w:rFonts w:ascii="Calibri" w:eastAsia="Calibri" w:hAnsi="Calibri" w:cs="Calibri"/>
        </w:rPr>
        <w:t xml:space="preserve"> </w:t>
      </w:r>
      <w:r w:rsidR="00AA1F9D" w:rsidRPr="5A3FCF4F">
        <w:rPr>
          <w:rFonts w:ascii="Calibri" w:eastAsia="Calibri" w:hAnsi="Calibri" w:cs="Calibri"/>
        </w:rPr>
        <w:t>The DVA Dental Program cover</w:t>
      </w:r>
      <w:r w:rsidR="007432AE">
        <w:rPr>
          <w:rFonts w:ascii="Calibri" w:eastAsia="Calibri" w:hAnsi="Calibri" w:cs="Calibri"/>
        </w:rPr>
        <w:t>s</w:t>
      </w:r>
      <w:r w:rsidR="00AA1F9D" w:rsidRPr="5A3FCF4F">
        <w:rPr>
          <w:rFonts w:ascii="Calibri" w:eastAsia="Calibri" w:hAnsi="Calibri" w:cs="Calibri"/>
        </w:rPr>
        <w:t xml:space="preserve"> the costs of </w:t>
      </w:r>
      <w:r w:rsidR="007432AE">
        <w:rPr>
          <w:rFonts w:ascii="Calibri" w:eastAsia="Calibri" w:hAnsi="Calibri" w:cs="Calibri"/>
        </w:rPr>
        <w:t>veterans’</w:t>
      </w:r>
      <w:r w:rsidR="00AA1F9D" w:rsidRPr="5A3FCF4F">
        <w:rPr>
          <w:rFonts w:ascii="Calibri" w:eastAsia="Calibri" w:hAnsi="Calibri" w:cs="Calibri"/>
        </w:rPr>
        <w:t xml:space="preserve"> dental care from approved dental providers, including dental hygienists, dental therapists</w:t>
      </w:r>
      <w:r w:rsidR="00CE0024">
        <w:rPr>
          <w:rFonts w:ascii="Calibri" w:eastAsia="Calibri" w:hAnsi="Calibri" w:cs="Calibri"/>
        </w:rPr>
        <w:t>,</w:t>
      </w:r>
      <w:r w:rsidR="00AA1F9D" w:rsidRPr="5A3FCF4F">
        <w:rPr>
          <w:rFonts w:ascii="Calibri" w:eastAsia="Calibri" w:hAnsi="Calibri" w:cs="Calibri"/>
        </w:rPr>
        <w:t xml:space="preserve"> and oral health therapists</w:t>
      </w:r>
      <w:r w:rsidR="00943672">
        <w:rPr>
          <w:rFonts w:ascii="Calibri" w:eastAsia="Calibri" w:hAnsi="Calibri" w:cs="Calibri"/>
        </w:rPr>
        <w:t>. The program</w:t>
      </w:r>
      <w:r w:rsidR="00AA1F9D" w:rsidRPr="5A3FCF4F">
        <w:rPr>
          <w:rFonts w:ascii="Calibri" w:eastAsia="Calibri" w:hAnsi="Calibri" w:cs="Calibri"/>
        </w:rPr>
        <w:t xml:space="preserve"> provid</w:t>
      </w:r>
      <w:r w:rsidR="00993C55">
        <w:rPr>
          <w:rFonts w:ascii="Calibri" w:eastAsia="Calibri" w:hAnsi="Calibri" w:cs="Calibri"/>
        </w:rPr>
        <w:t>es</w:t>
      </w:r>
      <w:r w:rsidR="00AA1F9D" w:rsidRPr="5A3FCF4F">
        <w:rPr>
          <w:rFonts w:ascii="Calibri" w:eastAsia="Calibri" w:hAnsi="Calibri" w:cs="Calibri"/>
        </w:rPr>
        <w:t xml:space="preserve"> </w:t>
      </w:r>
      <w:r w:rsidR="00993C55">
        <w:rPr>
          <w:rFonts w:ascii="Calibri" w:eastAsia="Calibri" w:hAnsi="Calibri" w:cs="Calibri"/>
        </w:rPr>
        <w:t xml:space="preserve">these </w:t>
      </w:r>
      <w:r w:rsidR="00AA1F9D" w:rsidRPr="5A3FCF4F">
        <w:rPr>
          <w:rFonts w:ascii="Calibri" w:eastAsia="Calibri" w:hAnsi="Calibri" w:cs="Calibri"/>
        </w:rPr>
        <w:t xml:space="preserve">preventive health services in partnership with a general or a specialist dentist. </w:t>
      </w:r>
      <w:r w:rsidR="00993C55">
        <w:rPr>
          <w:rFonts w:ascii="Calibri" w:eastAsia="Calibri" w:hAnsi="Calibri" w:cs="Calibri"/>
        </w:rPr>
        <w:t>Services</w:t>
      </w:r>
      <w:r w:rsidR="00AA1F9D" w:rsidRPr="5A3FCF4F">
        <w:rPr>
          <w:rFonts w:ascii="Calibri" w:eastAsia="Calibri" w:hAnsi="Calibri" w:cs="Calibri"/>
        </w:rPr>
        <w:t xml:space="preserve"> include check-ups, repairs, dentures</w:t>
      </w:r>
      <w:r w:rsidR="00CE0024">
        <w:rPr>
          <w:rFonts w:ascii="Calibri" w:eastAsia="Calibri" w:hAnsi="Calibri" w:cs="Calibri"/>
        </w:rPr>
        <w:t>,</w:t>
      </w:r>
      <w:r w:rsidR="00AA1F9D" w:rsidRPr="5A3FCF4F">
        <w:rPr>
          <w:rFonts w:ascii="Calibri" w:eastAsia="Calibri" w:hAnsi="Calibri" w:cs="Calibri"/>
        </w:rPr>
        <w:t xml:space="preserve"> and teeth implants. </w:t>
      </w:r>
    </w:p>
    <w:p w14:paraId="21CB055D" w14:textId="475FBE11" w:rsidR="0072583A" w:rsidRPr="00E12FB7" w:rsidRDefault="005F12B5" w:rsidP="00D65FFF">
      <w:pPr>
        <w:spacing w:before="60" w:after="120" w:line="240" w:lineRule="auto"/>
        <w:rPr>
          <w:rFonts w:ascii="Calibri" w:eastAsia="Calibri" w:hAnsi="Calibri" w:cs="Calibri"/>
        </w:rPr>
      </w:pPr>
      <w:r>
        <w:rPr>
          <w:rFonts w:ascii="Calibri" w:eastAsia="Calibri" w:hAnsi="Calibri" w:cs="Calibri"/>
          <w:color w:val="000000" w:themeColor="text1"/>
        </w:rPr>
        <w:lastRenderedPageBreak/>
        <w:t>Prior t</w:t>
      </w:r>
      <w:r w:rsidR="6FA400CC" w:rsidRPr="57847B5A">
        <w:rPr>
          <w:rFonts w:ascii="Calibri" w:eastAsia="Calibri" w:hAnsi="Calibri" w:cs="Calibri"/>
          <w:color w:val="000000" w:themeColor="text1"/>
        </w:rPr>
        <w:t>o</w:t>
      </w:r>
      <w:r w:rsidR="003052FB">
        <w:rPr>
          <w:rFonts w:ascii="Calibri" w:eastAsia="Calibri" w:hAnsi="Calibri" w:cs="Calibri"/>
          <w:color w:val="000000" w:themeColor="text1"/>
        </w:rPr>
        <w:t xml:space="preserve"> pre</w:t>
      </w:r>
      <w:r w:rsidR="00442D86">
        <w:rPr>
          <w:rFonts w:ascii="Calibri" w:eastAsia="Calibri" w:hAnsi="Calibri" w:cs="Calibri"/>
          <w:color w:val="000000" w:themeColor="text1"/>
        </w:rPr>
        <w:t>ventative oral health services</w:t>
      </w:r>
      <w:r w:rsidR="6FA400CC" w:rsidRPr="57847B5A">
        <w:rPr>
          <w:rFonts w:ascii="Calibri" w:eastAsia="Calibri" w:hAnsi="Calibri" w:cs="Calibri"/>
          <w:color w:val="000000" w:themeColor="text1"/>
        </w:rPr>
        <w:t xml:space="preserve"> </w:t>
      </w:r>
      <w:r w:rsidR="003052FB">
        <w:rPr>
          <w:rFonts w:ascii="Calibri" w:eastAsia="Calibri" w:hAnsi="Calibri" w:cs="Calibri"/>
          <w:color w:val="000000" w:themeColor="text1"/>
        </w:rPr>
        <w:t>being</w:t>
      </w:r>
      <w:r w:rsidR="6FA400CC" w:rsidRPr="57847B5A">
        <w:rPr>
          <w:rFonts w:ascii="Calibri" w:eastAsia="Calibri" w:hAnsi="Calibri" w:cs="Calibri"/>
          <w:color w:val="000000" w:themeColor="text1"/>
        </w:rPr>
        <w:t xml:space="preserve"> funded through the </w:t>
      </w:r>
      <w:r w:rsidR="3865661C" w:rsidRPr="57847B5A">
        <w:rPr>
          <w:rFonts w:ascii="Calibri" w:eastAsia="Calibri" w:hAnsi="Calibri" w:cs="Calibri"/>
          <w:color w:val="000000" w:themeColor="text1"/>
        </w:rPr>
        <w:t>Medicare Benefits Schedule (</w:t>
      </w:r>
      <w:r w:rsidR="6FA400CC" w:rsidRPr="57847B5A">
        <w:rPr>
          <w:rFonts w:ascii="Calibri" w:eastAsia="Calibri" w:hAnsi="Calibri" w:cs="Calibri"/>
          <w:color w:val="000000" w:themeColor="text1"/>
        </w:rPr>
        <w:t>MBS</w:t>
      </w:r>
      <w:r w:rsidR="1807F321" w:rsidRPr="57847B5A">
        <w:rPr>
          <w:rFonts w:ascii="Calibri" w:eastAsia="Calibri" w:hAnsi="Calibri" w:cs="Calibri"/>
          <w:color w:val="000000" w:themeColor="text1"/>
        </w:rPr>
        <w:t>)</w:t>
      </w:r>
      <w:r w:rsidR="6FA400CC" w:rsidRPr="57847B5A">
        <w:rPr>
          <w:rFonts w:ascii="Calibri" w:eastAsia="Calibri" w:hAnsi="Calibri" w:cs="Calibri"/>
          <w:color w:val="000000" w:themeColor="text1"/>
        </w:rPr>
        <w:t>, an assessment by the Medical Services Advisory Committee (MSAC</w:t>
      </w:r>
      <w:r w:rsidR="6FA400CC" w:rsidRPr="00C718D7">
        <w:rPr>
          <w:rFonts w:ascii="Calibri" w:eastAsia="Calibri" w:hAnsi="Calibri" w:cs="Calibri"/>
        </w:rPr>
        <w:t>) or MBS Review Advisory Committee (MRAC) is required.</w:t>
      </w:r>
      <w:r w:rsidR="00CE353E" w:rsidRPr="00CE353E">
        <w:t xml:space="preserve"> </w:t>
      </w:r>
      <w:r w:rsidR="00CE353E">
        <w:t xml:space="preserve">The Department </w:t>
      </w:r>
      <w:r w:rsidR="00AA1F9D">
        <w:t>of Health and Aged Care</w:t>
      </w:r>
      <w:r w:rsidR="00CE353E">
        <w:t xml:space="preserve"> </w:t>
      </w:r>
      <w:r w:rsidR="003052FB">
        <w:rPr>
          <w:rFonts w:ascii="Calibri" w:eastAsia="Calibri" w:hAnsi="Calibri" w:cs="Calibri"/>
        </w:rPr>
        <w:t>works</w:t>
      </w:r>
      <w:r w:rsidR="00CE353E" w:rsidRPr="00CE353E">
        <w:rPr>
          <w:rFonts w:ascii="Calibri" w:eastAsia="Calibri" w:hAnsi="Calibri" w:cs="Calibri"/>
        </w:rPr>
        <w:t xml:space="preserve"> with relevant stakeholders</w:t>
      </w:r>
      <w:r w:rsidR="00AA1F9D">
        <w:rPr>
          <w:rFonts w:ascii="Calibri" w:eastAsia="Calibri" w:hAnsi="Calibri" w:cs="Calibri"/>
        </w:rPr>
        <w:t xml:space="preserve"> </w:t>
      </w:r>
      <w:r w:rsidR="003052FB">
        <w:rPr>
          <w:rFonts w:ascii="Calibri" w:eastAsia="Calibri" w:hAnsi="Calibri" w:cs="Calibri"/>
        </w:rPr>
        <w:t xml:space="preserve">to build </w:t>
      </w:r>
      <w:r w:rsidR="003B5404">
        <w:rPr>
          <w:rFonts w:ascii="Calibri" w:eastAsia="Calibri" w:hAnsi="Calibri" w:cs="Calibri"/>
        </w:rPr>
        <w:t>their</w:t>
      </w:r>
      <w:r w:rsidR="003052FB">
        <w:rPr>
          <w:rFonts w:ascii="Calibri" w:eastAsia="Calibri" w:hAnsi="Calibri" w:cs="Calibri"/>
        </w:rPr>
        <w:t xml:space="preserve"> understanding of this process</w:t>
      </w:r>
      <w:r w:rsidR="0062436C">
        <w:rPr>
          <w:rFonts w:ascii="Calibri" w:eastAsia="Calibri" w:hAnsi="Calibri" w:cs="Calibri"/>
        </w:rPr>
        <w:t xml:space="preserve">. </w:t>
      </w:r>
    </w:p>
    <w:p w14:paraId="643A0506" w14:textId="77777777" w:rsidR="0099392E" w:rsidRPr="00DE14FC" w:rsidRDefault="0099392E" w:rsidP="00D4484A">
      <w:pPr>
        <w:pStyle w:val="Heading2"/>
      </w:pPr>
      <w:r w:rsidRPr="00D65FFF">
        <w:t>Recommendation 8</w:t>
      </w:r>
    </w:p>
    <w:p w14:paraId="20DFAB65" w14:textId="77777777" w:rsidR="0099392E" w:rsidRPr="00DE14FC" w:rsidRDefault="0099392E" w:rsidP="00DE14FC">
      <w:pPr>
        <w:spacing w:before="60" w:after="120" w:line="240" w:lineRule="auto"/>
        <w:rPr>
          <w:rFonts w:cstheme="minorHAnsi"/>
          <w:b/>
          <w:i/>
          <w:szCs w:val="24"/>
        </w:rPr>
      </w:pPr>
      <w:r w:rsidRPr="00DE14FC">
        <w:rPr>
          <w:rFonts w:cstheme="minorHAnsi"/>
          <w:b/>
          <w:i/>
          <w:szCs w:val="24"/>
        </w:rPr>
        <w:t>The committee recommends that the Australian Government considers commissioning a study into:</w:t>
      </w:r>
    </w:p>
    <w:p w14:paraId="3FBF10F7" w14:textId="3E83C69A" w:rsidR="0099392E" w:rsidRPr="00DE14FC" w:rsidRDefault="0099392E" w:rsidP="00DE14FC">
      <w:pPr>
        <w:pStyle w:val="ListParagraph"/>
        <w:numPr>
          <w:ilvl w:val="0"/>
          <w:numId w:val="12"/>
        </w:numPr>
        <w:spacing w:before="60" w:after="120" w:line="240" w:lineRule="auto"/>
        <w:rPr>
          <w:rFonts w:cstheme="minorHAnsi"/>
          <w:b/>
          <w:i/>
          <w:szCs w:val="24"/>
        </w:rPr>
      </w:pPr>
      <w:r w:rsidRPr="00DE14FC">
        <w:rPr>
          <w:rFonts w:cstheme="minorHAnsi"/>
          <w:b/>
          <w:i/>
          <w:szCs w:val="24"/>
        </w:rPr>
        <w:t>the impact of cancer and cancer treatment on dental and oral health; and</w:t>
      </w:r>
    </w:p>
    <w:p w14:paraId="1FFAB451" w14:textId="49F389A3" w:rsidR="0099392E" w:rsidRPr="00DE14FC" w:rsidRDefault="0099392E" w:rsidP="00DE14FC">
      <w:pPr>
        <w:pStyle w:val="ListParagraph"/>
        <w:numPr>
          <w:ilvl w:val="0"/>
          <w:numId w:val="12"/>
        </w:numPr>
        <w:spacing w:before="60" w:after="120" w:line="240" w:lineRule="auto"/>
        <w:rPr>
          <w:rFonts w:cstheme="minorHAnsi"/>
          <w:b/>
          <w:i/>
          <w:szCs w:val="24"/>
        </w:rPr>
      </w:pPr>
      <w:r w:rsidRPr="00DE14FC">
        <w:rPr>
          <w:rFonts w:cstheme="minorHAnsi"/>
          <w:b/>
          <w:i/>
          <w:szCs w:val="24"/>
        </w:rPr>
        <w:t>the need to provide coverage for oral health treatment, including restorative services for cancer survivors, including survivors of head, neck and oral cancers.</w:t>
      </w:r>
    </w:p>
    <w:p w14:paraId="6B488C2C" w14:textId="77777777" w:rsidR="009B7B16" w:rsidRPr="00DE14FC" w:rsidRDefault="009B7B16" w:rsidP="00DE14FC">
      <w:pPr>
        <w:spacing w:before="60" w:after="120" w:line="240" w:lineRule="auto"/>
        <w:rPr>
          <w:rFonts w:cstheme="minorHAnsi"/>
          <w:iCs/>
          <w:szCs w:val="24"/>
        </w:rPr>
      </w:pPr>
      <w:r w:rsidRPr="00DE14FC">
        <w:rPr>
          <w:rFonts w:cstheme="minorHAnsi"/>
          <w:iCs/>
          <w:szCs w:val="24"/>
        </w:rPr>
        <w:t xml:space="preserve">The Government </w:t>
      </w:r>
      <w:r w:rsidRPr="00DE14FC">
        <w:rPr>
          <w:rFonts w:cstheme="minorHAnsi"/>
          <w:b/>
          <w:bCs/>
          <w:iCs/>
          <w:szCs w:val="24"/>
        </w:rPr>
        <w:t>notes</w:t>
      </w:r>
      <w:r w:rsidRPr="00DE14FC">
        <w:rPr>
          <w:rFonts w:cstheme="minorHAnsi"/>
          <w:iCs/>
          <w:szCs w:val="24"/>
        </w:rPr>
        <w:t xml:space="preserve"> this recommendation.</w:t>
      </w:r>
    </w:p>
    <w:p w14:paraId="3D1BFBEE" w14:textId="3D7F58EC" w:rsidR="00C840D6" w:rsidRPr="00DE14FC" w:rsidRDefault="00C840D6" w:rsidP="00DE14FC">
      <w:pPr>
        <w:spacing w:before="60" w:after="120" w:line="240" w:lineRule="auto"/>
        <w:rPr>
          <w:rFonts w:cstheme="minorHAnsi"/>
          <w:iCs/>
          <w:szCs w:val="24"/>
        </w:rPr>
      </w:pPr>
      <w:r w:rsidRPr="00DE14FC">
        <w:rPr>
          <w:rFonts w:cstheme="minorHAnsi"/>
          <w:iCs/>
          <w:szCs w:val="24"/>
        </w:rPr>
        <w:t>The Government acknowledges the impact cancer and cancer treatment can have on people’s dental and oral health.</w:t>
      </w:r>
    </w:p>
    <w:p w14:paraId="1718FF57" w14:textId="79D75E45" w:rsidR="00C840D6" w:rsidRPr="00E12FB7" w:rsidRDefault="00C840D6" w:rsidP="00DE14FC">
      <w:pPr>
        <w:spacing w:before="60" w:after="120" w:line="240" w:lineRule="auto"/>
      </w:pPr>
      <w:r w:rsidRPr="57847B5A">
        <w:t>The Government will consider options for improving access to dental and oral health treatment and restorative services for cancer patients, including the implementation of the Australian Cancer Plan (</w:t>
      </w:r>
      <w:r w:rsidR="00496340" w:rsidRPr="57847B5A">
        <w:t xml:space="preserve">the </w:t>
      </w:r>
      <w:r w:rsidRPr="57847B5A">
        <w:t>Plan) launched on 2 November 2023.</w:t>
      </w:r>
      <w:r w:rsidR="7A52F7A1" w:rsidRPr="57847B5A">
        <w:t xml:space="preserve"> </w:t>
      </w:r>
      <w:r w:rsidRPr="57847B5A">
        <w:t xml:space="preserve">Action 3.2.3 of the Plan recognises new models of care will be required to manage chronic disease and longer-term impacts of cancer treatment, as more people live longer with, or beyond, cancer.   </w:t>
      </w:r>
    </w:p>
    <w:p w14:paraId="227AD8AB" w14:textId="77777777" w:rsidR="0099392E" w:rsidRPr="00DE14FC" w:rsidRDefault="0099392E" w:rsidP="00D4484A">
      <w:pPr>
        <w:pStyle w:val="Heading2"/>
      </w:pPr>
      <w:r w:rsidRPr="00D65FFF">
        <w:t>Recommendation 9</w:t>
      </w:r>
    </w:p>
    <w:p w14:paraId="5DD6E1C6" w14:textId="77777777" w:rsidR="0099392E" w:rsidRPr="00DE14FC" w:rsidRDefault="0099392E" w:rsidP="00DE14FC">
      <w:pPr>
        <w:spacing w:before="60" w:after="120" w:line="240" w:lineRule="auto"/>
        <w:rPr>
          <w:rFonts w:cstheme="minorHAnsi"/>
          <w:b/>
          <w:i/>
          <w:szCs w:val="24"/>
        </w:rPr>
      </w:pPr>
      <w:r w:rsidRPr="00DE14FC">
        <w:rPr>
          <w:rFonts w:cstheme="minorHAnsi"/>
          <w:b/>
          <w:i/>
          <w:szCs w:val="24"/>
        </w:rPr>
        <w:t xml:space="preserve">The committee recommends that the Australian Government reviews the Medicare Benefits Schedule with a view to improving the accessibility of oral health treatment, including restorative services, for cancer survivors, including survivors of head, </w:t>
      </w:r>
      <w:proofErr w:type="gramStart"/>
      <w:r w:rsidRPr="00DE14FC">
        <w:rPr>
          <w:rFonts w:cstheme="minorHAnsi"/>
          <w:b/>
          <w:i/>
          <w:szCs w:val="24"/>
        </w:rPr>
        <w:t>neck</w:t>
      </w:r>
      <w:proofErr w:type="gramEnd"/>
      <w:r w:rsidRPr="00DE14FC">
        <w:rPr>
          <w:rFonts w:cstheme="minorHAnsi"/>
          <w:b/>
          <w:i/>
          <w:szCs w:val="24"/>
        </w:rPr>
        <w:t xml:space="preserve"> and oral cancers.</w:t>
      </w:r>
    </w:p>
    <w:p w14:paraId="478A1BBB" w14:textId="77777777" w:rsidR="009B7B16" w:rsidRPr="00DE14FC" w:rsidRDefault="009B7B16" w:rsidP="00DE14FC">
      <w:pPr>
        <w:spacing w:before="60" w:after="120" w:line="240" w:lineRule="auto"/>
        <w:rPr>
          <w:rFonts w:cstheme="minorHAnsi"/>
          <w:iCs/>
          <w:szCs w:val="24"/>
        </w:rPr>
      </w:pPr>
      <w:r w:rsidRPr="00DE14FC">
        <w:rPr>
          <w:rFonts w:cstheme="minorHAnsi"/>
          <w:iCs/>
          <w:szCs w:val="24"/>
        </w:rPr>
        <w:t xml:space="preserve">The Government </w:t>
      </w:r>
      <w:r w:rsidRPr="00DE14FC">
        <w:rPr>
          <w:rFonts w:cstheme="minorHAnsi"/>
          <w:b/>
          <w:bCs/>
          <w:iCs/>
          <w:szCs w:val="24"/>
        </w:rPr>
        <w:t>notes</w:t>
      </w:r>
      <w:r w:rsidRPr="00DE14FC">
        <w:rPr>
          <w:rFonts w:cstheme="minorHAnsi"/>
          <w:iCs/>
          <w:szCs w:val="24"/>
        </w:rPr>
        <w:t xml:space="preserve"> this recommendation.</w:t>
      </w:r>
    </w:p>
    <w:p w14:paraId="1CDA994F" w14:textId="481DAE42" w:rsidR="007474C1" w:rsidRPr="00DE14FC" w:rsidRDefault="773ECF07" w:rsidP="57847B5A">
      <w:pPr>
        <w:spacing w:before="60" w:after="120" w:line="240" w:lineRule="auto"/>
      </w:pPr>
      <w:r w:rsidRPr="57847B5A">
        <w:t>U</w:t>
      </w:r>
      <w:r w:rsidR="007474C1" w:rsidRPr="57847B5A">
        <w:t xml:space="preserve">nder the MBS, there is a range of oral and maxillofacial medical services that attract benefits (rebates) when performed by a medical practitioner or approved oral </w:t>
      </w:r>
      <w:r w:rsidR="3BE97F70" w:rsidRPr="57847B5A">
        <w:t xml:space="preserve">and </w:t>
      </w:r>
      <w:r w:rsidR="007474C1" w:rsidRPr="57847B5A">
        <w:t>maxillofacial surgeons.</w:t>
      </w:r>
    </w:p>
    <w:p w14:paraId="09383A3A" w14:textId="6384137E" w:rsidR="007474C1" w:rsidRPr="00DE14FC" w:rsidRDefault="007474C1" w:rsidP="00DE14FC">
      <w:pPr>
        <w:spacing w:before="60" w:after="120" w:line="240" w:lineRule="auto"/>
      </w:pPr>
      <w:r w:rsidRPr="00DE14FC">
        <w:t>MBS reconstructive items that may be applicable to survivors of head, neck, and oral cancers include but are not limited to, microvascular head and neck reconstruction items, maxilla and mandible reconstruction items</w:t>
      </w:r>
      <w:r w:rsidR="5F8E26DA" w:rsidRPr="00DE14FC">
        <w:t>,</w:t>
      </w:r>
      <w:r w:rsidRPr="00DE14FC">
        <w:t xml:space="preserve"> and intra-oral implantation and fixation items. </w:t>
      </w:r>
    </w:p>
    <w:p w14:paraId="4D1E8455" w14:textId="1923C7CF" w:rsidR="007474C1" w:rsidRPr="00DE14FC" w:rsidRDefault="007474C1" w:rsidP="00DE14FC">
      <w:pPr>
        <w:spacing w:before="60" w:after="120" w:line="240" w:lineRule="auto"/>
        <w:rPr>
          <w:rFonts w:ascii="Calibri" w:eastAsia="Times New Roman" w:hAnsi="Calibri" w:cs="Calibri"/>
          <w:szCs w:val="24"/>
        </w:rPr>
      </w:pPr>
      <w:r w:rsidRPr="00DE14FC">
        <w:rPr>
          <w:rFonts w:ascii="Calibri" w:eastAsia="Times New Roman" w:hAnsi="Calibri" w:cs="Calibri"/>
          <w:szCs w:val="24"/>
        </w:rPr>
        <w:t>Effective 1 July 2023, there were changes to approximately 360 MBS items for plastic and reconstructive surgery. These changes were a result of recommendations from the MBS Review Taskforce that considered how more than 5,700 items on the MBS can be aligned with contemporary clinical evidence and practice and improve health outcomes for patients. The Taskforce recommendations were inform</w:t>
      </w:r>
      <w:r w:rsidR="001936F7">
        <w:rPr>
          <w:rFonts w:ascii="Calibri" w:eastAsia="Times New Roman" w:hAnsi="Calibri" w:cs="Calibri"/>
          <w:szCs w:val="24"/>
        </w:rPr>
        <w:t>ed</w:t>
      </w:r>
      <w:r w:rsidRPr="00DE14FC">
        <w:rPr>
          <w:rFonts w:ascii="Calibri" w:eastAsia="Times New Roman" w:hAnsi="Calibri" w:cs="Calibri"/>
          <w:szCs w:val="24"/>
        </w:rPr>
        <w:t xml:space="preserve"> by the Plastic and Reconstructive Surgery Clinical Committee and included changes to cranio-maxillofacial and oral and maxillofacial surgery services.</w:t>
      </w:r>
    </w:p>
    <w:p w14:paraId="3F0BB625" w14:textId="77777777" w:rsidR="00C87C04" w:rsidRDefault="007474C1" w:rsidP="57847B5A">
      <w:pPr>
        <w:spacing w:before="60" w:after="120" w:line="240" w:lineRule="auto"/>
        <w:rPr>
          <w:rFonts w:ascii="Calibri" w:eastAsia="Times New Roman" w:hAnsi="Calibri" w:cs="Calibri"/>
        </w:rPr>
      </w:pPr>
      <w:r w:rsidRPr="57847B5A">
        <w:rPr>
          <w:rFonts w:ascii="Calibri" w:eastAsia="Times New Roman" w:hAnsi="Calibri" w:cs="Calibri"/>
        </w:rPr>
        <w:t>The Clinical Committee considered that cranio-maxillofacial and oral and maxillofacial surgery has undergone major changes in the last 20 years due to changes in technology and fixation techniques.</w:t>
      </w:r>
    </w:p>
    <w:p w14:paraId="26C792BD" w14:textId="5D206691" w:rsidR="007474C1" w:rsidRPr="00DE14FC" w:rsidRDefault="007474C1" w:rsidP="57847B5A">
      <w:pPr>
        <w:spacing w:before="60" w:after="120" w:line="240" w:lineRule="auto"/>
        <w:rPr>
          <w:rFonts w:ascii="Calibri" w:eastAsia="Times New Roman" w:hAnsi="Calibri" w:cs="Calibri"/>
        </w:rPr>
      </w:pPr>
      <w:r w:rsidRPr="57847B5A">
        <w:rPr>
          <w:rFonts w:ascii="Calibri" w:eastAsia="Times New Roman" w:hAnsi="Calibri" w:cs="Calibri"/>
        </w:rPr>
        <w:lastRenderedPageBreak/>
        <w:t>The recommendations of the Clinical Committee resulted in amendments to a range of items for cranio-maxillofacial/oral and maxillofacial surgery, including maxilla and mandible reconstruction items and oral tumour items, to update terminology and practices to allow for modern best clinical practice.</w:t>
      </w:r>
    </w:p>
    <w:p w14:paraId="515518AD" w14:textId="19E7582A" w:rsidR="007474C1" w:rsidRPr="00DE14FC" w:rsidRDefault="007474C1" w:rsidP="00DE14FC">
      <w:pPr>
        <w:spacing w:before="60" w:after="120" w:line="240" w:lineRule="auto"/>
        <w:rPr>
          <w:rFonts w:ascii="Calibri" w:eastAsia="Times New Roman" w:hAnsi="Calibri" w:cs="Calibri"/>
          <w:szCs w:val="24"/>
        </w:rPr>
      </w:pPr>
      <w:r w:rsidRPr="00DE14FC">
        <w:rPr>
          <w:rFonts w:ascii="Calibri" w:eastAsia="Times New Roman" w:hAnsi="Calibri" w:cs="Calibri"/>
          <w:szCs w:val="24"/>
        </w:rPr>
        <w:t>For a new medical service to be funded through the MBS, including new restorative oral procedures for survivors of head, neck and oral cancers, an assessment by the MSAC is required.</w:t>
      </w:r>
    </w:p>
    <w:p w14:paraId="48A091A5" w14:textId="3955E2B3" w:rsidR="007474C1" w:rsidRPr="00DE14FC" w:rsidRDefault="007474C1" w:rsidP="00DE14FC">
      <w:pPr>
        <w:spacing w:before="60" w:after="120" w:line="240" w:lineRule="auto"/>
        <w:rPr>
          <w:rFonts w:ascii="Calibri" w:eastAsia="Times New Roman" w:hAnsi="Calibri" w:cs="Calibri"/>
          <w:szCs w:val="24"/>
        </w:rPr>
      </w:pPr>
      <w:r w:rsidRPr="00DE14FC">
        <w:rPr>
          <w:rFonts w:ascii="Calibri" w:eastAsia="Times New Roman" w:hAnsi="Calibri" w:cs="Calibri"/>
          <w:szCs w:val="24"/>
        </w:rPr>
        <w:t xml:space="preserve">Anyone can apply to the MSAC, however, due to the level of evidence required, a medical professional group is generally best placed to provide the necessary research and trial data. </w:t>
      </w:r>
    </w:p>
    <w:p w14:paraId="45C6799B" w14:textId="77777777" w:rsidR="0099392E" w:rsidRPr="00DE14FC" w:rsidRDefault="0099392E" w:rsidP="00D4484A">
      <w:pPr>
        <w:pStyle w:val="Heading2"/>
      </w:pPr>
      <w:r w:rsidRPr="00D65FFF">
        <w:t>Recommendation 10</w:t>
      </w:r>
    </w:p>
    <w:p w14:paraId="33E0F9AB" w14:textId="77777777" w:rsidR="00C63325" w:rsidRPr="00DE14FC" w:rsidRDefault="0099392E" w:rsidP="00DE14FC">
      <w:pPr>
        <w:spacing w:before="60" w:after="120" w:line="240" w:lineRule="auto"/>
        <w:rPr>
          <w:rFonts w:cstheme="minorHAnsi"/>
          <w:color w:val="FF0000"/>
          <w:szCs w:val="24"/>
        </w:rPr>
      </w:pPr>
      <w:r w:rsidRPr="00DE14FC">
        <w:rPr>
          <w:b/>
          <w:i/>
          <w:szCs w:val="24"/>
        </w:rPr>
        <w:t xml:space="preserve">The committee recommends that the Australian Government provides seed funding for a national oral health promotion and advocacy body, </w:t>
      </w:r>
      <w:proofErr w:type="gramStart"/>
      <w:r w:rsidRPr="00DE14FC">
        <w:rPr>
          <w:b/>
          <w:i/>
          <w:szCs w:val="24"/>
        </w:rPr>
        <w:t>similar to</w:t>
      </w:r>
      <w:proofErr w:type="gramEnd"/>
      <w:r w:rsidRPr="00DE14FC">
        <w:rPr>
          <w:b/>
          <w:i/>
          <w:szCs w:val="24"/>
        </w:rPr>
        <w:t xml:space="preserve"> the Heart Foundation.</w:t>
      </w:r>
    </w:p>
    <w:p w14:paraId="1F734A39" w14:textId="2601F356" w:rsidR="008E6C1A" w:rsidRPr="00DE14FC" w:rsidRDefault="008E6C1A" w:rsidP="00DE14FC">
      <w:pPr>
        <w:spacing w:before="60" w:after="120" w:line="240" w:lineRule="auto"/>
        <w:rPr>
          <w:rFonts w:cstheme="minorHAnsi"/>
          <w:color w:val="FF0000"/>
          <w:szCs w:val="24"/>
        </w:rPr>
      </w:pPr>
      <w:r w:rsidRPr="00DE14FC">
        <w:rPr>
          <w:rFonts w:cstheme="minorHAnsi"/>
          <w:iCs/>
          <w:szCs w:val="24"/>
        </w:rPr>
        <w:t>The</w:t>
      </w:r>
      <w:r w:rsidR="00C63325" w:rsidRPr="00DE14FC">
        <w:rPr>
          <w:rFonts w:cstheme="minorHAnsi"/>
          <w:iCs/>
          <w:szCs w:val="24"/>
        </w:rPr>
        <w:t xml:space="preserve"> </w:t>
      </w:r>
      <w:r w:rsidRPr="00DE14FC">
        <w:rPr>
          <w:rFonts w:cstheme="minorHAnsi"/>
          <w:iCs/>
          <w:szCs w:val="24"/>
        </w:rPr>
        <w:t xml:space="preserve">Government </w:t>
      </w:r>
      <w:r w:rsidRPr="00DE14FC">
        <w:rPr>
          <w:rFonts w:cstheme="minorHAnsi"/>
          <w:b/>
          <w:bCs/>
          <w:iCs/>
          <w:szCs w:val="24"/>
        </w:rPr>
        <w:t>notes</w:t>
      </w:r>
      <w:r w:rsidRPr="00DE14FC">
        <w:rPr>
          <w:rFonts w:cstheme="minorHAnsi"/>
          <w:iCs/>
          <w:szCs w:val="24"/>
        </w:rPr>
        <w:t xml:space="preserve"> this recommendation.</w:t>
      </w:r>
    </w:p>
    <w:p w14:paraId="07C77F35" w14:textId="6F2813C0" w:rsidR="00DA3B77" w:rsidRPr="00E12FB7" w:rsidRDefault="00247F3D" w:rsidP="00DE14FC">
      <w:pPr>
        <w:spacing w:before="60" w:after="120" w:line="240" w:lineRule="auto"/>
      </w:pPr>
      <w:r>
        <w:t xml:space="preserve">The Government </w:t>
      </w:r>
      <w:r w:rsidR="0EC59508">
        <w:t xml:space="preserve">routinely </w:t>
      </w:r>
      <w:r>
        <w:t xml:space="preserve">consults with </w:t>
      </w:r>
      <w:r w:rsidR="79E45699">
        <w:t>expert dental and oral health</w:t>
      </w:r>
      <w:r>
        <w:t xml:space="preserve"> organisations.</w:t>
      </w:r>
      <w:r w:rsidR="00986FB0">
        <w:t xml:space="preserve"> </w:t>
      </w:r>
      <w:r w:rsidR="00C81789">
        <w:t xml:space="preserve">The Government currently has an open and transparent process for </w:t>
      </w:r>
      <w:r w:rsidR="0E64C9DB">
        <w:t xml:space="preserve">health </w:t>
      </w:r>
      <w:r w:rsidR="00C81789">
        <w:t xml:space="preserve">peak bodies to apply for funding. </w:t>
      </w:r>
      <w:r w:rsidR="001E500D">
        <w:t>The Health Peak and Advisory Bodies Program is a capped, competitive grant program that supports selected peak bodies over a three-year period.</w:t>
      </w:r>
      <w:r w:rsidR="00F5061A">
        <w:t xml:space="preserve"> </w:t>
      </w:r>
      <w:r w:rsidR="001E500D">
        <w:t>The program aims to build capacity in the health sector to complement the work undertaken by all health peak and advisory bodies.</w:t>
      </w:r>
    </w:p>
    <w:p w14:paraId="5DB467E8" w14:textId="77777777" w:rsidR="0099392E" w:rsidRPr="00DE14FC" w:rsidRDefault="0099392E" w:rsidP="00D4484A">
      <w:pPr>
        <w:pStyle w:val="Heading2"/>
      </w:pPr>
      <w:r w:rsidRPr="00D65FFF">
        <w:t>Recommendation 11</w:t>
      </w:r>
    </w:p>
    <w:p w14:paraId="34B6BCE5" w14:textId="60247D4D" w:rsidR="00D20D69" w:rsidRPr="00DE14FC" w:rsidRDefault="0099392E" w:rsidP="00DE14FC">
      <w:pPr>
        <w:spacing w:before="60" w:after="120" w:line="240" w:lineRule="auto"/>
        <w:rPr>
          <w:rFonts w:cstheme="minorHAnsi"/>
          <w:b/>
          <w:i/>
          <w:szCs w:val="24"/>
        </w:rPr>
      </w:pPr>
      <w:r w:rsidRPr="00DE14FC">
        <w:rPr>
          <w:rFonts w:cstheme="minorHAnsi"/>
          <w:b/>
          <w:i/>
          <w:szCs w:val="24"/>
        </w:rPr>
        <w:t>The committee recommends that the Australian Government works with states and territories to find ways to ensure access to adequate general and oral health services for people who are incarcerated.</w:t>
      </w:r>
    </w:p>
    <w:p w14:paraId="2A0C694A" w14:textId="77777777" w:rsidR="00C63325" w:rsidRPr="00DE14FC" w:rsidRDefault="00C63325" w:rsidP="00DE14FC">
      <w:pPr>
        <w:spacing w:before="60" w:after="120" w:line="240" w:lineRule="auto"/>
        <w:rPr>
          <w:rFonts w:cstheme="minorHAnsi"/>
          <w:iCs/>
          <w:szCs w:val="24"/>
        </w:rPr>
      </w:pPr>
      <w:r w:rsidRPr="00DE14FC">
        <w:rPr>
          <w:rFonts w:cstheme="minorHAnsi"/>
          <w:iCs/>
          <w:szCs w:val="24"/>
        </w:rPr>
        <w:t xml:space="preserve">The Government </w:t>
      </w:r>
      <w:r w:rsidRPr="00DE14FC">
        <w:rPr>
          <w:rFonts w:cstheme="minorHAnsi"/>
          <w:b/>
          <w:bCs/>
          <w:iCs/>
          <w:szCs w:val="24"/>
        </w:rPr>
        <w:t>notes</w:t>
      </w:r>
      <w:r w:rsidRPr="00DE14FC">
        <w:rPr>
          <w:rFonts w:cstheme="minorHAnsi"/>
          <w:iCs/>
          <w:szCs w:val="24"/>
        </w:rPr>
        <w:t xml:space="preserve"> this recommendation.</w:t>
      </w:r>
    </w:p>
    <w:p w14:paraId="6E8DF35E" w14:textId="37A4E760" w:rsidR="00852DED" w:rsidRPr="00521F94" w:rsidRDefault="00852DED" w:rsidP="00DE14FC">
      <w:pPr>
        <w:spacing w:before="60" w:after="120" w:line="240" w:lineRule="auto"/>
      </w:pPr>
      <w:r>
        <w:t xml:space="preserve">States and </w:t>
      </w:r>
      <w:r w:rsidR="004E6F66">
        <w:t>t</w:t>
      </w:r>
      <w:r>
        <w:t xml:space="preserve">erritories </w:t>
      </w:r>
      <w:r w:rsidR="51E521B6">
        <w:t>manage</w:t>
      </w:r>
      <w:r>
        <w:t xml:space="preserve"> </w:t>
      </w:r>
      <w:r w:rsidR="236809BA">
        <w:t>the</w:t>
      </w:r>
      <w:r>
        <w:t xml:space="preserve"> prison system including service delivery</w:t>
      </w:r>
      <w:r w:rsidR="00535751">
        <w:t xml:space="preserve"> </w:t>
      </w:r>
      <w:r w:rsidR="0005654A">
        <w:t>of health</w:t>
      </w:r>
      <w:r w:rsidR="20717D3B">
        <w:t xml:space="preserve"> and oral health</w:t>
      </w:r>
      <w:r w:rsidR="00535751">
        <w:t xml:space="preserve"> services</w:t>
      </w:r>
      <w:r w:rsidR="00210C77">
        <w:t xml:space="preserve">. </w:t>
      </w:r>
      <w:r w:rsidR="166C6B2A">
        <w:t xml:space="preserve">The Government will work collaboratively with state and territory governments to progress this recommendation. </w:t>
      </w:r>
    </w:p>
    <w:p w14:paraId="037DE4C1" w14:textId="0AB77189" w:rsidR="006968E9" w:rsidRPr="00DE14FC" w:rsidRDefault="006968E9" w:rsidP="00D4484A">
      <w:pPr>
        <w:pStyle w:val="Heading2"/>
      </w:pPr>
      <w:r w:rsidRPr="00053044">
        <w:t>Recommendation 12</w:t>
      </w:r>
    </w:p>
    <w:p w14:paraId="0FBD6C40" w14:textId="77777777" w:rsidR="006968E9" w:rsidRPr="00DE14FC" w:rsidRDefault="006968E9" w:rsidP="00DE14FC">
      <w:pPr>
        <w:spacing w:before="60" w:after="120" w:line="240" w:lineRule="auto"/>
        <w:rPr>
          <w:rFonts w:cstheme="minorHAnsi"/>
          <w:b/>
          <w:i/>
          <w:szCs w:val="24"/>
        </w:rPr>
      </w:pPr>
      <w:r w:rsidRPr="00DE14FC">
        <w:rPr>
          <w:rFonts w:cstheme="minorHAnsi"/>
          <w:b/>
          <w:i/>
          <w:szCs w:val="24"/>
        </w:rPr>
        <w:t>The committee recommends that the Australian Government implements the oral health care recommendations from the Royal Commission into Aged Care Quality and Safety.</w:t>
      </w:r>
    </w:p>
    <w:p w14:paraId="13E6E792" w14:textId="2E077F52" w:rsidR="004A1F92" w:rsidRDefault="00B53E93" w:rsidP="133C98B0">
      <w:pPr>
        <w:spacing w:before="60" w:after="120" w:line="240" w:lineRule="auto"/>
      </w:pPr>
      <w:r w:rsidRPr="00D65FFF">
        <w:t xml:space="preserve">The Government </w:t>
      </w:r>
      <w:r w:rsidRPr="00D65FFF">
        <w:rPr>
          <w:b/>
        </w:rPr>
        <w:t>notes</w:t>
      </w:r>
      <w:r w:rsidRPr="00D65FFF">
        <w:t xml:space="preserve"> this recommendation.</w:t>
      </w:r>
    </w:p>
    <w:p w14:paraId="095D6ADB" w14:textId="5FD8F87F" w:rsidR="008D00F8" w:rsidRDefault="008D00F8" w:rsidP="133C98B0">
      <w:pPr>
        <w:spacing w:before="60" w:after="120" w:line="240" w:lineRule="auto"/>
        <w:rPr>
          <w:rFonts w:eastAsia="Times New Roman"/>
        </w:rPr>
      </w:pPr>
      <w:r w:rsidRPr="57847B5A">
        <w:rPr>
          <w:rFonts w:eastAsia="Times New Roman"/>
        </w:rPr>
        <w:t>The Government acknowledges that older Australians experience poorer oral health outcomes and experience greater barriers to accessing dental and oral care.</w:t>
      </w:r>
    </w:p>
    <w:p w14:paraId="1D7EF9DF" w14:textId="219B4044" w:rsidR="00D4484A" w:rsidRDefault="00FD5237" w:rsidP="00DE14FC">
      <w:pPr>
        <w:spacing w:before="60" w:after="120" w:line="240" w:lineRule="auto"/>
        <w:rPr>
          <w:rFonts w:eastAsia="Times New Roman"/>
        </w:rPr>
      </w:pPr>
      <w:r w:rsidRPr="61B1C823">
        <w:rPr>
          <w:rFonts w:eastAsia="Times New Roman"/>
        </w:rPr>
        <w:t xml:space="preserve">There is currently a breadth of work underway to </w:t>
      </w:r>
      <w:r w:rsidR="00D563F6" w:rsidRPr="61B1C823">
        <w:rPr>
          <w:rFonts w:eastAsia="Times New Roman"/>
        </w:rPr>
        <w:t xml:space="preserve">address </w:t>
      </w:r>
      <w:r w:rsidR="007A47EE" w:rsidRPr="61B1C823">
        <w:rPr>
          <w:rFonts w:eastAsia="Times New Roman"/>
        </w:rPr>
        <w:t xml:space="preserve">recommendations relating to </w:t>
      </w:r>
      <w:r w:rsidR="00D563F6" w:rsidRPr="61B1C823">
        <w:rPr>
          <w:rFonts w:eastAsia="Times New Roman"/>
        </w:rPr>
        <w:t xml:space="preserve">dental </w:t>
      </w:r>
      <w:r w:rsidR="007A47EE" w:rsidRPr="61B1C823">
        <w:rPr>
          <w:rFonts w:eastAsia="Times New Roman"/>
        </w:rPr>
        <w:t xml:space="preserve">and oral health, </w:t>
      </w:r>
      <w:r w:rsidR="00D563F6" w:rsidRPr="61B1C823">
        <w:rPr>
          <w:rFonts w:eastAsia="Times New Roman"/>
        </w:rPr>
        <w:t xml:space="preserve">made by the </w:t>
      </w:r>
      <w:r w:rsidR="003B0BDB" w:rsidRPr="61B1C823">
        <w:rPr>
          <w:rFonts w:eastAsia="Times New Roman"/>
        </w:rPr>
        <w:t>R</w:t>
      </w:r>
      <w:r w:rsidR="00D563F6" w:rsidRPr="61B1C823">
        <w:rPr>
          <w:rFonts w:eastAsia="Times New Roman"/>
        </w:rPr>
        <w:t xml:space="preserve">oyal </w:t>
      </w:r>
      <w:r w:rsidR="003B0BDB" w:rsidRPr="61B1C823">
        <w:rPr>
          <w:rFonts w:eastAsia="Times New Roman"/>
        </w:rPr>
        <w:t xml:space="preserve">Commission </w:t>
      </w:r>
      <w:r w:rsidR="00D563F6" w:rsidRPr="61B1C823">
        <w:rPr>
          <w:rFonts w:eastAsia="Times New Roman"/>
        </w:rPr>
        <w:t>in</w:t>
      </w:r>
      <w:r w:rsidR="003B0BDB" w:rsidRPr="61B1C823">
        <w:rPr>
          <w:rFonts w:eastAsia="Times New Roman"/>
        </w:rPr>
        <w:t>to</w:t>
      </w:r>
      <w:r w:rsidR="00D563F6" w:rsidRPr="61B1C823">
        <w:rPr>
          <w:rFonts w:eastAsia="Times New Roman"/>
        </w:rPr>
        <w:t xml:space="preserve"> </w:t>
      </w:r>
      <w:r w:rsidR="003B0BDB" w:rsidRPr="61B1C823">
        <w:rPr>
          <w:rFonts w:eastAsia="Times New Roman"/>
        </w:rPr>
        <w:t>A</w:t>
      </w:r>
      <w:r w:rsidR="00D563F6" w:rsidRPr="61B1C823">
        <w:rPr>
          <w:rFonts w:eastAsia="Times New Roman"/>
        </w:rPr>
        <w:t xml:space="preserve">ged </w:t>
      </w:r>
      <w:r w:rsidR="00344A76" w:rsidRPr="61B1C823">
        <w:rPr>
          <w:rFonts w:eastAsia="Times New Roman"/>
        </w:rPr>
        <w:t>C</w:t>
      </w:r>
      <w:r w:rsidR="00D563F6" w:rsidRPr="61B1C823">
        <w:rPr>
          <w:rFonts w:eastAsia="Times New Roman"/>
        </w:rPr>
        <w:t xml:space="preserve">are </w:t>
      </w:r>
      <w:r w:rsidR="00344A76" w:rsidRPr="61B1C823">
        <w:rPr>
          <w:rFonts w:eastAsia="Times New Roman"/>
        </w:rPr>
        <w:t>Q</w:t>
      </w:r>
      <w:r w:rsidR="00D563F6" w:rsidRPr="61B1C823">
        <w:rPr>
          <w:rFonts w:eastAsia="Times New Roman"/>
        </w:rPr>
        <w:t>ual</w:t>
      </w:r>
      <w:r w:rsidR="00344A76" w:rsidRPr="61B1C823">
        <w:rPr>
          <w:rFonts w:eastAsia="Times New Roman"/>
        </w:rPr>
        <w:t xml:space="preserve">ity and Safety. </w:t>
      </w:r>
      <w:r w:rsidR="00526423" w:rsidRPr="61B1C823">
        <w:rPr>
          <w:rFonts w:eastAsia="Times New Roman"/>
        </w:rPr>
        <w:t xml:space="preserve">As part of this effort, quality standards will be reviewed and updated, multidisciplinary outreach services will be tested </w:t>
      </w:r>
      <w:r w:rsidR="00053044" w:rsidRPr="61B1C823">
        <w:rPr>
          <w:rFonts w:eastAsia="Times New Roman"/>
        </w:rPr>
        <w:t xml:space="preserve">out </w:t>
      </w:r>
      <w:r w:rsidR="00526423" w:rsidRPr="61B1C823">
        <w:rPr>
          <w:rFonts w:eastAsia="Times New Roman"/>
        </w:rPr>
        <w:t xml:space="preserve">for older adults in </w:t>
      </w:r>
      <w:r w:rsidR="00053044" w:rsidRPr="61B1C823">
        <w:rPr>
          <w:rFonts w:eastAsia="Times New Roman"/>
        </w:rPr>
        <w:t xml:space="preserve">aged </w:t>
      </w:r>
      <w:r w:rsidR="00526423" w:rsidRPr="61B1C823">
        <w:rPr>
          <w:rFonts w:eastAsia="Times New Roman"/>
        </w:rPr>
        <w:t xml:space="preserve">care, and </w:t>
      </w:r>
      <w:r w:rsidR="00053044" w:rsidRPr="61B1C823">
        <w:rPr>
          <w:rFonts w:eastAsia="Times New Roman"/>
        </w:rPr>
        <w:t>roles</w:t>
      </w:r>
      <w:r w:rsidR="00526423" w:rsidRPr="61B1C823">
        <w:rPr>
          <w:rFonts w:eastAsia="Times New Roman"/>
        </w:rPr>
        <w:t xml:space="preserve"> and responsibilities related to providing health care to older adults in </w:t>
      </w:r>
      <w:r w:rsidR="00053044" w:rsidRPr="61B1C823">
        <w:rPr>
          <w:rFonts w:eastAsia="Times New Roman"/>
        </w:rPr>
        <w:t xml:space="preserve">aged </w:t>
      </w:r>
      <w:r w:rsidR="00526423" w:rsidRPr="61B1C823">
        <w:rPr>
          <w:rFonts w:eastAsia="Times New Roman"/>
        </w:rPr>
        <w:t>care will be made clear</w:t>
      </w:r>
      <w:r w:rsidR="00D4484A">
        <w:rPr>
          <w:rFonts w:eastAsia="Times New Roman"/>
        </w:rPr>
        <w:t>.</w:t>
      </w:r>
      <w:r w:rsidR="00D4484A">
        <w:rPr>
          <w:rFonts w:eastAsia="Times New Roman"/>
        </w:rPr>
        <w:br w:type="page"/>
      </w:r>
    </w:p>
    <w:p w14:paraId="099F4027" w14:textId="77777777" w:rsidR="006968E9" w:rsidRPr="00DE14FC" w:rsidRDefault="006968E9" w:rsidP="00D4484A">
      <w:pPr>
        <w:pStyle w:val="Heading2"/>
      </w:pPr>
      <w:r w:rsidRPr="00053044">
        <w:lastRenderedPageBreak/>
        <w:t>Recommendation 13</w:t>
      </w:r>
    </w:p>
    <w:p w14:paraId="3D6CC1C1" w14:textId="77777777" w:rsidR="006968E9" w:rsidRPr="00DE14FC" w:rsidRDefault="006968E9" w:rsidP="00DE14FC">
      <w:pPr>
        <w:spacing w:before="60" w:after="120" w:line="240" w:lineRule="auto"/>
        <w:rPr>
          <w:rFonts w:cstheme="minorHAnsi"/>
          <w:b/>
          <w:i/>
          <w:szCs w:val="24"/>
        </w:rPr>
      </w:pPr>
      <w:r w:rsidRPr="00DE14FC">
        <w:rPr>
          <w:rFonts w:cstheme="minorHAnsi"/>
          <w:b/>
          <w:i/>
          <w:szCs w:val="24"/>
        </w:rPr>
        <w:t>The committee recommends that the Australian Government considers the establishment of a Seniors Dental Benefit Scheme.</w:t>
      </w:r>
    </w:p>
    <w:p w14:paraId="628A48BD" w14:textId="77777777" w:rsidR="00657F9C" w:rsidRPr="00DE14FC" w:rsidRDefault="00657F9C" w:rsidP="00DE14FC">
      <w:pPr>
        <w:spacing w:before="60" w:after="120" w:line="240" w:lineRule="auto"/>
        <w:rPr>
          <w:rFonts w:cstheme="minorHAnsi"/>
          <w:szCs w:val="24"/>
        </w:rPr>
      </w:pPr>
      <w:r w:rsidRPr="00DE14FC">
        <w:rPr>
          <w:rFonts w:cstheme="minorHAnsi"/>
          <w:szCs w:val="24"/>
        </w:rPr>
        <w:t xml:space="preserve">The Government </w:t>
      </w:r>
      <w:r w:rsidRPr="00DE14FC">
        <w:rPr>
          <w:rFonts w:cstheme="minorHAnsi"/>
          <w:b/>
          <w:bCs/>
          <w:szCs w:val="24"/>
        </w:rPr>
        <w:t>notes</w:t>
      </w:r>
      <w:r w:rsidRPr="00DE14FC">
        <w:rPr>
          <w:rFonts w:cstheme="minorHAnsi"/>
          <w:szCs w:val="24"/>
        </w:rPr>
        <w:t xml:space="preserve"> this recommendation.</w:t>
      </w:r>
    </w:p>
    <w:p w14:paraId="17494C05" w14:textId="52A32A55" w:rsidR="007A4B7F" w:rsidRPr="00521F94" w:rsidRDefault="008D00F8" w:rsidP="00DE14FC">
      <w:pPr>
        <w:spacing w:before="60" w:after="120" w:line="240" w:lineRule="auto"/>
      </w:pPr>
      <w:r>
        <w:t xml:space="preserve">Recommendation 60 of the Royal Commission into Aged Care Quality and Safety includes establishing a new Senior Dental Benefit Scheme to fund dental services for people who live in residential aged care or who live in the community and receive the age pension or qualify for the Commonwealth Seniors Health Card. The National Dental Reform Oversight Group, represented by each state and territory and the Commonwealth, is currently conducting analyses to consider improved access to public dental services for priority groups, including people in residential aged care and older Australians living in the community. Options will be presented </w:t>
      </w:r>
      <w:r w:rsidR="007A4B7F">
        <w:t>for Health Ministers’ consideration during 2024.</w:t>
      </w:r>
    </w:p>
    <w:p w14:paraId="2F65A8DC" w14:textId="77777777" w:rsidR="006968E9" w:rsidRPr="00DE14FC" w:rsidRDefault="006968E9" w:rsidP="00D4484A">
      <w:pPr>
        <w:pStyle w:val="Heading2"/>
      </w:pPr>
      <w:r w:rsidRPr="00DE14FC">
        <w:t>Recommendation 14</w:t>
      </w:r>
    </w:p>
    <w:p w14:paraId="6A0BC30E" w14:textId="77777777" w:rsidR="006968E9" w:rsidRPr="00DE14FC" w:rsidRDefault="006968E9" w:rsidP="00DE14FC">
      <w:pPr>
        <w:spacing w:before="60" w:after="120" w:line="240" w:lineRule="auto"/>
        <w:rPr>
          <w:rFonts w:cstheme="minorHAnsi"/>
          <w:b/>
          <w:i/>
          <w:szCs w:val="24"/>
        </w:rPr>
      </w:pPr>
      <w:r w:rsidRPr="00DE14FC">
        <w:rPr>
          <w:rFonts w:cstheme="minorHAnsi"/>
          <w:b/>
          <w:i/>
          <w:szCs w:val="24"/>
        </w:rPr>
        <w:t xml:space="preserve">The committee recommends that states and territories </w:t>
      </w:r>
      <w:proofErr w:type="gramStart"/>
      <w:r w:rsidRPr="00DE14FC">
        <w:rPr>
          <w:rFonts w:cstheme="minorHAnsi"/>
          <w:b/>
          <w:i/>
          <w:szCs w:val="24"/>
        </w:rPr>
        <w:t>take into account</w:t>
      </w:r>
      <w:proofErr w:type="gramEnd"/>
      <w:r w:rsidRPr="00DE14FC">
        <w:rPr>
          <w:rFonts w:cstheme="minorHAnsi"/>
          <w:b/>
          <w:i/>
          <w:szCs w:val="24"/>
        </w:rPr>
        <w:t xml:space="preserve"> the need for culturally safe and effective treatment for Aboriginal and Torres Strait Islander Australians.</w:t>
      </w:r>
    </w:p>
    <w:p w14:paraId="347DAEDD" w14:textId="24D98B95" w:rsidR="003804C0" w:rsidRPr="00DE14FC" w:rsidRDefault="003804C0" w:rsidP="00DE14FC">
      <w:pPr>
        <w:spacing w:before="60" w:after="120" w:line="240" w:lineRule="auto"/>
      </w:pPr>
      <w:r w:rsidRPr="40136037">
        <w:t xml:space="preserve">The Government </w:t>
      </w:r>
      <w:r w:rsidRPr="40136037">
        <w:rPr>
          <w:b/>
        </w:rPr>
        <w:t>notes</w:t>
      </w:r>
      <w:r w:rsidRPr="40136037">
        <w:t xml:space="preserve"> this recommendation.</w:t>
      </w:r>
    </w:p>
    <w:p w14:paraId="0A8D0477" w14:textId="0D217CA3" w:rsidR="00D0566A" w:rsidRPr="00DE14FC" w:rsidRDefault="00341986" w:rsidP="57847B5A">
      <w:pPr>
        <w:spacing w:before="60" w:after="120" w:line="240" w:lineRule="auto"/>
      </w:pPr>
      <w:r w:rsidRPr="57847B5A">
        <w:t xml:space="preserve">The delivery </w:t>
      </w:r>
      <w:r w:rsidR="00902615" w:rsidRPr="57847B5A">
        <w:t xml:space="preserve">of </w:t>
      </w:r>
      <w:r w:rsidR="0072087A" w:rsidRPr="57847B5A">
        <w:t>public</w:t>
      </w:r>
      <w:r w:rsidR="00CD0C53" w:rsidRPr="57847B5A">
        <w:t xml:space="preserve"> dental services</w:t>
      </w:r>
      <w:r w:rsidR="007A7F02" w:rsidRPr="57847B5A">
        <w:t xml:space="preserve"> </w:t>
      </w:r>
      <w:r w:rsidR="005E43D1">
        <w:t>is</w:t>
      </w:r>
      <w:r w:rsidR="00D3484E" w:rsidRPr="57847B5A">
        <w:t xml:space="preserve"> the primary</w:t>
      </w:r>
      <w:r w:rsidR="007A7F02" w:rsidRPr="57847B5A">
        <w:t xml:space="preserve"> responsibility </w:t>
      </w:r>
      <w:r w:rsidR="008F1C66" w:rsidRPr="57847B5A">
        <w:t>of the states and territories</w:t>
      </w:r>
      <w:r w:rsidR="00EC61AB" w:rsidRPr="57847B5A">
        <w:t xml:space="preserve">. </w:t>
      </w:r>
      <w:r w:rsidR="00D03464">
        <w:t xml:space="preserve">Therefore, each jurisdiction determines all elements of service delivery including priority populations for eligibility and design of the services. </w:t>
      </w:r>
      <w:r w:rsidR="0025233B" w:rsidRPr="57847B5A">
        <w:t xml:space="preserve">The Commonwealth will continue to </w:t>
      </w:r>
      <w:r w:rsidR="00570DC1" w:rsidRPr="57847B5A">
        <w:t>work collaboratively with jurisdictions to increase equitable access</w:t>
      </w:r>
      <w:r w:rsidR="00F26C55" w:rsidRPr="57847B5A">
        <w:t xml:space="preserve"> for public dental services. </w:t>
      </w:r>
    </w:p>
    <w:p w14:paraId="18793446" w14:textId="58B73768" w:rsidR="57847B5A" w:rsidRPr="00F879A3" w:rsidRDefault="00504FF8" w:rsidP="00F879A3">
      <w:pPr>
        <w:spacing w:before="60" w:after="120" w:line="240" w:lineRule="auto"/>
      </w:pPr>
      <w:r>
        <w:t>W</w:t>
      </w:r>
      <w:r w:rsidRPr="00504FF8">
        <w:t>hil</w:t>
      </w:r>
      <w:r w:rsidR="00260CD5">
        <w:t>e</w:t>
      </w:r>
      <w:r w:rsidRPr="00504FF8">
        <w:t xml:space="preserve"> the responsibility for service provision primarily lies with the states</w:t>
      </w:r>
      <w:r>
        <w:t xml:space="preserve"> and territories</w:t>
      </w:r>
      <w:r w:rsidRPr="00504FF8">
        <w:t>, in recognition of the unique needs of NT</w:t>
      </w:r>
      <w:r w:rsidR="005A3297">
        <w:t>, t</w:t>
      </w:r>
      <w:r w:rsidR="6389AB16" w:rsidRPr="00F879A3">
        <w:t xml:space="preserve">he Department </w:t>
      </w:r>
      <w:r w:rsidR="00C928FF">
        <w:t xml:space="preserve">of Health and Aged Care </w:t>
      </w:r>
      <w:r w:rsidR="6389AB16" w:rsidRPr="00F879A3">
        <w:t>administers the Health Implementation Plan under the National Partnership Agreement on Northern Territory Remote Aboriginal Investment (NTRAI), which provides funding for programs to improve oral and hearing health outcomes for First Nations children under 16 in the Northern Territory (NT). A total of $7.359 million is being provided in 2023-24 for the Health Implementation Plan, of which $3.302 million is allocated for the Oral Health Program (OHP).</w:t>
      </w:r>
    </w:p>
    <w:p w14:paraId="1A9BA048" w14:textId="6FF803F1" w:rsidR="57847B5A" w:rsidRDefault="6389AB16" w:rsidP="57847B5A">
      <w:pPr>
        <w:spacing w:before="60" w:after="120" w:line="240" w:lineRule="auto"/>
      </w:pPr>
      <w:r w:rsidRPr="00F879A3">
        <w:t>The OHP is designed to complement the NT Government’s Child Oral Health Program by providing additional preventive (application of full-mouth fluoride varnish and fissure sealants) and clinical (tooth extractions, diagnostics, restorations and examinations) services, with a particular focus on remote areas. Ahead of the NTRAI’s expiration on 30</w:t>
      </w:r>
      <w:r w:rsidR="007A4B7F">
        <w:t> </w:t>
      </w:r>
      <w:r w:rsidRPr="00F879A3">
        <w:t>June 2024, a Joint Steering Committee has been convened to design future arrangements for remote service delivery in the NT. The Committee is comprised of representatives from the National Indigenous Australians Agency, Aboriginal Peak Organisations NT, the NT Government and the Department</w:t>
      </w:r>
      <w:r w:rsidR="00C928FF">
        <w:t xml:space="preserve"> of Health and Aged Care</w:t>
      </w:r>
      <w:r w:rsidRPr="00F879A3">
        <w:t>.</w:t>
      </w:r>
    </w:p>
    <w:p w14:paraId="0BABCD04" w14:textId="45691E34" w:rsidR="004F710E" w:rsidRPr="0078237E" w:rsidRDefault="00FE1AAD" w:rsidP="004F710E">
      <w:pPr>
        <w:spacing w:before="60" w:after="120" w:line="240" w:lineRule="auto"/>
      </w:pPr>
      <w:r>
        <w:t>The Government</w:t>
      </w:r>
      <w:r w:rsidR="0068118A">
        <w:t>’s</w:t>
      </w:r>
      <w:r w:rsidR="0055516B">
        <w:t xml:space="preserve"> </w:t>
      </w:r>
      <w:r w:rsidR="004F710E" w:rsidRPr="3F1BD2E4">
        <w:t>National Aboriginal and Torres Strait Islander Health Workforce Strategic Framework and Implementation Plan 2021-2031 (Workforce Plan) aims to increase the number of First Nations people in the health workforce</w:t>
      </w:r>
      <w:r>
        <w:t xml:space="preserve">, including </w:t>
      </w:r>
      <w:r w:rsidR="00221366">
        <w:t xml:space="preserve">those in </w:t>
      </w:r>
      <w:r w:rsidR="00245EC2">
        <w:t xml:space="preserve">dental and oral healthcare, </w:t>
      </w:r>
      <w:r w:rsidR="004F710E" w:rsidRPr="3F1BD2E4">
        <w:t xml:space="preserve">to population parity by 2031 and strengthen the cultural safety of the health system overall. </w:t>
      </w:r>
    </w:p>
    <w:p w14:paraId="58E4C82D" w14:textId="1108B48B" w:rsidR="004F710E" w:rsidRPr="0078237E" w:rsidRDefault="004F710E" w:rsidP="004F710E">
      <w:pPr>
        <w:spacing w:before="60" w:after="120" w:line="240" w:lineRule="auto"/>
      </w:pPr>
      <w:r w:rsidRPr="3F1BD2E4">
        <w:lastRenderedPageBreak/>
        <w:t>The Workforce Plan is guided by six overarching strategic directions and 47 implementation strategies to attract, recruit, and retain First Nations health professionals</w:t>
      </w:r>
      <w:r w:rsidR="005C67B8">
        <w:t xml:space="preserve">, which includes </w:t>
      </w:r>
      <w:r w:rsidR="00123383">
        <w:t>those in dental and oral healthcare</w:t>
      </w:r>
      <w:r w:rsidRPr="3F1BD2E4">
        <w:t xml:space="preserve">. This includes developing co-designed initiatives to increase and support Aboriginal and Torres Strait Islander people entering the health workforce, such as flexible workplace and education arrangements, and trainee leadership, mentoring and support networks. </w:t>
      </w:r>
    </w:p>
    <w:p w14:paraId="5BE04940" w14:textId="11D9730E" w:rsidR="004F710E" w:rsidRPr="00DE14FC" w:rsidRDefault="004F710E" w:rsidP="004F710E">
      <w:pPr>
        <w:spacing w:before="60" w:after="120" w:line="240" w:lineRule="auto"/>
      </w:pPr>
      <w:r w:rsidRPr="3F1BD2E4">
        <w:t xml:space="preserve">The Workforce Plan also notes the importance of attractive and accessible pathways to retain and grow existing Aboriginal and Torres Strait Islander health </w:t>
      </w:r>
      <w:r w:rsidR="004E541B">
        <w:t xml:space="preserve">care </w:t>
      </w:r>
      <w:r w:rsidRPr="3F1BD2E4">
        <w:t>workforce, particularly in regional and remote areas of Australia.</w:t>
      </w:r>
    </w:p>
    <w:p w14:paraId="1B0D291C" w14:textId="586A5B07" w:rsidR="006968E9" w:rsidRPr="00DE14FC" w:rsidRDefault="006968E9" w:rsidP="00D4484A">
      <w:pPr>
        <w:pStyle w:val="Heading2"/>
      </w:pPr>
      <w:r w:rsidRPr="00DE14FC">
        <w:t>Recommendation 15</w:t>
      </w:r>
    </w:p>
    <w:p w14:paraId="62EEE6F8" w14:textId="77777777" w:rsidR="006968E9" w:rsidRPr="00DE14FC" w:rsidRDefault="006968E9" w:rsidP="00DE14FC">
      <w:pPr>
        <w:spacing w:before="60" w:after="120" w:line="240" w:lineRule="auto"/>
        <w:rPr>
          <w:rFonts w:cstheme="minorHAnsi"/>
          <w:b/>
          <w:i/>
          <w:szCs w:val="24"/>
        </w:rPr>
      </w:pPr>
      <w:r w:rsidRPr="00DE14FC">
        <w:rPr>
          <w:rFonts w:cstheme="minorHAnsi"/>
          <w:b/>
          <w:i/>
          <w:szCs w:val="24"/>
        </w:rPr>
        <w:t>The committee recommends that the Australian Government works with state and territory governments to revise state-based legislation and regulations that prevent non dental health professionals from applying fluoride varnish treatments and fluoride salts, including in regional and remote areas of Australia.</w:t>
      </w:r>
    </w:p>
    <w:p w14:paraId="5927606F" w14:textId="77777777" w:rsidR="008B62F8" w:rsidRPr="00DE14FC" w:rsidRDefault="008B62F8" w:rsidP="00DE14FC">
      <w:pPr>
        <w:spacing w:before="60" w:after="120" w:line="240" w:lineRule="auto"/>
        <w:rPr>
          <w:rFonts w:cstheme="minorHAnsi"/>
          <w:szCs w:val="24"/>
        </w:rPr>
      </w:pPr>
      <w:r w:rsidRPr="00DE14FC">
        <w:rPr>
          <w:rFonts w:cstheme="minorHAnsi"/>
          <w:szCs w:val="24"/>
        </w:rPr>
        <w:t xml:space="preserve">The Government </w:t>
      </w:r>
      <w:r w:rsidRPr="00DE14FC">
        <w:rPr>
          <w:rFonts w:cstheme="minorHAnsi"/>
          <w:b/>
          <w:bCs/>
          <w:szCs w:val="24"/>
        </w:rPr>
        <w:t>notes</w:t>
      </w:r>
      <w:r w:rsidRPr="00DE14FC">
        <w:rPr>
          <w:rFonts w:cstheme="minorHAnsi"/>
          <w:szCs w:val="24"/>
        </w:rPr>
        <w:t xml:space="preserve"> this recommendation.</w:t>
      </w:r>
    </w:p>
    <w:p w14:paraId="7635309D" w14:textId="51CA7E6F" w:rsidR="00A70F73" w:rsidRPr="00DE14FC" w:rsidRDefault="00306EC5" w:rsidP="00DE14FC">
      <w:pPr>
        <w:spacing w:before="60" w:after="120" w:line="240" w:lineRule="auto"/>
        <w:rPr>
          <w:rFonts w:cstheme="minorHAnsi"/>
          <w:szCs w:val="24"/>
        </w:rPr>
      </w:pPr>
      <w:r w:rsidRPr="00DE14FC">
        <w:rPr>
          <w:rFonts w:cstheme="minorHAnsi"/>
          <w:iCs/>
          <w:szCs w:val="24"/>
        </w:rPr>
        <w:t>The delivery of public dental services is the responsibility of the states and territories and therefore it is up to each state and territory to establish eligibility requirements</w:t>
      </w:r>
      <w:r w:rsidR="00097EC4">
        <w:t>,</w:t>
      </w:r>
      <w:r w:rsidR="000975E4" w:rsidRPr="00DE14FC">
        <w:t xml:space="preserve"> </w:t>
      </w:r>
      <w:r w:rsidR="000975E4" w:rsidRPr="00DE14FC">
        <w:rPr>
          <w:rFonts w:cstheme="minorHAnsi"/>
          <w:iCs/>
          <w:szCs w:val="24"/>
        </w:rPr>
        <w:t>state-based legislation</w:t>
      </w:r>
      <w:r w:rsidR="00AC18A6">
        <w:rPr>
          <w:rFonts w:cstheme="minorHAnsi"/>
          <w:iCs/>
          <w:szCs w:val="24"/>
        </w:rPr>
        <w:t>,</w:t>
      </w:r>
      <w:r w:rsidR="000975E4" w:rsidRPr="00DE14FC">
        <w:rPr>
          <w:rFonts w:cstheme="minorHAnsi"/>
          <w:iCs/>
          <w:szCs w:val="24"/>
        </w:rPr>
        <w:t xml:space="preserve"> and regulation</w:t>
      </w:r>
      <w:r w:rsidRPr="00DE14FC">
        <w:rPr>
          <w:rFonts w:cstheme="minorHAnsi"/>
          <w:iCs/>
          <w:szCs w:val="24"/>
        </w:rPr>
        <w:t xml:space="preserve"> for oral health services within their jurisdictions. </w:t>
      </w:r>
    </w:p>
    <w:p w14:paraId="12C091E2" w14:textId="77777777" w:rsidR="006968E9" w:rsidRPr="00DE14FC" w:rsidRDefault="006968E9" w:rsidP="00D4484A">
      <w:pPr>
        <w:pStyle w:val="Heading2"/>
      </w:pPr>
      <w:r w:rsidRPr="00DE14FC">
        <w:t>Recommendation 16</w:t>
      </w:r>
    </w:p>
    <w:p w14:paraId="00A94D7F" w14:textId="77777777" w:rsidR="006968E9" w:rsidRPr="00DE14FC" w:rsidRDefault="006968E9" w:rsidP="00DE14FC">
      <w:pPr>
        <w:spacing w:before="60" w:after="120" w:line="240" w:lineRule="auto"/>
        <w:rPr>
          <w:rFonts w:cstheme="minorHAnsi"/>
          <w:b/>
          <w:i/>
          <w:szCs w:val="24"/>
        </w:rPr>
      </w:pPr>
      <w:r w:rsidRPr="00DE14FC">
        <w:rPr>
          <w:rFonts w:cstheme="minorHAnsi"/>
          <w:b/>
          <w:i/>
          <w:szCs w:val="24"/>
        </w:rPr>
        <w:t>The committee recommends that the Australian Government examines the potential use of fluoride salts in areas that cannot have fluoridated water.</w:t>
      </w:r>
    </w:p>
    <w:p w14:paraId="3E7B3C09" w14:textId="39BF4C03" w:rsidR="003F0D33" w:rsidRPr="00DE14FC" w:rsidRDefault="003F0D33" w:rsidP="00DE14FC">
      <w:pPr>
        <w:spacing w:before="60" w:after="120" w:line="240" w:lineRule="auto"/>
        <w:rPr>
          <w:rFonts w:cstheme="minorHAnsi"/>
          <w:szCs w:val="24"/>
        </w:rPr>
      </w:pPr>
      <w:r w:rsidRPr="00DE14FC">
        <w:rPr>
          <w:rFonts w:cstheme="minorHAnsi"/>
          <w:szCs w:val="24"/>
        </w:rPr>
        <w:t xml:space="preserve">The Government </w:t>
      </w:r>
      <w:r w:rsidR="005F54D4" w:rsidRPr="00DE14FC">
        <w:rPr>
          <w:rFonts w:cstheme="minorHAnsi"/>
          <w:b/>
          <w:bCs/>
          <w:szCs w:val="24"/>
        </w:rPr>
        <w:t>notes</w:t>
      </w:r>
      <w:r w:rsidRPr="00DE14FC">
        <w:rPr>
          <w:rFonts w:cstheme="minorHAnsi"/>
          <w:b/>
          <w:bCs/>
          <w:szCs w:val="24"/>
        </w:rPr>
        <w:t xml:space="preserve"> </w:t>
      </w:r>
      <w:r w:rsidRPr="00DE14FC">
        <w:rPr>
          <w:rFonts w:cstheme="minorHAnsi"/>
          <w:szCs w:val="24"/>
        </w:rPr>
        <w:t>this recommendation.</w:t>
      </w:r>
    </w:p>
    <w:p w14:paraId="2618DB62" w14:textId="78B6E86C" w:rsidR="00816072" w:rsidRPr="00DE14FC" w:rsidRDefault="005030DF" w:rsidP="00DE14FC">
      <w:pPr>
        <w:spacing w:before="60" w:after="120" w:line="240" w:lineRule="auto"/>
        <w:rPr>
          <w:rFonts w:cstheme="minorHAnsi"/>
          <w:bCs/>
          <w:iCs/>
          <w:szCs w:val="24"/>
        </w:rPr>
      </w:pPr>
      <w:r w:rsidRPr="00DE14FC">
        <w:rPr>
          <w:rFonts w:cstheme="minorHAnsi"/>
          <w:bCs/>
          <w:iCs/>
          <w:szCs w:val="24"/>
        </w:rPr>
        <w:t>I</w:t>
      </w:r>
      <w:r w:rsidR="00816072" w:rsidRPr="00DE14FC">
        <w:rPr>
          <w:rFonts w:cstheme="minorHAnsi"/>
          <w:bCs/>
          <w:iCs/>
          <w:szCs w:val="24"/>
        </w:rPr>
        <w:t>n Australia, community water fluoridation programs are a safe, effective and ethical way of reducing tooth decay across the population. Fluoridated water is the primary source of fluoride exposure and helps reduce tooth decay for all, at all stages of life. This includes those who have access to dental care and other measures that help protect teeth from decay.</w:t>
      </w:r>
      <w:r w:rsidR="002521E3" w:rsidRPr="00DE14FC">
        <w:rPr>
          <w:rFonts w:cstheme="minorHAnsi"/>
          <w:bCs/>
          <w:iCs/>
          <w:szCs w:val="24"/>
        </w:rPr>
        <w:t xml:space="preserve"> </w:t>
      </w:r>
      <w:r w:rsidR="00816072" w:rsidRPr="00DE14FC">
        <w:rPr>
          <w:rFonts w:cstheme="minorHAnsi"/>
          <w:bCs/>
          <w:iCs/>
          <w:szCs w:val="24"/>
        </w:rPr>
        <w:t>Fluoridated water reaches everyone in the community and does not rely on people visiting dental clinics.</w:t>
      </w:r>
    </w:p>
    <w:p w14:paraId="2C6B984E" w14:textId="0C64A14D" w:rsidR="00A70F73" w:rsidRPr="00521F94" w:rsidRDefault="00AE15E0" w:rsidP="00DE14FC">
      <w:pPr>
        <w:spacing w:before="60" w:after="120" w:line="240" w:lineRule="auto"/>
      </w:pPr>
      <w:r w:rsidRPr="57847B5A">
        <w:t xml:space="preserve">The </w:t>
      </w:r>
      <w:r w:rsidR="0047690B" w:rsidRPr="57847B5A">
        <w:t>Government</w:t>
      </w:r>
      <w:r w:rsidRPr="57847B5A">
        <w:t xml:space="preserve"> </w:t>
      </w:r>
      <w:r w:rsidR="008C2E7F" w:rsidRPr="57847B5A">
        <w:t xml:space="preserve">will </w:t>
      </w:r>
      <w:r w:rsidR="00F14C20" w:rsidRPr="57847B5A">
        <w:t xml:space="preserve">continue </w:t>
      </w:r>
      <w:r w:rsidR="00617062" w:rsidRPr="57847B5A">
        <w:t xml:space="preserve">to </w:t>
      </w:r>
      <w:r w:rsidR="008F01A4" w:rsidRPr="57847B5A">
        <w:t>explore</w:t>
      </w:r>
      <w:r w:rsidR="00A41FE3">
        <w:t xml:space="preserve"> with states and territories</w:t>
      </w:r>
      <w:r w:rsidR="008F01A4" w:rsidRPr="57847B5A">
        <w:t xml:space="preserve"> options</w:t>
      </w:r>
      <w:r w:rsidR="00FD2AF5" w:rsidRPr="57847B5A">
        <w:t xml:space="preserve"> for fluoridated water </w:t>
      </w:r>
      <w:r w:rsidR="00D33BC9" w:rsidRPr="57847B5A">
        <w:t>in areas that do not have access</w:t>
      </w:r>
      <w:r w:rsidR="00D62433" w:rsidRPr="57847B5A">
        <w:t xml:space="preserve"> to it</w:t>
      </w:r>
      <w:r w:rsidR="00521F94">
        <w:t>.</w:t>
      </w:r>
    </w:p>
    <w:p w14:paraId="1E84BB9F" w14:textId="77777777" w:rsidR="006968E9" w:rsidRPr="00DE14FC" w:rsidRDefault="006968E9" w:rsidP="00D4484A">
      <w:pPr>
        <w:pStyle w:val="Heading2"/>
      </w:pPr>
      <w:r w:rsidRPr="00D65FFF">
        <w:t>Recommendation 17</w:t>
      </w:r>
    </w:p>
    <w:p w14:paraId="651E74E3" w14:textId="77777777" w:rsidR="006968E9" w:rsidRPr="00DE14FC" w:rsidRDefault="006968E9" w:rsidP="00DE14FC">
      <w:pPr>
        <w:spacing w:before="60" w:after="120" w:line="240" w:lineRule="auto"/>
        <w:rPr>
          <w:rFonts w:cstheme="minorHAnsi"/>
          <w:b/>
          <w:i/>
          <w:szCs w:val="24"/>
        </w:rPr>
      </w:pPr>
      <w:r w:rsidRPr="00DE14FC">
        <w:rPr>
          <w:rFonts w:cstheme="minorHAnsi"/>
          <w:b/>
          <w:i/>
          <w:szCs w:val="24"/>
        </w:rPr>
        <w:t>The committee recommends that the Australian Government investigates expanding access to Tranexamic acid to dentists, such as by adding Tranexamic acid mouthwash to the Pharmaceutical Benefits Scheme.</w:t>
      </w:r>
    </w:p>
    <w:p w14:paraId="2564527D" w14:textId="77777777" w:rsidR="00E25CD7" w:rsidRPr="00DE14FC" w:rsidRDefault="00E25CD7" w:rsidP="00DE14FC">
      <w:pPr>
        <w:spacing w:before="60" w:after="120" w:line="240" w:lineRule="auto"/>
        <w:rPr>
          <w:rFonts w:cstheme="minorHAnsi"/>
          <w:szCs w:val="24"/>
        </w:rPr>
      </w:pPr>
      <w:r w:rsidRPr="57847B5A">
        <w:t xml:space="preserve">The Government </w:t>
      </w:r>
      <w:r w:rsidRPr="57847B5A">
        <w:rPr>
          <w:b/>
          <w:bCs/>
        </w:rPr>
        <w:t xml:space="preserve">notes </w:t>
      </w:r>
      <w:r w:rsidRPr="57847B5A">
        <w:t>this recommendation.</w:t>
      </w:r>
    </w:p>
    <w:p w14:paraId="06B15789" w14:textId="074BADB6" w:rsidR="00EE0515" w:rsidRPr="00DE14FC" w:rsidRDefault="00EE0515" w:rsidP="00EE0515">
      <w:pPr>
        <w:spacing w:before="60" w:after="120" w:line="240" w:lineRule="auto"/>
        <w:rPr>
          <w:rFonts w:cstheme="minorHAnsi"/>
          <w:szCs w:val="24"/>
        </w:rPr>
      </w:pPr>
      <w:r w:rsidRPr="00DE14FC">
        <w:rPr>
          <w:rFonts w:cstheme="minorHAnsi"/>
          <w:szCs w:val="24"/>
        </w:rPr>
        <w:t xml:space="preserve">There are </w:t>
      </w:r>
      <w:r>
        <w:rPr>
          <w:rFonts w:cstheme="minorHAnsi"/>
          <w:szCs w:val="24"/>
        </w:rPr>
        <w:t xml:space="preserve">currently </w:t>
      </w:r>
      <w:r w:rsidRPr="00DE14FC">
        <w:rPr>
          <w:rFonts w:cstheme="minorHAnsi"/>
          <w:szCs w:val="24"/>
        </w:rPr>
        <w:t>no tranexamic acid mouthwash products approved by the Therapeutic Goods Administration (TGA), Australia’s regulator of medicines and other therapeutic goods. TGA approval status of a medicine is important because the P</w:t>
      </w:r>
      <w:r>
        <w:rPr>
          <w:rFonts w:cstheme="minorHAnsi"/>
          <w:szCs w:val="24"/>
        </w:rPr>
        <w:t>harmaceutical Benefits Scheme (P</w:t>
      </w:r>
      <w:r w:rsidRPr="00DE14FC">
        <w:rPr>
          <w:rFonts w:cstheme="minorHAnsi"/>
          <w:szCs w:val="24"/>
        </w:rPr>
        <w:t>BS</w:t>
      </w:r>
      <w:r>
        <w:rPr>
          <w:rFonts w:cstheme="minorHAnsi"/>
          <w:szCs w:val="24"/>
        </w:rPr>
        <w:t>)</w:t>
      </w:r>
      <w:r w:rsidRPr="00DE14FC">
        <w:rPr>
          <w:rFonts w:cstheme="minorHAnsi"/>
          <w:szCs w:val="24"/>
        </w:rPr>
        <w:t xml:space="preserve"> listing process relies</w:t>
      </w:r>
      <w:r>
        <w:rPr>
          <w:rFonts w:cstheme="minorHAnsi"/>
          <w:szCs w:val="24"/>
        </w:rPr>
        <w:t>,</w:t>
      </w:r>
      <w:r w:rsidRPr="00DE14FC">
        <w:rPr>
          <w:rFonts w:cstheme="minorHAnsi"/>
          <w:szCs w:val="24"/>
        </w:rPr>
        <w:t xml:space="preserve"> in part</w:t>
      </w:r>
      <w:r>
        <w:rPr>
          <w:rFonts w:cstheme="minorHAnsi"/>
          <w:szCs w:val="24"/>
        </w:rPr>
        <w:t>,</w:t>
      </w:r>
      <w:r w:rsidRPr="00DE14FC">
        <w:rPr>
          <w:rFonts w:cstheme="minorHAnsi"/>
          <w:szCs w:val="24"/>
        </w:rPr>
        <w:t xml:space="preserve"> on the scientific assessment of evidence regarding safety and clinical effectiveness that serves as the basis for TGA approval.</w:t>
      </w:r>
    </w:p>
    <w:p w14:paraId="5ECA2B37" w14:textId="152A32BA" w:rsidR="00C27D49" w:rsidRPr="00DE14FC" w:rsidRDefault="008D4527" w:rsidP="57847B5A">
      <w:pPr>
        <w:spacing w:before="60" w:after="120" w:line="240" w:lineRule="auto"/>
      </w:pPr>
      <w:r>
        <w:lastRenderedPageBreak/>
        <w:t>The PBS</w:t>
      </w:r>
      <w:r w:rsidR="00FF485D">
        <w:t xml:space="preserve"> </w:t>
      </w:r>
      <w:r w:rsidR="171B5C41" w:rsidRPr="57847B5A">
        <w:t xml:space="preserve">is the main mechanism through which the Government subsidises the cost of medicines for the treatment of Australian patients. </w:t>
      </w:r>
      <w:r w:rsidR="006838BF" w:rsidRPr="57847B5A">
        <w:t xml:space="preserve">Tranexamic acid tablet 500 mg is currently listed on the </w:t>
      </w:r>
      <w:r w:rsidR="006C2144" w:rsidRPr="57847B5A">
        <w:t>PBS</w:t>
      </w:r>
      <w:r w:rsidR="006838BF" w:rsidRPr="57847B5A">
        <w:t xml:space="preserve"> as an unrestricted benefit for prescribing by medical practitioners and nurse practitioners</w:t>
      </w:r>
      <w:r w:rsidR="006C2144" w:rsidRPr="57847B5A">
        <w:t xml:space="preserve">. </w:t>
      </w:r>
    </w:p>
    <w:p w14:paraId="0CE8D000" w14:textId="2B9FB703" w:rsidR="00C27D49" w:rsidRPr="00DE14FC" w:rsidRDefault="00C27D49" w:rsidP="00DE14FC">
      <w:pPr>
        <w:spacing w:before="60" w:after="120" w:line="240" w:lineRule="auto"/>
      </w:pPr>
      <w:r w:rsidRPr="00DE14FC">
        <w:t>Under legislation, the Government cannot list a new medicine on the PBS unless the Pharmaceutical Benefits Advisory Committee (PBAC) makes a recommendation in favour of its listing. Similarly, the Government relies on the advice of the PBAC when considering changes to the circumstances under which existing PBS medicines are listed, such as addition of a prescriber type.</w:t>
      </w:r>
    </w:p>
    <w:p w14:paraId="20EC8D61" w14:textId="4508E3C4" w:rsidR="00FA4945" w:rsidRPr="00521F94" w:rsidRDefault="00B72D4A" w:rsidP="00DE14FC">
      <w:pPr>
        <w:spacing w:before="60" w:after="120" w:line="240" w:lineRule="auto"/>
      </w:pPr>
      <w:r w:rsidRPr="0069232A">
        <w:rPr>
          <w:rFonts w:eastAsiaTheme="minorEastAsia"/>
          <w:szCs w:val="24"/>
        </w:rPr>
        <w:t xml:space="preserve">The PBAC considers submissions from industry sponsors of medicines and medicinal products, medical bodies, health professionals, and private individuals and their representatives. However, for new products or new indications, it is normally the sponsor or manufacturer who holds the data required for such a submission. Sponsors usually engage public health and health economics experts to review the academic literature and help the company prepare a submission to the PBAC. </w:t>
      </w:r>
    </w:p>
    <w:p w14:paraId="5F99F9BC" w14:textId="60F48DB0" w:rsidR="006968E9" w:rsidRPr="00DE14FC" w:rsidRDefault="006968E9" w:rsidP="00D4484A">
      <w:pPr>
        <w:pStyle w:val="Heading2"/>
      </w:pPr>
      <w:r w:rsidRPr="00D65FFF">
        <w:t>Recommendation 18</w:t>
      </w:r>
    </w:p>
    <w:p w14:paraId="310E8F25" w14:textId="77777777" w:rsidR="006968E9" w:rsidRPr="00DE14FC" w:rsidRDefault="006968E9" w:rsidP="00DE14FC">
      <w:pPr>
        <w:spacing w:before="60" w:after="120" w:line="240" w:lineRule="auto"/>
        <w:rPr>
          <w:rFonts w:cstheme="minorHAnsi"/>
          <w:b/>
          <w:i/>
          <w:szCs w:val="24"/>
        </w:rPr>
      </w:pPr>
      <w:r w:rsidRPr="00DE14FC">
        <w:rPr>
          <w:rFonts w:cstheme="minorHAnsi"/>
          <w:b/>
          <w:i/>
          <w:szCs w:val="24"/>
        </w:rPr>
        <w:t>The committee recommends that the National Disability Insurance Agency clarifies that dental and oral health supports that are directly required because of a person's disability can be funded under the National Disability Insurance Scheme (NDIS</w:t>
      </w:r>
      <w:proofErr w:type="gramStart"/>
      <w:r w:rsidRPr="00DE14FC">
        <w:rPr>
          <w:rFonts w:cstheme="minorHAnsi"/>
          <w:b/>
          <w:i/>
          <w:szCs w:val="24"/>
        </w:rPr>
        <w:t>), and</w:t>
      </w:r>
      <w:proofErr w:type="gramEnd"/>
      <w:r w:rsidRPr="00DE14FC">
        <w:rPr>
          <w:rFonts w:cstheme="minorHAnsi"/>
          <w:b/>
          <w:i/>
          <w:szCs w:val="24"/>
        </w:rPr>
        <w:t xml:space="preserve"> provides specific training and guidance for NDIS decision makers. The kinds of supports that could be funded include:</w:t>
      </w:r>
    </w:p>
    <w:p w14:paraId="16963CDC" w14:textId="586FE31F" w:rsidR="006968E9" w:rsidRPr="00DE14FC" w:rsidRDefault="006968E9" w:rsidP="00DE14FC">
      <w:pPr>
        <w:pStyle w:val="ListParagraph"/>
        <w:numPr>
          <w:ilvl w:val="0"/>
          <w:numId w:val="12"/>
        </w:numPr>
        <w:spacing w:before="60" w:after="120" w:line="240" w:lineRule="auto"/>
        <w:rPr>
          <w:rFonts w:cstheme="minorHAnsi"/>
          <w:b/>
          <w:i/>
          <w:szCs w:val="24"/>
        </w:rPr>
      </w:pPr>
      <w:r w:rsidRPr="00DE14FC">
        <w:rPr>
          <w:rFonts w:cstheme="minorHAnsi"/>
          <w:b/>
          <w:i/>
          <w:szCs w:val="24"/>
        </w:rPr>
        <w:t>oral splints that assist with speaking or swallowing;</w:t>
      </w:r>
    </w:p>
    <w:p w14:paraId="1CA9832A" w14:textId="7D90F1C7" w:rsidR="006968E9" w:rsidRPr="00DE14FC" w:rsidRDefault="006968E9" w:rsidP="00DE14FC">
      <w:pPr>
        <w:pStyle w:val="ListParagraph"/>
        <w:numPr>
          <w:ilvl w:val="0"/>
          <w:numId w:val="12"/>
        </w:numPr>
        <w:spacing w:before="60" w:after="120" w:line="240" w:lineRule="auto"/>
        <w:rPr>
          <w:rFonts w:cstheme="minorHAnsi"/>
          <w:b/>
          <w:i/>
          <w:szCs w:val="24"/>
        </w:rPr>
      </w:pPr>
      <w:r w:rsidRPr="00DE14FC">
        <w:rPr>
          <w:rFonts w:cstheme="minorHAnsi"/>
          <w:b/>
          <w:i/>
          <w:szCs w:val="24"/>
        </w:rPr>
        <w:t>modified toothbrushes and flossing devices; and</w:t>
      </w:r>
    </w:p>
    <w:p w14:paraId="2E19A16C" w14:textId="35D112C2" w:rsidR="006968E9" w:rsidRPr="00DE14FC" w:rsidRDefault="006968E9" w:rsidP="00DE14FC">
      <w:pPr>
        <w:pStyle w:val="ListParagraph"/>
        <w:numPr>
          <w:ilvl w:val="0"/>
          <w:numId w:val="12"/>
        </w:numPr>
        <w:spacing w:before="60" w:after="120" w:line="240" w:lineRule="auto"/>
        <w:rPr>
          <w:rFonts w:cstheme="minorHAnsi"/>
          <w:b/>
          <w:i/>
          <w:szCs w:val="24"/>
        </w:rPr>
      </w:pPr>
      <w:r w:rsidRPr="00DE14FC">
        <w:rPr>
          <w:rFonts w:cstheme="minorHAnsi"/>
          <w:b/>
          <w:i/>
          <w:szCs w:val="24"/>
        </w:rPr>
        <w:t>any other reasonable and necessary oral health care consumables.</w:t>
      </w:r>
    </w:p>
    <w:p w14:paraId="2F7BB630" w14:textId="382C4CAD" w:rsidR="001119BD" w:rsidRPr="00DE14FC" w:rsidRDefault="001119BD" w:rsidP="57847B5A">
      <w:pPr>
        <w:spacing w:before="60" w:after="120" w:line="240" w:lineRule="auto"/>
      </w:pPr>
      <w:r w:rsidRPr="57847B5A">
        <w:t xml:space="preserve">The Government </w:t>
      </w:r>
      <w:r w:rsidR="0E1B2343" w:rsidRPr="57847B5A">
        <w:rPr>
          <w:b/>
          <w:bCs/>
        </w:rPr>
        <w:t>supports</w:t>
      </w:r>
      <w:r w:rsidRPr="57847B5A">
        <w:rPr>
          <w:b/>
          <w:bCs/>
        </w:rPr>
        <w:t xml:space="preserve"> </w:t>
      </w:r>
      <w:r w:rsidRPr="57847B5A">
        <w:t>this recommendation.</w:t>
      </w:r>
    </w:p>
    <w:p w14:paraId="26969809" w14:textId="4FC1E315" w:rsidR="0056587B" w:rsidRPr="00DE14FC" w:rsidRDefault="0056587B" w:rsidP="00DE14FC">
      <w:pPr>
        <w:spacing w:before="60" w:after="120" w:line="240" w:lineRule="auto"/>
        <w:rPr>
          <w:rFonts w:cstheme="minorHAnsi"/>
          <w:iCs/>
          <w:szCs w:val="24"/>
        </w:rPr>
      </w:pPr>
      <w:r w:rsidRPr="00DE14FC">
        <w:rPr>
          <w:rFonts w:cstheme="minorHAnsi"/>
          <w:iCs/>
          <w:szCs w:val="24"/>
        </w:rPr>
        <w:t xml:space="preserve">The </w:t>
      </w:r>
      <w:r w:rsidR="00FB5337">
        <w:rPr>
          <w:rFonts w:cstheme="minorHAnsi"/>
          <w:iCs/>
          <w:szCs w:val="24"/>
        </w:rPr>
        <w:t>National Disability Insurance Agency (</w:t>
      </w:r>
      <w:r w:rsidRPr="00DE14FC">
        <w:rPr>
          <w:rFonts w:cstheme="minorHAnsi"/>
          <w:iCs/>
          <w:szCs w:val="24"/>
        </w:rPr>
        <w:t>NDIA</w:t>
      </w:r>
      <w:r w:rsidR="00FB5337">
        <w:rPr>
          <w:rFonts w:cstheme="minorHAnsi"/>
          <w:iCs/>
          <w:szCs w:val="24"/>
        </w:rPr>
        <w:t>)</w:t>
      </w:r>
      <w:r w:rsidRPr="00DE14FC">
        <w:rPr>
          <w:rFonts w:cstheme="minorHAnsi"/>
          <w:iCs/>
          <w:szCs w:val="24"/>
        </w:rPr>
        <w:t xml:space="preserve"> publishes information about the decision-making process and the factors taken into consideration under the NDIS on the NDIS website. Guidelines are used by staff and participants and are based on NDIS legislation and rules. These are supported by a series of “would we fund it” examples of commonly requested items that have caused confusion. The NDIS website explains how the decision to or not to fund these items are made.</w:t>
      </w:r>
    </w:p>
    <w:p w14:paraId="3DBC9D86" w14:textId="5B6C1484" w:rsidR="00C74A32" w:rsidRPr="00521F94" w:rsidRDefault="0056587B" w:rsidP="00DE14FC">
      <w:pPr>
        <w:spacing w:before="60" w:after="120" w:line="240" w:lineRule="auto"/>
      </w:pPr>
      <w:r w:rsidRPr="57847B5A">
        <w:t xml:space="preserve">Currently there are no “would we fund it” examples about dental and oral health. The NDIA will develop </w:t>
      </w:r>
      <w:r w:rsidR="003B0A37" w:rsidRPr="57847B5A">
        <w:t>new examples</w:t>
      </w:r>
      <w:r w:rsidRPr="57847B5A">
        <w:t xml:space="preserve"> about dental and oral health supports. These will be published on the NDIS website by mid-2024. </w:t>
      </w:r>
    </w:p>
    <w:p w14:paraId="01A3706E" w14:textId="77777777" w:rsidR="006968E9" w:rsidRPr="00DE14FC" w:rsidRDefault="006968E9" w:rsidP="57847B5A">
      <w:pPr>
        <w:spacing w:before="60" w:after="120" w:line="240" w:lineRule="auto"/>
        <w:rPr>
          <w:b/>
          <w:bCs/>
        </w:rPr>
      </w:pPr>
      <w:r w:rsidRPr="62FC452A">
        <w:rPr>
          <w:b/>
          <w:bCs/>
        </w:rPr>
        <w:t>Recommendation 19</w:t>
      </w:r>
    </w:p>
    <w:p w14:paraId="7F581C8F" w14:textId="0E88F1E5" w:rsidR="00C731BA" w:rsidRPr="00DE14FC" w:rsidRDefault="006968E9" w:rsidP="62FC452A">
      <w:pPr>
        <w:spacing w:before="60" w:after="120" w:line="240" w:lineRule="auto"/>
        <w:rPr>
          <w:b/>
          <w:bCs/>
          <w:i/>
          <w:iCs/>
        </w:rPr>
      </w:pPr>
      <w:r w:rsidRPr="62FC452A">
        <w:rPr>
          <w:b/>
          <w:bCs/>
          <w:i/>
          <w:iCs/>
        </w:rPr>
        <w:t>The committee recommends that the Australian Government supports the dental industry to incorporate new training and competency requirements for dentists and other oral health professionals in treating people with disabilities and complex needs.</w:t>
      </w:r>
    </w:p>
    <w:p w14:paraId="5DD1CF9B" w14:textId="12F2C22C" w:rsidR="00D4484A" w:rsidRDefault="0026433F" w:rsidP="62FC452A">
      <w:pPr>
        <w:spacing w:before="60" w:after="120" w:line="240" w:lineRule="auto"/>
        <w:rPr>
          <w:rFonts w:cstheme="minorHAnsi"/>
          <w:szCs w:val="24"/>
        </w:rPr>
      </w:pPr>
      <w:r w:rsidRPr="00DE14FC">
        <w:rPr>
          <w:rFonts w:cstheme="minorHAnsi"/>
          <w:szCs w:val="24"/>
        </w:rPr>
        <w:t xml:space="preserve">The Government </w:t>
      </w:r>
      <w:r w:rsidRPr="00DE14FC">
        <w:rPr>
          <w:rFonts w:cstheme="minorHAnsi"/>
          <w:b/>
          <w:bCs/>
          <w:szCs w:val="24"/>
        </w:rPr>
        <w:t xml:space="preserve">notes </w:t>
      </w:r>
      <w:r w:rsidRPr="00DE14FC">
        <w:rPr>
          <w:rFonts w:cstheme="minorHAnsi"/>
          <w:szCs w:val="24"/>
        </w:rPr>
        <w:t>this recommendation.</w:t>
      </w:r>
      <w:r w:rsidR="00D4484A">
        <w:rPr>
          <w:rFonts w:cstheme="minorHAnsi"/>
          <w:szCs w:val="24"/>
        </w:rPr>
        <w:br w:type="page"/>
      </w:r>
    </w:p>
    <w:p w14:paraId="6E08C5C7" w14:textId="58DAD2B2" w:rsidR="62FC452A" w:rsidRDefault="008937E8" w:rsidP="62FC452A">
      <w:pPr>
        <w:spacing w:before="60" w:after="120" w:line="240" w:lineRule="auto"/>
      </w:pPr>
      <w:r>
        <w:lastRenderedPageBreak/>
        <w:t xml:space="preserve">The Government recognises the importance of </w:t>
      </w:r>
      <w:r w:rsidR="0032292D">
        <w:t xml:space="preserve">an </w:t>
      </w:r>
      <w:r>
        <w:t xml:space="preserve">appropriately skilled </w:t>
      </w:r>
      <w:r w:rsidR="00FB3BD2">
        <w:t xml:space="preserve">dental and oral health </w:t>
      </w:r>
      <w:r>
        <w:t xml:space="preserve">workforce for treating people with disabilities and complex needs </w:t>
      </w:r>
      <w:r w:rsidR="000551D2" w:rsidRPr="57847B5A">
        <w:t>The Dental Board of Australia (</w:t>
      </w:r>
      <w:r w:rsidR="00BE09D2" w:rsidRPr="57847B5A">
        <w:t xml:space="preserve">the </w:t>
      </w:r>
      <w:r w:rsidR="000551D2" w:rsidRPr="57847B5A">
        <w:t>board)</w:t>
      </w:r>
      <w:r w:rsidR="000551D2">
        <w:t xml:space="preserve"> has appointed the Australian Dental Council (ADC) to assess the skills, knowledge, and professional attributes of those who seek to gain registration in Australia. The ADC is also responsible for accrediting dentistry education and training programs.</w:t>
      </w:r>
    </w:p>
    <w:p w14:paraId="0208D426" w14:textId="77777777" w:rsidR="007A4B7F" w:rsidRPr="007A4B7F" w:rsidRDefault="007A4B7F" w:rsidP="007A4B7F">
      <w:pPr>
        <w:spacing w:before="60" w:after="120" w:line="240" w:lineRule="auto"/>
        <w:rPr>
          <w:rFonts w:ascii="Calibri" w:hAnsi="Calibri" w:cs="Calibri"/>
          <w:szCs w:val="24"/>
        </w:rPr>
      </w:pPr>
      <w:r w:rsidRPr="007A4B7F">
        <w:t>Under</w:t>
      </w:r>
      <w:r w:rsidRPr="007A4B7F">
        <w:rPr>
          <w:szCs w:val="24"/>
        </w:rPr>
        <w:t xml:space="preserve"> Australia’s Disability Strategy 2021-2031, Health and Wellbeing is one of the seven outcome areas. Through the Strategy all levels of government recognise good health and wellbeing are critical determinants of a person’s quality of life. The Strategy’s Outcomes Framework measures health and wellbeing outcomes throughout the lives of people with disability, with indicators focused on health and wellbeing, prevention and early interventions, mental health and emergency response.</w:t>
      </w:r>
    </w:p>
    <w:p w14:paraId="591CCA79" w14:textId="2698E122" w:rsidR="007A4B7F" w:rsidRPr="007A4B7F" w:rsidRDefault="007A4B7F" w:rsidP="007A4B7F">
      <w:pPr>
        <w:spacing w:before="60" w:after="120" w:line="240" w:lineRule="auto"/>
        <w:rPr>
          <w:rFonts w:ascii="Calibri" w:hAnsi="Calibri" w:cs="Calibri"/>
          <w:szCs w:val="24"/>
        </w:rPr>
      </w:pPr>
      <w:r w:rsidRPr="007A4B7F">
        <w:rPr>
          <w:szCs w:val="24"/>
        </w:rPr>
        <w:t xml:space="preserve">The Government is committed to addressing the serious health inequities experienced by people with disability and is in the process of working with states and territories to consider the recommendations of the Royal Commission into Violence, Abuse, Neglect and Exploitation of People with Disability. The Government has committed to providing an initial response to the Royal Commission by mid-2024. </w:t>
      </w:r>
    </w:p>
    <w:p w14:paraId="17A432D1" w14:textId="16F8FA50" w:rsidR="00DE14FC" w:rsidRPr="00521F94" w:rsidRDefault="007B230C" w:rsidP="00DE14FC">
      <w:pPr>
        <w:spacing w:before="60" w:after="120" w:line="240" w:lineRule="auto"/>
      </w:pPr>
      <w:r>
        <w:t>In August 2021, th</w:t>
      </w:r>
      <w:r w:rsidR="3F821284" w:rsidRPr="00D015B6">
        <w:t xml:space="preserve">e National Roadmap </w:t>
      </w:r>
      <w:r w:rsidR="3F821284" w:rsidRPr="62FC452A">
        <w:t>for Improving the Health of People with Intellectual Disability (Roadmap) was released</w:t>
      </w:r>
      <w:r w:rsidR="00AF20F4">
        <w:t xml:space="preserve">. </w:t>
      </w:r>
      <w:r w:rsidR="3F821284" w:rsidRPr="62FC452A">
        <w:t xml:space="preserve">A key objective of the </w:t>
      </w:r>
      <w:r w:rsidR="00D015B6" w:rsidRPr="62FC452A">
        <w:t>roadmap</w:t>
      </w:r>
      <w:r w:rsidR="3F821284" w:rsidRPr="62FC452A">
        <w:t xml:space="preserve"> is to improve oral health of people with intellectual disability, recognising that improved oral health is a central requirement for improving general health and wellbeing. The Roadmap also recognises the need to improve education, training and continuing professional development for health professionals to enable them to provide better care for people with intellectual disability. </w:t>
      </w:r>
    </w:p>
    <w:p w14:paraId="751A7511" w14:textId="77777777" w:rsidR="006968E9" w:rsidRPr="00DE14FC" w:rsidRDefault="006968E9" w:rsidP="00D4484A">
      <w:pPr>
        <w:pStyle w:val="Heading2"/>
      </w:pPr>
      <w:r w:rsidRPr="00D65FFF">
        <w:t>Recommendation 20</w:t>
      </w:r>
    </w:p>
    <w:p w14:paraId="130A0BA8" w14:textId="77777777" w:rsidR="006968E9" w:rsidRPr="00DE14FC" w:rsidRDefault="006968E9" w:rsidP="00DE14FC">
      <w:pPr>
        <w:spacing w:before="60" w:after="120" w:line="240" w:lineRule="auto"/>
        <w:rPr>
          <w:rFonts w:cstheme="minorHAnsi"/>
          <w:b/>
          <w:i/>
          <w:szCs w:val="24"/>
        </w:rPr>
      </w:pPr>
      <w:r w:rsidRPr="00DE14FC">
        <w:rPr>
          <w:rFonts w:cstheme="minorHAnsi"/>
          <w:b/>
          <w:i/>
          <w:szCs w:val="24"/>
        </w:rPr>
        <w:t>The committee recommends that the Australian Government makes the necessary changes to National Disability Insurance Scheme (NDIS) regulations to allow assessment, recommendations, and support to be provided by dental hygienists, oral health therapists and other oral health professionals, under the NDIS, for people whose disability directly impacts their oral health.</w:t>
      </w:r>
    </w:p>
    <w:p w14:paraId="06640A9C" w14:textId="68001153" w:rsidR="00860F46" w:rsidRPr="00DE14FC" w:rsidRDefault="00860F46" w:rsidP="00DE14FC">
      <w:pPr>
        <w:spacing w:before="60" w:after="120" w:line="240" w:lineRule="auto"/>
        <w:rPr>
          <w:rFonts w:cstheme="minorHAnsi"/>
          <w:szCs w:val="24"/>
        </w:rPr>
      </w:pPr>
      <w:r w:rsidRPr="00DE14FC">
        <w:rPr>
          <w:rFonts w:cstheme="minorHAnsi"/>
          <w:szCs w:val="24"/>
        </w:rPr>
        <w:t xml:space="preserve">The Government </w:t>
      </w:r>
      <w:r w:rsidRPr="00DE14FC">
        <w:rPr>
          <w:rFonts w:cstheme="minorHAnsi"/>
          <w:b/>
          <w:bCs/>
          <w:szCs w:val="24"/>
        </w:rPr>
        <w:t xml:space="preserve">notes </w:t>
      </w:r>
      <w:r w:rsidRPr="00DE14FC">
        <w:rPr>
          <w:rFonts w:cstheme="minorHAnsi"/>
          <w:szCs w:val="24"/>
        </w:rPr>
        <w:t>this recommendation</w:t>
      </w:r>
      <w:r w:rsidR="000E47D1">
        <w:rPr>
          <w:rFonts w:cstheme="minorHAnsi"/>
          <w:szCs w:val="24"/>
        </w:rPr>
        <w:t>.</w:t>
      </w:r>
    </w:p>
    <w:p w14:paraId="5DCA525A" w14:textId="13F485C4" w:rsidR="00BE625B" w:rsidRPr="00521F94" w:rsidRDefault="00DC695D" w:rsidP="00DE14FC">
      <w:pPr>
        <w:spacing w:before="60" w:after="120" w:line="240" w:lineRule="auto"/>
      </w:pPr>
      <w:r w:rsidRPr="1473AA2E">
        <w:t>This recommendation</w:t>
      </w:r>
      <w:r w:rsidR="0001644B" w:rsidRPr="1473AA2E">
        <w:t xml:space="preserve"> cross</w:t>
      </w:r>
      <w:r w:rsidRPr="1473AA2E">
        <w:t>es</w:t>
      </w:r>
      <w:r w:rsidR="0001644B" w:rsidRPr="1473AA2E">
        <w:t xml:space="preserve"> over with recommendation</w:t>
      </w:r>
      <w:r w:rsidR="00556424" w:rsidRPr="1473AA2E">
        <w:t>s</w:t>
      </w:r>
      <w:r w:rsidR="0001644B" w:rsidRPr="1473AA2E">
        <w:t xml:space="preserve"> from the NDIS Review. These are being further considered by </w:t>
      </w:r>
      <w:r w:rsidR="6ABBE1CA" w:rsidRPr="1473AA2E">
        <w:t>g</w:t>
      </w:r>
      <w:r w:rsidR="00E4428B" w:rsidRPr="1473AA2E">
        <w:t xml:space="preserve">overnments as part of the response to the NDIS </w:t>
      </w:r>
      <w:r w:rsidR="001D45C8">
        <w:t>R</w:t>
      </w:r>
      <w:r w:rsidR="00E4428B" w:rsidRPr="1473AA2E">
        <w:t>eview.</w:t>
      </w:r>
    </w:p>
    <w:p w14:paraId="2CA5278D" w14:textId="77777777" w:rsidR="006968E9" w:rsidRPr="00DE14FC" w:rsidRDefault="006968E9" w:rsidP="00D4484A">
      <w:pPr>
        <w:pStyle w:val="Heading2"/>
      </w:pPr>
      <w:r w:rsidRPr="00DE14FC">
        <w:t>Recommendation 21</w:t>
      </w:r>
    </w:p>
    <w:p w14:paraId="173B90F6" w14:textId="1527CD05" w:rsidR="006968E9" w:rsidRPr="00DE14FC" w:rsidRDefault="006968E9" w:rsidP="00DE14FC">
      <w:pPr>
        <w:spacing w:before="60" w:after="120" w:line="240" w:lineRule="auto"/>
        <w:rPr>
          <w:rFonts w:cstheme="minorHAnsi"/>
          <w:b/>
          <w:i/>
          <w:szCs w:val="24"/>
        </w:rPr>
      </w:pPr>
      <w:r w:rsidRPr="00DE14FC">
        <w:rPr>
          <w:rFonts w:cstheme="minorHAnsi"/>
          <w:b/>
          <w:i/>
          <w:szCs w:val="24"/>
        </w:rPr>
        <w:t>The committee recommends that the Australian Government implements the recommendations from the Report on the Fifth Review of the Dental Benefits Act 2008.</w:t>
      </w:r>
    </w:p>
    <w:p w14:paraId="13309652" w14:textId="570CCABB" w:rsidR="001E3782" w:rsidRPr="00DE14FC" w:rsidRDefault="001E3782" w:rsidP="00DE14FC">
      <w:pPr>
        <w:spacing w:before="60" w:after="120" w:line="240" w:lineRule="auto"/>
      </w:pPr>
      <w:r w:rsidRPr="1473AA2E">
        <w:t xml:space="preserve">The Government </w:t>
      </w:r>
      <w:r w:rsidR="1697744C" w:rsidRPr="1473AA2E">
        <w:rPr>
          <w:b/>
          <w:bCs/>
        </w:rPr>
        <w:t>supports</w:t>
      </w:r>
      <w:r w:rsidRPr="1473AA2E">
        <w:rPr>
          <w:b/>
        </w:rPr>
        <w:t xml:space="preserve"> </w:t>
      </w:r>
      <w:r w:rsidRPr="1473AA2E">
        <w:t>this recommendation</w:t>
      </w:r>
      <w:r w:rsidR="2934CA25" w:rsidRPr="1473AA2E">
        <w:t xml:space="preserve"> </w:t>
      </w:r>
      <w:r w:rsidR="2934CA25" w:rsidRPr="1473AA2E">
        <w:rPr>
          <w:b/>
          <w:bCs/>
        </w:rPr>
        <w:t>in</w:t>
      </w:r>
      <w:r w:rsidR="00BF3E0F">
        <w:rPr>
          <w:b/>
          <w:bCs/>
        </w:rPr>
        <w:t xml:space="preserve"> </w:t>
      </w:r>
      <w:r w:rsidR="2934CA25" w:rsidRPr="1473AA2E">
        <w:rPr>
          <w:b/>
          <w:bCs/>
        </w:rPr>
        <w:t>principle</w:t>
      </w:r>
      <w:r w:rsidRPr="1473AA2E">
        <w:t>.</w:t>
      </w:r>
    </w:p>
    <w:p w14:paraId="547DDBD5" w14:textId="25B994D7" w:rsidR="00D4484A" w:rsidRDefault="00C80D97" w:rsidP="00DE14FC">
      <w:pPr>
        <w:spacing w:before="60" w:after="120" w:line="240" w:lineRule="auto"/>
      </w:pPr>
      <w:r>
        <w:t xml:space="preserve">The Department </w:t>
      </w:r>
      <w:r w:rsidR="1A493A97">
        <w:t xml:space="preserve">of Health and Aged Care </w:t>
      </w:r>
      <w:r>
        <w:t xml:space="preserve">is currently </w:t>
      </w:r>
      <w:r w:rsidR="1F1E8C50">
        <w:t>progressing implementation of the</w:t>
      </w:r>
      <w:r w:rsidR="00E35D04">
        <w:t xml:space="preserve"> recommendations of </w:t>
      </w:r>
      <w:r w:rsidR="00267517">
        <w:t xml:space="preserve">the Fifth Review Report of the </w:t>
      </w:r>
      <w:r w:rsidR="00267517" w:rsidRPr="680B9B4D">
        <w:rPr>
          <w:i/>
          <w:iCs/>
        </w:rPr>
        <w:t>Dental Benefits Act</w:t>
      </w:r>
      <w:r w:rsidR="00267517">
        <w:t xml:space="preserve"> </w:t>
      </w:r>
      <w:r w:rsidR="00267517" w:rsidRPr="680B9B4D">
        <w:rPr>
          <w:i/>
          <w:iCs/>
        </w:rPr>
        <w:t>2008</w:t>
      </w:r>
      <w:r w:rsidR="00267517">
        <w:t xml:space="preserve"> </w:t>
      </w:r>
      <w:r w:rsidR="00E35D04">
        <w:t xml:space="preserve">and will seek the expertise of the </w:t>
      </w:r>
      <w:r w:rsidR="00FF775A">
        <w:t>D</w:t>
      </w:r>
      <w:r w:rsidR="6EB6EAF0">
        <w:t xml:space="preserve">ental </w:t>
      </w:r>
      <w:r w:rsidR="00FF775A">
        <w:t>C</w:t>
      </w:r>
      <w:r w:rsidR="5A401CFE">
        <w:t xml:space="preserve">linical </w:t>
      </w:r>
      <w:r w:rsidR="00FF775A">
        <w:t>A</w:t>
      </w:r>
      <w:r w:rsidR="63365537">
        <w:t xml:space="preserve">dvisory </w:t>
      </w:r>
      <w:r w:rsidR="00FF775A">
        <w:t>C</w:t>
      </w:r>
      <w:r w:rsidR="05C9D6C3">
        <w:t>ommittee</w:t>
      </w:r>
      <w:r w:rsidR="00267517">
        <w:t xml:space="preserve"> </w:t>
      </w:r>
      <w:r w:rsidR="00FF775A">
        <w:t>for further analyses of relevant recommendations.</w:t>
      </w:r>
      <w:r w:rsidR="00D4484A">
        <w:br w:type="page"/>
      </w:r>
    </w:p>
    <w:p w14:paraId="7EFBAC21" w14:textId="77777777" w:rsidR="006968E9" w:rsidRPr="00DE14FC" w:rsidRDefault="006968E9" w:rsidP="00D4484A">
      <w:pPr>
        <w:pStyle w:val="Heading2"/>
      </w:pPr>
      <w:r w:rsidRPr="00DE14FC">
        <w:lastRenderedPageBreak/>
        <w:t>Recommendation 22</w:t>
      </w:r>
    </w:p>
    <w:p w14:paraId="18076115" w14:textId="296E66BE" w:rsidR="006968E9" w:rsidRPr="00DE14FC" w:rsidRDefault="006968E9" w:rsidP="00DE14FC">
      <w:pPr>
        <w:spacing w:before="60" w:after="120" w:line="240" w:lineRule="auto"/>
        <w:rPr>
          <w:b/>
          <w:i/>
        </w:rPr>
      </w:pPr>
      <w:r w:rsidRPr="7EAE5766">
        <w:rPr>
          <w:b/>
          <w:i/>
        </w:rPr>
        <w:t xml:space="preserve">The committee recommends that the Australian Government develops a plan and timeline to expand access to the Child Dental Benefits Schedule to all children, over time, </w:t>
      </w:r>
      <w:r w:rsidRPr="7EAE5766" w:rsidDel="00101C72">
        <w:rPr>
          <w:b/>
          <w:i/>
        </w:rPr>
        <w:t xml:space="preserve">initially </w:t>
      </w:r>
      <w:r w:rsidRPr="7EAE5766">
        <w:rPr>
          <w:b/>
          <w:i/>
        </w:rPr>
        <w:t>targeting better access for disadvantaged and vulnerable children.</w:t>
      </w:r>
    </w:p>
    <w:p w14:paraId="6CB3F3D6" w14:textId="77777777" w:rsidR="009145F9" w:rsidRPr="00DE14FC" w:rsidRDefault="009145F9" w:rsidP="00DE14FC">
      <w:pPr>
        <w:spacing w:before="60" w:after="120" w:line="240" w:lineRule="auto"/>
        <w:rPr>
          <w:rFonts w:cstheme="minorHAnsi"/>
          <w:szCs w:val="24"/>
        </w:rPr>
      </w:pPr>
      <w:r w:rsidRPr="00DE14FC">
        <w:rPr>
          <w:rFonts w:cstheme="minorHAnsi"/>
          <w:szCs w:val="24"/>
        </w:rPr>
        <w:t xml:space="preserve">The Government </w:t>
      </w:r>
      <w:r w:rsidRPr="00DE14FC">
        <w:rPr>
          <w:rFonts w:cstheme="minorHAnsi"/>
          <w:b/>
          <w:bCs/>
          <w:szCs w:val="24"/>
        </w:rPr>
        <w:t xml:space="preserve">notes </w:t>
      </w:r>
      <w:r w:rsidRPr="00DE14FC">
        <w:rPr>
          <w:rFonts w:cstheme="minorHAnsi"/>
          <w:szCs w:val="24"/>
        </w:rPr>
        <w:t>this recommendation.</w:t>
      </w:r>
    </w:p>
    <w:p w14:paraId="602DAC12" w14:textId="77777777" w:rsidR="006A6BC5" w:rsidRDefault="0057768F" w:rsidP="00DE14FC">
      <w:pPr>
        <w:spacing w:before="60" w:after="120" w:line="240" w:lineRule="auto"/>
      </w:pPr>
      <w:r>
        <w:t xml:space="preserve">The Child Dental Benefits Schedule (CDBS) is currently significantly under-utilised (30% utilisation) despite nearly 45% of all Australian children being eligible. The Department of Health and Aged Care is </w:t>
      </w:r>
      <w:r w:rsidR="008E185C">
        <w:t xml:space="preserve">actively working to collaborate with stakeholders to improve the uptake of this program. For instance, in 2023, the Behavioural Economics Team of the Australian Government (BETA) undertook a survey of 5000 eligible families to understand reasons for the low uptake. The findings demonstrate that </w:t>
      </w:r>
      <w:r w:rsidR="006A6BC5">
        <w:t xml:space="preserve">confusion around eligibility, parental health literacy and cost as potential barriers for uptake. As a result, the Department of Health and Aged Care is working together with Services Australia to review the notification of eligibility while exploring avenues to promote CDBS. </w:t>
      </w:r>
    </w:p>
    <w:p w14:paraId="63556482" w14:textId="510F3722" w:rsidR="00FA4945" w:rsidRPr="00521F94" w:rsidRDefault="0028673A" w:rsidP="00DE14FC">
      <w:pPr>
        <w:spacing w:before="60" w:after="120" w:line="240" w:lineRule="auto"/>
        <w:rPr>
          <w:rFonts w:ascii="Calibri" w:hAnsi="Calibri"/>
          <w:sz w:val="22"/>
        </w:rPr>
      </w:pPr>
      <w:r>
        <w:t>T</w:t>
      </w:r>
      <w:r w:rsidR="000A51B6" w:rsidRPr="00DE14FC">
        <w:t xml:space="preserve">he Fifth Review Report of the </w:t>
      </w:r>
      <w:r w:rsidR="000A51B6" w:rsidRPr="00D65FFF">
        <w:rPr>
          <w:i/>
        </w:rPr>
        <w:t>Dental Benefits Act</w:t>
      </w:r>
      <w:r w:rsidR="000A51B6" w:rsidRPr="00DE14FC">
        <w:t xml:space="preserve"> </w:t>
      </w:r>
      <w:r w:rsidR="000A51B6" w:rsidRPr="0069232A">
        <w:rPr>
          <w:i/>
        </w:rPr>
        <w:t>2008</w:t>
      </w:r>
      <w:r w:rsidR="009D6587">
        <w:t xml:space="preserve"> </w:t>
      </w:r>
      <w:r w:rsidR="009B1719">
        <w:t xml:space="preserve">has </w:t>
      </w:r>
      <w:r w:rsidR="00DA6206">
        <w:t xml:space="preserve">recommended </w:t>
      </w:r>
      <w:r w:rsidR="00BF13B7">
        <w:t>modification of the CDBS to include dental service access for children</w:t>
      </w:r>
      <w:r w:rsidR="004030F3">
        <w:t xml:space="preserve"> </w:t>
      </w:r>
      <w:r w:rsidR="00CF5D29">
        <w:t xml:space="preserve">in rural and remote areas, First Nations children and children with a disability. </w:t>
      </w:r>
      <w:r w:rsidR="006A6BC5">
        <w:t xml:space="preserve">These recommendations are currently being reviewed by the Dental Clinical Advisory Committee. </w:t>
      </w:r>
    </w:p>
    <w:p w14:paraId="7970DB7A" w14:textId="6C9D2305" w:rsidR="006968E9" w:rsidRPr="00DE14FC" w:rsidRDefault="006968E9" w:rsidP="00D4484A">
      <w:pPr>
        <w:pStyle w:val="Heading2"/>
      </w:pPr>
      <w:r w:rsidRPr="00DE14FC">
        <w:t>Recommendation 23</w:t>
      </w:r>
    </w:p>
    <w:p w14:paraId="79A0D738" w14:textId="175C4AE7" w:rsidR="006968E9" w:rsidRPr="00DE14FC" w:rsidRDefault="006968E9" w:rsidP="00DE14FC">
      <w:pPr>
        <w:spacing w:before="60" w:after="120" w:line="240" w:lineRule="auto"/>
        <w:rPr>
          <w:rFonts w:cstheme="minorHAnsi"/>
          <w:b/>
          <w:i/>
          <w:szCs w:val="24"/>
        </w:rPr>
      </w:pPr>
      <w:r w:rsidRPr="00DE14FC">
        <w:rPr>
          <w:rFonts w:cstheme="minorHAnsi"/>
          <w:b/>
          <w:i/>
          <w:szCs w:val="24"/>
        </w:rPr>
        <w:t>The committee recommends that the Australian Government introduces a remote area loading for services delivered under the Child Dental Benefits Schedule in remote and very remote areas of Australia.</w:t>
      </w:r>
    </w:p>
    <w:p w14:paraId="6884E706" w14:textId="77777777" w:rsidR="00B3237B" w:rsidRPr="00DE14FC" w:rsidRDefault="00B3237B" w:rsidP="00DE14FC">
      <w:pPr>
        <w:spacing w:before="60" w:after="120" w:line="240" w:lineRule="auto"/>
        <w:rPr>
          <w:rFonts w:cstheme="minorHAnsi"/>
          <w:szCs w:val="24"/>
        </w:rPr>
      </w:pPr>
      <w:r w:rsidRPr="00DE14FC">
        <w:rPr>
          <w:rFonts w:cstheme="minorHAnsi"/>
          <w:szCs w:val="24"/>
        </w:rPr>
        <w:t xml:space="preserve">The Government </w:t>
      </w:r>
      <w:r w:rsidRPr="00DE14FC">
        <w:rPr>
          <w:rFonts w:cstheme="minorHAnsi"/>
          <w:b/>
          <w:bCs/>
          <w:szCs w:val="24"/>
        </w:rPr>
        <w:t xml:space="preserve">notes </w:t>
      </w:r>
      <w:r w:rsidRPr="00DE14FC">
        <w:rPr>
          <w:rFonts w:cstheme="minorHAnsi"/>
          <w:szCs w:val="24"/>
        </w:rPr>
        <w:t>this recommendation.</w:t>
      </w:r>
    </w:p>
    <w:p w14:paraId="4198204A" w14:textId="7C8B3A0B" w:rsidR="00AB7F12" w:rsidRPr="00DE14FC" w:rsidRDefault="000A3092" w:rsidP="00DE14FC">
      <w:pPr>
        <w:spacing w:before="60" w:after="120" w:line="240" w:lineRule="auto"/>
        <w:rPr>
          <w:rFonts w:ascii="Calibri" w:hAnsi="Calibri"/>
          <w:sz w:val="22"/>
        </w:rPr>
      </w:pPr>
      <w:r w:rsidRPr="00DE14FC">
        <w:t>The Government</w:t>
      </w:r>
      <w:r w:rsidR="00AB7F12" w:rsidRPr="00DE14FC">
        <w:t xml:space="preserve"> understands that oral health </w:t>
      </w:r>
      <w:r w:rsidR="312D5162">
        <w:t>status</w:t>
      </w:r>
      <w:r w:rsidR="00AB7F12">
        <w:t xml:space="preserve"> </w:t>
      </w:r>
      <w:r w:rsidR="00AB7F12" w:rsidRPr="00DE14FC">
        <w:t xml:space="preserve">declines as remoteness increases. </w:t>
      </w:r>
      <w:r w:rsidR="456E11BC">
        <w:t>Introducing loading for services in remote areas is complex and would require legislative change.</w:t>
      </w:r>
      <w:r w:rsidR="00AB7F12">
        <w:t xml:space="preserve"> </w:t>
      </w:r>
    </w:p>
    <w:p w14:paraId="2A6D81F2" w14:textId="15AD7E9B" w:rsidR="006968E9" w:rsidRPr="00521F94" w:rsidRDefault="0C26B27D" w:rsidP="00DE14FC">
      <w:pPr>
        <w:spacing w:before="60" w:after="120" w:line="240" w:lineRule="auto"/>
      </w:pPr>
      <w:r>
        <w:t xml:space="preserve">The Government has a </w:t>
      </w:r>
      <w:r w:rsidR="174D3122" w:rsidRPr="600C55E5">
        <w:rPr>
          <w:rStyle w:val="normaltextrun"/>
          <w:rFonts w:ascii="Calibri" w:eastAsia="Calibri" w:hAnsi="Calibri" w:cs="Calibri"/>
          <w:color w:val="000000" w:themeColor="text1"/>
          <w:lang w:val="en-US"/>
        </w:rPr>
        <w:t xml:space="preserve">long-term </w:t>
      </w:r>
      <w:r w:rsidR="1E906BFA" w:rsidRPr="6361B190">
        <w:rPr>
          <w:rStyle w:val="normaltextrun"/>
          <w:rFonts w:ascii="Calibri" w:eastAsia="Calibri" w:hAnsi="Calibri" w:cs="Calibri"/>
          <w:color w:val="000000" w:themeColor="text1"/>
          <w:lang w:val="en-US"/>
        </w:rPr>
        <w:t xml:space="preserve">funding </w:t>
      </w:r>
      <w:r w:rsidR="174D3122" w:rsidRPr="6361B190">
        <w:rPr>
          <w:rStyle w:val="normaltextrun"/>
          <w:rFonts w:ascii="Calibri" w:eastAsia="Calibri" w:hAnsi="Calibri" w:cs="Calibri"/>
          <w:color w:val="000000" w:themeColor="text1"/>
          <w:lang w:val="en-US"/>
        </w:rPr>
        <w:t>partnership</w:t>
      </w:r>
      <w:r w:rsidR="174D3122" w:rsidRPr="600C55E5">
        <w:rPr>
          <w:rStyle w:val="normaltextrun"/>
          <w:rFonts w:ascii="Calibri" w:eastAsia="Calibri" w:hAnsi="Calibri" w:cs="Calibri"/>
          <w:color w:val="000000" w:themeColor="text1"/>
          <w:lang w:val="en-US"/>
        </w:rPr>
        <w:t xml:space="preserve"> with the Royal Flying Doctor Service (RFDS) </w:t>
      </w:r>
      <w:r w:rsidR="00F72D6A" w:rsidRPr="600C55E5">
        <w:rPr>
          <w:rStyle w:val="normaltextrun"/>
          <w:rFonts w:ascii="Calibri" w:eastAsia="Calibri" w:hAnsi="Calibri" w:cs="Calibri"/>
          <w:color w:val="000000" w:themeColor="text1"/>
          <w:lang w:val="en-US"/>
        </w:rPr>
        <w:t>to provide</w:t>
      </w:r>
      <w:r w:rsidR="174D3122" w:rsidRPr="600C55E5">
        <w:rPr>
          <w:rStyle w:val="normaltextrun"/>
          <w:rFonts w:ascii="Calibri" w:eastAsia="Calibri" w:hAnsi="Calibri" w:cs="Calibri"/>
          <w:color w:val="000000" w:themeColor="text1"/>
          <w:lang w:val="en-US"/>
        </w:rPr>
        <w:t xml:space="preserve"> essential primary health care</w:t>
      </w:r>
      <w:r w:rsidR="643DBAE1" w:rsidRPr="384CDA92">
        <w:rPr>
          <w:rStyle w:val="normaltextrun"/>
          <w:rFonts w:ascii="Calibri" w:eastAsia="Calibri" w:hAnsi="Calibri" w:cs="Calibri"/>
          <w:color w:val="000000" w:themeColor="text1"/>
          <w:lang w:val="en-US"/>
        </w:rPr>
        <w:t xml:space="preserve"> </w:t>
      </w:r>
      <w:r w:rsidR="643DBAE1" w:rsidRPr="721BD1E4">
        <w:rPr>
          <w:rStyle w:val="normaltextrun"/>
          <w:rFonts w:ascii="Calibri" w:eastAsia="Calibri" w:hAnsi="Calibri" w:cs="Calibri"/>
          <w:color w:val="000000" w:themeColor="text1"/>
          <w:lang w:val="en-US"/>
        </w:rPr>
        <w:t>in rural and remote areas</w:t>
      </w:r>
      <w:r w:rsidR="174D3122" w:rsidRPr="721BD1E4">
        <w:rPr>
          <w:rStyle w:val="normaltextrun"/>
          <w:rFonts w:ascii="Calibri" w:eastAsia="Calibri" w:hAnsi="Calibri" w:cs="Calibri"/>
          <w:color w:val="000000" w:themeColor="text1"/>
          <w:lang w:val="en-US"/>
        </w:rPr>
        <w:t>.</w:t>
      </w:r>
      <w:r w:rsidR="59294FCB">
        <w:t xml:space="preserve"> The current RFDS Grant Agreement is a 5-year Agreement (November 2022 to 30 June 2027). In 2022-23, the RFDS provided 58,976 dental health services across Australia.</w:t>
      </w:r>
    </w:p>
    <w:p w14:paraId="461EEB78" w14:textId="77777777" w:rsidR="006968E9" w:rsidRPr="00DE14FC" w:rsidRDefault="006968E9" w:rsidP="00D4484A">
      <w:pPr>
        <w:pStyle w:val="Heading2"/>
      </w:pPr>
      <w:r w:rsidRPr="00DE14FC">
        <w:t>Recommendation 24</w:t>
      </w:r>
    </w:p>
    <w:p w14:paraId="23FB4743" w14:textId="2B3C2A2B" w:rsidR="0099392E" w:rsidRPr="00DE14FC" w:rsidRDefault="006968E9" w:rsidP="00DE14FC">
      <w:pPr>
        <w:spacing w:before="60" w:after="120" w:line="240" w:lineRule="auto"/>
        <w:rPr>
          <w:rFonts w:cstheme="minorHAnsi"/>
          <w:b/>
          <w:i/>
          <w:szCs w:val="24"/>
        </w:rPr>
      </w:pPr>
      <w:r w:rsidRPr="00DE14FC">
        <w:rPr>
          <w:rFonts w:cstheme="minorHAnsi"/>
          <w:b/>
          <w:i/>
          <w:szCs w:val="24"/>
        </w:rPr>
        <w:t>The committee recommends that the Australian Government works with the states and territories to ensure access to general anaesthetic, and other forms of sedation, can be provided in an accessible and timely way. This will support access to dental care for persons with disabilities and/or complex needs who require sedation.</w:t>
      </w:r>
    </w:p>
    <w:p w14:paraId="6E3266D4" w14:textId="38308D60" w:rsidR="00FD2836" w:rsidRPr="00DE14FC" w:rsidRDefault="00FD2836" w:rsidP="00DE14FC">
      <w:pPr>
        <w:spacing w:before="60" w:after="120" w:line="240" w:lineRule="auto"/>
      </w:pPr>
      <w:r w:rsidRPr="29A2944F">
        <w:t xml:space="preserve">The Government </w:t>
      </w:r>
      <w:r w:rsidRPr="29A2944F">
        <w:rPr>
          <w:b/>
        </w:rPr>
        <w:t xml:space="preserve">notes </w:t>
      </w:r>
      <w:r w:rsidRPr="29A2944F">
        <w:t>this recommendation.</w:t>
      </w:r>
    </w:p>
    <w:p w14:paraId="1CA8B6AB" w14:textId="04769AF0" w:rsidR="00D4484A" w:rsidRDefault="0034168D" w:rsidP="00DE14FC">
      <w:pPr>
        <w:spacing w:before="60" w:after="120" w:line="240" w:lineRule="auto"/>
      </w:pPr>
      <w:r>
        <w:t>There are risks associated with the use of general anaesthesia and other sedation techniques. Therefore,</w:t>
      </w:r>
      <w:r w:rsidR="00201F5B">
        <w:t xml:space="preserve"> benefits are not allowed under the CDBS and the DVA Dental Program for these services.</w:t>
      </w:r>
    </w:p>
    <w:p w14:paraId="5522A9DA" w14:textId="77777777" w:rsidR="00D4484A" w:rsidRDefault="00D4484A">
      <w:pPr>
        <w:spacing w:after="160" w:line="259" w:lineRule="auto"/>
      </w:pPr>
      <w:r>
        <w:br w:type="page"/>
      </w:r>
    </w:p>
    <w:p w14:paraId="5D930E60" w14:textId="29C599C4" w:rsidR="008C0309" w:rsidRDefault="00201F5B" w:rsidP="00DE14FC">
      <w:pPr>
        <w:spacing w:before="60" w:after="120" w:line="240" w:lineRule="auto"/>
      </w:pPr>
      <w:r>
        <w:lastRenderedPageBreak/>
        <w:t>However, t</w:t>
      </w:r>
      <w:r w:rsidR="008C0309">
        <w:t>he Commonwealth provides funding</w:t>
      </w:r>
      <w:r w:rsidR="009D418A">
        <w:t xml:space="preserve"> for states and territories</w:t>
      </w:r>
      <w:r w:rsidR="00A30F40">
        <w:t xml:space="preserve"> for the delivery of</w:t>
      </w:r>
      <w:r w:rsidR="008C0309">
        <w:t xml:space="preserve"> inpatient </w:t>
      </w:r>
      <w:r w:rsidR="005E323F">
        <w:t>(</w:t>
      </w:r>
      <w:r w:rsidR="008C0309">
        <w:t>and some outpatient</w:t>
      </w:r>
      <w:r w:rsidR="005E323F">
        <w:t>)</w:t>
      </w:r>
      <w:r w:rsidR="008C0309">
        <w:t xml:space="preserve"> dental services through the National Health Reform Agreement (NHRA)</w:t>
      </w:r>
      <w:r w:rsidR="18E8B503">
        <w:t xml:space="preserve">, including services that are offered under general anaesthesia. </w:t>
      </w:r>
      <w:r w:rsidR="00710DF7">
        <w:t xml:space="preserve">Each jurisdiction determines its service delivery model </w:t>
      </w:r>
      <w:r w:rsidR="007D3A99">
        <w:t xml:space="preserve">including </w:t>
      </w:r>
      <w:r w:rsidR="00FE49BE">
        <w:t xml:space="preserve">how </w:t>
      </w:r>
      <w:r w:rsidR="006549E7">
        <w:t xml:space="preserve">services requiring sedation are </w:t>
      </w:r>
      <w:r w:rsidR="00B31D5C">
        <w:t>delivered</w:t>
      </w:r>
      <w:r w:rsidR="00B65A01">
        <w:t xml:space="preserve">. </w:t>
      </w:r>
    </w:p>
    <w:p w14:paraId="372A1F3D" w14:textId="7772AC6D" w:rsidR="00A70F73" w:rsidRPr="00521F94" w:rsidRDefault="00FD2836" w:rsidP="00DE14FC">
      <w:pPr>
        <w:spacing w:before="60" w:after="120" w:line="240" w:lineRule="auto"/>
      </w:pPr>
      <w:r w:rsidRPr="20CBA931">
        <w:t xml:space="preserve">Treatment under general anaesthesia/sedation for children with disabilities and/or complex needs </w:t>
      </w:r>
      <w:r w:rsidR="2526FAED">
        <w:t>was a recommendation of the</w:t>
      </w:r>
      <w:r w:rsidRPr="20CBA931">
        <w:t xml:space="preserve"> Fifth Review of the</w:t>
      </w:r>
      <w:r w:rsidRPr="00D65FFF">
        <w:rPr>
          <w:i/>
        </w:rPr>
        <w:t xml:space="preserve"> Dental Benefits Act </w:t>
      </w:r>
      <w:r w:rsidRPr="00C37F10">
        <w:rPr>
          <w:i/>
          <w:iCs/>
        </w:rPr>
        <w:t>2008</w:t>
      </w:r>
      <w:r w:rsidR="7E68C292" w:rsidRPr="20CBA931">
        <w:t xml:space="preserve"> and the </w:t>
      </w:r>
      <w:r w:rsidR="17B50D3E">
        <w:t>National Roadmap for Improving the Health of People with Intellectual Disability.</w:t>
      </w:r>
      <w:r w:rsidR="00F26B16">
        <w:t xml:space="preserve"> </w:t>
      </w:r>
      <w:r w:rsidRPr="20CBA931">
        <w:t xml:space="preserve">The Department </w:t>
      </w:r>
      <w:r w:rsidR="00EA3523">
        <w:t>of Health and A</w:t>
      </w:r>
      <w:r w:rsidR="00CE68A5">
        <w:t>ged Care</w:t>
      </w:r>
      <w:r w:rsidR="0013310A">
        <w:t xml:space="preserve"> </w:t>
      </w:r>
      <w:r w:rsidRPr="20CBA931">
        <w:t xml:space="preserve">is considering these recommendations and </w:t>
      </w:r>
      <w:r w:rsidR="00A86A33">
        <w:t>currently seeking</w:t>
      </w:r>
      <w:r w:rsidR="00935C4E" w:rsidRPr="20CBA931">
        <w:t xml:space="preserve"> the</w:t>
      </w:r>
      <w:r w:rsidRPr="20CBA931">
        <w:t xml:space="preserve"> expertise of the </w:t>
      </w:r>
      <w:r w:rsidR="0051777B">
        <w:t>D</w:t>
      </w:r>
      <w:r w:rsidR="25747B7C">
        <w:t xml:space="preserve">ental </w:t>
      </w:r>
      <w:r w:rsidR="0051777B">
        <w:t>C</w:t>
      </w:r>
      <w:r w:rsidR="5DA08F18">
        <w:t xml:space="preserve">linical </w:t>
      </w:r>
      <w:r w:rsidR="0051777B">
        <w:t>A</w:t>
      </w:r>
      <w:r w:rsidR="3DB92A22">
        <w:t xml:space="preserve">dvisory </w:t>
      </w:r>
      <w:r w:rsidR="0051777B">
        <w:t>C</w:t>
      </w:r>
      <w:r w:rsidR="0D4241F0">
        <w:t>ommittee</w:t>
      </w:r>
      <w:r w:rsidRPr="20CBA931">
        <w:t xml:space="preserve"> in its revie</w:t>
      </w:r>
      <w:r w:rsidR="007C74BA" w:rsidRPr="20CBA931">
        <w:t>w of the recommendation</w:t>
      </w:r>
      <w:r w:rsidR="00A86A33">
        <w:t>s</w:t>
      </w:r>
      <w:r w:rsidR="0020224F">
        <w:t xml:space="preserve"> relating</w:t>
      </w:r>
      <w:r w:rsidR="007352A9">
        <w:t xml:space="preserve"> </w:t>
      </w:r>
      <w:r w:rsidR="00A86A33">
        <w:t>to the use of general anaesthesia for</w:t>
      </w:r>
      <w:r w:rsidR="008C17CD">
        <w:t xml:space="preserve"> eligible</w:t>
      </w:r>
      <w:r w:rsidR="00A86A33">
        <w:t xml:space="preserve"> children under the CDBS.</w:t>
      </w:r>
    </w:p>
    <w:p w14:paraId="4FCB1D33" w14:textId="6FDFBB80" w:rsidR="00BD1CB4" w:rsidRPr="00DE14FC" w:rsidRDefault="00BD1CB4" w:rsidP="00D4484A">
      <w:pPr>
        <w:pStyle w:val="Heading2"/>
      </w:pPr>
      <w:r w:rsidRPr="00DE14FC">
        <w:t>Recommendation 25</w:t>
      </w:r>
    </w:p>
    <w:p w14:paraId="3E2C08B7" w14:textId="77777777" w:rsidR="00BD1CB4" w:rsidRPr="00DE14FC" w:rsidRDefault="00BD1CB4" w:rsidP="00DE14FC">
      <w:pPr>
        <w:spacing w:before="60" w:after="120" w:line="240" w:lineRule="auto"/>
        <w:rPr>
          <w:rFonts w:cstheme="minorHAnsi"/>
          <w:b/>
          <w:i/>
          <w:szCs w:val="24"/>
        </w:rPr>
      </w:pPr>
      <w:r w:rsidRPr="00DE14FC">
        <w:rPr>
          <w:rFonts w:cstheme="minorHAnsi"/>
          <w:b/>
          <w:i/>
          <w:szCs w:val="24"/>
        </w:rPr>
        <w:t>The committee recommends that the Australian Government works with the states and territories to improve remuneration and conditions for dentists and oral health practitioners practicing in the public sector, so these may be more competitive with the private sector.</w:t>
      </w:r>
    </w:p>
    <w:p w14:paraId="7EE09E71" w14:textId="77777777" w:rsidR="003C03A9" w:rsidRPr="00DE14FC" w:rsidRDefault="003C03A9" w:rsidP="00DE14FC">
      <w:pPr>
        <w:spacing w:before="60" w:after="120" w:line="240" w:lineRule="auto"/>
      </w:pPr>
      <w:r w:rsidRPr="1679F2C8">
        <w:t>The Government</w:t>
      </w:r>
      <w:r w:rsidRPr="1679F2C8">
        <w:rPr>
          <w:b/>
        </w:rPr>
        <w:t xml:space="preserve"> notes</w:t>
      </w:r>
      <w:r w:rsidRPr="1679F2C8">
        <w:t xml:space="preserve"> this recommendation.</w:t>
      </w:r>
    </w:p>
    <w:p w14:paraId="75023DFE" w14:textId="658A6EB6" w:rsidR="002322F8" w:rsidRDefault="00C97688" w:rsidP="00DE14FC">
      <w:pPr>
        <w:spacing w:before="60" w:after="120" w:line="240" w:lineRule="auto"/>
      </w:pPr>
      <w:r>
        <w:t>States and territories have the primary responsibility for the delivery of public dental services, including managing the</w:t>
      </w:r>
      <w:r w:rsidR="79484191">
        <w:t>ir</w:t>
      </w:r>
      <w:r>
        <w:t xml:space="preserve"> workforce</w:t>
      </w:r>
      <w:r w:rsidR="4A87AA51">
        <w:t xml:space="preserve"> and associated expenses, including remuneration</w:t>
      </w:r>
      <w:r>
        <w:t xml:space="preserve">. The Commonwealth </w:t>
      </w:r>
      <w:r w:rsidR="6E6A2A8A">
        <w:t>currently</w:t>
      </w:r>
      <w:r>
        <w:t xml:space="preserve"> provides </w:t>
      </w:r>
      <w:r w:rsidR="00522871">
        <w:t>additional</w:t>
      </w:r>
      <w:r>
        <w:t xml:space="preserve"> funding through the</w:t>
      </w:r>
      <w:r w:rsidR="747AB978">
        <w:t xml:space="preserve"> </w:t>
      </w:r>
      <w:r w:rsidR="00526718">
        <w:t>F</w:t>
      </w:r>
      <w:r w:rsidR="49642755">
        <w:t xml:space="preserve">FA </w:t>
      </w:r>
      <w:r w:rsidR="7029EB68">
        <w:t xml:space="preserve">for delivery of </w:t>
      </w:r>
      <w:r w:rsidR="52760E5C">
        <w:t>public dental</w:t>
      </w:r>
      <w:r w:rsidR="7029EB68">
        <w:t xml:space="preserve"> services</w:t>
      </w:r>
      <w:r w:rsidR="65CB6FBA">
        <w:t xml:space="preserve"> for adults</w:t>
      </w:r>
      <w:r w:rsidR="7029EB68">
        <w:t xml:space="preserve">. </w:t>
      </w:r>
    </w:p>
    <w:p w14:paraId="17B23A64" w14:textId="4A41FFA8" w:rsidR="00A70F73" w:rsidRPr="00521F94" w:rsidRDefault="718BA473" w:rsidP="00DE14FC">
      <w:pPr>
        <w:spacing w:before="60" w:after="120" w:line="240" w:lineRule="auto"/>
      </w:pPr>
      <w:r>
        <w:t>The Government is working with states and territories to reform funding arrangements</w:t>
      </w:r>
      <w:r w:rsidR="0BE07E7A">
        <w:t>, providing greater funding certainty that will support workforce recruitment and retention</w:t>
      </w:r>
      <w:r>
        <w:t xml:space="preserve">. </w:t>
      </w:r>
    </w:p>
    <w:p w14:paraId="3DEC2DB6" w14:textId="02BC2FFC" w:rsidR="00BD1CB4" w:rsidRPr="00DE14FC" w:rsidRDefault="00BD1CB4" w:rsidP="00D4484A">
      <w:pPr>
        <w:pStyle w:val="Heading2"/>
      </w:pPr>
      <w:r w:rsidRPr="00DE14FC">
        <w:t>Recommendation 26</w:t>
      </w:r>
    </w:p>
    <w:p w14:paraId="28A27416" w14:textId="006D134C" w:rsidR="00BD1CB4" w:rsidRPr="00DE14FC" w:rsidRDefault="00BD1CB4" w:rsidP="00DE14FC">
      <w:pPr>
        <w:spacing w:before="60" w:after="120" w:line="240" w:lineRule="auto"/>
        <w:rPr>
          <w:b/>
          <w:i/>
        </w:rPr>
      </w:pPr>
      <w:r w:rsidRPr="1473AA2E">
        <w:rPr>
          <w:b/>
          <w:i/>
        </w:rPr>
        <w:t xml:space="preserve">The committee recommends that the Australian Government considers supporting universities located in regional areas to establish dental </w:t>
      </w:r>
      <w:proofErr w:type="gramStart"/>
      <w:r w:rsidRPr="1473AA2E">
        <w:rPr>
          <w:b/>
          <w:i/>
        </w:rPr>
        <w:t>schools, or</w:t>
      </w:r>
      <w:proofErr w:type="gramEnd"/>
      <w:r w:rsidRPr="1473AA2E">
        <w:rPr>
          <w:b/>
          <w:i/>
        </w:rPr>
        <w:t xml:space="preserve"> expand current courses to accommodation </w:t>
      </w:r>
      <w:r w:rsidR="5CF92476" w:rsidRPr="1473AA2E">
        <w:rPr>
          <w:b/>
          <w:bCs/>
          <w:i/>
          <w:iCs/>
        </w:rPr>
        <w:t xml:space="preserve">[sic] </w:t>
      </w:r>
      <w:r w:rsidRPr="1473AA2E">
        <w:rPr>
          <w:b/>
          <w:i/>
        </w:rPr>
        <w:t>more students.</w:t>
      </w:r>
    </w:p>
    <w:p w14:paraId="02F358D5" w14:textId="60F9A646" w:rsidR="006716A1" w:rsidRPr="00DE14FC" w:rsidRDefault="006716A1" w:rsidP="00DE14FC">
      <w:pPr>
        <w:spacing w:before="60" w:after="120" w:line="240" w:lineRule="auto"/>
      </w:pPr>
      <w:r w:rsidRPr="1473AA2E">
        <w:t>The Government</w:t>
      </w:r>
      <w:r w:rsidRPr="1473AA2E">
        <w:rPr>
          <w:b/>
        </w:rPr>
        <w:t xml:space="preserve"> </w:t>
      </w:r>
      <w:r w:rsidR="70214B1B" w:rsidRPr="1473AA2E">
        <w:rPr>
          <w:b/>
          <w:bCs/>
        </w:rPr>
        <w:t>supports</w:t>
      </w:r>
      <w:r w:rsidRPr="1473AA2E">
        <w:t xml:space="preserve"> this recommendation</w:t>
      </w:r>
      <w:r w:rsidR="000E187C">
        <w:t xml:space="preserve"> </w:t>
      </w:r>
      <w:r w:rsidR="000E187C" w:rsidRPr="002A585D">
        <w:rPr>
          <w:b/>
          <w:bCs/>
        </w:rPr>
        <w:t>in</w:t>
      </w:r>
      <w:r w:rsidR="00BF3E0F" w:rsidRPr="002A585D">
        <w:rPr>
          <w:b/>
          <w:bCs/>
        </w:rPr>
        <w:t xml:space="preserve"> </w:t>
      </w:r>
      <w:r w:rsidR="000E187C" w:rsidRPr="002A585D">
        <w:rPr>
          <w:b/>
          <w:bCs/>
        </w:rPr>
        <w:t>principle</w:t>
      </w:r>
      <w:r w:rsidR="00521F94" w:rsidRPr="002A585D">
        <w:rPr>
          <w:b/>
          <w:bCs/>
        </w:rPr>
        <w:t>.</w:t>
      </w:r>
    </w:p>
    <w:p w14:paraId="503BFE74" w14:textId="0CE9A7B8" w:rsidR="009E5B3B" w:rsidRPr="00DE14FC" w:rsidRDefault="009E5B3B" w:rsidP="00DE14FC">
      <w:pPr>
        <w:spacing w:before="60" w:after="120" w:line="240" w:lineRule="auto"/>
        <w:rPr>
          <w:rFonts w:cstheme="minorHAnsi"/>
          <w:szCs w:val="24"/>
        </w:rPr>
      </w:pPr>
      <w:r w:rsidRPr="00DE14FC">
        <w:rPr>
          <w:rFonts w:cstheme="minorHAnsi"/>
          <w:szCs w:val="24"/>
        </w:rPr>
        <w:t>The Rural Health Multidisciplinary Training (RHMT) Program supports 22 universities, forming a national network of Rural Clinical Schools</w:t>
      </w:r>
      <w:r w:rsidR="009627BE">
        <w:rPr>
          <w:rFonts w:cstheme="minorHAnsi"/>
          <w:szCs w:val="24"/>
        </w:rPr>
        <w:t xml:space="preserve"> (RCS</w:t>
      </w:r>
      <w:r w:rsidR="0061113A">
        <w:rPr>
          <w:rFonts w:cstheme="minorHAnsi"/>
          <w:szCs w:val="24"/>
        </w:rPr>
        <w:t>)</w:t>
      </w:r>
      <w:r w:rsidRPr="00DE14FC">
        <w:rPr>
          <w:rFonts w:cstheme="minorHAnsi"/>
          <w:szCs w:val="24"/>
        </w:rPr>
        <w:t xml:space="preserve">, University Departments of Rural Health </w:t>
      </w:r>
      <w:r w:rsidR="009627BE">
        <w:rPr>
          <w:rFonts w:cstheme="minorHAnsi"/>
          <w:szCs w:val="24"/>
        </w:rPr>
        <w:t xml:space="preserve">(UDRH) </w:t>
      </w:r>
      <w:r w:rsidRPr="00DE14FC">
        <w:rPr>
          <w:rFonts w:cstheme="minorHAnsi"/>
          <w:szCs w:val="24"/>
        </w:rPr>
        <w:t xml:space="preserve">and Regional Training Hubs to provide infrastructure and academic networks for teaching and training medicine, nursing, allied health and dentistry students and to support pathways to rural practice. </w:t>
      </w:r>
    </w:p>
    <w:p w14:paraId="71975F6C" w14:textId="69B63A30" w:rsidR="00D4484A" w:rsidRDefault="009E5B3B" w:rsidP="00DE14FC">
      <w:pPr>
        <w:spacing w:before="60" w:after="120" w:line="240" w:lineRule="auto"/>
      </w:pPr>
      <w:r w:rsidRPr="1473AA2E">
        <w:t>In 2021 and 2022, the Government</w:t>
      </w:r>
      <w:r w:rsidR="1CE0F9F4" w:rsidRPr="1473AA2E">
        <w:t xml:space="preserve"> undertook</w:t>
      </w:r>
      <w:r w:rsidRPr="1473AA2E">
        <w:t xml:space="preserve"> a feasibility study into improving dental and oral health training outcomes in rural settings. A report was produced outlining study findings and strategies to improve rural training outcomes following extensive stakeholder engagement and in-depth consultation with an Expert Reference Group of sector specialists.</w:t>
      </w:r>
      <w:r w:rsidR="00D4484A">
        <w:br w:type="page"/>
      </w:r>
    </w:p>
    <w:p w14:paraId="353A822B" w14:textId="76CB5561" w:rsidR="009E5B3B" w:rsidRPr="00DE14FC" w:rsidRDefault="009E5B3B" w:rsidP="00DE14FC">
      <w:pPr>
        <w:spacing w:before="60" w:after="120" w:line="240" w:lineRule="auto"/>
        <w:rPr>
          <w:rFonts w:cstheme="minorHAnsi"/>
          <w:szCs w:val="24"/>
        </w:rPr>
      </w:pPr>
      <w:r w:rsidRPr="00DE14FC">
        <w:rPr>
          <w:rFonts w:cstheme="minorHAnsi"/>
          <w:szCs w:val="24"/>
        </w:rPr>
        <w:lastRenderedPageBreak/>
        <w:t xml:space="preserve">The proposed strategies </w:t>
      </w:r>
      <w:r w:rsidR="00BA730F" w:rsidRPr="00DE14FC">
        <w:rPr>
          <w:rFonts w:cstheme="minorHAnsi"/>
          <w:szCs w:val="24"/>
        </w:rPr>
        <w:t>that align to this recommendation include</w:t>
      </w:r>
      <w:r w:rsidRPr="00DE14FC">
        <w:rPr>
          <w:rFonts w:cstheme="minorHAnsi"/>
          <w:szCs w:val="24"/>
        </w:rPr>
        <w:t>:</w:t>
      </w:r>
    </w:p>
    <w:p w14:paraId="7054FD71" w14:textId="6F356F44" w:rsidR="009E5B3B" w:rsidRPr="00DE14FC" w:rsidRDefault="009E5B3B" w:rsidP="00DE14FC">
      <w:pPr>
        <w:pStyle w:val="ListParagraph"/>
        <w:numPr>
          <w:ilvl w:val="0"/>
          <w:numId w:val="50"/>
        </w:numPr>
        <w:spacing w:before="60" w:after="120" w:line="240" w:lineRule="auto"/>
        <w:rPr>
          <w:rFonts w:cstheme="minorHAnsi"/>
          <w:szCs w:val="24"/>
        </w:rPr>
      </w:pPr>
      <w:r w:rsidRPr="00DE14FC">
        <w:rPr>
          <w:rFonts w:cstheme="minorHAnsi"/>
          <w:szCs w:val="24"/>
        </w:rPr>
        <w:t xml:space="preserve">Embedding oral health training through the RHMT </w:t>
      </w:r>
      <w:r w:rsidRPr="009627BE">
        <w:rPr>
          <w:rFonts w:cstheme="minorHAnsi"/>
          <w:szCs w:val="24"/>
        </w:rPr>
        <w:t>UDRH</w:t>
      </w:r>
      <w:r w:rsidRPr="00DE14FC">
        <w:rPr>
          <w:rFonts w:cstheme="minorHAnsi"/>
          <w:szCs w:val="24"/>
        </w:rPr>
        <w:t xml:space="preserve"> network to identify greater clinical placement opportunities, provide supervision and support to students, develop greater training networks, and embed oral health as part of a multidisciplinary approach</w:t>
      </w:r>
      <w:r w:rsidR="00F4205C" w:rsidRPr="00DE14FC">
        <w:rPr>
          <w:rFonts w:cstheme="minorHAnsi"/>
          <w:szCs w:val="24"/>
        </w:rPr>
        <w:t>.</w:t>
      </w:r>
    </w:p>
    <w:p w14:paraId="078BC586" w14:textId="6FFA724B" w:rsidR="009E5B3B" w:rsidRPr="00521F94" w:rsidRDefault="009E5B3B" w:rsidP="00DE14FC">
      <w:pPr>
        <w:pStyle w:val="ListParagraph"/>
        <w:numPr>
          <w:ilvl w:val="0"/>
          <w:numId w:val="50"/>
        </w:numPr>
        <w:spacing w:before="60" w:after="120" w:line="240" w:lineRule="auto"/>
      </w:pPr>
      <w:r w:rsidRPr="3F1BD2E4">
        <w:t xml:space="preserve">Establishment of a rural dental and oral health clinical school, modelling the approaches of existing RHMT RCSs, to develop a rural clinical and </w:t>
      </w:r>
      <w:r w:rsidRPr="00521F94">
        <w:t>teaching dental and oral health hub to build clinical, teaching, supervision and research capacity and capability that supports placements and service delivery in rural and remote communities</w:t>
      </w:r>
      <w:r w:rsidR="0013163D" w:rsidRPr="00521F94">
        <w:t>.</w:t>
      </w:r>
    </w:p>
    <w:p w14:paraId="1CC3EE45" w14:textId="10818B40" w:rsidR="0061113A" w:rsidRPr="00521F94" w:rsidRDefault="00A54038" w:rsidP="00521F94">
      <w:pPr>
        <w:spacing w:before="60" w:after="120" w:line="240" w:lineRule="auto"/>
        <w:rPr>
          <w:rFonts w:ascii="Times New Roman" w:hAnsi="Times New Roman" w:cs="Times New Roman"/>
          <w:szCs w:val="24"/>
        </w:rPr>
      </w:pPr>
      <w:r w:rsidRPr="00521F94">
        <w:t xml:space="preserve">The Australian Government is continuing to consider </w:t>
      </w:r>
      <w:r w:rsidR="00876B71" w:rsidRPr="00521F94">
        <w:t xml:space="preserve">these </w:t>
      </w:r>
      <w:r w:rsidRPr="00521F94">
        <w:t xml:space="preserve">recommendations. </w:t>
      </w:r>
    </w:p>
    <w:p w14:paraId="389C8358" w14:textId="77777777" w:rsidR="00BD1CB4" w:rsidRPr="00521F94" w:rsidRDefault="00BD1CB4" w:rsidP="00D4484A">
      <w:pPr>
        <w:pStyle w:val="Heading2"/>
      </w:pPr>
      <w:r w:rsidRPr="00521F94">
        <w:t>Recommendation 27</w:t>
      </w:r>
    </w:p>
    <w:p w14:paraId="6767A334" w14:textId="77777777" w:rsidR="00BD1CB4" w:rsidRPr="00521F94" w:rsidRDefault="00BD1CB4" w:rsidP="00DE14FC">
      <w:pPr>
        <w:spacing w:before="60" w:after="120" w:line="240" w:lineRule="auto"/>
        <w:rPr>
          <w:rFonts w:cstheme="minorHAnsi"/>
          <w:b/>
          <w:i/>
          <w:szCs w:val="24"/>
        </w:rPr>
      </w:pPr>
      <w:r w:rsidRPr="00521F94">
        <w:rPr>
          <w:rFonts w:cstheme="minorHAnsi"/>
          <w:b/>
          <w:i/>
          <w:szCs w:val="24"/>
        </w:rPr>
        <w:t>The committee recommends that universities be incentivised to implement alternative entry pathways, such as Principals' recommendations, and allocate specific course places for regional and remote students to study dentistry and oral health.</w:t>
      </w:r>
    </w:p>
    <w:p w14:paraId="4024F599" w14:textId="6C4B043A" w:rsidR="00082DC0" w:rsidRPr="00521F94" w:rsidRDefault="00082DC0" w:rsidP="00DE14FC">
      <w:pPr>
        <w:spacing w:before="60" w:after="120" w:line="240" w:lineRule="auto"/>
      </w:pPr>
      <w:r w:rsidRPr="00521F94">
        <w:t>The Government</w:t>
      </w:r>
      <w:r w:rsidRPr="00521F94">
        <w:rPr>
          <w:b/>
        </w:rPr>
        <w:t xml:space="preserve"> </w:t>
      </w:r>
      <w:r w:rsidR="0052030E" w:rsidRPr="00521F94">
        <w:rPr>
          <w:b/>
          <w:bCs/>
        </w:rPr>
        <w:t>notes</w:t>
      </w:r>
      <w:r w:rsidR="0052030E" w:rsidRPr="00521F94">
        <w:rPr>
          <w:b/>
        </w:rPr>
        <w:t xml:space="preserve"> </w:t>
      </w:r>
      <w:r w:rsidR="0052030E" w:rsidRPr="00521F94">
        <w:t>this</w:t>
      </w:r>
      <w:r w:rsidRPr="00521F94">
        <w:t xml:space="preserve"> recommendation.</w:t>
      </w:r>
    </w:p>
    <w:p w14:paraId="59A6EB8D" w14:textId="75D8FAE1" w:rsidR="004E7034" w:rsidRPr="00521F94" w:rsidRDefault="004E7034" w:rsidP="00DE14FC">
      <w:pPr>
        <w:spacing w:before="60" w:after="120" w:line="240" w:lineRule="auto"/>
      </w:pPr>
      <w:r w:rsidRPr="00521F94">
        <w:t xml:space="preserve">In 2021 and 2022, the Government </w:t>
      </w:r>
      <w:r w:rsidR="3130DC93" w:rsidRPr="00521F94">
        <w:t>undertook</w:t>
      </w:r>
      <w:r w:rsidRPr="00521F94">
        <w:t xml:space="preserve"> a feasibility study into improving dental and oral health training outcomes in rural settings. A report was produced outlining study findings and strategies to improve rural training outcomes following extensive stakeholder engagement and in-depth consultation with an Expert Reference Group of sector specialists. </w:t>
      </w:r>
    </w:p>
    <w:p w14:paraId="3B4CC806" w14:textId="7BEAD7F9" w:rsidR="004E7034" w:rsidRPr="00521F94" w:rsidRDefault="004E7034" w:rsidP="00DE14FC">
      <w:pPr>
        <w:spacing w:before="60" w:after="120" w:line="240" w:lineRule="auto"/>
      </w:pPr>
      <w:r w:rsidRPr="00521F94">
        <w:t>The proposed strategies that align to this recommendation include</w:t>
      </w:r>
      <w:r w:rsidR="5FED3C04" w:rsidRPr="00521F94">
        <w:t xml:space="preserve"> that universities participating in the RHMT program should demonstrate student selection and admissions processes to identify and increase the intake of rural students to meet or exc</w:t>
      </w:r>
      <w:r w:rsidR="08659837" w:rsidRPr="00521F94">
        <w:t>eed rural origin targets</w:t>
      </w:r>
      <w:r w:rsidR="00E824D4" w:rsidRPr="00521F94">
        <w:t>.</w:t>
      </w:r>
    </w:p>
    <w:p w14:paraId="5628DEE7" w14:textId="132692C0" w:rsidR="00BD1CB4" w:rsidRPr="00521F94" w:rsidRDefault="00BD1CB4" w:rsidP="00D4484A">
      <w:pPr>
        <w:pStyle w:val="Heading2"/>
      </w:pPr>
      <w:r w:rsidRPr="00521F94">
        <w:t>Recommendation 28</w:t>
      </w:r>
    </w:p>
    <w:p w14:paraId="78FC1E21" w14:textId="77777777" w:rsidR="00BD1CB4" w:rsidRPr="00521F94" w:rsidRDefault="00BD1CB4" w:rsidP="00DE14FC">
      <w:pPr>
        <w:spacing w:before="60" w:after="120" w:line="240" w:lineRule="auto"/>
        <w:rPr>
          <w:rFonts w:cstheme="minorHAnsi"/>
          <w:b/>
          <w:i/>
          <w:szCs w:val="24"/>
        </w:rPr>
      </w:pPr>
      <w:r w:rsidRPr="00521F94">
        <w:rPr>
          <w:rFonts w:cstheme="minorHAnsi"/>
          <w:b/>
          <w:i/>
          <w:szCs w:val="24"/>
        </w:rPr>
        <w:t>The committee recommends that the Australian Government considers funding evidence-based programs to incentivise dental and oral health providers to practice in regional and remote areas of Australia.</w:t>
      </w:r>
    </w:p>
    <w:p w14:paraId="633FA4F4" w14:textId="633E4C2A" w:rsidR="00D63FB3" w:rsidRPr="00521F94" w:rsidRDefault="00D63FB3" w:rsidP="00DE14FC">
      <w:pPr>
        <w:spacing w:before="60" w:after="120" w:line="240" w:lineRule="auto"/>
      </w:pPr>
      <w:r w:rsidRPr="00521F94">
        <w:t>The Government</w:t>
      </w:r>
      <w:r w:rsidRPr="00521F94">
        <w:rPr>
          <w:b/>
        </w:rPr>
        <w:t xml:space="preserve"> </w:t>
      </w:r>
      <w:r w:rsidR="048BDDFF" w:rsidRPr="00521F94">
        <w:rPr>
          <w:b/>
          <w:bCs/>
        </w:rPr>
        <w:t>supports</w:t>
      </w:r>
      <w:r w:rsidRPr="00521F94">
        <w:rPr>
          <w:b/>
        </w:rPr>
        <w:t xml:space="preserve"> </w:t>
      </w:r>
      <w:r w:rsidRPr="00521F94">
        <w:t>this recommendation</w:t>
      </w:r>
      <w:r w:rsidR="2607EFD0" w:rsidRPr="00521F94">
        <w:t xml:space="preserve"> </w:t>
      </w:r>
      <w:r w:rsidR="2607EFD0" w:rsidRPr="00521F94">
        <w:rPr>
          <w:b/>
          <w:bCs/>
        </w:rPr>
        <w:t>in</w:t>
      </w:r>
      <w:r w:rsidR="00BF3E0F" w:rsidRPr="00521F94">
        <w:rPr>
          <w:b/>
          <w:bCs/>
        </w:rPr>
        <w:t xml:space="preserve"> </w:t>
      </w:r>
      <w:r w:rsidR="2607EFD0" w:rsidRPr="00521F94">
        <w:rPr>
          <w:b/>
          <w:bCs/>
        </w:rPr>
        <w:t>principle</w:t>
      </w:r>
      <w:r w:rsidRPr="00521F94">
        <w:t>.</w:t>
      </w:r>
    </w:p>
    <w:p w14:paraId="4F4F9D6F" w14:textId="236F24F3" w:rsidR="00FB189F" w:rsidRPr="00521F94" w:rsidRDefault="00DA69FD" w:rsidP="004622B3">
      <w:pPr>
        <w:spacing w:before="60" w:after="120" w:line="240" w:lineRule="auto"/>
        <w:rPr>
          <w:rFonts w:cstheme="minorHAnsi"/>
          <w:szCs w:val="24"/>
        </w:rPr>
      </w:pPr>
      <w:r w:rsidRPr="00521F94">
        <w:rPr>
          <w:rFonts w:cstheme="minorHAnsi"/>
          <w:szCs w:val="24"/>
        </w:rPr>
        <w:t xml:space="preserve">The proposed strategies that align to this recommendation </w:t>
      </w:r>
      <w:r w:rsidR="00F430DE" w:rsidRPr="00521F94">
        <w:rPr>
          <w:rFonts w:cstheme="minorHAnsi"/>
          <w:szCs w:val="24"/>
        </w:rPr>
        <w:t>from the 2021-2022 RHMT feasibility study</w:t>
      </w:r>
      <w:r w:rsidRPr="00521F94">
        <w:rPr>
          <w:rFonts w:cstheme="minorHAnsi"/>
          <w:szCs w:val="24"/>
        </w:rPr>
        <w:t xml:space="preserve"> include</w:t>
      </w:r>
      <w:r w:rsidR="004622B3" w:rsidRPr="00521F94">
        <w:rPr>
          <w:rFonts w:cstheme="minorHAnsi"/>
          <w:szCs w:val="24"/>
        </w:rPr>
        <w:t xml:space="preserve"> e</w:t>
      </w:r>
      <w:r w:rsidR="00FB189F" w:rsidRPr="00521F94">
        <w:rPr>
          <w:rFonts w:cstheme="minorHAnsi"/>
          <w:szCs w:val="24"/>
        </w:rPr>
        <w:t xml:space="preserve">mbedding oral health training through the RHMT UDRH network to identify greater clinical placement opportunities, </w:t>
      </w:r>
      <w:r w:rsidR="007D7426" w:rsidRPr="00521F94">
        <w:rPr>
          <w:rFonts w:cstheme="minorHAnsi"/>
          <w:szCs w:val="24"/>
        </w:rPr>
        <w:t xml:space="preserve">to </w:t>
      </w:r>
      <w:r w:rsidR="00FB189F" w:rsidRPr="00521F94">
        <w:rPr>
          <w:rFonts w:cstheme="minorHAnsi"/>
          <w:szCs w:val="24"/>
        </w:rPr>
        <w:t xml:space="preserve">provide supervision and support to students, </w:t>
      </w:r>
      <w:r w:rsidR="007228E9" w:rsidRPr="00521F94">
        <w:rPr>
          <w:rFonts w:cstheme="minorHAnsi"/>
          <w:szCs w:val="24"/>
        </w:rPr>
        <w:t xml:space="preserve">to </w:t>
      </w:r>
      <w:r w:rsidR="00FB189F" w:rsidRPr="00521F94">
        <w:rPr>
          <w:rFonts w:cstheme="minorHAnsi"/>
          <w:szCs w:val="24"/>
        </w:rPr>
        <w:t>develop greater training networks, and embed</w:t>
      </w:r>
      <w:r w:rsidR="007228E9" w:rsidRPr="00521F94">
        <w:rPr>
          <w:rFonts w:cstheme="minorHAnsi"/>
          <w:szCs w:val="24"/>
        </w:rPr>
        <w:t>ding</w:t>
      </w:r>
      <w:r w:rsidR="00FB189F" w:rsidRPr="00521F94">
        <w:rPr>
          <w:rFonts w:cstheme="minorHAnsi"/>
          <w:szCs w:val="24"/>
        </w:rPr>
        <w:t xml:space="preserve"> oral health as part of a multidisciplinary approach</w:t>
      </w:r>
      <w:r w:rsidR="00AD7A26" w:rsidRPr="00521F94">
        <w:rPr>
          <w:rFonts w:cstheme="minorHAnsi"/>
          <w:szCs w:val="24"/>
        </w:rPr>
        <w:t>.</w:t>
      </w:r>
    </w:p>
    <w:p w14:paraId="7C869DD0" w14:textId="69ED173D" w:rsidR="00C87C04" w:rsidRPr="00D4484A" w:rsidRDefault="002908FE" w:rsidP="00DE14FC">
      <w:pPr>
        <w:spacing w:before="60" w:after="120" w:line="240" w:lineRule="auto"/>
      </w:pPr>
      <w:r w:rsidRPr="00521F94">
        <w:t>The Australian Government is continuing to consider the recommendation made by the D</w:t>
      </w:r>
      <w:r w:rsidR="00B82D54" w:rsidRPr="00521F94">
        <w:t>ental Feasibility Study</w:t>
      </w:r>
      <w:r w:rsidRPr="00521F94">
        <w:t>, and the Department of Health and Aged Care continues to work alongside dental training and UDRH networks to explore possibilities within the existing scope of the program</w:t>
      </w:r>
      <w:r w:rsidR="2E99F8FE" w:rsidRPr="00521F94">
        <w:t>.</w:t>
      </w:r>
    </w:p>
    <w:p w14:paraId="7203EC85" w14:textId="77777777" w:rsidR="00D4484A" w:rsidRDefault="00D4484A" w:rsidP="00D4484A">
      <w:pPr>
        <w:pStyle w:val="Heading2"/>
      </w:pPr>
      <w:r>
        <w:br w:type="page"/>
      </w:r>
    </w:p>
    <w:p w14:paraId="2ECF26B0" w14:textId="51778A5D" w:rsidR="00BD1CB4" w:rsidRPr="00521F94" w:rsidRDefault="00BD1CB4" w:rsidP="00D4484A">
      <w:pPr>
        <w:pStyle w:val="Heading2"/>
      </w:pPr>
      <w:r w:rsidRPr="00521F94">
        <w:lastRenderedPageBreak/>
        <w:t>Recommendation 29</w:t>
      </w:r>
    </w:p>
    <w:p w14:paraId="5C0C023B" w14:textId="77777777" w:rsidR="00BD1CB4" w:rsidRPr="00521F94" w:rsidRDefault="00BD1CB4" w:rsidP="00DE14FC">
      <w:pPr>
        <w:spacing w:before="60" w:after="120" w:line="240" w:lineRule="auto"/>
        <w:rPr>
          <w:rFonts w:cstheme="minorHAnsi"/>
          <w:b/>
          <w:i/>
          <w:szCs w:val="24"/>
        </w:rPr>
      </w:pPr>
      <w:r w:rsidRPr="00521F94">
        <w:rPr>
          <w:rFonts w:cstheme="minorHAnsi"/>
          <w:b/>
          <w:i/>
          <w:szCs w:val="24"/>
        </w:rPr>
        <w:t>The committee recommends that the Australian Government expands existing medical student rural subsidy programs to include dental and oral health students.</w:t>
      </w:r>
    </w:p>
    <w:p w14:paraId="70A383AA" w14:textId="67FCCD15" w:rsidR="00473B7D" w:rsidRPr="00521F94" w:rsidRDefault="00473B7D" w:rsidP="00DE14FC">
      <w:pPr>
        <w:spacing w:before="60" w:after="120" w:line="240" w:lineRule="auto"/>
      </w:pPr>
      <w:r w:rsidRPr="00521F94">
        <w:t>The Government</w:t>
      </w:r>
      <w:r w:rsidRPr="00521F94">
        <w:rPr>
          <w:b/>
        </w:rPr>
        <w:t xml:space="preserve"> </w:t>
      </w:r>
      <w:r w:rsidR="77802317" w:rsidRPr="00521F94">
        <w:rPr>
          <w:b/>
          <w:bCs/>
        </w:rPr>
        <w:t>supports</w:t>
      </w:r>
      <w:r w:rsidRPr="00521F94">
        <w:rPr>
          <w:b/>
        </w:rPr>
        <w:t xml:space="preserve"> </w:t>
      </w:r>
      <w:r w:rsidRPr="00521F94">
        <w:t>this recommendation</w:t>
      </w:r>
      <w:r w:rsidR="677BBCD7" w:rsidRPr="00521F94">
        <w:t xml:space="preserve"> </w:t>
      </w:r>
      <w:r w:rsidR="677BBCD7" w:rsidRPr="00521F94">
        <w:rPr>
          <w:b/>
          <w:bCs/>
        </w:rPr>
        <w:t>in</w:t>
      </w:r>
      <w:r w:rsidR="00BF3E0F" w:rsidRPr="00521F94">
        <w:rPr>
          <w:b/>
          <w:bCs/>
        </w:rPr>
        <w:t xml:space="preserve"> </w:t>
      </w:r>
      <w:r w:rsidR="677BBCD7" w:rsidRPr="00521F94">
        <w:rPr>
          <w:b/>
          <w:bCs/>
        </w:rPr>
        <w:t>principle</w:t>
      </w:r>
      <w:r w:rsidRPr="00521F94">
        <w:t>.</w:t>
      </w:r>
    </w:p>
    <w:p w14:paraId="15A4B17E" w14:textId="68C2B853" w:rsidR="00473B7D" w:rsidRPr="00521F94" w:rsidRDefault="00473B7D" w:rsidP="007228E9">
      <w:pPr>
        <w:spacing w:before="60" w:after="120" w:line="240" w:lineRule="auto"/>
        <w:rPr>
          <w:rFonts w:cstheme="minorHAnsi"/>
          <w:szCs w:val="24"/>
        </w:rPr>
      </w:pPr>
      <w:r w:rsidRPr="00521F94">
        <w:rPr>
          <w:rFonts w:cstheme="minorHAnsi"/>
          <w:szCs w:val="24"/>
        </w:rPr>
        <w:t xml:space="preserve">The proposed strategies that align to this recommendation </w:t>
      </w:r>
      <w:r w:rsidR="006E6937" w:rsidRPr="00521F94">
        <w:rPr>
          <w:rFonts w:cstheme="minorHAnsi"/>
          <w:szCs w:val="24"/>
        </w:rPr>
        <w:t xml:space="preserve">from the 2021-2022 RHMT feasibility study </w:t>
      </w:r>
      <w:r w:rsidRPr="00521F94">
        <w:rPr>
          <w:rFonts w:cstheme="minorHAnsi"/>
          <w:szCs w:val="24"/>
        </w:rPr>
        <w:t>include</w:t>
      </w:r>
      <w:r w:rsidR="007228E9" w:rsidRPr="00521F94">
        <w:rPr>
          <w:rFonts w:cstheme="minorHAnsi"/>
          <w:szCs w:val="24"/>
        </w:rPr>
        <w:t xml:space="preserve"> establishing </w:t>
      </w:r>
      <w:r w:rsidR="00F269AB" w:rsidRPr="00521F94">
        <w:t>a rural dental and oral health clinical school, modelling the approaches of existing RHMT RCSs, develop</w:t>
      </w:r>
      <w:r w:rsidR="00FA4945" w:rsidRPr="00521F94">
        <w:t>ing</w:t>
      </w:r>
      <w:r w:rsidR="00F269AB" w:rsidRPr="00521F94">
        <w:t xml:space="preserve"> a rural clinical and teaching dental and oral health hub to build clinical, teaching, supervision and research capacity and capability that supports placements and service delivery in rural and remote communities</w:t>
      </w:r>
      <w:r w:rsidR="00767A3C" w:rsidRPr="00521F94">
        <w:t>.</w:t>
      </w:r>
    </w:p>
    <w:p w14:paraId="17EC6533" w14:textId="71FCEBB5" w:rsidR="00A70F73" w:rsidRPr="00521F94" w:rsidRDefault="0062462F" w:rsidP="00521F94">
      <w:pPr>
        <w:spacing w:before="60" w:after="120" w:line="240" w:lineRule="auto"/>
        <w:rPr>
          <w:rFonts w:cstheme="minorHAnsi"/>
          <w:szCs w:val="24"/>
        </w:rPr>
      </w:pPr>
      <w:r w:rsidRPr="00521F94">
        <w:t>The Australian Government is continuing to consider these recommendations</w:t>
      </w:r>
      <w:r w:rsidR="002908FE" w:rsidRPr="00521F94">
        <w:t xml:space="preserve">. </w:t>
      </w:r>
    </w:p>
    <w:p w14:paraId="4D22F736" w14:textId="77777777" w:rsidR="00BD1CB4" w:rsidRPr="00521F94" w:rsidRDefault="00BD1CB4" w:rsidP="00D4484A">
      <w:pPr>
        <w:pStyle w:val="Heading2"/>
      </w:pPr>
      <w:r w:rsidRPr="00521F94">
        <w:t>Recommendation 30</w:t>
      </w:r>
    </w:p>
    <w:p w14:paraId="5172AB7B" w14:textId="77777777" w:rsidR="00BD1CB4" w:rsidRPr="00DE14FC" w:rsidRDefault="00BD1CB4" w:rsidP="00DE14FC">
      <w:pPr>
        <w:spacing w:before="60" w:after="120" w:line="240" w:lineRule="auto"/>
        <w:rPr>
          <w:rFonts w:cstheme="minorHAnsi"/>
          <w:b/>
          <w:i/>
          <w:szCs w:val="24"/>
        </w:rPr>
      </w:pPr>
      <w:r w:rsidRPr="00DE14FC">
        <w:rPr>
          <w:rFonts w:cstheme="minorHAnsi"/>
          <w:b/>
          <w:i/>
          <w:szCs w:val="24"/>
        </w:rPr>
        <w:t xml:space="preserve">The committee recommends that the Australian Government investigates implementing a requirement for a 12-month compulsory paid placement working within the public health system following graduation </w:t>
      </w:r>
      <w:proofErr w:type="gramStart"/>
      <w:r w:rsidRPr="00DE14FC">
        <w:rPr>
          <w:rFonts w:cstheme="minorHAnsi"/>
          <w:b/>
          <w:i/>
          <w:szCs w:val="24"/>
        </w:rPr>
        <w:t>in order to</w:t>
      </w:r>
      <w:proofErr w:type="gramEnd"/>
      <w:r w:rsidRPr="00DE14FC">
        <w:rPr>
          <w:rFonts w:cstheme="minorHAnsi"/>
          <w:b/>
          <w:i/>
          <w:szCs w:val="24"/>
        </w:rPr>
        <w:t xml:space="preserve"> qualify for the dental license/complete their studies.</w:t>
      </w:r>
    </w:p>
    <w:p w14:paraId="7E6A8EE2" w14:textId="77777777" w:rsidR="00141A66" w:rsidRPr="00DE14FC" w:rsidRDefault="00141A66" w:rsidP="00DE14FC">
      <w:pPr>
        <w:spacing w:before="60" w:after="120" w:line="240" w:lineRule="auto"/>
        <w:rPr>
          <w:rFonts w:cstheme="minorHAnsi"/>
          <w:szCs w:val="24"/>
        </w:rPr>
      </w:pPr>
      <w:r w:rsidRPr="00DE14FC">
        <w:rPr>
          <w:rFonts w:cstheme="minorHAnsi"/>
          <w:szCs w:val="24"/>
        </w:rPr>
        <w:t>The Government</w:t>
      </w:r>
      <w:r w:rsidRPr="00DE14FC">
        <w:rPr>
          <w:rFonts w:cstheme="minorHAnsi"/>
          <w:b/>
          <w:bCs/>
          <w:szCs w:val="24"/>
        </w:rPr>
        <w:t xml:space="preserve"> notes</w:t>
      </w:r>
      <w:r w:rsidRPr="00DE14FC">
        <w:rPr>
          <w:rFonts w:cstheme="minorHAnsi"/>
          <w:szCs w:val="24"/>
        </w:rPr>
        <w:t xml:space="preserve"> this recommendation.</w:t>
      </w:r>
    </w:p>
    <w:p w14:paraId="4EB9BB79" w14:textId="0374EDA9" w:rsidR="00FA4945" w:rsidRDefault="000E7338" w:rsidP="00DE14FC">
      <w:pPr>
        <w:spacing w:before="60" w:after="120" w:line="240" w:lineRule="auto"/>
      </w:pPr>
      <w:r w:rsidRPr="1473AA2E">
        <w:t>The Dental Board of Australia</w:t>
      </w:r>
      <w:r w:rsidR="009E3458" w:rsidRPr="1473AA2E">
        <w:t xml:space="preserve"> (</w:t>
      </w:r>
      <w:r w:rsidR="00904FDB">
        <w:t>the</w:t>
      </w:r>
      <w:r w:rsidR="009E3458" w:rsidRPr="1473AA2E">
        <w:t xml:space="preserve"> </w:t>
      </w:r>
      <w:r w:rsidR="60B1F37D" w:rsidRPr="1473AA2E">
        <w:t>B</w:t>
      </w:r>
      <w:r w:rsidRPr="1473AA2E" w:rsidDel="0070268F">
        <w:t>oard)</w:t>
      </w:r>
      <w:r w:rsidRPr="1473AA2E">
        <w:t xml:space="preserve"> is responsible for all matters relating to the regulation of the dental profession in Australia, including determining the registration requirements to practi</w:t>
      </w:r>
      <w:r w:rsidR="005B7673" w:rsidRPr="1473AA2E">
        <w:t>c</w:t>
      </w:r>
      <w:r w:rsidRPr="1473AA2E">
        <w:t xml:space="preserve">e in Australia. </w:t>
      </w:r>
      <w:r w:rsidR="005B7673" w:rsidRPr="1473AA2E">
        <w:t xml:space="preserve">The </w:t>
      </w:r>
      <w:r w:rsidR="640EB2C4" w:rsidRPr="1473AA2E">
        <w:t xml:space="preserve">Dental </w:t>
      </w:r>
      <w:r w:rsidR="51D22818" w:rsidRPr="1473AA2E">
        <w:t>B</w:t>
      </w:r>
      <w:r w:rsidR="005B7673" w:rsidRPr="1473AA2E">
        <w:t xml:space="preserve">oard does not have the ability to restrict the practice of a dental graduate to public only practice. </w:t>
      </w:r>
      <w:r w:rsidR="0052030E" w:rsidRPr="1473AA2E">
        <w:t>The</w:t>
      </w:r>
      <w:r w:rsidR="27625473" w:rsidRPr="1473AA2E">
        <w:t xml:space="preserve"> Board</w:t>
      </w:r>
      <w:r w:rsidRPr="1473AA2E">
        <w:t xml:space="preserve"> is supported in its role by A</w:t>
      </w:r>
      <w:r w:rsidR="00BA6828">
        <w:t>HPRA</w:t>
      </w:r>
      <w:r w:rsidRPr="1473AA2E">
        <w:t xml:space="preserve"> and each of these bodies operate independently of </w:t>
      </w:r>
      <w:r w:rsidR="005B7673" w:rsidRPr="1473AA2E">
        <w:t>G</w:t>
      </w:r>
      <w:r w:rsidRPr="1473AA2E">
        <w:t xml:space="preserve">overnment. </w:t>
      </w:r>
    </w:p>
    <w:p w14:paraId="4CE7F528" w14:textId="66A1229C" w:rsidR="00BD1CB4" w:rsidRPr="00DE14FC" w:rsidRDefault="00BD1CB4" w:rsidP="00D4484A">
      <w:pPr>
        <w:pStyle w:val="Heading2"/>
      </w:pPr>
      <w:r w:rsidRPr="00DE14FC">
        <w:t>Recommendation 31</w:t>
      </w:r>
    </w:p>
    <w:p w14:paraId="79B4EF3F" w14:textId="77777777" w:rsidR="00BD1CB4" w:rsidRPr="00DE14FC" w:rsidRDefault="00BD1CB4" w:rsidP="00DE14FC">
      <w:pPr>
        <w:spacing w:before="60" w:after="120" w:line="240" w:lineRule="auto"/>
        <w:rPr>
          <w:rFonts w:cstheme="minorHAnsi"/>
          <w:b/>
          <w:i/>
          <w:szCs w:val="24"/>
        </w:rPr>
      </w:pPr>
      <w:r w:rsidRPr="00DE14FC">
        <w:rPr>
          <w:rFonts w:cstheme="minorHAnsi"/>
          <w:b/>
          <w:i/>
          <w:szCs w:val="24"/>
        </w:rPr>
        <w:t>The committee recommends the Australian Government works to increase the size of the oral health therapist workforce by putting into place incentives to study oral health therapy and providing scholarships for students from regional areas and Aboriginal and Torres Strait Islander students.</w:t>
      </w:r>
    </w:p>
    <w:p w14:paraId="7233889B" w14:textId="1080CD03" w:rsidR="00646301" w:rsidRPr="00DE14FC" w:rsidRDefault="00646301" w:rsidP="00DE14FC">
      <w:pPr>
        <w:spacing w:before="60" w:after="120" w:line="240" w:lineRule="auto"/>
      </w:pPr>
      <w:bookmarkStart w:id="0" w:name="_Hlk157704824"/>
      <w:r w:rsidRPr="00DE14FC">
        <w:t xml:space="preserve">The Government </w:t>
      </w:r>
      <w:r w:rsidR="78267E4C" w:rsidRPr="0052030E">
        <w:rPr>
          <w:b/>
          <w:bCs/>
        </w:rPr>
        <w:t>supports</w:t>
      </w:r>
      <w:r w:rsidRPr="0052030E">
        <w:rPr>
          <w:b/>
        </w:rPr>
        <w:t xml:space="preserve"> </w:t>
      </w:r>
      <w:r w:rsidRPr="00DE14FC">
        <w:t>this recommendation</w:t>
      </w:r>
      <w:r w:rsidR="3051827C">
        <w:t xml:space="preserve"> </w:t>
      </w:r>
      <w:r w:rsidR="3051827C" w:rsidRPr="1473AA2E">
        <w:rPr>
          <w:b/>
          <w:bCs/>
        </w:rPr>
        <w:t>in</w:t>
      </w:r>
      <w:r w:rsidR="00BF3E0F">
        <w:rPr>
          <w:b/>
          <w:bCs/>
        </w:rPr>
        <w:t xml:space="preserve"> </w:t>
      </w:r>
      <w:r w:rsidR="3051827C" w:rsidRPr="1473AA2E">
        <w:rPr>
          <w:b/>
          <w:bCs/>
        </w:rPr>
        <w:t>principle</w:t>
      </w:r>
      <w:r w:rsidRPr="00DE14FC">
        <w:t>.</w:t>
      </w:r>
    </w:p>
    <w:p w14:paraId="7D74CD88" w14:textId="14A84409" w:rsidR="00FF690C" w:rsidRDefault="00FF690C" w:rsidP="00FF690C">
      <w:pPr>
        <w:spacing w:before="60" w:after="120" w:line="240" w:lineRule="auto"/>
        <w:rPr>
          <w:rFonts w:cstheme="minorHAnsi"/>
          <w:color w:val="000000"/>
          <w:szCs w:val="24"/>
        </w:rPr>
      </w:pPr>
      <w:r w:rsidRPr="005A3847">
        <w:rPr>
          <w:color w:val="000000"/>
        </w:rPr>
        <w:t>Currentl</w:t>
      </w:r>
      <w:r>
        <w:rPr>
          <w:color w:val="000000"/>
        </w:rPr>
        <w:t>y,</w:t>
      </w:r>
      <w:r w:rsidRPr="005A3847">
        <w:rPr>
          <w:color w:val="000000"/>
        </w:rPr>
        <w:t xml:space="preserve"> the Government funds a range of tailored workforce programs that include training and initiatives designed to increase the First Nations workforce across Australia, including in rural and remote areas. </w:t>
      </w:r>
      <w:r w:rsidRPr="005A3847">
        <w:rPr>
          <w:rFonts w:cstheme="minorHAnsi"/>
          <w:color w:val="000000"/>
          <w:szCs w:val="24"/>
        </w:rPr>
        <w:t>Key initiatives include</w:t>
      </w:r>
      <w:r>
        <w:rPr>
          <w:rFonts w:cstheme="minorHAnsi"/>
          <w:color w:val="000000"/>
          <w:szCs w:val="24"/>
        </w:rPr>
        <w:t>:</w:t>
      </w:r>
    </w:p>
    <w:p w14:paraId="5A1032FC" w14:textId="6A336750" w:rsidR="00C87C04" w:rsidRPr="00D4484A" w:rsidRDefault="00FF690C" w:rsidP="00D4484A">
      <w:pPr>
        <w:pStyle w:val="ListParagraph"/>
        <w:numPr>
          <w:ilvl w:val="0"/>
          <w:numId w:val="61"/>
        </w:numPr>
        <w:spacing w:before="60" w:after="120" w:line="240" w:lineRule="auto"/>
        <w:rPr>
          <w:rStyle w:val="normaltextrun"/>
          <w:rFonts w:eastAsia="Times New Roman" w:cstheme="minorHAnsi"/>
        </w:rPr>
      </w:pPr>
      <w:r w:rsidRPr="00233346">
        <w:rPr>
          <w:rStyle w:val="normaltextrun"/>
          <w:rFonts w:eastAsia="Times New Roman" w:cstheme="minorHAnsi"/>
        </w:rPr>
        <w:t>Indigenous Allied Health Australia (IAHA)</w:t>
      </w:r>
      <w:r>
        <w:rPr>
          <w:rStyle w:val="normaltextrun"/>
          <w:rFonts w:eastAsia="Times New Roman" w:cstheme="minorHAnsi"/>
        </w:rPr>
        <w:t xml:space="preserve">, </w:t>
      </w:r>
      <w:r w:rsidRPr="00233346">
        <w:rPr>
          <w:rStyle w:val="normaltextrun"/>
          <w:rFonts w:eastAsia="Times New Roman" w:cstheme="minorHAnsi"/>
        </w:rPr>
        <w:t>a national</w:t>
      </w:r>
      <w:r>
        <w:rPr>
          <w:rStyle w:val="normaltextrun"/>
          <w:rFonts w:eastAsia="Times New Roman" w:cstheme="minorHAnsi"/>
        </w:rPr>
        <w:t xml:space="preserve"> </w:t>
      </w:r>
      <w:r w:rsidRPr="00233346">
        <w:rPr>
          <w:rStyle w:val="normaltextrun"/>
          <w:rFonts w:eastAsia="Times New Roman" w:cstheme="minorHAnsi"/>
        </w:rPr>
        <w:t>member-based Aboriginal and Torres Strait Islander allied health organisation</w:t>
      </w:r>
      <w:r>
        <w:rPr>
          <w:rStyle w:val="normaltextrun"/>
          <w:rFonts w:eastAsia="Times New Roman" w:cstheme="minorHAnsi"/>
        </w:rPr>
        <w:t>,</w:t>
      </w:r>
      <w:r>
        <w:t xml:space="preserve"> who support </w:t>
      </w:r>
      <w:r w:rsidRPr="00233346">
        <w:rPr>
          <w:rStyle w:val="normaltextrun"/>
          <w:rFonts w:eastAsia="Times New Roman" w:cstheme="minorHAnsi"/>
        </w:rPr>
        <w:t>Aboriginal and Torres Strait Islander allied health students and graduates</w:t>
      </w:r>
      <w:r>
        <w:rPr>
          <w:rStyle w:val="normaltextrun"/>
          <w:rFonts w:eastAsia="Times New Roman" w:cstheme="minorHAnsi"/>
        </w:rPr>
        <w:t xml:space="preserve">. </w:t>
      </w:r>
      <w:r w:rsidRPr="00233346">
        <w:rPr>
          <w:rStyle w:val="normaltextrun"/>
          <w:rFonts w:eastAsia="Times New Roman" w:cstheme="minorHAnsi"/>
        </w:rPr>
        <w:t>IAHA also supports the broader allied health workforce</w:t>
      </w:r>
      <w:r w:rsidR="004959DD">
        <w:rPr>
          <w:rStyle w:val="normaltextrun"/>
          <w:rFonts w:eastAsia="Times New Roman" w:cstheme="minorHAnsi"/>
        </w:rPr>
        <w:t xml:space="preserve"> </w:t>
      </w:r>
      <w:r w:rsidRPr="00233346">
        <w:rPr>
          <w:rStyle w:val="normaltextrun"/>
          <w:rFonts w:eastAsia="Times New Roman" w:cstheme="minorHAnsi"/>
        </w:rPr>
        <w:t>and its associate membership of individuals and organisations with expertise, interest and commitment to improving the health and wellbeing of Aboriginal and/or Torres Strait Islander peoples.</w:t>
      </w:r>
      <w:r w:rsidR="004959DD" w:rsidRPr="004959DD">
        <w:t xml:space="preserve"> </w:t>
      </w:r>
      <w:r w:rsidR="004959DD">
        <w:rPr>
          <w:rStyle w:val="normaltextrun"/>
          <w:rFonts w:eastAsia="Times New Roman" w:cstheme="minorHAnsi"/>
        </w:rPr>
        <w:t>T</w:t>
      </w:r>
      <w:r w:rsidR="004959DD" w:rsidRPr="004959DD">
        <w:rPr>
          <w:rStyle w:val="normaltextrun"/>
          <w:rFonts w:eastAsia="Times New Roman" w:cstheme="minorHAnsi"/>
        </w:rPr>
        <w:t>his program relates to core operational and advocacy work in relation to all First Nations allied health professionals, which can include dental or oral health</w:t>
      </w:r>
      <w:r w:rsidR="004959DD">
        <w:rPr>
          <w:rStyle w:val="normaltextrun"/>
          <w:rFonts w:eastAsia="Times New Roman" w:cstheme="minorHAnsi"/>
        </w:rPr>
        <w:t>.</w:t>
      </w:r>
      <w:r w:rsidR="00D4484A">
        <w:rPr>
          <w:rStyle w:val="normaltextrun"/>
          <w:rFonts w:eastAsia="Times New Roman" w:cstheme="minorHAnsi"/>
        </w:rPr>
        <w:br w:type="page"/>
      </w:r>
    </w:p>
    <w:p w14:paraId="24BD627B" w14:textId="77777777" w:rsidR="00FF690C" w:rsidRPr="00233346" w:rsidRDefault="00FF690C" w:rsidP="006D5BB2">
      <w:pPr>
        <w:pStyle w:val="ListParagraph"/>
        <w:numPr>
          <w:ilvl w:val="0"/>
          <w:numId w:val="61"/>
        </w:numPr>
        <w:spacing w:before="60" w:after="120" w:line="240" w:lineRule="auto"/>
        <w:rPr>
          <w:sz w:val="28"/>
          <w:szCs w:val="28"/>
        </w:rPr>
      </w:pPr>
      <w:r w:rsidRPr="3F1BD2E4">
        <w:rPr>
          <w:rStyle w:val="normaltextrun"/>
          <w:rFonts w:eastAsia="Times New Roman"/>
        </w:rPr>
        <w:lastRenderedPageBreak/>
        <w:t xml:space="preserve">IAHA National Health Academy program that works with high school students from years 7-12, starting with health literacy, moving to leadership and career </w:t>
      </w:r>
      <w:proofErr w:type="gramStart"/>
      <w:r w:rsidRPr="3F1BD2E4">
        <w:rPr>
          <w:rStyle w:val="normaltextrun"/>
          <w:rFonts w:eastAsia="Times New Roman"/>
        </w:rPr>
        <w:t>planning</w:t>
      </w:r>
      <w:proofErr w:type="gramEnd"/>
      <w:r w:rsidRPr="3F1BD2E4">
        <w:rPr>
          <w:rStyle w:val="normaltextrun"/>
          <w:rFonts w:eastAsia="Times New Roman"/>
        </w:rPr>
        <w:t xml:space="preserve"> and transitioning into the Health Academy in Years 11 and 12. Pathways lead to careers in health and may include dental or oral health. Health Academies currently operate in five locations: Darwin, South- East Queensland, Northern Rivers (New South Wales), Greater Western Sydney and the Australian Capital Territory.</w:t>
      </w:r>
    </w:p>
    <w:p w14:paraId="1077C0CF" w14:textId="4D9465A3" w:rsidR="00FF690C" w:rsidRPr="005A3847" w:rsidRDefault="00FF690C" w:rsidP="00FF690C">
      <w:pPr>
        <w:spacing w:before="60" w:after="120" w:line="240" w:lineRule="auto"/>
        <w:rPr>
          <w:rFonts w:cstheme="minorHAnsi"/>
          <w:color w:val="000000"/>
          <w:szCs w:val="24"/>
        </w:rPr>
      </w:pPr>
      <w:r w:rsidRPr="005A3847">
        <w:rPr>
          <w:rFonts w:cstheme="minorHAnsi"/>
          <w:color w:val="000000"/>
          <w:szCs w:val="24"/>
        </w:rPr>
        <w:t xml:space="preserve">The </w:t>
      </w:r>
      <w:r w:rsidR="00D02BEA">
        <w:rPr>
          <w:rFonts w:cstheme="minorHAnsi"/>
          <w:color w:val="000000"/>
          <w:szCs w:val="24"/>
        </w:rPr>
        <w:t>D</w:t>
      </w:r>
      <w:r w:rsidRPr="005A3847">
        <w:rPr>
          <w:rFonts w:cstheme="minorHAnsi"/>
          <w:color w:val="000000"/>
          <w:szCs w:val="24"/>
        </w:rPr>
        <w:t xml:space="preserve">epartment </w:t>
      </w:r>
      <w:r w:rsidR="00D02BEA">
        <w:rPr>
          <w:rFonts w:cstheme="minorHAnsi"/>
          <w:color w:val="000000"/>
          <w:szCs w:val="24"/>
        </w:rPr>
        <w:t>of Health and Aged Care</w:t>
      </w:r>
      <w:r w:rsidRPr="005A3847">
        <w:rPr>
          <w:rFonts w:cstheme="minorHAnsi"/>
          <w:color w:val="000000"/>
          <w:szCs w:val="24"/>
        </w:rPr>
        <w:t xml:space="preserve"> also funds the Indigenous Health Worker Traineeship program, which provides government funded traineeships for First Nations people working within Aboriginal Community Controlled Health Services to attain qualifications in health and community services.</w:t>
      </w:r>
      <w:r>
        <w:rPr>
          <w:rFonts w:cstheme="minorHAnsi"/>
          <w:color w:val="000000"/>
          <w:szCs w:val="24"/>
        </w:rPr>
        <w:t xml:space="preserve"> </w:t>
      </w:r>
      <w:r w:rsidRPr="005A3847">
        <w:rPr>
          <w:rFonts w:cstheme="minorHAnsi"/>
          <w:color w:val="000000"/>
          <w:szCs w:val="24"/>
        </w:rPr>
        <w:t>Further scholarships</w:t>
      </w:r>
      <w:r w:rsidR="008018BA">
        <w:rPr>
          <w:rFonts w:cstheme="minorHAnsi"/>
          <w:color w:val="000000"/>
          <w:szCs w:val="24"/>
        </w:rPr>
        <w:t xml:space="preserve"> that</w:t>
      </w:r>
      <w:r w:rsidR="00523F41">
        <w:rPr>
          <w:rFonts w:cstheme="minorHAnsi"/>
          <w:color w:val="000000"/>
          <w:szCs w:val="24"/>
        </w:rPr>
        <w:t xml:space="preserve"> include oral health</w:t>
      </w:r>
      <w:r w:rsidRPr="005A3847">
        <w:rPr>
          <w:rFonts w:cstheme="minorHAnsi"/>
          <w:color w:val="000000"/>
          <w:szCs w:val="24"/>
        </w:rPr>
        <w:t xml:space="preserve"> include:</w:t>
      </w:r>
    </w:p>
    <w:p w14:paraId="5D2C7A8C" w14:textId="77777777" w:rsidR="00FF690C" w:rsidRDefault="00FF690C" w:rsidP="006D5BB2">
      <w:pPr>
        <w:pStyle w:val="ListParagraph"/>
        <w:numPr>
          <w:ilvl w:val="0"/>
          <w:numId w:val="60"/>
        </w:numPr>
        <w:spacing w:before="60" w:after="120" w:line="240" w:lineRule="auto"/>
        <w:rPr>
          <w:rFonts w:cstheme="minorHAnsi"/>
          <w:color w:val="000000"/>
          <w:szCs w:val="24"/>
        </w:rPr>
      </w:pPr>
      <w:r w:rsidRPr="004324C4">
        <w:rPr>
          <w:rFonts w:cstheme="minorHAnsi"/>
          <w:color w:val="000000"/>
          <w:szCs w:val="24"/>
        </w:rPr>
        <w:t xml:space="preserve">The Allied Health Rural Generalist Pathway (AHRGP) and Allied Health Assistant Workforce Program (AHAWP) is a professional and career development strategy to improve the range of skills of the Allied Health workforce in rural and remote Australia to meet emerging community health needs. </w:t>
      </w:r>
    </w:p>
    <w:p w14:paraId="0E66334A" w14:textId="77777777" w:rsidR="00FF690C" w:rsidRDefault="00FF690C" w:rsidP="006D5BB2">
      <w:pPr>
        <w:pStyle w:val="ListParagraph"/>
        <w:numPr>
          <w:ilvl w:val="0"/>
          <w:numId w:val="60"/>
        </w:numPr>
        <w:spacing w:before="60" w:after="120" w:line="240" w:lineRule="auto"/>
        <w:rPr>
          <w:rFonts w:cstheme="minorHAnsi"/>
          <w:color w:val="000000"/>
          <w:szCs w:val="24"/>
        </w:rPr>
      </w:pPr>
      <w:r w:rsidRPr="004324C4">
        <w:rPr>
          <w:rFonts w:cstheme="minorHAnsi"/>
          <w:color w:val="000000"/>
          <w:szCs w:val="24"/>
        </w:rPr>
        <w:t xml:space="preserve">The Puggy Hunter Memorial Scholarship Scheme (PHMSS) aims to increase the First Nations peoples’ participations in the health workforce through the provision of financial assistance to Aboriginal and Torres Strait Islander undergraduate students studying health related disciplines in a university, TAFE, or Registered Training Organisation. </w:t>
      </w:r>
    </w:p>
    <w:p w14:paraId="01CA5CFA" w14:textId="77777777" w:rsidR="00FF690C" w:rsidRPr="004324C4" w:rsidRDefault="00FF690C" w:rsidP="006D5BB2">
      <w:pPr>
        <w:pStyle w:val="ListParagraph"/>
        <w:numPr>
          <w:ilvl w:val="0"/>
          <w:numId w:val="60"/>
        </w:numPr>
        <w:spacing w:before="60" w:after="120" w:line="240" w:lineRule="auto"/>
        <w:rPr>
          <w:color w:val="000000"/>
        </w:rPr>
      </w:pPr>
      <w:r w:rsidRPr="3F1BD2E4">
        <w:rPr>
          <w:color w:val="000000" w:themeColor="text1"/>
        </w:rPr>
        <w:t xml:space="preserve">The Indigenous Health Scholarships Program through Australian Rotary Health provides scholarships to Aboriginal and Torres Strait Islander people undertaking health related studies. </w:t>
      </w:r>
    </w:p>
    <w:p w14:paraId="49B8A66A" w14:textId="5453D458" w:rsidR="006571FD" w:rsidRDefault="00FC7E39" w:rsidP="005B7673">
      <w:pPr>
        <w:spacing w:before="60" w:after="120" w:line="240" w:lineRule="auto"/>
      </w:pPr>
      <w:r>
        <w:t xml:space="preserve">The RHMT feasibility study </w:t>
      </w:r>
      <w:r w:rsidR="006571FD">
        <w:t>recommended</w:t>
      </w:r>
      <w:r>
        <w:t xml:space="preserve"> several strategies</w:t>
      </w:r>
      <w:r w:rsidR="006571FD">
        <w:t xml:space="preserve"> that may help increase the oral health workforce in rural and remote areas. These strategies include: </w:t>
      </w:r>
    </w:p>
    <w:p w14:paraId="4A1A7D87" w14:textId="0D8F98A8" w:rsidR="00E03103" w:rsidRPr="00736E4C" w:rsidRDefault="00E03103" w:rsidP="005B7673">
      <w:pPr>
        <w:pStyle w:val="ListParagraph"/>
        <w:numPr>
          <w:ilvl w:val="0"/>
          <w:numId w:val="71"/>
        </w:numPr>
        <w:spacing w:before="60" w:after="120" w:line="240" w:lineRule="auto"/>
        <w:rPr>
          <w:color w:val="000000"/>
        </w:rPr>
      </w:pPr>
      <w:r w:rsidRPr="00DB77F2">
        <w:t>Ensure requirements of dental and oral health training align with evidence for rural practice.</w:t>
      </w:r>
    </w:p>
    <w:bookmarkEnd w:id="0"/>
    <w:p w14:paraId="533129CF" w14:textId="189C955B" w:rsidR="00E03103" w:rsidRPr="005B7673" w:rsidRDefault="00E03103" w:rsidP="005B7673">
      <w:pPr>
        <w:pStyle w:val="ListParagraph"/>
        <w:numPr>
          <w:ilvl w:val="0"/>
          <w:numId w:val="71"/>
        </w:numPr>
        <w:spacing w:before="60" w:after="120" w:line="240" w:lineRule="auto"/>
        <w:rPr>
          <w:color w:val="000000"/>
        </w:rPr>
      </w:pPr>
      <w:r w:rsidRPr="005B7673">
        <w:rPr>
          <w:color w:val="000000"/>
        </w:rPr>
        <w:t>Embedding oral health training through the RHMT UDRH network to identify greater clinical placement opportunities, provide supervision and support to students, develop greater training networks, and embed oral health as part of a multidisciplinary approach.</w:t>
      </w:r>
    </w:p>
    <w:p w14:paraId="201DBF8B" w14:textId="6B3302BE" w:rsidR="00E03103" w:rsidRPr="005B7673" w:rsidRDefault="00E03103" w:rsidP="005B7673">
      <w:pPr>
        <w:pStyle w:val="ListParagraph"/>
        <w:numPr>
          <w:ilvl w:val="0"/>
          <w:numId w:val="71"/>
        </w:numPr>
        <w:spacing w:before="60" w:after="120" w:line="240" w:lineRule="auto"/>
        <w:rPr>
          <w:color w:val="000000"/>
        </w:rPr>
      </w:pPr>
      <w:r w:rsidRPr="005B7673">
        <w:rPr>
          <w:color w:val="000000"/>
        </w:rPr>
        <w:t>Establishment of a rural dental and oral health clinical school, modelling the approaches of existing RHMT RCSs, to develop a rural clinical and teaching dental and oral health hub to build clinical, teaching, supervision and research capacity and capability that supports placements and service delivery in rural and remote communities.</w:t>
      </w:r>
    </w:p>
    <w:p w14:paraId="304A0D11" w14:textId="2D852916" w:rsidR="00E03103" w:rsidRPr="00521F94" w:rsidRDefault="00E03103" w:rsidP="005B7673">
      <w:pPr>
        <w:pStyle w:val="ListParagraph"/>
        <w:numPr>
          <w:ilvl w:val="0"/>
          <w:numId w:val="71"/>
        </w:numPr>
        <w:spacing w:before="60" w:after="120" w:line="240" w:lineRule="auto"/>
      </w:pPr>
      <w:r w:rsidRPr="3F1BD2E4">
        <w:rPr>
          <w:color w:val="000000" w:themeColor="text1"/>
        </w:rPr>
        <w:t xml:space="preserve">Growing our First Nations dental and oral health workforce and establishing the Indigenous </w:t>
      </w:r>
      <w:r w:rsidRPr="00521F94">
        <w:t>Dental Association of Australia (IDAA) as a workforce peak body to provide leadership and support in this space.</w:t>
      </w:r>
    </w:p>
    <w:p w14:paraId="1537E9D3" w14:textId="2150057F" w:rsidR="00D4484A" w:rsidRPr="00D4484A" w:rsidRDefault="0062462F" w:rsidP="00DE14FC">
      <w:pPr>
        <w:spacing w:before="60" w:after="120" w:line="240" w:lineRule="auto"/>
      </w:pPr>
      <w:r w:rsidRPr="00521F94">
        <w:t>The Australian Government is continuing to consider these recommendations</w:t>
      </w:r>
      <w:r w:rsidR="001851B4" w:rsidRPr="00521F94">
        <w:t>.</w:t>
      </w:r>
      <w:r w:rsidR="00D4484A">
        <w:rPr>
          <w:rFonts w:cstheme="minorHAnsi"/>
          <w:b/>
          <w:szCs w:val="24"/>
        </w:rPr>
        <w:br w:type="page"/>
      </w:r>
    </w:p>
    <w:p w14:paraId="3A8023B0" w14:textId="28C47E8F" w:rsidR="00BD1CB4" w:rsidRPr="00DE14FC" w:rsidRDefault="00BD1CB4" w:rsidP="00D4484A">
      <w:pPr>
        <w:pStyle w:val="Heading2"/>
      </w:pPr>
      <w:r w:rsidRPr="00DE14FC">
        <w:lastRenderedPageBreak/>
        <w:t>Recommendation 32</w:t>
      </w:r>
    </w:p>
    <w:p w14:paraId="60E5ED67" w14:textId="77777777" w:rsidR="00BD1CB4" w:rsidRPr="00DE14FC" w:rsidRDefault="00BD1CB4" w:rsidP="00DE14FC">
      <w:pPr>
        <w:spacing w:before="60" w:after="120" w:line="240" w:lineRule="auto"/>
        <w:rPr>
          <w:rFonts w:cstheme="minorHAnsi"/>
          <w:b/>
          <w:i/>
          <w:szCs w:val="24"/>
        </w:rPr>
      </w:pPr>
      <w:r w:rsidRPr="00DE14FC">
        <w:rPr>
          <w:rFonts w:cstheme="minorHAnsi"/>
          <w:b/>
          <w:i/>
          <w:szCs w:val="24"/>
        </w:rPr>
        <w:t>The committee recommends that the Australian Government adequately recognises the need for Aboriginal Community Controlled Health Organisations to:</w:t>
      </w:r>
    </w:p>
    <w:p w14:paraId="3DEDA034" w14:textId="77777777" w:rsidR="00F3622F" w:rsidRPr="00DE14FC" w:rsidRDefault="00BD1CB4" w:rsidP="00DE14FC">
      <w:pPr>
        <w:pStyle w:val="ListParagraph"/>
        <w:numPr>
          <w:ilvl w:val="0"/>
          <w:numId w:val="15"/>
        </w:numPr>
        <w:spacing w:before="60" w:after="120" w:line="240" w:lineRule="auto"/>
        <w:ind w:left="709"/>
        <w:rPr>
          <w:rFonts w:cstheme="minorHAnsi"/>
          <w:b/>
          <w:i/>
          <w:szCs w:val="24"/>
        </w:rPr>
      </w:pPr>
      <w:r w:rsidRPr="00DE14FC">
        <w:rPr>
          <w:rFonts w:cstheme="minorHAnsi"/>
          <w:b/>
          <w:i/>
          <w:szCs w:val="24"/>
        </w:rPr>
        <w:t>train general health care providers in delivering basic and preventative oral health care; and</w:t>
      </w:r>
    </w:p>
    <w:p w14:paraId="25EEE4E4" w14:textId="7ECDF2EE" w:rsidR="00933569" w:rsidRPr="00DE14FC" w:rsidRDefault="00BD1CB4" w:rsidP="00DE14FC">
      <w:pPr>
        <w:pStyle w:val="ListParagraph"/>
        <w:numPr>
          <w:ilvl w:val="0"/>
          <w:numId w:val="15"/>
        </w:numPr>
        <w:spacing w:before="60" w:after="120" w:line="240" w:lineRule="auto"/>
        <w:ind w:left="709"/>
        <w:rPr>
          <w:rFonts w:cstheme="minorHAnsi"/>
          <w:b/>
          <w:i/>
          <w:szCs w:val="24"/>
        </w:rPr>
      </w:pPr>
      <w:r w:rsidRPr="00DE14FC">
        <w:rPr>
          <w:rFonts w:cstheme="minorHAnsi"/>
          <w:b/>
          <w:i/>
          <w:szCs w:val="24"/>
        </w:rPr>
        <w:t>recruit and retain dentists, and other oral health practitioners, to work in regional and remote areas of Australia.</w:t>
      </w:r>
    </w:p>
    <w:p w14:paraId="20F77C59" w14:textId="54269806" w:rsidR="002115D3" w:rsidRPr="002115D3" w:rsidRDefault="002115D3" w:rsidP="00DE14FC">
      <w:pPr>
        <w:spacing w:before="60" w:after="120" w:line="240" w:lineRule="auto"/>
      </w:pPr>
      <w:r w:rsidRPr="3F1BD2E4">
        <w:t xml:space="preserve">The Government </w:t>
      </w:r>
      <w:r w:rsidR="00EC4675" w:rsidRPr="00EC4675">
        <w:rPr>
          <w:b/>
          <w:bCs/>
        </w:rPr>
        <w:t>supports</w:t>
      </w:r>
      <w:r w:rsidR="00EC4675">
        <w:t xml:space="preserve"> </w:t>
      </w:r>
      <w:r w:rsidR="00EC4675" w:rsidRPr="3F1BD2E4">
        <w:t>this</w:t>
      </w:r>
      <w:r w:rsidRPr="3F1BD2E4">
        <w:t xml:space="preserve"> recommendation</w:t>
      </w:r>
      <w:r w:rsidR="1433DE68">
        <w:t xml:space="preserve"> </w:t>
      </w:r>
      <w:r w:rsidR="1433DE68" w:rsidRPr="1473AA2E">
        <w:rPr>
          <w:b/>
          <w:bCs/>
        </w:rPr>
        <w:t>in</w:t>
      </w:r>
      <w:r w:rsidR="00BF3E0F">
        <w:rPr>
          <w:b/>
          <w:bCs/>
        </w:rPr>
        <w:t xml:space="preserve"> </w:t>
      </w:r>
      <w:r w:rsidR="1433DE68" w:rsidRPr="1473AA2E">
        <w:rPr>
          <w:b/>
          <w:bCs/>
        </w:rPr>
        <w:t>principle</w:t>
      </w:r>
      <w:r w:rsidRPr="3F1BD2E4">
        <w:t>.</w:t>
      </w:r>
    </w:p>
    <w:p w14:paraId="578B2AF1" w14:textId="67CE707C" w:rsidR="00A70F73" w:rsidRPr="00521F94" w:rsidRDefault="00C05F15" w:rsidP="00521F94">
      <w:pPr>
        <w:spacing w:before="60" w:after="120" w:line="240" w:lineRule="auto"/>
      </w:pPr>
      <w:r w:rsidRPr="1473AA2E">
        <w:t>The</w:t>
      </w:r>
      <w:r w:rsidR="0086143A" w:rsidRPr="1473AA2E">
        <w:t xml:space="preserve"> Government </w:t>
      </w:r>
      <w:r w:rsidRPr="1473AA2E">
        <w:t>recognises the critical health care workforce challenges in regional and remote areas of Australia</w:t>
      </w:r>
      <w:r w:rsidR="0086143A" w:rsidRPr="1473AA2E">
        <w:t xml:space="preserve"> and</w:t>
      </w:r>
      <w:r w:rsidRPr="1473AA2E">
        <w:t xml:space="preserve"> is committed to working in genuine partnership with the Aboriginal Community Controlled Health Sector and other key primary health </w:t>
      </w:r>
      <w:r w:rsidR="00EC4675" w:rsidRPr="1473AA2E">
        <w:t>stakeholders to</w:t>
      </w:r>
      <w:r w:rsidRPr="1473AA2E">
        <w:t xml:space="preserve"> help address the workforce challenges currently being faced in the remote communities.</w:t>
      </w:r>
      <w:r w:rsidR="00FF63D7" w:rsidRPr="1473AA2E">
        <w:t xml:space="preserve"> </w:t>
      </w:r>
    </w:p>
    <w:p w14:paraId="720B14A6" w14:textId="77777777" w:rsidR="00D45F76" w:rsidRPr="00DE14FC" w:rsidRDefault="00D45F76" w:rsidP="00D4484A">
      <w:pPr>
        <w:pStyle w:val="Heading2"/>
      </w:pPr>
      <w:r w:rsidRPr="00DE14FC">
        <w:t>Recommendation 33</w:t>
      </w:r>
    </w:p>
    <w:p w14:paraId="2E24093C" w14:textId="77777777" w:rsidR="00D45F76" w:rsidRPr="00DE14FC" w:rsidRDefault="00D45F76" w:rsidP="00DE14FC">
      <w:pPr>
        <w:spacing w:before="60" w:after="120" w:line="240" w:lineRule="auto"/>
        <w:rPr>
          <w:rFonts w:cstheme="minorHAnsi"/>
          <w:b/>
          <w:i/>
          <w:szCs w:val="24"/>
        </w:rPr>
      </w:pPr>
      <w:r w:rsidRPr="00DE14FC">
        <w:rPr>
          <w:rFonts w:cstheme="minorHAnsi"/>
          <w:b/>
          <w:i/>
          <w:szCs w:val="24"/>
        </w:rPr>
        <w:t>The committee recommends that the Australian Government appoints a Chief Dental and Oral Health Officer and establishes an Office of Dental and Oral Health in the Department of Health and Aged Care, to coordinate national reforms.</w:t>
      </w:r>
    </w:p>
    <w:p w14:paraId="4FABAC74" w14:textId="77777777" w:rsidR="009171A4" w:rsidRPr="00DE14FC" w:rsidRDefault="009171A4" w:rsidP="00DE14FC">
      <w:pPr>
        <w:spacing w:before="60" w:after="120" w:line="240" w:lineRule="auto"/>
        <w:rPr>
          <w:rFonts w:cstheme="minorHAnsi"/>
          <w:szCs w:val="24"/>
        </w:rPr>
      </w:pPr>
      <w:r w:rsidRPr="00DE14FC">
        <w:rPr>
          <w:rFonts w:cstheme="minorHAnsi"/>
          <w:szCs w:val="24"/>
        </w:rPr>
        <w:t xml:space="preserve">The Government </w:t>
      </w:r>
      <w:r w:rsidRPr="00DE14FC">
        <w:rPr>
          <w:rFonts w:cstheme="minorHAnsi"/>
          <w:b/>
          <w:bCs/>
          <w:szCs w:val="24"/>
        </w:rPr>
        <w:t xml:space="preserve">notes </w:t>
      </w:r>
      <w:r w:rsidRPr="00DE14FC">
        <w:rPr>
          <w:rFonts w:cstheme="minorHAnsi"/>
          <w:szCs w:val="24"/>
        </w:rPr>
        <w:t>this recommendation.</w:t>
      </w:r>
    </w:p>
    <w:p w14:paraId="592DB944" w14:textId="10E6410F" w:rsidR="00EC0E21" w:rsidRPr="00521F94" w:rsidRDefault="00EC0E21" w:rsidP="00DE14FC">
      <w:pPr>
        <w:spacing w:before="60" w:after="120" w:line="240" w:lineRule="auto"/>
      </w:pPr>
      <w:r w:rsidRPr="00DE14FC">
        <w:t xml:space="preserve">Currently, the Government seeks expert </w:t>
      </w:r>
      <w:r w:rsidR="782A58C1">
        <w:t xml:space="preserve">clinical </w:t>
      </w:r>
      <w:r w:rsidRPr="00DE14FC">
        <w:t xml:space="preserve">advice from the </w:t>
      </w:r>
      <w:r w:rsidR="16502254">
        <w:t>state and territory</w:t>
      </w:r>
      <w:r w:rsidRPr="00DE14FC">
        <w:t xml:space="preserve"> dental directors</w:t>
      </w:r>
      <w:r w:rsidR="00B10E94">
        <w:t>,</w:t>
      </w:r>
      <w:r w:rsidRPr="00DE14FC">
        <w:t xml:space="preserve"> internal dental advisors</w:t>
      </w:r>
      <w:r w:rsidR="0B80C98D">
        <w:t>,</w:t>
      </w:r>
      <w:r>
        <w:t xml:space="preserve"> </w:t>
      </w:r>
      <w:r w:rsidR="003C56B0">
        <w:t>and</w:t>
      </w:r>
      <w:r w:rsidR="458A92F6">
        <w:t xml:space="preserve"> the</w:t>
      </w:r>
      <w:r>
        <w:t xml:space="preserve"> </w:t>
      </w:r>
      <w:r w:rsidR="0051777B">
        <w:t>D</w:t>
      </w:r>
      <w:r w:rsidR="4BDEEE29">
        <w:t xml:space="preserve">ental </w:t>
      </w:r>
      <w:r w:rsidR="0051777B">
        <w:t>C</w:t>
      </w:r>
      <w:r w:rsidR="7DB7B5FF">
        <w:t xml:space="preserve">linical </w:t>
      </w:r>
      <w:r w:rsidR="0051777B">
        <w:t>A</w:t>
      </w:r>
      <w:r w:rsidR="040C1133">
        <w:t xml:space="preserve">dvisory </w:t>
      </w:r>
      <w:r w:rsidR="0051777B">
        <w:t>C</w:t>
      </w:r>
      <w:r w:rsidR="18E07C0B">
        <w:t>ommittee</w:t>
      </w:r>
      <w:r w:rsidR="0051777B">
        <w:t>.</w:t>
      </w:r>
    </w:p>
    <w:p w14:paraId="3A0B809D" w14:textId="77777777" w:rsidR="00D45F76" w:rsidRPr="00DE14FC" w:rsidRDefault="00D45F76" w:rsidP="00D4484A">
      <w:pPr>
        <w:pStyle w:val="Heading2"/>
      </w:pPr>
      <w:r w:rsidRPr="00D65FFF">
        <w:t>Recommendation 34</w:t>
      </w:r>
    </w:p>
    <w:p w14:paraId="6651E239" w14:textId="77777777" w:rsidR="00D45F76" w:rsidRPr="00DE14FC" w:rsidRDefault="00D45F76" w:rsidP="00DE14FC">
      <w:pPr>
        <w:spacing w:before="60" w:after="120" w:line="240" w:lineRule="auto"/>
        <w:rPr>
          <w:rFonts w:cstheme="minorHAnsi"/>
          <w:b/>
          <w:i/>
          <w:szCs w:val="24"/>
        </w:rPr>
      </w:pPr>
      <w:r w:rsidRPr="00DE14FC">
        <w:rPr>
          <w:rFonts w:cstheme="minorHAnsi"/>
          <w:b/>
          <w:i/>
          <w:szCs w:val="24"/>
        </w:rPr>
        <w:t>The committee recommends that the Department of Veterans' Affairs improves rebates provided to dental prosthetists to achieve parity with the rates paid to dentists, to correct the price discrepancy.</w:t>
      </w:r>
    </w:p>
    <w:p w14:paraId="6D91F11C" w14:textId="73675B09" w:rsidR="009171A4" w:rsidRPr="00DE14FC" w:rsidRDefault="009171A4" w:rsidP="00DE14FC">
      <w:pPr>
        <w:spacing w:before="60" w:after="120" w:line="240" w:lineRule="auto"/>
      </w:pPr>
      <w:r w:rsidRPr="3F1BD2E4">
        <w:t xml:space="preserve">The Government </w:t>
      </w:r>
      <w:r w:rsidRPr="3F1BD2E4">
        <w:rPr>
          <w:b/>
        </w:rPr>
        <w:t xml:space="preserve">notes </w:t>
      </w:r>
      <w:r w:rsidRPr="3F1BD2E4">
        <w:t>this recommendation.</w:t>
      </w:r>
    </w:p>
    <w:p w14:paraId="5D40BD7A" w14:textId="07FF2FD5" w:rsidR="5AAC7E5D" w:rsidRDefault="5AAC7E5D" w:rsidP="1473AA2E">
      <w:pPr>
        <w:spacing w:before="60" w:after="120" w:line="240" w:lineRule="auto"/>
      </w:pPr>
      <w:r w:rsidRPr="1473AA2E">
        <w:rPr>
          <w:rFonts w:eastAsiaTheme="minorEastAsia"/>
          <w:szCs w:val="24"/>
        </w:rPr>
        <w:t xml:space="preserve">Dental treatment has been a feature of the Department of Veteran’s Affairs health care arrangements since the inception of the repatriation program in 1918 with a number of changes from reviews into new or emerging trends. </w:t>
      </w:r>
    </w:p>
    <w:p w14:paraId="322250E7" w14:textId="09CECB6C" w:rsidR="5AAC7E5D" w:rsidRDefault="5AAC7E5D" w:rsidP="1473AA2E">
      <w:pPr>
        <w:spacing w:before="60" w:after="120" w:line="240" w:lineRule="auto"/>
      </w:pPr>
      <w:r w:rsidRPr="1473AA2E">
        <w:t xml:space="preserve">The DVA Dental Program supports the oral health of DVA clients who hold a Veteran Gold Card, or Veteran White Card with an accepted dental condition. </w:t>
      </w:r>
    </w:p>
    <w:p w14:paraId="0698F1FA" w14:textId="65038B18" w:rsidR="5AAC7E5D" w:rsidRDefault="5AAC7E5D" w:rsidP="1473AA2E">
      <w:pPr>
        <w:spacing w:before="60" w:after="120" w:line="240" w:lineRule="auto"/>
      </w:pPr>
      <w:r w:rsidRPr="1473AA2E">
        <w:t xml:space="preserve">The Program provides funding to participating dental providers on a fee-for-service basis, using two broad fee schedules, one for dentists and dental specialists and another for dental prosthetists. The schedules list a comprehensive suite of services, </w:t>
      </w:r>
      <w:r w:rsidR="00B27282" w:rsidRPr="1473AA2E">
        <w:t>including preventive</w:t>
      </w:r>
      <w:r w:rsidRPr="1473AA2E">
        <w:t xml:space="preserve"> treatment such as examinations and cleaning; simple treatment such as fillings and extractions; complex treatment such as crowns, bridges, implants and dentures; and treatment of oral diseases including gum disease and dental caries. </w:t>
      </w:r>
    </w:p>
    <w:p w14:paraId="04381933" w14:textId="06E1F3DD" w:rsidR="5AAC7E5D" w:rsidRDefault="5AAC7E5D" w:rsidP="1473AA2E">
      <w:pPr>
        <w:spacing w:before="60" w:after="120" w:line="240" w:lineRule="auto"/>
      </w:pPr>
      <w:r w:rsidRPr="1473AA2E">
        <w:t>In 2022-23, DVA provided over 52,000 dental prosthetic services to 10,400 clients at a cost of over $10 million. Of these services, 37 per cent were provided by dental prosthetists.</w:t>
      </w:r>
    </w:p>
    <w:p w14:paraId="30FF4ABF" w14:textId="39EB6228" w:rsidR="00C87C04" w:rsidRPr="00521F94" w:rsidRDefault="5AAC7E5D" w:rsidP="00DE14FC">
      <w:pPr>
        <w:spacing w:before="60" w:after="120" w:line="240" w:lineRule="auto"/>
      </w:pPr>
      <w:r w:rsidRPr="1473AA2E">
        <w:t>The Government acknowledges the current difference in remuneration between dental prosthetists and general dentists for delivering services under DVA dental arrangements.</w:t>
      </w:r>
    </w:p>
    <w:p w14:paraId="358453D0" w14:textId="77777777" w:rsidR="00D4484A" w:rsidRDefault="00D4484A" w:rsidP="00DE14FC">
      <w:pPr>
        <w:spacing w:before="60" w:after="120" w:line="240" w:lineRule="auto"/>
        <w:rPr>
          <w:rFonts w:cstheme="minorHAnsi"/>
          <w:b/>
          <w:szCs w:val="24"/>
        </w:rPr>
      </w:pPr>
      <w:r>
        <w:rPr>
          <w:rFonts w:cstheme="minorHAnsi"/>
          <w:b/>
          <w:szCs w:val="24"/>
        </w:rPr>
        <w:br w:type="page"/>
      </w:r>
    </w:p>
    <w:p w14:paraId="0736EEC9" w14:textId="18C0BFA1" w:rsidR="00D45F76" w:rsidRPr="00DE14FC" w:rsidRDefault="00D45F76" w:rsidP="00D4484A">
      <w:pPr>
        <w:pStyle w:val="Heading2"/>
      </w:pPr>
      <w:r w:rsidRPr="00DE14FC">
        <w:lastRenderedPageBreak/>
        <w:t>Recommendation 35</w:t>
      </w:r>
    </w:p>
    <w:p w14:paraId="7F35BDAD" w14:textId="34B9989A" w:rsidR="005163CD" w:rsidRPr="00DE14FC" w:rsidRDefault="00D45F76" w:rsidP="00DE14FC">
      <w:pPr>
        <w:spacing w:before="60" w:after="120" w:line="240" w:lineRule="auto"/>
        <w:rPr>
          <w:rFonts w:cstheme="minorHAnsi"/>
          <w:b/>
          <w:i/>
          <w:szCs w:val="24"/>
        </w:rPr>
      </w:pPr>
      <w:r w:rsidRPr="00DE14FC">
        <w:rPr>
          <w:rFonts w:cstheme="minorHAnsi"/>
          <w:b/>
          <w:i/>
          <w:szCs w:val="24"/>
        </w:rPr>
        <w:t>The committee recommends that the Australian Government works with the states and territories to achieve universal access to dental and oral health care, which expands coverage under Medicare or a similar scheme for essential oral health care, over time, in stages.</w:t>
      </w:r>
    </w:p>
    <w:p w14:paraId="6C0EE555" w14:textId="77777777" w:rsidR="009171A4" w:rsidRPr="00DE14FC" w:rsidRDefault="009171A4" w:rsidP="00DE14FC">
      <w:pPr>
        <w:spacing w:before="60" w:after="120" w:line="240" w:lineRule="auto"/>
        <w:rPr>
          <w:rFonts w:cstheme="minorHAnsi"/>
          <w:szCs w:val="24"/>
        </w:rPr>
      </w:pPr>
      <w:r w:rsidRPr="00DE14FC">
        <w:rPr>
          <w:rFonts w:cstheme="minorHAnsi"/>
          <w:szCs w:val="24"/>
        </w:rPr>
        <w:t xml:space="preserve">The Government </w:t>
      </w:r>
      <w:r w:rsidRPr="00DE14FC">
        <w:rPr>
          <w:rFonts w:cstheme="minorHAnsi"/>
          <w:b/>
          <w:bCs/>
          <w:szCs w:val="24"/>
        </w:rPr>
        <w:t xml:space="preserve">notes </w:t>
      </w:r>
      <w:r w:rsidRPr="00DE14FC">
        <w:rPr>
          <w:rFonts w:cstheme="minorHAnsi"/>
          <w:szCs w:val="24"/>
        </w:rPr>
        <w:t>this recommendation.</w:t>
      </w:r>
    </w:p>
    <w:p w14:paraId="0A4CD471" w14:textId="6845E5F3" w:rsidR="00280050" w:rsidRDefault="7B3E2B44" w:rsidP="0069232A">
      <w:pPr>
        <w:spacing w:before="60" w:after="120" w:line="240" w:lineRule="auto"/>
      </w:pPr>
      <w:r>
        <w:t xml:space="preserve">Governments are working together to </w:t>
      </w:r>
      <w:r w:rsidR="002951A9" w:rsidRPr="00DE14FC">
        <w:t xml:space="preserve">progress </w:t>
      </w:r>
      <w:r w:rsidR="00B3728A" w:rsidRPr="00DE14FC">
        <w:t xml:space="preserve">dental reform priorities including long-term funding options which </w:t>
      </w:r>
      <w:r w:rsidR="00860D3E" w:rsidRPr="00DE14FC">
        <w:t xml:space="preserve">would offer funding stability, enhance service accessibility, and assist state and territory governments in achieving </w:t>
      </w:r>
      <w:r w:rsidR="1122D6ED">
        <w:t>oral health</w:t>
      </w:r>
      <w:r w:rsidR="00860D3E">
        <w:t xml:space="preserve"> </w:t>
      </w:r>
      <w:r w:rsidR="00860D3E" w:rsidRPr="00DE14FC">
        <w:t>outcomes by means of improved service design, implementation, and workforce recruitment and retention.</w:t>
      </w:r>
      <w:r w:rsidR="47599FFF" w:rsidRPr="32183D3C">
        <w:t xml:space="preserve"> </w:t>
      </w:r>
      <w:r w:rsidR="2BE6799D">
        <w:t>Health Ministers are exploring opportunities to improve access to dental and oral health services, particularly for priority populations including First Nations people and older Australians.</w:t>
      </w:r>
    </w:p>
    <w:sectPr w:rsidR="00280050" w:rsidSect="00B05965">
      <w:footerReference w:type="default" r:id="rId10"/>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964386" w14:textId="77777777" w:rsidR="000F0436" w:rsidRDefault="000F0436" w:rsidP="005F5D6A">
      <w:pPr>
        <w:spacing w:after="0" w:line="240" w:lineRule="auto"/>
      </w:pPr>
      <w:r>
        <w:separator/>
      </w:r>
    </w:p>
  </w:endnote>
  <w:endnote w:type="continuationSeparator" w:id="0">
    <w:p w14:paraId="0D68D12E" w14:textId="77777777" w:rsidR="000F0436" w:rsidRDefault="000F0436" w:rsidP="005F5D6A">
      <w:pPr>
        <w:spacing w:after="0" w:line="240" w:lineRule="auto"/>
      </w:pPr>
      <w:r>
        <w:continuationSeparator/>
      </w:r>
    </w:p>
  </w:endnote>
  <w:endnote w:type="continuationNotice" w:id="1">
    <w:p w14:paraId="32F3AD42" w14:textId="77777777" w:rsidR="000F0436" w:rsidRDefault="000F04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0542221"/>
      <w:docPartObj>
        <w:docPartGallery w:val="Page Numbers (Bottom of Page)"/>
        <w:docPartUnique/>
      </w:docPartObj>
    </w:sdtPr>
    <w:sdtEndPr>
      <w:rPr>
        <w:noProof/>
      </w:rPr>
    </w:sdtEndPr>
    <w:sdtContent>
      <w:p w14:paraId="09340915" w14:textId="1026DC9D" w:rsidR="00414F3C" w:rsidRDefault="00414F3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587324" w14:textId="7F037A74" w:rsidR="00414F3C" w:rsidRDefault="00414F3C" w:rsidP="00414F3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5118628"/>
      <w:docPartObj>
        <w:docPartGallery w:val="Page Numbers (Bottom of Page)"/>
        <w:docPartUnique/>
      </w:docPartObj>
    </w:sdtPr>
    <w:sdtEndPr>
      <w:rPr>
        <w:noProof/>
      </w:rPr>
    </w:sdtEndPr>
    <w:sdtContent>
      <w:p w14:paraId="4560F3D5" w14:textId="77777777" w:rsidR="00B05965" w:rsidRDefault="00B059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77119D" w14:textId="77777777" w:rsidR="00B05965" w:rsidRDefault="00B059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8014C4" w14:textId="77777777" w:rsidR="000F0436" w:rsidRDefault="000F0436" w:rsidP="005F5D6A">
      <w:pPr>
        <w:spacing w:after="0" w:line="240" w:lineRule="auto"/>
      </w:pPr>
      <w:r>
        <w:separator/>
      </w:r>
    </w:p>
  </w:footnote>
  <w:footnote w:type="continuationSeparator" w:id="0">
    <w:p w14:paraId="04E703E8" w14:textId="77777777" w:rsidR="000F0436" w:rsidRDefault="000F0436" w:rsidP="005F5D6A">
      <w:pPr>
        <w:spacing w:after="0" w:line="240" w:lineRule="auto"/>
      </w:pPr>
      <w:r>
        <w:continuationSeparator/>
      </w:r>
    </w:p>
  </w:footnote>
  <w:footnote w:type="continuationNotice" w:id="1">
    <w:p w14:paraId="28CA6FBF" w14:textId="77777777" w:rsidR="000F0436" w:rsidRDefault="000F043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A3415"/>
    <w:multiLevelType w:val="hybridMultilevel"/>
    <w:tmpl w:val="8DCC48A8"/>
    <w:lvl w:ilvl="0" w:tplc="76B8E7B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1E36FC"/>
    <w:multiLevelType w:val="hybridMultilevel"/>
    <w:tmpl w:val="5E4AD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16FC76"/>
    <w:multiLevelType w:val="hybridMultilevel"/>
    <w:tmpl w:val="FFFFFFFF"/>
    <w:lvl w:ilvl="0" w:tplc="734CAA74">
      <w:start w:val="1"/>
      <w:numFmt w:val="bullet"/>
      <w:lvlText w:val=""/>
      <w:lvlJc w:val="left"/>
      <w:pPr>
        <w:ind w:left="360" w:hanging="360"/>
      </w:pPr>
      <w:rPr>
        <w:rFonts w:ascii="Symbol" w:hAnsi="Symbol" w:hint="default"/>
      </w:rPr>
    </w:lvl>
    <w:lvl w:ilvl="1" w:tplc="BD6C8812">
      <w:start w:val="1"/>
      <w:numFmt w:val="bullet"/>
      <w:lvlText w:val="o"/>
      <w:lvlJc w:val="left"/>
      <w:pPr>
        <w:ind w:left="1440" w:hanging="360"/>
      </w:pPr>
      <w:rPr>
        <w:rFonts w:ascii="Courier New" w:hAnsi="Courier New" w:hint="default"/>
      </w:rPr>
    </w:lvl>
    <w:lvl w:ilvl="2" w:tplc="B942BC6C">
      <w:start w:val="1"/>
      <w:numFmt w:val="bullet"/>
      <w:lvlText w:val=""/>
      <w:lvlJc w:val="left"/>
      <w:pPr>
        <w:ind w:left="2160" w:hanging="360"/>
      </w:pPr>
      <w:rPr>
        <w:rFonts w:ascii="Wingdings" w:hAnsi="Wingdings" w:hint="default"/>
      </w:rPr>
    </w:lvl>
    <w:lvl w:ilvl="3" w:tplc="05B651C4">
      <w:start w:val="1"/>
      <w:numFmt w:val="bullet"/>
      <w:lvlText w:val=""/>
      <w:lvlJc w:val="left"/>
      <w:pPr>
        <w:ind w:left="2880" w:hanging="360"/>
      </w:pPr>
      <w:rPr>
        <w:rFonts w:ascii="Symbol" w:hAnsi="Symbol" w:hint="default"/>
      </w:rPr>
    </w:lvl>
    <w:lvl w:ilvl="4" w:tplc="630C48A6">
      <w:start w:val="1"/>
      <w:numFmt w:val="bullet"/>
      <w:lvlText w:val="o"/>
      <w:lvlJc w:val="left"/>
      <w:pPr>
        <w:ind w:left="3600" w:hanging="360"/>
      </w:pPr>
      <w:rPr>
        <w:rFonts w:ascii="Courier New" w:hAnsi="Courier New" w:hint="default"/>
      </w:rPr>
    </w:lvl>
    <w:lvl w:ilvl="5" w:tplc="9842BDB4">
      <w:start w:val="1"/>
      <w:numFmt w:val="bullet"/>
      <w:lvlText w:val=""/>
      <w:lvlJc w:val="left"/>
      <w:pPr>
        <w:ind w:left="4320" w:hanging="360"/>
      </w:pPr>
      <w:rPr>
        <w:rFonts w:ascii="Wingdings" w:hAnsi="Wingdings" w:hint="default"/>
      </w:rPr>
    </w:lvl>
    <w:lvl w:ilvl="6" w:tplc="56A8D7D8">
      <w:start w:val="1"/>
      <w:numFmt w:val="bullet"/>
      <w:lvlText w:val=""/>
      <w:lvlJc w:val="left"/>
      <w:pPr>
        <w:ind w:left="5040" w:hanging="360"/>
      </w:pPr>
      <w:rPr>
        <w:rFonts w:ascii="Symbol" w:hAnsi="Symbol" w:hint="default"/>
      </w:rPr>
    </w:lvl>
    <w:lvl w:ilvl="7" w:tplc="0876F0DE">
      <w:start w:val="1"/>
      <w:numFmt w:val="bullet"/>
      <w:lvlText w:val="o"/>
      <w:lvlJc w:val="left"/>
      <w:pPr>
        <w:ind w:left="5760" w:hanging="360"/>
      </w:pPr>
      <w:rPr>
        <w:rFonts w:ascii="Courier New" w:hAnsi="Courier New" w:hint="default"/>
      </w:rPr>
    </w:lvl>
    <w:lvl w:ilvl="8" w:tplc="FBC42B3E">
      <w:start w:val="1"/>
      <w:numFmt w:val="bullet"/>
      <w:lvlText w:val=""/>
      <w:lvlJc w:val="left"/>
      <w:pPr>
        <w:ind w:left="6480" w:hanging="360"/>
      </w:pPr>
      <w:rPr>
        <w:rFonts w:ascii="Wingdings" w:hAnsi="Wingdings" w:hint="default"/>
      </w:rPr>
    </w:lvl>
  </w:abstractNum>
  <w:abstractNum w:abstractNumId="3" w15:restartNumberingAfterBreak="0">
    <w:nsid w:val="08EE3D07"/>
    <w:multiLevelType w:val="hybridMultilevel"/>
    <w:tmpl w:val="F67EE27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B168A7"/>
    <w:multiLevelType w:val="hybridMultilevel"/>
    <w:tmpl w:val="2B9ECD4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0BCE3F2F"/>
    <w:multiLevelType w:val="hybridMultilevel"/>
    <w:tmpl w:val="FFFFFFFF"/>
    <w:lvl w:ilvl="0" w:tplc="A1E0B2BC">
      <w:start w:val="6"/>
      <w:numFmt w:val="decimal"/>
      <w:lvlText w:val="%1."/>
      <w:lvlJc w:val="left"/>
      <w:pPr>
        <w:ind w:left="720" w:hanging="360"/>
      </w:pPr>
    </w:lvl>
    <w:lvl w:ilvl="1" w:tplc="79180792">
      <w:start w:val="1"/>
      <w:numFmt w:val="lowerLetter"/>
      <w:lvlText w:val="%2."/>
      <w:lvlJc w:val="left"/>
      <w:pPr>
        <w:ind w:left="1440" w:hanging="360"/>
      </w:pPr>
    </w:lvl>
    <w:lvl w:ilvl="2" w:tplc="C3F64BF2">
      <w:start w:val="1"/>
      <w:numFmt w:val="lowerRoman"/>
      <w:lvlText w:val="%3."/>
      <w:lvlJc w:val="right"/>
      <w:pPr>
        <w:ind w:left="2160" w:hanging="180"/>
      </w:pPr>
    </w:lvl>
    <w:lvl w:ilvl="3" w:tplc="DC66E3D8">
      <w:start w:val="1"/>
      <w:numFmt w:val="decimal"/>
      <w:lvlText w:val="%4."/>
      <w:lvlJc w:val="left"/>
      <w:pPr>
        <w:ind w:left="2880" w:hanging="360"/>
      </w:pPr>
    </w:lvl>
    <w:lvl w:ilvl="4" w:tplc="7DE2AC74">
      <w:start w:val="1"/>
      <w:numFmt w:val="lowerLetter"/>
      <w:lvlText w:val="%5."/>
      <w:lvlJc w:val="left"/>
      <w:pPr>
        <w:ind w:left="3600" w:hanging="360"/>
      </w:pPr>
    </w:lvl>
    <w:lvl w:ilvl="5" w:tplc="63C612E0">
      <w:start w:val="1"/>
      <w:numFmt w:val="lowerRoman"/>
      <w:lvlText w:val="%6."/>
      <w:lvlJc w:val="right"/>
      <w:pPr>
        <w:ind w:left="4320" w:hanging="180"/>
      </w:pPr>
    </w:lvl>
    <w:lvl w:ilvl="6" w:tplc="A25ADB5C">
      <w:start w:val="1"/>
      <w:numFmt w:val="decimal"/>
      <w:lvlText w:val="%7."/>
      <w:lvlJc w:val="left"/>
      <w:pPr>
        <w:ind w:left="5040" w:hanging="360"/>
      </w:pPr>
    </w:lvl>
    <w:lvl w:ilvl="7" w:tplc="FF0E7652">
      <w:start w:val="1"/>
      <w:numFmt w:val="lowerLetter"/>
      <w:lvlText w:val="%8."/>
      <w:lvlJc w:val="left"/>
      <w:pPr>
        <w:ind w:left="5760" w:hanging="360"/>
      </w:pPr>
    </w:lvl>
    <w:lvl w:ilvl="8" w:tplc="BFFE27C2">
      <w:start w:val="1"/>
      <w:numFmt w:val="lowerRoman"/>
      <w:lvlText w:val="%9."/>
      <w:lvlJc w:val="right"/>
      <w:pPr>
        <w:ind w:left="6480" w:hanging="180"/>
      </w:pPr>
    </w:lvl>
  </w:abstractNum>
  <w:abstractNum w:abstractNumId="6" w15:restartNumberingAfterBreak="0">
    <w:nsid w:val="0E6313B2"/>
    <w:multiLevelType w:val="hybridMultilevel"/>
    <w:tmpl w:val="D23CE756"/>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0EA21A48"/>
    <w:multiLevelType w:val="hybridMultilevel"/>
    <w:tmpl w:val="23BE884A"/>
    <w:lvl w:ilvl="0" w:tplc="BB066542">
      <w:numFmt w:val="bullet"/>
      <w:lvlText w:val="-"/>
      <w:lvlJc w:val="left"/>
      <w:pPr>
        <w:ind w:left="720" w:hanging="360"/>
      </w:pPr>
      <w:rPr>
        <w:rFonts w:ascii="Calibri" w:eastAsiaTheme="minorHAnsi" w:hAnsi="Calibri" w:cs="Calibri" w:hint="default"/>
        <w:b w:val="0"/>
        <w:sz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07D3291"/>
    <w:multiLevelType w:val="hybridMultilevel"/>
    <w:tmpl w:val="C2D060EE"/>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1576084"/>
    <w:multiLevelType w:val="hybridMultilevel"/>
    <w:tmpl w:val="D6D89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EF53E4"/>
    <w:multiLevelType w:val="hybridMultilevel"/>
    <w:tmpl w:val="0EB0F0F6"/>
    <w:lvl w:ilvl="0" w:tplc="FFFFFFFF">
      <w:start w:val="1"/>
      <w:numFmt w:val="bullet"/>
      <w:lvlText w:val=""/>
      <w:lvlJc w:val="left"/>
      <w:pPr>
        <w:ind w:left="360" w:hanging="360"/>
      </w:pPr>
      <w:rPr>
        <w:rFonts w:ascii="Symbol" w:hAnsi="Symbol" w:hint="default"/>
      </w:rPr>
    </w:lvl>
    <w:lvl w:ilvl="1" w:tplc="B47EBD2C">
      <w:start w:val="1"/>
      <w:numFmt w:val="bullet"/>
      <w:lvlText w:val=""/>
      <w:lvlJc w:val="left"/>
      <w:pPr>
        <w:ind w:left="680" w:hanging="283"/>
      </w:pPr>
      <w:rPr>
        <w:rFonts w:ascii="Wingdings" w:hAnsi="Wingdings"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1" w15:restartNumberingAfterBreak="0">
    <w:nsid w:val="158C57C6"/>
    <w:multiLevelType w:val="hybridMultilevel"/>
    <w:tmpl w:val="27EA80BE"/>
    <w:lvl w:ilvl="0" w:tplc="76B8E7B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A060A4"/>
    <w:multiLevelType w:val="hybridMultilevel"/>
    <w:tmpl w:val="A266B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8F109CC"/>
    <w:multiLevelType w:val="hybridMultilevel"/>
    <w:tmpl w:val="29DAF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BA37589"/>
    <w:multiLevelType w:val="hybridMultilevel"/>
    <w:tmpl w:val="73D0571E"/>
    <w:lvl w:ilvl="0" w:tplc="FFFFFFFF">
      <w:start w:val="1"/>
      <w:numFmt w:val="bullet"/>
      <w:lvlText w:val=""/>
      <w:lvlJc w:val="left"/>
      <w:pPr>
        <w:ind w:left="360" w:hanging="360"/>
      </w:pPr>
      <w:rPr>
        <w:rFonts w:ascii="Symbol" w:hAnsi="Symbol" w:hint="default"/>
      </w:rPr>
    </w:lvl>
    <w:lvl w:ilvl="1" w:tplc="0C090003">
      <w:start w:val="1"/>
      <w:numFmt w:val="bullet"/>
      <w:lvlText w:val="o"/>
      <w:lvlJc w:val="left"/>
      <w:pPr>
        <w:ind w:left="757"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5" w15:restartNumberingAfterBreak="0">
    <w:nsid w:val="1E5F4756"/>
    <w:multiLevelType w:val="hybridMultilevel"/>
    <w:tmpl w:val="C95C7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E37A22"/>
    <w:multiLevelType w:val="hybridMultilevel"/>
    <w:tmpl w:val="5C742D2A"/>
    <w:lvl w:ilvl="0" w:tplc="76B8E7B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1DB1143"/>
    <w:multiLevelType w:val="hybridMultilevel"/>
    <w:tmpl w:val="E0744A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32C0C93"/>
    <w:multiLevelType w:val="hybridMultilevel"/>
    <w:tmpl w:val="23A020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3757C8F"/>
    <w:multiLevelType w:val="hybridMultilevel"/>
    <w:tmpl w:val="7E88C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69A09CC"/>
    <w:multiLevelType w:val="hybridMultilevel"/>
    <w:tmpl w:val="2D7C7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72438A1"/>
    <w:multiLevelType w:val="hybridMultilevel"/>
    <w:tmpl w:val="61A21A4A"/>
    <w:lvl w:ilvl="0" w:tplc="76B8E7B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7C9EFAE"/>
    <w:multiLevelType w:val="hybridMultilevel"/>
    <w:tmpl w:val="FFFFFFFF"/>
    <w:lvl w:ilvl="0" w:tplc="3BBE5C0C">
      <w:start w:val="4"/>
      <w:numFmt w:val="decimal"/>
      <w:lvlText w:val="%1."/>
      <w:lvlJc w:val="left"/>
      <w:pPr>
        <w:ind w:left="720" w:hanging="360"/>
      </w:pPr>
    </w:lvl>
    <w:lvl w:ilvl="1" w:tplc="B442BBBE">
      <w:start w:val="1"/>
      <w:numFmt w:val="lowerLetter"/>
      <w:lvlText w:val="%2."/>
      <w:lvlJc w:val="left"/>
      <w:pPr>
        <w:ind w:left="1440" w:hanging="360"/>
      </w:pPr>
    </w:lvl>
    <w:lvl w:ilvl="2" w:tplc="DC240894">
      <w:start w:val="1"/>
      <w:numFmt w:val="lowerRoman"/>
      <w:lvlText w:val="%3."/>
      <w:lvlJc w:val="right"/>
      <w:pPr>
        <w:ind w:left="2160" w:hanging="180"/>
      </w:pPr>
    </w:lvl>
    <w:lvl w:ilvl="3" w:tplc="558A23FC">
      <w:start w:val="1"/>
      <w:numFmt w:val="decimal"/>
      <w:lvlText w:val="%4."/>
      <w:lvlJc w:val="left"/>
      <w:pPr>
        <w:ind w:left="2880" w:hanging="360"/>
      </w:pPr>
    </w:lvl>
    <w:lvl w:ilvl="4" w:tplc="E648E740">
      <w:start w:val="1"/>
      <w:numFmt w:val="lowerLetter"/>
      <w:lvlText w:val="%5."/>
      <w:lvlJc w:val="left"/>
      <w:pPr>
        <w:ind w:left="3600" w:hanging="360"/>
      </w:pPr>
    </w:lvl>
    <w:lvl w:ilvl="5" w:tplc="23FCEA7A">
      <w:start w:val="1"/>
      <w:numFmt w:val="lowerRoman"/>
      <w:lvlText w:val="%6."/>
      <w:lvlJc w:val="right"/>
      <w:pPr>
        <w:ind w:left="4320" w:hanging="180"/>
      </w:pPr>
    </w:lvl>
    <w:lvl w:ilvl="6" w:tplc="0892375A">
      <w:start w:val="1"/>
      <w:numFmt w:val="decimal"/>
      <w:lvlText w:val="%7."/>
      <w:lvlJc w:val="left"/>
      <w:pPr>
        <w:ind w:left="5040" w:hanging="360"/>
      </w:pPr>
    </w:lvl>
    <w:lvl w:ilvl="7" w:tplc="FE9C63AE">
      <w:start w:val="1"/>
      <w:numFmt w:val="lowerLetter"/>
      <w:lvlText w:val="%8."/>
      <w:lvlJc w:val="left"/>
      <w:pPr>
        <w:ind w:left="5760" w:hanging="360"/>
      </w:pPr>
    </w:lvl>
    <w:lvl w:ilvl="8" w:tplc="8D9AB3F0">
      <w:start w:val="1"/>
      <w:numFmt w:val="lowerRoman"/>
      <w:lvlText w:val="%9."/>
      <w:lvlJc w:val="right"/>
      <w:pPr>
        <w:ind w:left="6480" w:hanging="180"/>
      </w:pPr>
    </w:lvl>
  </w:abstractNum>
  <w:abstractNum w:abstractNumId="23" w15:restartNumberingAfterBreak="0">
    <w:nsid w:val="27EF2AC4"/>
    <w:multiLevelType w:val="hybridMultilevel"/>
    <w:tmpl w:val="C5B2E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A6D91A9"/>
    <w:multiLevelType w:val="hybridMultilevel"/>
    <w:tmpl w:val="FFFFFFFF"/>
    <w:lvl w:ilvl="0" w:tplc="ECA2A496">
      <w:start w:val="1"/>
      <w:numFmt w:val="bullet"/>
      <w:lvlText w:val=""/>
      <w:lvlJc w:val="left"/>
      <w:pPr>
        <w:ind w:left="720" w:hanging="360"/>
      </w:pPr>
      <w:rPr>
        <w:rFonts w:ascii="Symbol" w:hAnsi="Symbol" w:hint="default"/>
      </w:rPr>
    </w:lvl>
    <w:lvl w:ilvl="1" w:tplc="9B1ADDF2">
      <w:start w:val="1"/>
      <w:numFmt w:val="bullet"/>
      <w:lvlText w:val="o"/>
      <w:lvlJc w:val="left"/>
      <w:pPr>
        <w:ind w:left="1440" w:hanging="360"/>
      </w:pPr>
      <w:rPr>
        <w:rFonts w:ascii="Courier New" w:hAnsi="Courier New" w:hint="default"/>
      </w:rPr>
    </w:lvl>
    <w:lvl w:ilvl="2" w:tplc="15280C58">
      <w:start w:val="1"/>
      <w:numFmt w:val="bullet"/>
      <w:lvlText w:val=""/>
      <w:lvlJc w:val="left"/>
      <w:pPr>
        <w:ind w:left="2160" w:hanging="360"/>
      </w:pPr>
      <w:rPr>
        <w:rFonts w:ascii="Wingdings" w:hAnsi="Wingdings" w:hint="default"/>
      </w:rPr>
    </w:lvl>
    <w:lvl w:ilvl="3" w:tplc="10226838">
      <w:start w:val="1"/>
      <w:numFmt w:val="bullet"/>
      <w:lvlText w:val=""/>
      <w:lvlJc w:val="left"/>
      <w:pPr>
        <w:ind w:left="2880" w:hanging="360"/>
      </w:pPr>
      <w:rPr>
        <w:rFonts w:ascii="Symbol" w:hAnsi="Symbol" w:hint="default"/>
      </w:rPr>
    </w:lvl>
    <w:lvl w:ilvl="4" w:tplc="96DAD8F8">
      <w:start w:val="1"/>
      <w:numFmt w:val="bullet"/>
      <w:lvlText w:val="o"/>
      <w:lvlJc w:val="left"/>
      <w:pPr>
        <w:ind w:left="3600" w:hanging="360"/>
      </w:pPr>
      <w:rPr>
        <w:rFonts w:ascii="Courier New" w:hAnsi="Courier New" w:hint="default"/>
      </w:rPr>
    </w:lvl>
    <w:lvl w:ilvl="5" w:tplc="4D1E00F8">
      <w:start w:val="1"/>
      <w:numFmt w:val="bullet"/>
      <w:lvlText w:val=""/>
      <w:lvlJc w:val="left"/>
      <w:pPr>
        <w:ind w:left="4320" w:hanging="360"/>
      </w:pPr>
      <w:rPr>
        <w:rFonts w:ascii="Wingdings" w:hAnsi="Wingdings" w:hint="default"/>
      </w:rPr>
    </w:lvl>
    <w:lvl w:ilvl="6" w:tplc="A35A5F50">
      <w:start w:val="1"/>
      <w:numFmt w:val="bullet"/>
      <w:lvlText w:val=""/>
      <w:lvlJc w:val="left"/>
      <w:pPr>
        <w:ind w:left="5040" w:hanging="360"/>
      </w:pPr>
      <w:rPr>
        <w:rFonts w:ascii="Symbol" w:hAnsi="Symbol" w:hint="default"/>
      </w:rPr>
    </w:lvl>
    <w:lvl w:ilvl="7" w:tplc="D7CC67E2">
      <w:start w:val="1"/>
      <w:numFmt w:val="bullet"/>
      <w:lvlText w:val="o"/>
      <w:lvlJc w:val="left"/>
      <w:pPr>
        <w:ind w:left="5760" w:hanging="360"/>
      </w:pPr>
      <w:rPr>
        <w:rFonts w:ascii="Courier New" w:hAnsi="Courier New" w:hint="default"/>
      </w:rPr>
    </w:lvl>
    <w:lvl w:ilvl="8" w:tplc="C97E8D32">
      <w:start w:val="1"/>
      <w:numFmt w:val="bullet"/>
      <w:lvlText w:val=""/>
      <w:lvlJc w:val="left"/>
      <w:pPr>
        <w:ind w:left="6480" w:hanging="360"/>
      </w:pPr>
      <w:rPr>
        <w:rFonts w:ascii="Wingdings" w:hAnsi="Wingdings" w:hint="default"/>
      </w:rPr>
    </w:lvl>
  </w:abstractNum>
  <w:abstractNum w:abstractNumId="25" w15:restartNumberingAfterBreak="0">
    <w:nsid w:val="2BB1B4E9"/>
    <w:multiLevelType w:val="hybridMultilevel"/>
    <w:tmpl w:val="FFFFFFFF"/>
    <w:lvl w:ilvl="0" w:tplc="098A3A0A">
      <w:start w:val="1"/>
      <w:numFmt w:val="bullet"/>
      <w:lvlText w:val=""/>
      <w:lvlJc w:val="left"/>
      <w:pPr>
        <w:ind w:left="720" w:hanging="360"/>
      </w:pPr>
      <w:rPr>
        <w:rFonts w:ascii="Symbol" w:hAnsi="Symbol" w:hint="default"/>
      </w:rPr>
    </w:lvl>
    <w:lvl w:ilvl="1" w:tplc="F47CF4A4">
      <w:start w:val="1"/>
      <w:numFmt w:val="bullet"/>
      <w:lvlText w:val="o"/>
      <w:lvlJc w:val="left"/>
      <w:pPr>
        <w:ind w:left="1440" w:hanging="360"/>
      </w:pPr>
      <w:rPr>
        <w:rFonts w:ascii="Courier New" w:hAnsi="Courier New" w:hint="default"/>
      </w:rPr>
    </w:lvl>
    <w:lvl w:ilvl="2" w:tplc="DF7E8BB6">
      <w:start w:val="1"/>
      <w:numFmt w:val="bullet"/>
      <w:lvlText w:val=""/>
      <w:lvlJc w:val="left"/>
      <w:pPr>
        <w:ind w:left="2160" w:hanging="360"/>
      </w:pPr>
      <w:rPr>
        <w:rFonts w:ascii="Wingdings" w:hAnsi="Wingdings" w:hint="default"/>
      </w:rPr>
    </w:lvl>
    <w:lvl w:ilvl="3" w:tplc="36AEF894">
      <w:start w:val="1"/>
      <w:numFmt w:val="bullet"/>
      <w:lvlText w:val="·"/>
      <w:lvlJc w:val="left"/>
      <w:pPr>
        <w:ind w:left="2880" w:hanging="360"/>
      </w:pPr>
      <w:rPr>
        <w:rFonts w:ascii="Symbol" w:hAnsi="Symbol" w:hint="default"/>
      </w:rPr>
    </w:lvl>
    <w:lvl w:ilvl="4" w:tplc="FC481DF8">
      <w:start w:val="1"/>
      <w:numFmt w:val="bullet"/>
      <w:lvlText w:val="o"/>
      <w:lvlJc w:val="left"/>
      <w:pPr>
        <w:ind w:left="3600" w:hanging="360"/>
      </w:pPr>
      <w:rPr>
        <w:rFonts w:ascii="Courier New" w:hAnsi="Courier New" w:hint="default"/>
      </w:rPr>
    </w:lvl>
    <w:lvl w:ilvl="5" w:tplc="2E420B38">
      <w:start w:val="1"/>
      <w:numFmt w:val="bullet"/>
      <w:lvlText w:val=""/>
      <w:lvlJc w:val="left"/>
      <w:pPr>
        <w:ind w:left="4320" w:hanging="360"/>
      </w:pPr>
      <w:rPr>
        <w:rFonts w:ascii="Wingdings" w:hAnsi="Wingdings" w:hint="default"/>
      </w:rPr>
    </w:lvl>
    <w:lvl w:ilvl="6" w:tplc="AB62420E">
      <w:start w:val="1"/>
      <w:numFmt w:val="bullet"/>
      <w:lvlText w:val=""/>
      <w:lvlJc w:val="left"/>
      <w:pPr>
        <w:ind w:left="5040" w:hanging="360"/>
      </w:pPr>
      <w:rPr>
        <w:rFonts w:ascii="Symbol" w:hAnsi="Symbol" w:hint="default"/>
      </w:rPr>
    </w:lvl>
    <w:lvl w:ilvl="7" w:tplc="8A32259A">
      <w:start w:val="1"/>
      <w:numFmt w:val="bullet"/>
      <w:lvlText w:val="o"/>
      <w:lvlJc w:val="left"/>
      <w:pPr>
        <w:ind w:left="5760" w:hanging="360"/>
      </w:pPr>
      <w:rPr>
        <w:rFonts w:ascii="Courier New" w:hAnsi="Courier New" w:hint="default"/>
      </w:rPr>
    </w:lvl>
    <w:lvl w:ilvl="8" w:tplc="0D385F7A">
      <w:start w:val="1"/>
      <w:numFmt w:val="bullet"/>
      <w:lvlText w:val=""/>
      <w:lvlJc w:val="left"/>
      <w:pPr>
        <w:ind w:left="6480" w:hanging="360"/>
      </w:pPr>
      <w:rPr>
        <w:rFonts w:ascii="Wingdings" w:hAnsi="Wingdings" w:hint="default"/>
      </w:rPr>
    </w:lvl>
  </w:abstractNum>
  <w:abstractNum w:abstractNumId="26" w15:restartNumberingAfterBreak="0">
    <w:nsid w:val="2C560E30"/>
    <w:multiLevelType w:val="hybridMultilevel"/>
    <w:tmpl w:val="1908A2AA"/>
    <w:lvl w:ilvl="0" w:tplc="72E64024">
      <w:start w:val="1"/>
      <w:numFmt w:val="bullet"/>
      <w:lvlText w:val=""/>
      <w:lvlJc w:val="left"/>
      <w:pPr>
        <w:ind w:left="360" w:hanging="360"/>
      </w:pPr>
      <w:rPr>
        <w:rFonts w:ascii="Symbol" w:hAnsi="Symbol" w:hint="default"/>
      </w:rPr>
    </w:lvl>
    <w:lvl w:ilvl="1" w:tplc="196C8262" w:tentative="1">
      <w:start w:val="1"/>
      <w:numFmt w:val="bullet"/>
      <w:lvlText w:val="o"/>
      <w:lvlJc w:val="left"/>
      <w:pPr>
        <w:ind w:left="1080" w:hanging="360"/>
      </w:pPr>
      <w:rPr>
        <w:rFonts w:ascii="Courier New" w:hAnsi="Courier New" w:cs="Courier New" w:hint="default"/>
      </w:rPr>
    </w:lvl>
    <w:lvl w:ilvl="2" w:tplc="706A03D6" w:tentative="1">
      <w:start w:val="1"/>
      <w:numFmt w:val="bullet"/>
      <w:lvlText w:val=""/>
      <w:lvlJc w:val="left"/>
      <w:pPr>
        <w:ind w:left="1800" w:hanging="360"/>
      </w:pPr>
      <w:rPr>
        <w:rFonts w:ascii="Wingdings" w:hAnsi="Wingdings" w:hint="default"/>
      </w:rPr>
    </w:lvl>
    <w:lvl w:ilvl="3" w:tplc="7D5EE78C" w:tentative="1">
      <w:start w:val="1"/>
      <w:numFmt w:val="bullet"/>
      <w:lvlText w:val=""/>
      <w:lvlJc w:val="left"/>
      <w:pPr>
        <w:ind w:left="2520" w:hanging="360"/>
      </w:pPr>
      <w:rPr>
        <w:rFonts w:ascii="Symbol" w:hAnsi="Symbol" w:hint="default"/>
      </w:rPr>
    </w:lvl>
    <w:lvl w:ilvl="4" w:tplc="739EF8F8" w:tentative="1">
      <w:start w:val="1"/>
      <w:numFmt w:val="bullet"/>
      <w:lvlText w:val="o"/>
      <w:lvlJc w:val="left"/>
      <w:pPr>
        <w:ind w:left="3240" w:hanging="360"/>
      </w:pPr>
      <w:rPr>
        <w:rFonts w:ascii="Courier New" w:hAnsi="Courier New" w:cs="Courier New" w:hint="default"/>
      </w:rPr>
    </w:lvl>
    <w:lvl w:ilvl="5" w:tplc="F91A1BDE" w:tentative="1">
      <w:start w:val="1"/>
      <w:numFmt w:val="bullet"/>
      <w:lvlText w:val=""/>
      <w:lvlJc w:val="left"/>
      <w:pPr>
        <w:ind w:left="3960" w:hanging="360"/>
      </w:pPr>
      <w:rPr>
        <w:rFonts w:ascii="Wingdings" w:hAnsi="Wingdings" w:hint="default"/>
      </w:rPr>
    </w:lvl>
    <w:lvl w:ilvl="6" w:tplc="57AE3AA2" w:tentative="1">
      <w:start w:val="1"/>
      <w:numFmt w:val="bullet"/>
      <w:lvlText w:val=""/>
      <w:lvlJc w:val="left"/>
      <w:pPr>
        <w:ind w:left="4680" w:hanging="360"/>
      </w:pPr>
      <w:rPr>
        <w:rFonts w:ascii="Symbol" w:hAnsi="Symbol" w:hint="default"/>
      </w:rPr>
    </w:lvl>
    <w:lvl w:ilvl="7" w:tplc="ECA4010A" w:tentative="1">
      <w:start w:val="1"/>
      <w:numFmt w:val="bullet"/>
      <w:lvlText w:val="o"/>
      <w:lvlJc w:val="left"/>
      <w:pPr>
        <w:ind w:left="5400" w:hanging="360"/>
      </w:pPr>
      <w:rPr>
        <w:rFonts w:ascii="Courier New" w:hAnsi="Courier New" w:cs="Courier New" w:hint="default"/>
      </w:rPr>
    </w:lvl>
    <w:lvl w:ilvl="8" w:tplc="356845CA" w:tentative="1">
      <w:start w:val="1"/>
      <w:numFmt w:val="bullet"/>
      <w:lvlText w:val=""/>
      <w:lvlJc w:val="left"/>
      <w:pPr>
        <w:ind w:left="6120" w:hanging="360"/>
      </w:pPr>
      <w:rPr>
        <w:rFonts w:ascii="Wingdings" w:hAnsi="Wingdings" w:hint="default"/>
      </w:rPr>
    </w:lvl>
  </w:abstractNum>
  <w:abstractNum w:abstractNumId="27" w15:restartNumberingAfterBreak="0">
    <w:nsid w:val="2E053A81"/>
    <w:multiLevelType w:val="hybridMultilevel"/>
    <w:tmpl w:val="346C6BDA"/>
    <w:lvl w:ilvl="0" w:tplc="71F68F12">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2EAC8B89"/>
    <w:multiLevelType w:val="hybridMultilevel"/>
    <w:tmpl w:val="FFFFFFFF"/>
    <w:lvl w:ilvl="0" w:tplc="61600208">
      <w:start w:val="2"/>
      <w:numFmt w:val="decimal"/>
      <w:lvlText w:val="%1."/>
      <w:lvlJc w:val="left"/>
      <w:pPr>
        <w:ind w:left="720" w:hanging="360"/>
      </w:pPr>
    </w:lvl>
    <w:lvl w:ilvl="1" w:tplc="2D184E0C">
      <w:start w:val="1"/>
      <w:numFmt w:val="lowerLetter"/>
      <w:lvlText w:val="%2."/>
      <w:lvlJc w:val="left"/>
      <w:pPr>
        <w:ind w:left="1440" w:hanging="360"/>
      </w:pPr>
    </w:lvl>
    <w:lvl w:ilvl="2" w:tplc="AE382B3C">
      <w:start w:val="1"/>
      <w:numFmt w:val="lowerRoman"/>
      <w:lvlText w:val="%3."/>
      <w:lvlJc w:val="right"/>
      <w:pPr>
        <w:ind w:left="2160" w:hanging="180"/>
      </w:pPr>
    </w:lvl>
    <w:lvl w:ilvl="3" w:tplc="202EEC52">
      <w:start w:val="1"/>
      <w:numFmt w:val="decimal"/>
      <w:lvlText w:val="%4."/>
      <w:lvlJc w:val="left"/>
      <w:pPr>
        <w:ind w:left="2880" w:hanging="360"/>
      </w:pPr>
    </w:lvl>
    <w:lvl w:ilvl="4" w:tplc="A1CCA05A">
      <w:start w:val="1"/>
      <w:numFmt w:val="lowerLetter"/>
      <w:lvlText w:val="%5."/>
      <w:lvlJc w:val="left"/>
      <w:pPr>
        <w:ind w:left="3600" w:hanging="360"/>
      </w:pPr>
    </w:lvl>
    <w:lvl w:ilvl="5" w:tplc="10922196">
      <w:start w:val="1"/>
      <w:numFmt w:val="lowerRoman"/>
      <w:lvlText w:val="%6."/>
      <w:lvlJc w:val="right"/>
      <w:pPr>
        <w:ind w:left="4320" w:hanging="180"/>
      </w:pPr>
    </w:lvl>
    <w:lvl w:ilvl="6" w:tplc="D24419AA">
      <w:start w:val="1"/>
      <w:numFmt w:val="decimal"/>
      <w:lvlText w:val="%7."/>
      <w:lvlJc w:val="left"/>
      <w:pPr>
        <w:ind w:left="5040" w:hanging="360"/>
      </w:pPr>
    </w:lvl>
    <w:lvl w:ilvl="7" w:tplc="02C46ED6">
      <w:start w:val="1"/>
      <w:numFmt w:val="lowerLetter"/>
      <w:lvlText w:val="%8."/>
      <w:lvlJc w:val="left"/>
      <w:pPr>
        <w:ind w:left="5760" w:hanging="360"/>
      </w:pPr>
    </w:lvl>
    <w:lvl w:ilvl="8" w:tplc="9D160616">
      <w:start w:val="1"/>
      <w:numFmt w:val="lowerRoman"/>
      <w:lvlText w:val="%9."/>
      <w:lvlJc w:val="right"/>
      <w:pPr>
        <w:ind w:left="6480" w:hanging="180"/>
      </w:pPr>
    </w:lvl>
  </w:abstractNum>
  <w:abstractNum w:abstractNumId="29" w15:restartNumberingAfterBreak="0">
    <w:nsid w:val="2EFA8F7B"/>
    <w:multiLevelType w:val="hybridMultilevel"/>
    <w:tmpl w:val="FFFFFFFF"/>
    <w:lvl w:ilvl="0" w:tplc="5B7E4968">
      <w:start w:val="1"/>
      <w:numFmt w:val="bullet"/>
      <w:lvlText w:val=""/>
      <w:lvlJc w:val="left"/>
      <w:pPr>
        <w:ind w:left="720" w:hanging="360"/>
      </w:pPr>
      <w:rPr>
        <w:rFonts w:ascii="Symbol" w:hAnsi="Symbol" w:hint="default"/>
      </w:rPr>
    </w:lvl>
    <w:lvl w:ilvl="1" w:tplc="7DA81F16">
      <w:start w:val="1"/>
      <w:numFmt w:val="bullet"/>
      <w:lvlText w:val="o"/>
      <w:lvlJc w:val="left"/>
      <w:pPr>
        <w:ind w:left="1440" w:hanging="360"/>
      </w:pPr>
      <w:rPr>
        <w:rFonts w:ascii="Courier New" w:hAnsi="Courier New" w:hint="default"/>
      </w:rPr>
    </w:lvl>
    <w:lvl w:ilvl="2" w:tplc="F0A2046A">
      <w:start w:val="1"/>
      <w:numFmt w:val="bullet"/>
      <w:lvlText w:val=""/>
      <w:lvlJc w:val="left"/>
      <w:pPr>
        <w:ind w:left="2160" w:hanging="360"/>
      </w:pPr>
      <w:rPr>
        <w:rFonts w:ascii="Wingdings" w:hAnsi="Wingdings" w:hint="default"/>
      </w:rPr>
    </w:lvl>
    <w:lvl w:ilvl="3" w:tplc="D3725C22">
      <w:start w:val="1"/>
      <w:numFmt w:val="bullet"/>
      <w:lvlText w:val="·"/>
      <w:lvlJc w:val="left"/>
      <w:pPr>
        <w:ind w:left="2880" w:hanging="360"/>
      </w:pPr>
      <w:rPr>
        <w:rFonts w:ascii="Symbol" w:hAnsi="Symbol" w:hint="default"/>
      </w:rPr>
    </w:lvl>
    <w:lvl w:ilvl="4" w:tplc="EB5837EC">
      <w:start w:val="1"/>
      <w:numFmt w:val="bullet"/>
      <w:lvlText w:val="o"/>
      <w:lvlJc w:val="left"/>
      <w:pPr>
        <w:ind w:left="3600" w:hanging="360"/>
      </w:pPr>
      <w:rPr>
        <w:rFonts w:ascii="Courier New" w:hAnsi="Courier New" w:hint="default"/>
      </w:rPr>
    </w:lvl>
    <w:lvl w:ilvl="5" w:tplc="E52C63DE">
      <w:start w:val="1"/>
      <w:numFmt w:val="bullet"/>
      <w:lvlText w:val=""/>
      <w:lvlJc w:val="left"/>
      <w:pPr>
        <w:ind w:left="4320" w:hanging="360"/>
      </w:pPr>
      <w:rPr>
        <w:rFonts w:ascii="Wingdings" w:hAnsi="Wingdings" w:hint="default"/>
      </w:rPr>
    </w:lvl>
    <w:lvl w:ilvl="6" w:tplc="DAF46E48">
      <w:start w:val="1"/>
      <w:numFmt w:val="bullet"/>
      <w:lvlText w:val=""/>
      <w:lvlJc w:val="left"/>
      <w:pPr>
        <w:ind w:left="5040" w:hanging="360"/>
      </w:pPr>
      <w:rPr>
        <w:rFonts w:ascii="Symbol" w:hAnsi="Symbol" w:hint="default"/>
      </w:rPr>
    </w:lvl>
    <w:lvl w:ilvl="7" w:tplc="5386C1A0">
      <w:start w:val="1"/>
      <w:numFmt w:val="bullet"/>
      <w:lvlText w:val="o"/>
      <w:lvlJc w:val="left"/>
      <w:pPr>
        <w:ind w:left="5760" w:hanging="360"/>
      </w:pPr>
      <w:rPr>
        <w:rFonts w:ascii="Courier New" w:hAnsi="Courier New" w:hint="default"/>
      </w:rPr>
    </w:lvl>
    <w:lvl w:ilvl="8" w:tplc="91167ED0">
      <w:start w:val="1"/>
      <w:numFmt w:val="bullet"/>
      <w:lvlText w:val=""/>
      <w:lvlJc w:val="left"/>
      <w:pPr>
        <w:ind w:left="6480" w:hanging="360"/>
      </w:pPr>
      <w:rPr>
        <w:rFonts w:ascii="Wingdings" w:hAnsi="Wingdings" w:hint="default"/>
      </w:rPr>
    </w:lvl>
  </w:abstractNum>
  <w:abstractNum w:abstractNumId="30" w15:restartNumberingAfterBreak="0">
    <w:nsid w:val="2F11688D"/>
    <w:multiLevelType w:val="hybridMultilevel"/>
    <w:tmpl w:val="6844757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303C30E4"/>
    <w:multiLevelType w:val="hybridMultilevel"/>
    <w:tmpl w:val="8F9A9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0C0320D"/>
    <w:multiLevelType w:val="hybridMultilevel"/>
    <w:tmpl w:val="FFFFFFFF"/>
    <w:lvl w:ilvl="0" w:tplc="8FA0632E">
      <w:start w:val="1"/>
      <w:numFmt w:val="bullet"/>
      <w:lvlText w:val=""/>
      <w:lvlJc w:val="left"/>
      <w:pPr>
        <w:ind w:left="720" w:hanging="360"/>
      </w:pPr>
      <w:rPr>
        <w:rFonts w:ascii="Symbol" w:hAnsi="Symbol" w:hint="default"/>
      </w:rPr>
    </w:lvl>
    <w:lvl w:ilvl="1" w:tplc="4C8AA062">
      <w:start w:val="1"/>
      <w:numFmt w:val="bullet"/>
      <w:lvlText w:val="o"/>
      <w:lvlJc w:val="left"/>
      <w:pPr>
        <w:ind w:left="1440" w:hanging="360"/>
      </w:pPr>
      <w:rPr>
        <w:rFonts w:ascii="Courier New" w:hAnsi="Courier New" w:hint="default"/>
      </w:rPr>
    </w:lvl>
    <w:lvl w:ilvl="2" w:tplc="45983ACE">
      <w:start w:val="1"/>
      <w:numFmt w:val="bullet"/>
      <w:lvlText w:val=""/>
      <w:lvlJc w:val="left"/>
      <w:pPr>
        <w:ind w:left="2160" w:hanging="360"/>
      </w:pPr>
      <w:rPr>
        <w:rFonts w:ascii="Wingdings" w:hAnsi="Wingdings" w:hint="default"/>
      </w:rPr>
    </w:lvl>
    <w:lvl w:ilvl="3" w:tplc="4758661E">
      <w:start w:val="1"/>
      <w:numFmt w:val="bullet"/>
      <w:lvlText w:val="·"/>
      <w:lvlJc w:val="left"/>
      <w:pPr>
        <w:ind w:left="2880" w:hanging="360"/>
      </w:pPr>
      <w:rPr>
        <w:rFonts w:ascii="Symbol" w:hAnsi="Symbol" w:hint="default"/>
      </w:rPr>
    </w:lvl>
    <w:lvl w:ilvl="4" w:tplc="FBD6D2FA">
      <w:start w:val="1"/>
      <w:numFmt w:val="bullet"/>
      <w:lvlText w:val="o"/>
      <w:lvlJc w:val="left"/>
      <w:pPr>
        <w:ind w:left="3600" w:hanging="360"/>
      </w:pPr>
      <w:rPr>
        <w:rFonts w:ascii="Courier New" w:hAnsi="Courier New" w:hint="default"/>
      </w:rPr>
    </w:lvl>
    <w:lvl w:ilvl="5" w:tplc="6430EAEA">
      <w:start w:val="1"/>
      <w:numFmt w:val="bullet"/>
      <w:lvlText w:val=""/>
      <w:lvlJc w:val="left"/>
      <w:pPr>
        <w:ind w:left="4320" w:hanging="360"/>
      </w:pPr>
      <w:rPr>
        <w:rFonts w:ascii="Wingdings" w:hAnsi="Wingdings" w:hint="default"/>
      </w:rPr>
    </w:lvl>
    <w:lvl w:ilvl="6" w:tplc="D164A4A4">
      <w:start w:val="1"/>
      <w:numFmt w:val="bullet"/>
      <w:lvlText w:val=""/>
      <w:lvlJc w:val="left"/>
      <w:pPr>
        <w:ind w:left="5040" w:hanging="360"/>
      </w:pPr>
      <w:rPr>
        <w:rFonts w:ascii="Symbol" w:hAnsi="Symbol" w:hint="default"/>
      </w:rPr>
    </w:lvl>
    <w:lvl w:ilvl="7" w:tplc="B262DD46">
      <w:start w:val="1"/>
      <w:numFmt w:val="bullet"/>
      <w:lvlText w:val="o"/>
      <w:lvlJc w:val="left"/>
      <w:pPr>
        <w:ind w:left="5760" w:hanging="360"/>
      </w:pPr>
      <w:rPr>
        <w:rFonts w:ascii="Courier New" w:hAnsi="Courier New" w:hint="default"/>
      </w:rPr>
    </w:lvl>
    <w:lvl w:ilvl="8" w:tplc="6FBA97C4">
      <w:start w:val="1"/>
      <w:numFmt w:val="bullet"/>
      <w:lvlText w:val=""/>
      <w:lvlJc w:val="left"/>
      <w:pPr>
        <w:ind w:left="6480" w:hanging="360"/>
      </w:pPr>
      <w:rPr>
        <w:rFonts w:ascii="Wingdings" w:hAnsi="Wingdings" w:hint="default"/>
      </w:rPr>
    </w:lvl>
  </w:abstractNum>
  <w:abstractNum w:abstractNumId="33" w15:restartNumberingAfterBreak="0">
    <w:nsid w:val="31A72210"/>
    <w:multiLevelType w:val="hybridMultilevel"/>
    <w:tmpl w:val="9AF07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2C02EE9"/>
    <w:multiLevelType w:val="hybridMultilevel"/>
    <w:tmpl w:val="ADAEA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98903CB"/>
    <w:multiLevelType w:val="hybridMultilevel"/>
    <w:tmpl w:val="4BBA7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A3E1525"/>
    <w:multiLevelType w:val="hybridMultilevel"/>
    <w:tmpl w:val="E0C44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F1666C3"/>
    <w:multiLevelType w:val="hybridMultilevel"/>
    <w:tmpl w:val="89D08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FAE3B8E"/>
    <w:multiLevelType w:val="hybridMultilevel"/>
    <w:tmpl w:val="06DC8404"/>
    <w:lvl w:ilvl="0" w:tplc="EFBA5BAC">
      <w:start w:val="1"/>
      <w:numFmt w:val="bullet"/>
      <w:lvlText w:val=""/>
      <w:lvlJc w:val="left"/>
      <w:pPr>
        <w:ind w:left="1440" w:hanging="360"/>
      </w:pPr>
      <w:rPr>
        <w:rFonts w:ascii="Symbol" w:hAnsi="Symbol"/>
      </w:rPr>
    </w:lvl>
    <w:lvl w:ilvl="1" w:tplc="61C2D418">
      <w:start w:val="1"/>
      <w:numFmt w:val="bullet"/>
      <w:lvlText w:val=""/>
      <w:lvlJc w:val="left"/>
      <w:pPr>
        <w:ind w:left="1440" w:hanging="360"/>
      </w:pPr>
      <w:rPr>
        <w:rFonts w:ascii="Symbol" w:hAnsi="Symbol"/>
      </w:rPr>
    </w:lvl>
    <w:lvl w:ilvl="2" w:tplc="4EF69E92">
      <w:start w:val="1"/>
      <w:numFmt w:val="bullet"/>
      <w:lvlText w:val=""/>
      <w:lvlJc w:val="left"/>
      <w:pPr>
        <w:ind w:left="1440" w:hanging="360"/>
      </w:pPr>
      <w:rPr>
        <w:rFonts w:ascii="Symbol" w:hAnsi="Symbol"/>
      </w:rPr>
    </w:lvl>
    <w:lvl w:ilvl="3" w:tplc="F816F0EC">
      <w:start w:val="1"/>
      <w:numFmt w:val="bullet"/>
      <w:lvlText w:val=""/>
      <w:lvlJc w:val="left"/>
      <w:pPr>
        <w:ind w:left="1440" w:hanging="360"/>
      </w:pPr>
      <w:rPr>
        <w:rFonts w:ascii="Symbol" w:hAnsi="Symbol"/>
      </w:rPr>
    </w:lvl>
    <w:lvl w:ilvl="4" w:tplc="440CE7BA">
      <w:start w:val="1"/>
      <w:numFmt w:val="bullet"/>
      <w:lvlText w:val=""/>
      <w:lvlJc w:val="left"/>
      <w:pPr>
        <w:ind w:left="1440" w:hanging="360"/>
      </w:pPr>
      <w:rPr>
        <w:rFonts w:ascii="Symbol" w:hAnsi="Symbol"/>
      </w:rPr>
    </w:lvl>
    <w:lvl w:ilvl="5" w:tplc="82C2AD8A">
      <w:start w:val="1"/>
      <w:numFmt w:val="bullet"/>
      <w:lvlText w:val=""/>
      <w:lvlJc w:val="left"/>
      <w:pPr>
        <w:ind w:left="1440" w:hanging="360"/>
      </w:pPr>
      <w:rPr>
        <w:rFonts w:ascii="Symbol" w:hAnsi="Symbol"/>
      </w:rPr>
    </w:lvl>
    <w:lvl w:ilvl="6" w:tplc="F4C4B538">
      <w:start w:val="1"/>
      <w:numFmt w:val="bullet"/>
      <w:lvlText w:val=""/>
      <w:lvlJc w:val="left"/>
      <w:pPr>
        <w:ind w:left="1440" w:hanging="360"/>
      </w:pPr>
      <w:rPr>
        <w:rFonts w:ascii="Symbol" w:hAnsi="Symbol"/>
      </w:rPr>
    </w:lvl>
    <w:lvl w:ilvl="7" w:tplc="D4508E08">
      <w:start w:val="1"/>
      <w:numFmt w:val="bullet"/>
      <w:lvlText w:val=""/>
      <w:lvlJc w:val="left"/>
      <w:pPr>
        <w:ind w:left="1440" w:hanging="360"/>
      </w:pPr>
      <w:rPr>
        <w:rFonts w:ascii="Symbol" w:hAnsi="Symbol"/>
      </w:rPr>
    </w:lvl>
    <w:lvl w:ilvl="8" w:tplc="74C6527E">
      <w:start w:val="1"/>
      <w:numFmt w:val="bullet"/>
      <w:lvlText w:val=""/>
      <w:lvlJc w:val="left"/>
      <w:pPr>
        <w:ind w:left="1440" w:hanging="360"/>
      </w:pPr>
      <w:rPr>
        <w:rFonts w:ascii="Symbol" w:hAnsi="Symbol"/>
      </w:rPr>
    </w:lvl>
  </w:abstractNum>
  <w:abstractNum w:abstractNumId="39" w15:restartNumberingAfterBreak="0">
    <w:nsid w:val="40E72594"/>
    <w:multiLevelType w:val="hybridMultilevel"/>
    <w:tmpl w:val="DC66C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2242982"/>
    <w:multiLevelType w:val="hybridMultilevel"/>
    <w:tmpl w:val="47423790"/>
    <w:lvl w:ilvl="0" w:tplc="76B8E7B0">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457D13E4"/>
    <w:multiLevelType w:val="hybridMultilevel"/>
    <w:tmpl w:val="205AA3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C0122574">
      <w:numFmt w:val="bullet"/>
      <w:lvlText w:val="•"/>
      <w:lvlJc w:val="left"/>
      <w:pPr>
        <w:ind w:left="2160" w:hanging="360"/>
      </w:pPr>
      <w:rPr>
        <w:rFonts w:ascii="Calibri" w:eastAsiaTheme="minorHAnsi" w:hAnsi="Calibri"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BF9646D"/>
    <w:multiLevelType w:val="hybridMultilevel"/>
    <w:tmpl w:val="593EF61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4F257EE9"/>
    <w:multiLevelType w:val="hybridMultilevel"/>
    <w:tmpl w:val="6F20BFE6"/>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4" w15:restartNumberingAfterBreak="0">
    <w:nsid w:val="4FEE2323"/>
    <w:multiLevelType w:val="hybridMultilevel"/>
    <w:tmpl w:val="7CCE63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5" w15:restartNumberingAfterBreak="0">
    <w:nsid w:val="509B1E1D"/>
    <w:multiLevelType w:val="hybridMultilevel"/>
    <w:tmpl w:val="F1EEFA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16F49C4"/>
    <w:multiLevelType w:val="hybridMultilevel"/>
    <w:tmpl w:val="48CC1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5BB35D7"/>
    <w:multiLevelType w:val="hybridMultilevel"/>
    <w:tmpl w:val="58448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6262F08"/>
    <w:multiLevelType w:val="hybridMultilevel"/>
    <w:tmpl w:val="1B561B72"/>
    <w:lvl w:ilvl="0" w:tplc="76B8E7B0">
      <w:numFmt w:val="bullet"/>
      <w:lvlText w:val="-"/>
      <w:lvlJc w:val="left"/>
      <w:pPr>
        <w:ind w:left="1080" w:hanging="360"/>
      </w:pPr>
      <w:rPr>
        <w:rFonts w:ascii="Calibri" w:eastAsiaTheme="minorHAnsi"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9" w15:restartNumberingAfterBreak="0">
    <w:nsid w:val="586C793E"/>
    <w:multiLevelType w:val="hybridMultilevel"/>
    <w:tmpl w:val="3DB6E9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B022822"/>
    <w:multiLevelType w:val="hybridMultilevel"/>
    <w:tmpl w:val="D35E6B20"/>
    <w:lvl w:ilvl="0" w:tplc="76B8E7B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BB1CDD3"/>
    <w:multiLevelType w:val="hybridMultilevel"/>
    <w:tmpl w:val="FFFFFFFF"/>
    <w:lvl w:ilvl="0" w:tplc="26ECAEEC">
      <w:start w:val="7"/>
      <w:numFmt w:val="decimal"/>
      <w:lvlText w:val="%1."/>
      <w:lvlJc w:val="left"/>
      <w:pPr>
        <w:ind w:left="720" w:hanging="360"/>
      </w:pPr>
    </w:lvl>
    <w:lvl w:ilvl="1" w:tplc="39608448">
      <w:start w:val="1"/>
      <w:numFmt w:val="lowerLetter"/>
      <w:lvlText w:val="%2."/>
      <w:lvlJc w:val="left"/>
      <w:pPr>
        <w:ind w:left="1440" w:hanging="360"/>
      </w:pPr>
    </w:lvl>
    <w:lvl w:ilvl="2" w:tplc="3F8642FA">
      <w:start w:val="1"/>
      <w:numFmt w:val="lowerRoman"/>
      <w:lvlText w:val="%3."/>
      <w:lvlJc w:val="right"/>
      <w:pPr>
        <w:ind w:left="2160" w:hanging="180"/>
      </w:pPr>
    </w:lvl>
    <w:lvl w:ilvl="3" w:tplc="BBCC054E">
      <w:start w:val="1"/>
      <w:numFmt w:val="decimal"/>
      <w:lvlText w:val="%4."/>
      <w:lvlJc w:val="left"/>
      <w:pPr>
        <w:ind w:left="2880" w:hanging="360"/>
      </w:pPr>
    </w:lvl>
    <w:lvl w:ilvl="4" w:tplc="C0C283A0">
      <w:start w:val="1"/>
      <w:numFmt w:val="lowerLetter"/>
      <w:lvlText w:val="%5."/>
      <w:lvlJc w:val="left"/>
      <w:pPr>
        <w:ind w:left="3600" w:hanging="360"/>
      </w:pPr>
    </w:lvl>
    <w:lvl w:ilvl="5" w:tplc="F5D20D9E">
      <w:start w:val="1"/>
      <w:numFmt w:val="lowerRoman"/>
      <w:lvlText w:val="%6."/>
      <w:lvlJc w:val="right"/>
      <w:pPr>
        <w:ind w:left="4320" w:hanging="180"/>
      </w:pPr>
    </w:lvl>
    <w:lvl w:ilvl="6" w:tplc="E214D140">
      <w:start w:val="1"/>
      <w:numFmt w:val="decimal"/>
      <w:lvlText w:val="%7."/>
      <w:lvlJc w:val="left"/>
      <w:pPr>
        <w:ind w:left="5040" w:hanging="360"/>
      </w:pPr>
    </w:lvl>
    <w:lvl w:ilvl="7" w:tplc="054814D2">
      <w:start w:val="1"/>
      <w:numFmt w:val="lowerLetter"/>
      <w:lvlText w:val="%8."/>
      <w:lvlJc w:val="left"/>
      <w:pPr>
        <w:ind w:left="5760" w:hanging="360"/>
      </w:pPr>
    </w:lvl>
    <w:lvl w:ilvl="8" w:tplc="1E446724">
      <w:start w:val="1"/>
      <w:numFmt w:val="lowerRoman"/>
      <w:lvlText w:val="%9."/>
      <w:lvlJc w:val="right"/>
      <w:pPr>
        <w:ind w:left="6480" w:hanging="180"/>
      </w:pPr>
    </w:lvl>
  </w:abstractNum>
  <w:abstractNum w:abstractNumId="52" w15:restartNumberingAfterBreak="0">
    <w:nsid w:val="5DE0265E"/>
    <w:multiLevelType w:val="hybridMultilevel"/>
    <w:tmpl w:val="FFFFFFFF"/>
    <w:lvl w:ilvl="0" w:tplc="2F9272D2">
      <w:start w:val="1"/>
      <w:numFmt w:val="decimal"/>
      <w:lvlText w:val="%1."/>
      <w:lvlJc w:val="left"/>
      <w:pPr>
        <w:ind w:left="720" w:hanging="360"/>
      </w:pPr>
    </w:lvl>
    <w:lvl w:ilvl="1" w:tplc="802C8ED0">
      <w:start w:val="1"/>
      <w:numFmt w:val="lowerLetter"/>
      <w:lvlText w:val="%2."/>
      <w:lvlJc w:val="left"/>
      <w:pPr>
        <w:ind w:left="1440" w:hanging="360"/>
      </w:pPr>
    </w:lvl>
    <w:lvl w:ilvl="2" w:tplc="50A67258">
      <w:start w:val="1"/>
      <w:numFmt w:val="lowerRoman"/>
      <w:lvlText w:val="%3."/>
      <w:lvlJc w:val="right"/>
      <w:pPr>
        <w:ind w:left="2160" w:hanging="180"/>
      </w:pPr>
    </w:lvl>
    <w:lvl w:ilvl="3" w:tplc="053AF122">
      <w:start w:val="1"/>
      <w:numFmt w:val="decimal"/>
      <w:lvlText w:val="%4."/>
      <w:lvlJc w:val="left"/>
      <w:pPr>
        <w:ind w:left="2880" w:hanging="360"/>
      </w:pPr>
    </w:lvl>
    <w:lvl w:ilvl="4" w:tplc="3DFA1C16">
      <w:start w:val="1"/>
      <w:numFmt w:val="lowerLetter"/>
      <w:lvlText w:val="%5."/>
      <w:lvlJc w:val="left"/>
      <w:pPr>
        <w:ind w:left="3600" w:hanging="360"/>
      </w:pPr>
    </w:lvl>
    <w:lvl w:ilvl="5" w:tplc="F8B4CF50">
      <w:start w:val="1"/>
      <w:numFmt w:val="lowerRoman"/>
      <w:lvlText w:val="%6."/>
      <w:lvlJc w:val="right"/>
      <w:pPr>
        <w:ind w:left="4320" w:hanging="180"/>
      </w:pPr>
    </w:lvl>
    <w:lvl w:ilvl="6" w:tplc="AD4A8C5C">
      <w:start w:val="1"/>
      <w:numFmt w:val="decimal"/>
      <w:lvlText w:val="%7."/>
      <w:lvlJc w:val="left"/>
      <w:pPr>
        <w:ind w:left="5040" w:hanging="360"/>
      </w:pPr>
    </w:lvl>
    <w:lvl w:ilvl="7" w:tplc="2FCAE6AC">
      <w:start w:val="1"/>
      <w:numFmt w:val="lowerLetter"/>
      <w:lvlText w:val="%8."/>
      <w:lvlJc w:val="left"/>
      <w:pPr>
        <w:ind w:left="5760" w:hanging="360"/>
      </w:pPr>
    </w:lvl>
    <w:lvl w:ilvl="8" w:tplc="DAA21A82">
      <w:start w:val="1"/>
      <w:numFmt w:val="lowerRoman"/>
      <w:lvlText w:val="%9."/>
      <w:lvlJc w:val="right"/>
      <w:pPr>
        <w:ind w:left="6480" w:hanging="180"/>
      </w:pPr>
    </w:lvl>
  </w:abstractNum>
  <w:abstractNum w:abstractNumId="53" w15:restartNumberingAfterBreak="0">
    <w:nsid w:val="5F1D2BEF"/>
    <w:multiLevelType w:val="hybridMultilevel"/>
    <w:tmpl w:val="A1AEFD44"/>
    <w:lvl w:ilvl="0" w:tplc="0C090001">
      <w:start w:val="1"/>
      <w:numFmt w:val="bullet"/>
      <w:lvlText w:val=""/>
      <w:lvlJc w:val="left"/>
      <w:pPr>
        <w:ind w:left="360" w:hanging="360"/>
      </w:pPr>
      <w:rPr>
        <w:rFonts w:ascii="Symbol" w:hAnsi="Symbol" w:hint="default"/>
      </w:rPr>
    </w:lvl>
    <w:lvl w:ilvl="1" w:tplc="0C09000B">
      <w:start w:val="1"/>
      <w:numFmt w:val="bullet"/>
      <w:lvlText w:val=""/>
      <w:lvlJc w:val="left"/>
      <w:pPr>
        <w:ind w:left="1080" w:hanging="360"/>
      </w:pPr>
      <w:rPr>
        <w:rFonts w:ascii="Wingdings" w:hAnsi="Wingdings"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4" w15:restartNumberingAfterBreak="0">
    <w:nsid w:val="5F981C7C"/>
    <w:multiLevelType w:val="hybridMultilevel"/>
    <w:tmpl w:val="371480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FB14E51"/>
    <w:multiLevelType w:val="hybridMultilevel"/>
    <w:tmpl w:val="1CAA2C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6" w15:restartNumberingAfterBreak="0">
    <w:nsid w:val="5FBE478F"/>
    <w:multiLevelType w:val="hybridMultilevel"/>
    <w:tmpl w:val="EEF4C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5FC42BAA"/>
    <w:multiLevelType w:val="hybridMultilevel"/>
    <w:tmpl w:val="FFFFFFFF"/>
    <w:lvl w:ilvl="0" w:tplc="23889772">
      <w:start w:val="1"/>
      <w:numFmt w:val="bullet"/>
      <w:lvlText w:val=""/>
      <w:lvlJc w:val="left"/>
      <w:pPr>
        <w:ind w:left="720" w:hanging="360"/>
      </w:pPr>
      <w:rPr>
        <w:rFonts w:ascii="Symbol" w:hAnsi="Symbol" w:hint="default"/>
      </w:rPr>
    </w:lvl>
    <w:lvl w:ilvl="1" w:tplc="97DE9C60">
      <w:start w:val="1"/>
      <w:numFmt w:val="bullet"/>
      <w:lvlText w:val="o"/>
      <w:lvlJc w:val="left"/>
      <w:pPr>
        <w:ind w:left="1440" w:hanging="360"/>
      </w:pPr>
      <w:rPr>
        <w:rFonts w:ascii="Courier New" w:hAnsi="Courier New" w:hint="default"/>
      </w:rPr>
    </w:lvl>
    <w:lvl w:ilvl="2" w:tplc="8C8C806C">
      <w:start w:val="1"/>
      <w:numFmt w:val="bullet"/>
      <w:lvlText w:val=""/>
      <w:lvlJc w:val="left"/>
      <w:pPr>
        <w:ind w:left="2160" w:hanging="360"/>
      </w:pPr>
      <w:rPr>
        <w:rFonts w:ascii="Wingdings" w:hAnsi="Wingdings" w:hint="default"/>
      </w:rPr>
    </w:lvl>
    <w:lvl w:ilvl="3" w:tplc="48DCAD6A">
      <w:start w:val="1"/>
      <w:numFmt w:val="bullet"/>
      <w:lvlText w:val="·"/>
      <w:lvlJc w:val="left"/>
      <w:pPr>
        <w:ind w:left="2880" w:hanging="360"/>
      </w:pPr>
      <w:rPr>
        <w:rFonts w:ascii="Symbol" w:hAnsi="Symbol" w:hint="default"/>
      </w:rPr>
    </w:lvl>
    <w:lvl w:ilvl="4" w:tplc="438244B2">
      <w:start w:val="1"/>
      <w:numFmt w:val="bullet"/>
      <w:lvlText w:val="o"/>
      <w:lvlJc w:val="left"/>
      <w:pPr>
        <w:ind w:left="3600" w:hanging="360"/>
      </w:pPr>
      <w:rPr>
        <w:rFonts w:ascii="Courier New" w:hAnsi="Courier New" w:hint="default"/>
      </w:rPr>
    </w:lvl>
    <w:lvl w:ilvl="5" w:tplc="AB8CA69C">
      <w:start w:val="1"/>
      <w:numFmt w:val="bullet"/>
      <w:lvlText w:val=""/>
      <w:lvlJc w:val="left"/>
      <w:pPr>
        <w:ind w:left="4320" w:hanging="360"/>
      </w:pPr>
      <w:rPr>
        <w:rFonts w:ascii="Wingdings" w:hAnsi="Wingdings" w:hint="default"/>
      </w:rPr>
    </w:lvl>
    <w:lvl w:ilvl="6" w:tplc="29225E7C">
      <w:start w:val="1"/>
      <w:numFmt w:val="bullet"/>
      <w:lvlText w:val=""/>
      <w:lvlJc w:val="left"/>
      <w:pPr>
        <w:ind w:left="5040" w:hanging="360"/>
      </w:pPr>
      <w:rPr>
        <w:rFonts w:ascii="Symbol" w:hAnsi="Symbol" w:hint="default"/>
      </w:rPr>
    </w:lvl>
    <w:lvl w:ilvl="7" w:tplc="55B44F4A">
      <w:start w:val="1"/>
      <w:numFmt w:val="bullet"/>
      <w:lvlText w:val="o"/>
      <w:lvlJc w:val="left"/>
      <w:pPr>
        <w:ind w:left="5760" w:hanging="360"/>
      </w:pPr>
      <w:rPr>
        <w:rFonts w:ascii="Courier New" w:hAnsi="Courier New" w:hint="default"/>
      </w:rPr>
    </w:lvl>
    <w:lvl w:ilvl="8" w:tplc="3C8C32AA">
      <w:start w:val="1"/>
      <w:numFmt w:val="bullet"/>
      <w:lvlText w:val=""/>
      <w:lvlJc w:val="left"/>
      <w:pPr>
        <w:ind w:left="6480" w:hanging="360"/>
      </w:pPr>
      <w:rPr>
        <w:rFonts w:ascii="Wingdings" w:hAnsi="Wingdings" w:hint="default"/>
      </w:rPr>
    </w:lvl>
  </w:abstractNum>
  <w:abstractNum w:abstractNumId="58" w15:restartNumberingAfterBreak="0">
    <w:nsid w:val="604E0D7D"/>
    <w:multiLevelType w:val="hybridMultilevel"/>
    <w:tmpl w:val="FFFFFFFF"/>
    <w:lvl w:ilvl="0" w:tplc="88966F24">
      <w:start w:val="3"/>
      <w:numFmt w:val="decimal"/>
      <w:lvlText w:val="%1."/>
      <w:lvlJc w:val="left"/>
      <w:pPr>
        <w:ind w:left="720" w:hanging="360"/>
      </w:pPr>
    </w:lvl>
    <w:lvl w:ilvl="1" w:tplc="57DCE86C">
      <w:start w:val="1"/>
      <w:numFmt w:val="lowerLetter"/>
      <w:lvlText w:val="%2."/>
      <w:lvlJc w:val="left"/>
      <w:pPr>
        <w:ind w:left="1440" w:hanging="360"/>
      </w:pPr>
    </w:lvl>
    <w:lvl w:ilvl="2" w:tplc="330A560C">
      <w:start w:val="1"/>
      <w:numFmt w:val="lowerRoman"/>
      <w:lvlText w:val="%3."/>
      <w:lvlJc w:val="right"/>
      <w:pPr>
        <w:ind w:left="2160" w:hanging="180"/>
      </w:pPr>
    </w:lvl>
    <w:lvl w:ilvl="3" w:tplc="65AE2490">
      <w:start w:val="1"/>
      <w:numFmt w:val="decimal"/>
      <w:lvlText w:val="%4."/>
      <w:lvlJc w:val="left"/>
      <w:pPr>
        <w:ind w:left="2880" w:hanging="360"/>
      </w:pPr>
    </w:lvl>
    <w:lvl w:ilvl="4" w:tplc="0FF43ECA">
      <w:start w:val="1"/>
      <w:numFmt w:val="lowerLetter"/>
      <w:lvlText w:val="%5."/>
      <w:lvlJc w:val="left"/>
      <w:pPr>
        <w:ind w:left="3600" w:hanging="360"/>
      </w:pPr>
    </w:lvl>
    <w:lvl w:ilvl="5" w:tplc="1B6A10C6">
      <w:start w:val="1"/>
      <w:numFmt w:val="lowerRoman"/>
      <w:lvlText w:val="%6."/>
      <w:lvlJc w:val="right"/>
      <w:pPr>
        <w:ind w:left="4320" w:hanging="180"/>
      </w:pPr>
    </w:lvl>
    <w:lvl w:ilvl="6" w:tplc="C3EE12EC">
      <w:start w:val="1"/>
      <w:numFmt w:val="decimal"/>
      <w:lvlText w:val="%7."/>
      <w:lvlJc w:val="left"/>
      <w:pPr>
        <w:ind w:left="5040" w:hanging="360"/>
      </w:pPr>
    </w:lvl>
    <w:lvl w:ilvl="7" w:tplc="2B721236">
      <w:start w:val="1"/>
      <w:numFmt w:val="lowerLetter"/>
      <w:lvlText w:val="%8."/>
      <w:lvlJc w:val="left"/>
      <w:pPr>
        <w:ind w:left="5760" w:hanging="360"/>
      </w:pPr>
    </w:lvl>
    <w:lvl w:ilvl="8" w:tplc="0A6E75CE">
      <w:start w:val="1"/>
      <w:numFmt w:val="lowerRoman"/>
      <w:lvlText w:val="%9."/>
      <w:lvlJc w:val="right"/>
      <w:pPr>
        <w:ind w:left="6480" w:hanging="180"/>
      </w:pPr>
    </w:lvl>
  </w:abstractNum>
  <w:abstractNum w:abstractNumId="59" w15:restartNumberingAfterBreak="0">
    <w:nsid w:val="62BF1578"/>
    <w:multiLevelType w:val="hybridMultilevel"/>
    <w:tmpl w:val="5C5EDC8A"/>
    <w:lvl w:ilvl="0" w:tplc="76B8E7B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526048D"/>
    <w:multiLevelType w:val="hybridMultilevel"/>
    <w:tmpl w:val="FFFFFFFF"/>
    <w:lvl w:ilvl="0" w:tplc="AA90F9EE">
      <w:start w:val="1"/>
      <w:numFmt w:val="bullet"/>
      <w:lvlText w:val=""/>
      <w:lvlJc w:val="left"/>
      <w:pPr>
        <w:ind w:left="720" w:hanging="360"/>
      </w:pPr>
      <w:rPr>
        <w:rFonts w:ascii="Symbol" w:hAnsi="Symbol" w:hint="default"/>
      </w:rPr>
    </w:lvl>
    <w:lvl w:ilvl="1" w:tplc="E536D554">
      <w:start w:val="1"/>
      <w:numFmt w:val="bullet"/>
      <w:lvlText w:val="o"/>
      <w:lvlJc w:val="left"/>
      <w:pPr>
        <w:ind w:left="1440" w:hanging="360"/>
      </w:pPr>
      <w:rPr>
        <w:rFonts w:ascii="Courier New" w:hAnsi="Courier New" w:hint="default"/>
      </w:rPr>
    </w:lvl>
    <w:lvl w:ilvl="2" w:tplc="86E2F982">
      <w:start w:val="1"/>
      <w:numFmt w:val="bullet"/>
      <w:lvlText w:val=""/>
      <w:lvlJc w:val="left"/>
      <w:pPr>
        <w:ind w:left="2160" w:hanging="360"/>
      </w:pPr>
      <w:rPr>
        <w:rFonts w:ascii="Wingdings" w:hAnsi="Wingdings" w:hint="default"/>
      </w:rPr>
    </w:lvl>
    <w:lvl w:ilvl="3" w:tplc="7E42281C">
      <w:start w:val="1"/>
      <w:numFmt w:val="bullet"/>
      <w:lvlText w:val="·"/>
      <w:lvlJc w:val="left"/>
      <w:pPr>
        <w:ind w:left="2880" w:hanging="360"/>
      </w:pPr>
      <w:rPr>
        <w:rFonts w:ascii="Symbol" w:hAnsi="Symbol" w:hint="default"/>
      </w:rPr>
    </w:lvl>
    <w:lvl w:ilvl="4" w:tplc="2352867E">
      <w:start w:val="1"/>
      <w:numFmt w:val="bullet"/>
      <w:lvlText w:val="o"/>
      <w:lvlJc w:val="left"/>
      <w:pPr>
        <w:ind w:left="3600" w:hanging="360"/>
      </w:pPr>
      <w:rPr>
        <w:rFonts w:ascii="Courier New" w:hAnsi="Courier New" w:hint="default"/>
      </w:rPr>
    </w:lvl>
    <w:lvl w:ilvl="5" w:tplc="15F24C86">
      <w:start w:val="1"/>
      <w:numFmt w:val="bullet"/>
      <w:lvlText w:val=""/>
      <w:lvlJc w:val="left"/>
      <w:pPr>
        <w:ind w:left="4320" w:hanging="360"/>
      </w:pPr>
      <w:rPr>
        <w:rFonts w:ascii="Wingdings" w:hAnsi="Wingdings" w:hint="default"/>
      </w:rPr>
    </w:lvl>
    <w:lvl w:ilvl="6" w:tplc="0554A0F0">
      <w:start w:val="1"/>
      <w:numFmt w:val="bullet"/>
      <w:lvlText w:val=""/>
      <w:lvlJc w:val="left"/>
      <w:pPr>
        <w:ind w:left="5040" w:hanging="360"/>
      </w:pPr>
      <w:rPr>
        <w:rFonts w:ascii="Symbol" w:hAnsi="Symbol" w:hint="default"/>
      </w:rPr>
    </w:lvl>
    <w:lvl w:ilvl="7" w:tplc="AED24D8C">
      <w:start w:val="1"/>
      <w:numFmt w:val="bullet"/>
      <w:lvlText w:val="o"/>
      <w:lvlJc w:val="left"/>
      <w:pPr>
        <w:ind w:left="5760" w:hanging="360"/>
      </w:pPr>
      <w:rPr>
        <w:rFonts w:ascii="Courier New" w:hAnsi="Courier New" w:hint="default"/>
      </w:rPr>
    </w:lvl>
    <w:lvl w:ilvl="8" w:tplc="812841EA">
      <w:start w:val="1"/>
      <w:numFmt w:val="bullet"/>
      <w:lvlText w:val=""/>
      <w:lvlJc w:val="left"/>
      <w:pPr>
        <w:ind w:left="6480" w:hanging="360"/>
      </w:pPr>
      <w:rPr>
        <w:rFonts w:ascii="Wingdings" w:hAnsi="Wingdings" w:hint="default"/>
      </w:rPr>
    </w:lvl>
  </w:abstractNum>
  <w:abstractNum w:abstractNumId="61" w15:restartNumberingAfterBreak="0">
    <w:nsid w:val="6D774B7D"/>
    <w:multiLevelType w:val="hybridMultilevel"/>
    <w:tmpl w:val="FFFFFFFF"/>
    <w:lvl w:ilvl="0" w:tplc="76540EAE">
      <w:start w:val="1"/>
      <w:numFmt w:val="bullet"/>
      <w:lvlText w:val=""/>
      <w:lvlJc w:val="left"/>
      <w:pPr>
        <w:ind w:left="360" w:hanging="360"/>
      </w:pPr>
      <w:rPr>
        <w:rFonts w:ascii="Symbol" w:hAnsi="Symbol" w:hint="default"/>
      </w:rPr>
    </w:lvl>
    <w:lvl w:ilvl="1" w:tplc="8B828C0C">
      <w:start w:val="1"/>
      <w:numFmt w:val="bullet"/>
      <w:lvlText w:val="o"/>
      <w:lvlJc w:val="left"/>
      <w:pPr>
        <w:ind w:left="1440" w:hanging="360"/>
      </w:pPr>
      <w:rPr>
        <w:rFonts w:ascii="Courier New" w:hAnsi="Courier New" w:hint="default"/>
      </w:rPr>
    </w:lvl>
    <w:lvl w:ilvl="2" w:tplc="1F36D1A2">
      <w:start w:val="1"/>
      <w:numFmt w:val="bullet"/>
      <w:lvlText w:val=""/>
      <w:lvlJc w:val="left"/>
      <w:pPr>
        <w:ind w:left="2160" w:hanging="360"/>
      </w:pPr>
      <w:rPr>
        <w:rFonts w:ascii="Wingdings" w:hAnsi="Wingdings" w:hint="default"/>
      </w:rPr>
    </w:lvl>
    <w:lvl w:ilvl="3" w:tplc="BE985300">
      <w:start w:val="1"/>
      <w:numFmt w:val="bullet"/>
      <w:lvlText w:val=""/>
      <w:lvlJc w:val="left"/>
      <w:pPr>
        <w:ind w:left="2880" w:hanging="360"/>
      </w:pPr>
      <w:rPr>
        <w:rFonts w:ascii="Symbol" w:hAnsi="Symbol" w:hint="default"/>
      </w:rPr>
    </w:lvl>
    <w:lvl w:ilvl="4" w:tplc="B454AB4E">
      <w:start w:val="1"/>
      <w:numFmt w:val="bullet"/>
      <w:lvlText w:val="o"/>
      <w:lvlJc w:val="left"/>
      <w:pPr>
        <w:ind w:left="3600" w:hanging="360"/>
      </w:pPr>
      <w:rPr>
        <w:rFonts w:ascii="Courier New" w:hAnsi="Courier New" w:hint="default"/>
      </w:rPr>
    </w:lvl>
    <w:lvl w:ilvl="5" w:tplc="815889A6">
      <w:start w:val="1"/>
      <w:numFmt w:val="bullet"/>
      <w:lvlText w:val=""/>
      <w:lvlJc w:val="left"/>
      <w:pPr>
        <w:ind w:left="4320" w:hanging="360"/>
      </w:pPr>
      <w:rPr>
        <w:rFonts w:ascii="Wingdings" w:hAnsi="Wingdings" w:hint="default"/>
      </w:rPr>
    </w:lvl>
    <w:lvl w:ilvl="6" w:tplc="274E68CC">
      <w:start w:val="1"/>
      <w:numFmt w:val="bullet"/>
      <w:lvlText w:val=""/>
      <w:lvlJc w:val="left"/>
      <w:pPr>
        <w:ind w:left="5040" w:hanging="360"/>
      </w:pPr>
      <w:rPr>
        <w:rFonts w:ascii="Symbol" w:hAnsi="Symbol" w:hint="default"/>
      </w:rPr>
    </w:lvl>
    <w:lvl w:ilvl="7" w:tplc="BE7ADA24">
      <w:start w:val="1"/>
      <w:numFmt w:val="bullet"/>
      <w:lvlText w:val="o"/>
      <w:lvlJc w:val="left"/>
      <w:pPr>
        <w:ind w:left="5760" w:hanging="360"/>
      </w:pPr>
      <w:rPr>
        <w:rFonts w:ascii="Courier New" w:hAnsi="Courier New" w:hint="default"/>
      </w:rPr>
    </w:lvl>
    <w:lvl w:ilvl="8" w:tplc="20D273A6">
      <w:start w:val="1"/>
      <w:numFmt w:val="bullet"/>
      <w:lvlText w:val=""/>
      <w:lvlJc w:val="left"/>
      <w:pPr>
        <w:ind w:left="6480" w:hanging="360"/>
      </w:pPr>
      <w:rPr>
        <w:rFonts w:ascii="Wingdings" w:hAnsi="Wingdings" w:hint="default"/>
      </w:rPr>
    </w:lvl>
  </w:abstractNum>
  <w:abstractNum w:abstractNumId="62" w15:restartNumberingAfterBreak="0">
    <w:nsid w:val="72C41A59"/>
    <w:multiLevelType w:val="hybridMultilevel"/>
    <w:tmpl w:val="6004F1E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73D33106"/>
    <w:multiLevelType w:val="hybridMultilevel"/>
    <w:tmpl w:val="7C901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3ED1C62"/>
    <w:multiLevelType w:val="hybridMultilevel"/>
    <w:tmpl w:val="FD124294"/>
    <w:lvl w:ilvl="0" w:tplc="9970E934">
      <w:start w:val="1"/>
      <w:numFmt w:val="bullet"/>
      <w:lvlText w:val=""/>
      <w:lvlJc w:val="left"/>
      <w:pPr>
        <w:ind w:left="720" w:hanging="360"/>
      </w:pPr>
      <w:rPr>
        <w:rFonts w:ascii="Symbol" w:eastAsia="Calibri" w:hAnsi="Symbol" w:cs="Segoe U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5" w15:restartNumberingAfterBreak="0">
    <w:nsid w:val="77931196"/>
    <w:multiLevelType w:val="hybridMultilevel"/>
    <w:tmpl w:val="D2EC3C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79619FE"/>
    <w:multiLevelType w:val="hybridMultilevel"/>
    <w:tmpl w:val="DB7005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78A356B1"/>
    <w:multiLevelType w:val="hybridMultilevel"/>
    <w:tmpl w:val="A238D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A21ED4B"/>
    <w:multiLevelType w:val="hybridMultilevel"/>
    <w:tmpl w:val="FFFFFFFF"/>
    <w:lvl w:ilvl="0" w:tplc="873A2610">
      <w:start w:val="1"/>
      <w:numFmt w:val="bullet"/>
      <w:lvlText w:val=""/>
      <w:lvlJc w:val="left"/>
      <w:pPr>
        <w:ind w:left="360" w:hanging="360"/>
      </w:pPr>
      <w:rPr>
        <w:rFonts w:ascii="Symbol" w:hAnsi="Symbol" w:hint="default"/>
      </w:rPr>
    </w:lvl>
    <w:lvl w:ilvl="1" w:tplc="9814D7E0">
      <w:start w:val="1"/>
      <w:numFmt w:val="bullet"/>
      <w:lvlText w:val="o"/>
      <w:lvlJc w:val="left"/>
      <w:pPr>
        <w:ind w:left="1440" w:hanging="360"/>
      </w:pPr>
      <w:rPr>
        <w:rFonts w:ascii="Courier New" w:hAnsi="Courier New" w:hint="default"/>
      </w:rPr>
    </w:lvl>
    <w:lvl w:ilvl="2" w:tplc="4704BF86">
      <w:start w:val="1"/>
      <w:numFmt w:val="bullet"/>
      <w:lvlText w:val=""/>
      <w:lvlJc w:val="left"/>
      <w:pPr>
        <w:ind w:left="2160" w:hanging="360"/>
      </w:pPr>
      <w:rPr>
        <w:rFonts w:ascii="Wingdings" w:hAnsi="Wingdings" w:hint="default"/>
      </w:rPr>
    </w:lvl>
    <w:lvl w:ilvl="3" w:tplc="3006B468">
      <w:start w:val="1"/>
      <w:numFmt w:val="bullet"/>
      <w:lvlText w:val=""/>
      <w:lvlJc w:val="left"/>
      <w:pPr>
        <w:ind w:left="2880" w:hanging="360"/>
      </w:pPr>
      <w:rPr>
        <w:rFonts w:ascii="Symbol" w:hAnsi="Symbol" w:hint="default"/>
      </w:rPr>
    </w:lvl>
    <w:lvl w:ilvl="4" w:tplc="A446A9EC">
      <w:start w:val="1"/>
      <w:numFmt w:val="bullet"/>
      <w:lvlText w:val="o"/>
      <w:lvlJc w:val="left"/>
      <w:pPr>
        <w:ind w:left="3600" w:hanging="360"/>
      </w:pPr>
      <w:rPr>
        <w:rFonts w:ascii="Courier New" w:hAnsi="Courier New" w:hint="default"/>
      </w:rPr>
    </w:lvl>
    <w:lvl w:ilvl="5" w:tplc="50C40158">
      <w:start w:val="1"/>
      <w:numFmt w:val="bullet"/>
      <w:lvlText w:val=""/>
      <w:lvlJc w:val="left"/>
      <w:pPr>
        <w:ind w:left="4320" w:hanging="360"/>
      </w:pPr>
      <w:rPr>
        <w:rFonts w:ascii="Wingdings" w:hAnsi="Wingdings" w:hint="default"/>
      </w:rPr>
    </w:lvl>
    <w:lvl w:ilvl="6" w:tplc="03844BB2">
      <w:start w:val="1"/>
      <w:numFmt w:val="bullet"/>
      <w:lvlText w:val=""/>
      <w:lvlJc w:val="left"/>
      <w:pPr>
        <w:ind w:left="5040" w:hanging="360"/>
      </w:pPr>
      <w:rPr>
        <w:rFonts w:ascii="Symbol" w:hAnsi="Symbol" w:hint="default"/>
      </w:rPr>
    </w:lvl>
    <w:lvl w:ilvl="7" w:tplc="5D1694E4">
      <w:start w:val="1"/>
      <w:numFmt w:val="bullet"/>
      <w:lvlText w:val="o"/>
      <w:lvlJc w:val="left"/>
      <w:pPr>
        <w:ind w:left="5760" w:hanging="360"/>
      </w:pPr>
      <w:rPr>
        <w:rFonts w:ascii="Courier New" w:hAnsi="Courier New" w:hint="default"/>
      </w:rPr>
    </w:lvl>
    <w:lvl w:ilvl="8" w:tplc="9D348430">
      <w:start w:val="1"/>
      <w:numFmt w:val="bullet"/>
      <w:lvlText w:val=""/>
      <w:lvlJc w:val="left"/>
      <w:pPr>
        <w:ind w:left="6480" w:hanging="360"/>
      </w:pPr>
      <w:rPr>
        <w:rFonts w:ascii="Wingdings" w:hAnsi="Wingdings" w:hint="default"/>
      </w:rPr>
    </w:lvl>
  </w:abstractNum>
  <w:abstractNum w:abstractNumId="69" w15:restartNumberingAfterBreak="0">
    <w:nsid w:val="7A8F0FA6"/>
    <w:multiLevelType w:val="hybridMultilevel"/>
    <w:tmpl w:val="A71675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7B653464"/>
    <w:multiLevelType w:val="hybridMultilevel"/>
    <w:tmpl w:val="FFFFFFFF"/>
    <w:lvl w:ilvl="0" w:tplc="0FB295BC">
      <w:start w:val="5"/>
      <w:numFmt w:val="decimal"/>
      <w:lvlText w:val="%1."/>
      <w:lvlJc w:val="left"/>
      <w:pPr>
        <w:ind w:left="720" w:hanging="360"/>
      </w:pPr>
    </w:lvl>
    <w:lvl w:ilvl="1" w:tplc="B47A639E">
      <w:start w:val="1"/>
      <w:numFmt w:val="lowerLetter"/>
      <w:lvlText w:val="%2."/>
      <w:lvlJc w:val="left"/>
      <w:pPr>
        <w:ind w:left="1440" w:hanging="360"/>
      </w:pPr>
    </w:lvl>
    <w:lvl w:ilvl="2" w:tplc="1456A28E">
      <w:start w:val="1"/>
      <w:numFmt w:val="lowerRoman"/>
      <w:lvlText w:val="%3."/>
      <w:lvlJc w:val="right"/>
      <w:pPr>
        <w:ind w:left="2160" w:hanging="180"/>
      </w:pPr>
    </w:lvl>
    <w:lvl w:ilvl="3" w:tplc="A55C5BC6">
      <w:start w:val="1"/>
      <w:numFmt w:val="decimal"/>
      <w:lvlText w:val="%4."/>
      <w:lvlJc w:val="left"/>
      <w:pPr>
        <w:ind w:left="2880" w:hanging="360"/>
      </w:pPr>
    </w:lvl>
    <w:lvl w:ilvl="4" w:tplc="1F6CF38E">
      <w:start w:val="1"/>
      <w:numFmt w:val="lowerLetter"/>
      <w:lvlText w:val="%5."/>
      <w:lvlJc w:val="left"/>
      <w:pPr>
        <w:ind w:left="3600" w:hanging="360"/>
      </w:pPr>
    </w:lvl>
    <w:lvl w:ilvl="5" w:tplc="0E60E476">
      <w:start w:val="1"/>
      <w:numFmt w:val="lowerRoman"/>
      <w:lvlText w:val="%6."/>
      <w:lvlJc w:val="right"/>
      <w:pPr>
        <w:ind w:left="4320" w:hanging="180"/>
      </w:pPr>
    </w:lvl>
    <w:lvl w:ilvl="6" w:tplc="31922FC6">
      <w:start w:val="1"/>
      <w:numFmt w:val="decimal"/>
      <w:lvlText w:val="%7."/>
      <w:lvlJc w:val="left"/>
      <w:pPr>
        <w:ind w:left="5040" w:hanging="360"/>
      </w:pPr>
    </w:lvl>
    <w:lvl w:ilvl="7" w:tplc="22D0CCB6">
      <w:start w:val="1"/>
      <w:numFmt w:val="lowerLetter"/>
      <w:lvlText w:val="%8."/>
      <w:lvlJc w:val="left"/>
      <w:pPr>
        <w:ind w:left="5760" w:hanging="360"/>
      </w:pPr>
    </w:lvl>
    <w:lvl w:ilvl="8" w:tplc="0CF69EA2">
      <w:start w:val="1"/>
      <w:numFmt w:val="lowerRoman"/>
      <w:lvlText w:val="%9."/>
      <w:lvlJc w:val="right"/>
      <w:pPr>
        <w:ind w:left="6480" w:hanging="180"/>
      </w:pPr>
    </w:lvl>
  </w:abstractNum>
  <w:abstractNum w:abstractNumId="71" w15:restartNumberingAfterBreak="0">
    <w:nsid w:val="7B7D2792"/>
    <w:multiLevelType w:val="hybridMultilevel"/>
    <w:tmpl w:val="FFFFFFFF"/>
    <w:lvl w:ilvl="0" w:tplc="47362E66">
      <w:start w:val="1"/>
      <w:numFmt w:val="bullet"/>
      <w:lvlText w:val=""/>
      <w:lvlJc w:val="left"/>
      <w:pPr>
        <w:ind w:left="360" w:hanging="360"/>
      </w:pPr>
      <w:rPr>
        <w:rFonts w:ascii="Symbol" w:hAnsi="Symbol" w:hint="default"/>
      </w:rPr>
    </w:lvl>
    <w:lvl w:ilvl="1" w:tplc="4C68BA90">
      <w:start w:val="1"/>
      <w:numFmt w:val="bullet"/>
      <w:lvlText w:val="o"/>
      <w:lvlJc w:val="left"/>
      <w:pPr>
        <w:ind w:left="1440" w:hanging="360"/>
      </w:pPr>
      <w:rPr>
        <w:rFonts w:ascii="Courier New" w:hAnsi="Courier New" w:hint="default"/>
      </w:rPr>
    </w:lvl>
    <w:lvl w:ilvl="2" w:tplc="A4969D42">
      <w:start w:val="1"/>
      <w:numFmt w:val="bullet"/>
      <w:lvlText w:val=""/>
      <w:lvlJc w:val="left"/>
      <w:pPr>
        <w:ind w:left="2160" w:hanging="360"/>
      </w:pPr>
      <w:rPr>
        <w:rFonts w:ascii="Wingdings" w:hAnsi="Wingdings" w:hint="default"/>
      </w:rPr>
    </w:lvl>
    <w:lvl w:ilvl="3" w:tplc="8C7277D0">
      <w:start w:val="1"/>
      <w:numFmt w:val="bullet"/>
      <w:lvlText w:val=""/>
      <w:lvlJc w:val="left"/>
      <w:pPr>
        <w:ind w:left="2880" w:hanging="360"/>
      </w:pPr>
      <w:rPr>
        <w:rFonts w:ascii="Symbol" w:hAnsi="Symbol" w:hint="default"/>
      </w:rPr>
    </w:lvl>
    <w:lvl w:ilvl="4" w:tplc="C770CFB4">
      <w:start w:val="1"/>
      <w:numFmt w:val="bullet"/>
      <w:lvlText w:val="o"/>
      <w:lvlJc w:val="left"/>
      <w:pPr>
        <w:ind w:left="3600" w:hanging="360"/>
      </w:pPr>
      <w:rPr>
        <w:rFonts w:ascii="Courier New" w:hAnsi="Courier New" w:hint="default"/>
      </w:rPr>
    </w:lvl>
    <w:lvl w:ilvl="5" w:tplc="EABAA876">
      <w:start w:val="1"/>
      <w:numFmt w:val="bullet"/>
      <w:lvlText w:val=""/>
      <w:lvlJc w:val="left"/>
      <w:pPr>
        <w:ind w:left="4320" w:hanging="360"/>
      </w:pPr>
      <w:rPr>
        <w:rFonts w:ascii="Wingdings" w:hAnsi="Wingdings" w:hint="default"/>
      </w:rPr>
    </w:lvl>
    <w:lvl w:ilvl="6" w:tplc="48FA253C">
      <w:start w:val="1"/>
      <w:numFmt w:val="bullet"/>
      <w:lvlText w:val=""/>
      <w:lvlJc w:val="left"/>
      <w:pPr>
        <w:ind w:left="5040" w:hanging="360"/>
      </w:pPr>
      <w:rPr>
        <w:rFonts w:ascii="Symbol" w:hAnsi="Symbol" w:hint="default"/>
      </w:rPr>
    </w:lvl>
    <w:lvl w:ilvl="7" w:tplc="B8CAA4B0">
      <w:start w:val="1"/>
      <w:numFmt w:val="bullet"/>
      <w:lvlText w:val="o"/>
      <w:lvlJc w:val="left"/>
      <w:pPr>
        <w:ind w:left="5760" w:hanging="360"/>
      </w:pPr>
      <w:rPr>
        <w:rFonts w:ascii="Courier New" w:hAnsi="Courier New" w:hint="default"/>
      </w:rPr>
    </w:lvl>
    <w:lvl w:ilvl="8" w:tplc="5C102416">
      <w:start w:val="1"/>
      <w:numFmt w:val="bullet"/>
      <w:lvlText w:val=""/>
      <w:lvlJc w:val="left"/>
      <w:pPr>
        <w:ind w:left="6480" w:hanging="360"/>
      </w:pPr>
      <w:rPr>
        <w:rFonts w:ascii="Wingdings" w:hAnsi="Wingdings" w:hint="default"/>
      </w:rPr>
    </w:lvl>
  </w:abstractNum>
  <w:abstractNum w:abstractNumId="72" w15:restartNumberingAfterBreak="0">
    <w:nsid w:val="7EF25C36"/>
    <w:multiLevelType w:val="hybridMultilevel"/>
    <w:tmpl w:val="C0D07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7FAF3A90"/>
    <w:multiLevelType w:val="hybridMultilevel"/>
    <w:tmpl w:val="B5506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49656010">
    <w:abstractNumId w:val="26"/>
  </w:num>
  <w:num w:numId="2" w16cid:durableId="1132207643">
    <w:abstractNumId w:val="37"/>
  </w:num>
  <w:num w:numId="3" w16cid:durableId="1843856813">
    <w:abstractNumId w:val="50"/>
  </w:num>
  <w:num w:numId="4" w16cid:durableId="656957641">
    <w:abstractNumId w:val="53"/>
  </w:num>
  <w:num w:numId="5" w16cid:durableId="1890605878">
    <w:abstractNumId w:val="10"/>
  </w:num>
  <w:num w:numId="6" w16cid:durableId="1709337371">
    <w:abstractNumId w:val="53"/>
  </w:num>
  <w:num w:numId="7" w16cid:durableId="1051273099">
    <w:abstractNumId w:val="10"/>
  </w:num>
  <w:num w:numId="8" w16cid:durableId="1387141753">
    <w:abstractNumId w:val="14"/>
  </w:num>
  <w:num w:numId="9" w16cid:durableId="2049910342">
    <w:abstractNumId w:val="3"/>
  </w:num>
  <w:num w:numId="10" w16cid:durableId="2047951221">
    <w:abstractNumId w:val="59"/>
  </w:num>
  <w:num w:numId="11" w16cid:durableId="1624388201">
    <w:abstractNumId w:val="15"/>
  </w:num>
  <w:num w:numId="12" w16cid:durableId="1276596322">
    <w:abstractNumId w:val="11"/>
  </w:num>
  <w:num w:numId="13" w16cid:durableId="1817451935">
    <w:abstractNumId w:val="16"/>
  </w:num>
  <w:num w:numId="14" w16cid:durableId="474567813">
    <w:abstractNumId w:val="21"/>
  </w:num>
  <w:num w:numId="15" w16cid:durableId="109593712">
    <w:abstractNumId w:val="40"/>
  </w:num>
  <w:num w:numId="16" w16cid:durableId="1210872882">
    <w:abstractNumId w:val="7"/>
  </w:num>
  <w:num w:numId="17" w16cid:durableId="751126858">
    <w:abstractNumId w:val="25"/>
  </w:num>
  <w:num w:numId="18" w16cid:durableId="1479348251">
    <w:abstractNumId w:val="32"/>
  </w:num>
  <w:num w:numId="19" w16cid:durableId="2120489872">
    <w:abstractNumId w:val="29"/>
  </w:num>
  <w:num w:numId="20" w16cid:durableId="275790505">
    <w:abstractNumId w:val="60"/>
  </w:num>
  <w:num w:numId="21" w16cid:durableId="699672112">
    <w:abstractNumId w:val="57"/>
  </w:num>
  <w:num w:numId="22" w16cid:durableId="1192375208">
    <w:abstractNumId w:val="51"/>
  </w:num>
  <w:num w:numId="23" w16cid:durableId="2041393816">
    <w:abstractNumId w:val="5"/>
  </w:num>
  <w:num w:numId="24" w16cid:durableId="974258673">
    <w:abstractNumId w:val="70"/>
  </w:num>
  <w:num w:numId="25" w16cid:durableId="859389958">
    <w:abstractNumId w:val="22"/>
  </w:num>
  <w:num w:numId="26" w16cid:durableId="1913926930">
    <w:abstractNumId w:val="58"/>
  </w:num>
  <w:num w:numId="27" w16cid:durableId="870845977">
    <w:abstractNumId w:val="28"/>
  </w:num>
  <w:num w:numId="28" w16cid:durableId="1971664144">
    <w:abstractNumId w:val="52"/>
  </w:num>
  <w:num w:numId="29" w16cid:durableId="94785207">
    <w:abstractNumId w:val="0"/>
  </w:num>
  <w:num w:numId="30" w16cid:durableId="653989983">
    <w:abstractNumId w:val="30"/>
  </w:num>
  <w:num w:numId="31" w16cid:durableId="533887612">
    <w:abstractNumId w:val="33"/>
  </w:num>
  <w:num w:numId="32" w16cid:durableId="1607615535">
    <w:abstractNumId w:val="69"/>
  </w:num>
  <w:num w:numId="33" w16cid:durableId="223175579">
    <w:abstractNumId w:val="38"/>
  </w:num>
  <w:num w:numId="34" w16cid:durableId="1170365099">
    <w:abstractNumId w:val="20"/>
  </w:num>
  <w:num w:numId="35" w16cid:durableId="406342946">
    <w:abstractNumId w:val="56"/>
  </w:num>
  <w:num w:numId="36" w16cid:durableId="834104888">
    <w:abstractNumId w:val="12"/>
  </w:num>
  <w:num w:numId="37" w16cid:durableId="87042716">
    <w:abstractNumId w:val="47"/>
  </w:num>
  <w:num w:numId="38" w16cid:durableId="1717045636">
    <w:abstractNumId w:val="42"/>
  </w:num>
  <w:num w:numId="39" w16cid:durableId="1796099196">
    <w:abstractNumId w:val="66"/>
  </w:num>
  <w:num w:numId="40" w16cid:durableId="633484675">
    <w:abstractNumId w:val="41"/>
  </w:num>
  <w:num w:numId="41" w16cid:durableId="1999072237">
    <w:abstractNumId w:val="19"/>
  </w:num>
  <w:num w:numId="42" w16cid:durableId="1851990242">
    <w:abstractNumId w:val="1"/>
  </w:num>
  <w:num w:numId="43" w16cid:durableId="775711878">
    <w:abstractNumId w:val="64"/>
  </w:num>
  <w:num w:numId="44" w16cid:durableId="627664792">
    <w:abstractNumId w:val="64"/>
  </w:num>
  <w:num w:numId="45" w16cid:durableId="1193809367">
    <w:abstractNumId w:val="13"/>
  </w:num>
  <w:num w:numId="46" w16cid:durableId="2115244408">
    <w:abstractNumId w:val="44"/>
  </w:num>
  <w:num w:numId="47" w16cid:durableId="1536776110">
    <w:abstractNumId w:val="73"/>
  </w:num>
  <w:num w:numId="48" w16cid:durableId="986937500">
    <w:abstractNumId w:val="39"/>
  </w:num>
  <w:num w:numId="49" w16cid:durableId="100418489">
    <w:abstractNumId w:val="45"/>
  </w:num>
  <w:num w:numId="50" w16cid:durableId="1835876752">
    <w:abstractNumId w:val="72"/>
  </w:num>
  <w:num w:numId="51" w16cid:durableId="549464389">
    <w:abstractNumId w:val="63"/>
  </w:num>
  <w:num w:numId="52" w16cid:durableId="19957989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10442529">
    <w:abstractNumId w:val="4"/>
  </w:num>
  <w:num w:numId="54" w16cid:durableId="35549097">
    <w:abstractNumId w:val="67"/>
  </w:num>
  <w:num w:numId="55" w16cid:durableId="11036316">
    <w:abstractNumId w:val="43"/>
  </w:num>
  <w:num w:numId="56" w16cid:durableId="1982036386">
    <w:abstractNumId w:val="48"/>
  </w:num>
  <w:num w:numId="57" w16cid:durableId="1454834480">
    <w:abstractNumId w:val="6"/>
  </w:num>
  <w:num w:numId="58" w16cid:durableId="388456862">
    <w:abstractNumId w:val="23"/>
  </w:num>
  <w:num w:numId="59" w16cid:durableId="2091923116">
    <w:abstractNumId w:val="24"/>
  </w:num>
  <w:num w:numId="60" w16cid:durableId="1768232826">
    <w:abstractNumId w:val="46"/>
  </w:num>
  <w:num w:numId="61" w16cid:durableId="676351680">
    <w:abstractNumId w:val="54"/>
  </w:num>
  <w:num w:numId="62" w16cid:durableId="1463421063">
    <w:abstractNumId w:val="55"/>
  </w:num>
  <w:num w:numId="63" w16cid:durableId="1239053984">
    <w:abstractNumId w:val="18"/>
  </w:num>
  <w:num w:numId="64" w16cid:durableId="1166095948">
    <w:abstractNumId w:val="2"/>
  </w:num>
  <w:num w:numId="65" w16cid:durableId="983698589">
    <w:abstractNumId w:val="68"/>
  </w:num>
  <w:num w:numId="66" w16cid:durableId="1469123428">
    <w:abstractNumId w:val="71"/>
  </w:num>
  <w:num w:numId="67" w16cid:durableId="1853303145">
    <w:abstractNumId w:val="61"/>
  </w:num>
  <w:num w:numId="68" w16cid:durableId="517041967">
    <w:abstractNumId w:val="36"/>
  </w:num>
  <w:num w:numId="69" w16cid:durableId="1923686432">
    <w:abstractNumId w:val="62"/>
  </w:num>
  <w:num w:numId="70" w16cid:durableId="2049644952">
    <w:abstractNumId w:val="17"/>
  </w:num>
  <w:num w:numId="71" w16cid:durableId="739450593">
    <w:abstractNumId w:val="49"/>
  </w:num>
  <w:num w:numId="72" w16cid:durableId="1617254309">
    <w:abstractNumId w:val="31"/>
  </w:num>
  <w:num w:numId="73" w16cid:durableId="1412578225">
    <w:abstractNumId w:val="27"/>
  </w:num>
  <w:num w:numId="74" w16cid:durableId="765732723">
    <w:abstractNumId w:val="8"/>
  </w:num>
  <w:num w:numId="75" w16cid:durableId="172956940">
    <w:abstractNumId w:val="9"/>
  </w:num>
  <w:num w:numId="76" w16cid:durableId="858736265">
    <w:abstractNumId w:val="35"/>
  </w:num>
  <w:num w:numId="77" w16cid:durableId="1388411901">
    <w:abstractNumId w:val="65"/>
  </w:num>
  <w:num w:numId="78" w16cid:durableId="1166481610">
    <w:abstractNumId w:val="34"/>
  </w:num>
  <w:num w:numId="79" w16cid:durableId="1605265023">
    <w:abstractNumId w:val="49"/>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6BC"/>
    <w:rsid w:val="0000093A"/>
    <w:rsid w:val="00000952"/>
    <w:rsid w:val="00002ADA"/>
    <w:rsid w:val="000031D4"/>
    <w:rsid w:val="00003230"/>
    <w:rsid w:val="00003A67"/>
    <w:rsid w:val="000040FA"/>
    <w:rsid w:val="00006313"/>
    <w:rsid w:val="0000650D"/>
    <w:rsid w:val="00006825"/>
    <w:rsid w:val="00006C24"/>
    <w:rsid w:val="0000725E"/>
    <w:rsid w:val="00010287"/>
    <w:rsid w:val="00010E83"/>
    <w:rsid w:val="00012E67"/>
    <w:rsid w:val="0001409E"/>
    <w:rsid w:val="000140FC"/>
    <w:rsid w:val="000151F5"/>
    <w:rsid w:val="00015402"/>
    <w:rsid w:val="00016374"/>
    <w:rsid w:val="0001644B"/>
    <w:rsid w:val="0001787C"/>
    <w:rsid w:val="00017D02"/>
    <w:rsid w:val="00020D03"/>
    <w:rsid w:val="00020F19"/>
    <w:rsid w:val="00021091"/>
    <w:rsid w:val="00021498"/>
    <w:rsid w:val="000222C2"/>
    <w:rsid w:val="000223E8"/>
    <w:rsid w:val="00022669"/>
    <w:rsid w:val="00022CDC"/>
    <w:rsid w:val="0002471A"/>
    <w:rsid w:val="00025513"/>
    <w:rsid w:val="00025A3C"/>
    <w:rsid w:val="00026125"/>
    <w:rsid w:val="0002674D"/>
    <w:rsid w:val="00026EC4"/>
    <w:rsid w:val="000277C7"/>
    <w:rsid w:val="00030332"/>
    <w:rsid w:val="00030352"/>
    <w:rsid w:val="00030616"/>
    <w:rsid w:val="00031FD1"/>
    <w:rsid w:val="0003208B"/>
    <w:rsid w:val="00032389"/>
    <w:rsid w:val="000327E4"/>
    <w:rsid w:val="00032D6F"/>
    <w:rsid w:val="00033583"/>
    <w:rsid w:val="000344A1"/>
    <w:rsid w:val="0003473E"/>
    <w:rsid w:val="00035AC7"/>
    <w:rsid w:val="00035B42"/>
    <w:rsid w:val="00036C70"/>
    <w:rsid w:val="0003746B"/>
    <w:rsid w:val="00037A0C"/>
    <w:rsid w:val="00040BED"/>
    <w:rsid w:val="0004102E"/>
    <w:rsid w:val="00043D49"/>
    <w:rsid w:val="000442DA"/>
    <w:rsid w:val="0004557A"/>
    <w:rsid w:val="0004721B"/>
    <w:rsid w:val="00050382"/>
    <w:rsid w:val="000503AB"/>
    <w:rsid w:val="00050544"/>
    <w:rsid w:val="0005182A"/>
    <w:rsid w:val="000529B3"/>
    <w:rsid w:val="00052C7F"/>
    <w:rsid w:val="00053044"/>
    <w:rsid w:val="00053792"/>
    <w:rsid w:val="00053D74"/>
    <w:rsid w:val="00053DB5"/>
    <w:rsid w:val="00053DF4"/>
    <w:rsid w:val="000551D2"/>
    <w:rsid w:val="0005654A"/>
    <w:rsid w:val="00056F6C"/>
    <w:rsid w:val="0005779D"/>
    <w:rsid w:val="00057CD8"/>
    <w:rsid w:val="00057F1C"/>
    <w:rsid w:val="00060292"/>
    <w:rsid w:val="00060A6D"/>
    <w:rsid w:val="00060BBC"/>
    <w:rsid w:val="0006188B"/>
    <w:rsid w:val="00063939"/>
    <w:rsid w:val="000664F2"/>
    <w:rsid w:val="00066721"/>
    <w:rsid w:val="00066A51"/>
    <w:rsid w:val="000701F8"/>
    <w:rsid w:val="00070369"/>
    <w:rsid w:val="000708BC"/>
    <w:rsid w:val="00070C8A"/>
    <w:rsid w:val="00071255"/>
    <w:rsid w:val="00073411"/>
    <w:rsid w:val="0007360D"/>
    <w:rsid w:val="00073BD7"/>
    <w:rsid w:val="00074DE0"/>
    <w:rsid w:val="00075320"/>
    <w:rsid w:val="00075DB8"/>
    <w:rsid w:val="00076E9A"/>
    <w:rsid w:val="00077B34"/>
    <w:rsid w:val="00081CC5"/>
    <w:rsid w:val="000825F7"/>
    <w:rsid w:val="00082DC0"/>
    <w:rsid w:val="000843AE"/>
    <w:rsid w:val="00084804"/>
    <w:rsid w:val="000861B8"/>
    <w:rsid w:val="00086348"/>
    <w:rsid w:val="0008684F"/>
    <w:rsid w:val="000871E4"/>
    <w:rsid w:val="00090A4B"/>
    <w:rsid w:val="00090BFE"/>
    <w:rsid w:val="00091C57"/>
    <w:rsid w:val="000922AD"/>
    <w:rsid w:val="00092572"/>
    <w:rsid w:val="000928F0"/>
    <w:rsid w:val="00092D06"/>
    <w:rsid w:val="000934E6"/>
    <w:rsid w:val="00093A55"/>
    <w:rsid w:val="0009414D"/>
    <w:rsid w:val="00094E5E"/>
    <w:rsid w:val="0009533E"/>
    <w:rsid w:val="0009541F"/>
    <w:rsid w:val="000975E4"/>
    <w:rsid w:val="00097EC4"/>
    <w:rsid w:val="00097F57"/>
    <w:rsid w:val="000A033D"/>
    <w:rsid w:val="000A2958"/>
    <w:rsid w:val="000A3092"/>
    <w:rsid w:val="000A339D"/>
    <w:rsid w:val="000A3E4F"/>
    <w:rsid w:val="000A4367"/>
    <w:rsid w:val="000A4D64"/>
    <w:rsid w:val="000A4F09"/>
    <w:rsid w:val="000A51B6"/>
    <w:rsid w:val="000A596F"/>
    <w:rsid w:val="000A6E66"/>
    <w:rsid w:val="000A7054"/>
    <w:rsid w:val="000A7264"/>
    <w:rsid w:val="000A75BF"/>
    <w:rsid w:val="000A78EA"/>
    <w:rsid w:val="000A7DA4"/>
    <w:rsid w:val="000A7F29"/>
    <w:rsid w:val="000B049F"/>
    <w:rsid w:val="000B0F63"/>
    <w:rsid w:val="000B1247"/>
    <w:rsid w:val="000B1E23"/>
    <w:rsid w:val="000B35AD"/>
    <w:rsid w:val="000B4AF9"/>
    <w:rsid w:val="000B51A6"/>
    <w:rsid w:val="000B61A1"/>
    <w:rsid w:val="000B641F"/>
    <w:rsid w:val="000B7C58"/>
    <w:rsid w:val="000C019B"/>
    <w:rsid w:val="000C138D"/>
    <w:rsid w:val="000C16B1"/>
    <w:rsid w:val="000C25C6"/>
    <w:rsid w:val="000C2D26"/>
    <w:rsid w:val="000C2F2B"/>
    <w:rsid w:val="000C2F31"/>
    <w:rsid w:val="000C5109"/>
    <w:rsid w:val="000C5D6F"/>
    <w:rsid w:val="000C5D83"/>
    <w:rsid w:val="000C610D"/>
    <w:rsid w:val="000C721D"/>
    <w:rsid w:val="000C7651"/>
    <w:rsid w:val="000C79AC"/>
    <w:rsid w:val="000C7A9D"/>
    <w:rsid w:val="000D0287"/>
    <w:rsid w:val="000D1901"/>
    <w:rsid w:val="000D2346"/>
    <w:rsid w:val="000D359F"/>
    <w:rsid w:val="000D3775"/>
    <w:rsid w:val="000D40A4"/>
    <w:rsid w:val="000D52CB"/>
    <w:rsid w:val="000D57C3"/>
    <w:rsid w:val="000D629D"/>
    <w:rsid w:val="000D6647"/>
    <w:rsid w:val="000D66F8"/>
    <w:rsid w:val="000D6A82"/>
    <w:rsid w:val="000D7A6A"/>
    <w:rsid w:val="000E0FC0"/>
    <w:rsid w:val="000E187C"/>
    <w:rsid w:val="000E25A3"/>
    <w:rsid w:val="000E2B08"/>
    <w:rsid w:val="000E2C65"/>
    <w:rsid w:val="000E4758"/>
    <w:rsid w:val="000E47D1"/>
    <w:rsid w:val="000E55A8"/>
    <w:rsid w:val="000E6161"/>
    <w:rsid w:val="000E6295"/>
    <w:rsid w:val="000E6FE6"/>
    <w:rsid w:val="000E7338"/>
    <w:rsid w:val="000E73B9"/>
    <w:rsid w:val="000E75CD"/>
    <w:rsid w:val="000E7B18"/>
    <w:rsid w:val="000E7E8D"/>
    <w:rsid w:val="000F033D"/>
    <w:rsid w:val="000F0436"/>
    <w:rsid w:val="000F0C94"/>
    <w:rsid w:val="000F1F90"/>
    <w:rsid w:val="000F38D9"/>
    <w:rsid w:val="000F42D0"/>
    <w:rsid w:val="000F6345"/>
    <w:rsid w:val="000F6E0A"/>
    <w:rsid w:val="000F7A48"/>
    <w:rsid w:val="000F7D77"/>
    <w:rsid w:val="000F7FB9"/>
    <w:rsid w:val="001000D8"/>
    <w:rsid w:val="00100724"/>
    <w:rsid w:val="00100A1B"/>
    <w:rsid w:val="00101C72"/>
    <w:rsid w:val="00101F22"/>
    <w:rsid w:val="00101F79"/>
    <w:rsid w:val="0010291C"/>
    <w:rsid w:val="00104183"/>
    <w:rsid w:val="00105903"/>
    <w:rsid w:val="001063C7"/>
    <w:rsid w:val="001066A4"/>
    <w:rsid w:val="001071C5"/>
    <w:rsid w:val="00107328"/>
    <w:rsid w:val="00110B82"/>
    <w:rsid w:val="00110CB4"/>
    <w:rsid w:val="00111127"/>
    <w:rsid w:val="001115FA"/>
    <w:rsid w:val="0011170B"/>
    <w:rsid w:val="001119BD"/>
    <w:rsid w:val="001120DD"/>
    <w:rsid w:val="00112581"/>
    <w:rsid w:val="0011259C"/>
    <w:rsid w:val="00112A1D"/>
    <w:rsid w:val="00112AE9"/>
    <w:rsid w:val="00112CE5"/>
    <w:rsid w:val="001130AF"/>
    <w:rsid w:val="00113954"/>
    <w:rsid w:val="00113A00"/>
    <w:rsid w:val="001140C6"/>
    <w:rsid w:val="00114876"/>
    <w:rsid w:val="001148A2"/>
    <w:rsid w:val="00114F6C"/>
    <w:rsid w:val="0011504F"/>
    <w:rsid w:val="001155FD"/>
    <w:rsid w:val="00116D41"/>
    <w:rsid w:val="00117118"/>
    <w:rsid w:val="00117702"/>
    <w:rsid w:val="00120044"/>
    <w:rsid w:val="00121C68"/>
    <w:rsid w:val="00122406"/>
    <w:rsid w:val="00122F3B"/>
    <w:rsid w:val="00123383"/>
    <w:rsid w:val="001237A8"/>
    <w:rsid w:val="00123D04"/>
    <w:rsid w:val="00124242"/>
    <w:rsid w:val="0012525D"/>
    <w:rsid w:val="00125422"/>
    <w:rsid w:val="00126B13"/>
    <w:rsid w:val="001273E9"/>
    <w:rsid w:val="001274C6"/>
    <w:rsid w:val="00127C18"/>
    <w:rsid w:val="00130126"/>
    <w:rsid w:val="001301B2"/>
    <w:rsid w:val="00130262"/>
    <w:rsid w:val="00130276"/>
    <w:rsid w:val="0013039F"/>
    <w:rsid w:val="001306F9"/>
    <w:rsid w:val="00131564"/>
    <w:rsid w:val="0013163D"/>
    <w:rsid w:val="001319B0"/>
    <w:rsid w:val="00131A80"/>
    <w:rsid w:val="00131CF9"/>
    <w:rsid w:val="00131DBA"/>
    <w:rsid w:val="00132A85"/>
    <w:rsid w:val="0013310A"/>
    <w:rsid w:val="0013357F"/>
    <w:rsid w:val="00133C2B"/>
    <w:rsid w:val="00134737"/>
    <w:rsid w:val="00135E93"/>
    <w:rsid w:val="001360E2"/>
    <w:rsid w:val="001362E1"/>
    <w:rsid w:val="00136E4E"/>
    <w:rsid w:val="00137038"/>
    <w:rsid w:val="00137128"/>
    <w:rsid w:val="00140435"/>
    <w:rsid w:val="0014075E"/>
    <w:rsid w:val="00140991"/>
    <w:rsid w:val="00140D80"/>
    <w:rsid w:val="00141A66"/>
    <w:rsid w:val="00142C39"/>
    <w:rsid w:val="0014311C"/>
    <w:rsid w:val="0014321E"/>
    <w:rsid w:val="0014375F"/>
    <w:rsid w:val="00143CFB"/>
    <w:rsid w:val="00143D25"/>
    <w:rsid w:val="001441AB"/>
    <w:rsid w:val="001441DB"/>
    <w:rsid w:val="001443E3"/>
    <w:rsid w:val="0014573C"/>
    <w:rsid w:val="0014589B"/>
    <w:rsid w:val="00146D10"/>
    <w:rsid w:val="00147418"/>
    <w:rsid w:val="0015095F"/>
    <w:rsid w:val="001543AA"/>
    <w:rsid w:val="0015579E"/>
    <w:rsid w:val="001562C5"/>
    <w:rsid w:val="001571F2"/>
    <w:rsid w:val="0015759D"/>
    <w:rsid w:val="00157DE5"/>
    <w:rsid w:val="00157EDB"/>
    <w:rsid w:val="00160D26"/>
    <w:rsid w:val="00160E42"/>
    <w:rsid w:val="00161A4B"/>
    <w:rsid w:val="00161C30"/>
    <w:rsid w:val="00162C26"/>
    <w:rsid w:val="0016393E"/>
    <w:rsid w:val="00164040"/>
    <w:rsid w:val="001641C5"/>
    <w:rsid w:val="00165E96"/>
    <w:rsid w:val="001663EC"/>
    <w:rsid w:val="00166617"/>
    <w:rsid w:val="00166842"/>
    <w:rsid w:val="001670E1"/>
    <w:rsid w:val="00167711"/>
    <w:rsid w:val="00167C0F"/>
    <w:rsid w:val="001709B6"/>
    <w:rsid w:val="00170F08"/>
    <w:rsid w:val="0017230A"/>
    <w:rsid w:val="00172B22"/>
    <w:rsid w:val="00173900"/>
    <w:rsid w:val="00173ACF"/>
    <w:rsid w:val="0017437B"/>
    <w:rsid w:val="00176D3B"/>
    <w:rsid w:val="00176D8A"/>
    <w:rsid w:val="00176F8C"/>
    <w:rsid w:val="00180E30"/>
    <w:rsid w:val="00180FB0"/>
    <w:rsid w:val="00181265"/>
    <w:rsid w:val="00181C17"/>
    <w:rsid w:val="00182C37"/>
    <w:rsid w:val="00182CF9"/>
    <w:rsid w:val="00182ECD"/>
    <w:rsid w:val="00183B61"/>
    <w:rsid w:val="00183ECA"/>
    <w:rsid w:val="00184077"/>
    <w:rsid w:val="00184920"/>
    <w:rsid w:val="00184E8B"/>
    <w:rsid w:val="001850EB"/>
    <w:rsid w:val="001851B4"/>
    <w:rsid w:val="00185CB1"/>
    <w:rsid w:val="00187CF1"/>
    <w:rsid w:val="001903FB"/>
    <w:rsid w:val="00190EC7"/>
    <w:rsid w:val="001913E2"/>
    <w:rsid w:val="00191AD1"/>
    <w:rsid w:val="001920F2"/>
    <w:rsid w:val="001922CD"/>
    <w:rsid w:val="00192F06"/>
    <w:rsid w:val="001936F7"/>
    <w:rsid w:val="00193D10"/>
    <w:rsid w:val="00194794"/>
    <w:rsid w:val="00194FAD"/>
    <w:rsid w:val="001968CD"/>
    <w:rsid w:val="00196ADB"/>
    <w:rsid w:val="00197E6B"/>
    <w:rsid w:val="001A0095"/>
    <w:rsid w:val="001A07B2"/>
    <w:rsid w:val="001A10B9"/>
    <w:rsid w:val="001A141A"/>
    <w:rsid w:val="001A34EC"/>
    <w:rsid w:val="001A40A5"/>
    <w:rsid w:val="001A4BC7"/>
    <w:rsid w:val="001A4D26"/>
    <w:rsid w:val="001A5B5B"/>
    <w:rsid w:val="001A6426"/>
    <w:rsid w:val="001A7D3E"/>
    <w:rsid w:val="001A7DC4"/>
    <w:rsid w:val="001B007A"/>
    <w:rsid w:val="001B1F6E"/>
    <w:rsid w:val="001B22E2"/>
    <w:rsid w:val="001B244C"/>
    <w:rsid w:val="001B2818"/>
    <w:rsid w:val="001B3FC8"/>
    <w:rsid w:val="001B4503"/>
    <w:rsid w:val="001B4D04"/>
    <w:rsid w:val="001B507D"/>
    <w:rsid w:val="001B62D1"/>
    <w:rsid w:val="001B6F34"/>
    <w:rsid w:val="001B7384"/>
    <w:rsid w:val="001C04F7"/>
    <w:rsid w:val="001C178F"/>
    <w:rsid w:val="001C3DC8"/>
    <w:rsid w:val="001C4453"/>
    <w:rsid w:val="001C7D40"/>
    <w:rsid w:val="001D0093"/>
    <w:rsid w:val="001D01AE"/>
    <w:rsid w:val="001D2897"/>
    <w:rsid w:val="001D45C8"/>
    <w:rsid w:val="001D48C2"/>
    <w:rsid w:val="001D50BD"/>
    <w:rsid w:val="001D5A2C"/>
    <w:rsid w:val="001D5ED8"/>
    <w:rsid w:val="001D6E12"/>
    <w:rsid w:val="001D70C1"/>
    <w:rsid w:val="001D7940"/>
    <w:rsid w:val="001D7C99"/>
    <w:rsid w:val="001E0DA3"/>
    <w:rsid w:val="001E133A"/>
    <w:rsid w:val="001E26FC"/>
    <w:rsid w:val="001E2883"/>
    <w:rsid w:val="001E3782"/>
    <w:rsid w:val="001E3E75"/>
    <w:rsid w:val="001E500D"/>
    <w:rsid w:val="001E5163"/>
    <w:rsid w:val="001E5B2B"/>
    <w:rsid w:val="001E5C29"/>
    <w:rsid w:val="001E635C"/>
    <w:rsid w:val="001E6E70"/>
    <w:rsid w:val="001E74F5"/>
    <w:rsid w:val="001E75AF"/>
    <w:rsid w:val="001E7C0A"/>
    <w:rsid w:val="001E7ECC"/>
    <w:rsid w:val="001F016D"/>
    <w:rsid w:val="001F0AA5"/>
    <w:rsid w:val="001F0DFB"/>
    <w:rsid w:val="001F102E"/>
    <w:rsid w:val="001F2DD3"/>
    <w:rsid w:val="001F3DC4"/>
    <w:rsid w:val="001F5306"/>
    <w:rsid w:val="001F6D7F"/>
    <w:rsid w:val="001F7225"/>
    <w:rsid w:val="0020096F"/>
    <w:rsid w:val="00200BF0"/>
    <w:rsid w:val="00201977"/>
    <w:rsid w:val="00201A08"/>
    <w:rsid w:val="00201F5B"/>
    <w:rsid w:val="0020224F"/>
    <w:rsid w:val="002025AA"/>
    <w:rsid w:val="0020353D"/>
    <w:rsid w:val="002036C0"/>
    <w:rsid w:val="0020450D"/>
    <w:rsid w:val="00204624"/>
    <w:rsid w:val="002048EB"/>
    <w:rsid w:val="00204DBB"/>
    <w:rsid w:val="0020526A"/>
    <w:rsid w:val="002065DE"/>
    <w:rsid w:val="0020708C"/>
    <w:rsid w:val="002075B6"/>
    <w:rsid w:val="00207D31"/>
    <w:rsid w:val="0021040E"/>
    <w:rsid w:val="00210C77"/>
    <w:rsid w:val="002115D3"/>
    <w:rsid w:val="002116FA"/>
    <w:rsid w:val="00211A39"/>
    <w:rsid w:val="00211AAA"/>
    <w:rsid w:val="00213509"/>
    <w:rsid w:val="0021382E"/>
    <w:rsid w:val="002141F2"/>
    <w:rsid w:val="002142D1"/>
    <w:rsid w:val="00214A6D"/>
    <w:rsid w:val="002158A2"/>
    <w:rsid w:val="00216FF6"/>
    <w:rsid w:val="00217BD0"/>
    <w:rsid w:val="00220E9D"/>
    <w:rsid w:val="00221366"/>
    <w:rsid w:val="002215D8"/>
    <w:rsid w:val="00221BF6"/>
    <w:rsid w:val="00221E3E"/>
    <w:rsid w:val="0022204F"/>
    <w:rsid w:val="002224D5"/>
    <w:rsid w:val="00222598"/>
    <w:rsid w:val="00222920"/>
    <w:rsid w:val="00222DA5"/>
    <w:rsid w:val="002230C9"/>
    <w:rsid w:val="002239ED"/>
    <w:rsid w:val="00224439"/>
    <w:rsid w:val="0022466B"/>
    <w:rsid w:val="002253C6"/>
    <w:rsid w:val="00225736"/>
    <w:rsid w:val="00226821"/>
    <w:rsid w:val="0022758B"/>
    <w:rsid w:val="00230309"/>
    <w:rsid w:val="00230612"/>
    <w:rsid w:val="00230BCE"/>
    <w:rsid w:val="00230C3A"/>
    <w:rsid w:val="00231A7C"/>
    <w:rsid w:val="0023221C"/>
    <w:rsid w:val="002322F8"/>
    <w:rsid w:val="002326EA"/>
    <w:rsid w:val="00233346"/>
    <w:rsid w:val="00233E76"/>
    <w:rsid w:val="002342FB"/>
    <w:rsid w:val="002344C0"/>
    <w:rsid w:val="002355D0"/>
    <w:rsid w:val="00235EF8"/>
    <w:rsid w:val="0023698A"/>
    <w:rsid w:val="00237B34"/>
    <w:rsid w:val="00240662"/>
    <w:rsid w:val="002414A2"/>
    <w:rsid w:val="00241755"/>
    <w:rsid w:val="00242CED"/>
    <w:rsid w:val="00242D39"/>
    <w:rsid w:val="00243612"/>
    <w:rsid w:val="00243DA5"/>
    <w:rsid w:val="00244E30"/>
    <w:rsid w:val="0024589D"/>
    <w:rsid w:val="00245EC2"/>
    <w:rsid w:val="00245FB9"/>
    <w:rsid w:val="00246A58"/>
    <w:rsid w:val="002473D7"/>
    <w:rsid w:val="00247F3D"/>
    <w:rsid w:val="002521E3"/>
    <w:rsid w:val="0025233B"/>
    <w:rsid w:val="00252846"/>
    <w:rsid w:val="00252996"/>
    <w:rsid w:val="00253463"/>
    <w:rsid w:val="00253FD8"/>
    <w:rsid w:val="0025447D"/>
    <w:rsid w:val="00254A6F"/>
    <w:rsid w:val="0025522F"/>
    <w:rsid w:val="0025576E"/>
    <w:rsid w:val="002561FD"/>
    <w:rsid w:val="002565BC"/>
    <w:rsid w:val="002567A1"/>
    <w:rsid w:val="002573A6"/>
    <w:rsid w:val="00260A2A"/>
    <w:rsid w:val="00260CD5"/>
    <w:rsid w:val="00261416"/>
    <w:rsid w:val="002619C0"/>
    <w:rsid w:val="002619EC"/>
    <w:rsid w:val="002624FD"/>
    <w:rsid w:val="0026433F"/>
    <w:rsid w:val="002658C7"/>
    <w:rsid w:val="0026609B"/>
    <w:rsid w:val="002669F8"/>
    <w:rsid w:val="00267517"/>
    <w:rsid w:val="00267B02"/>
    <w:rsid w:val="00267C7D"/>
    <w:rsid w:val="00267DDA"/>
    <w:rsid w:val="00270AE3"/>
    <w:rsid w:val="00270D2B"/>
    <w:rsid w:val="002715B9"/>
    <w:rsid w:val="00272885"/>
    <w:rsid w:val="00272C67"/>
    <w:rsid w:val="00274612"/>
    <w:rsid w:val="00274B1F"/>
    <w:rsid w:val="0027645D"/>
    <w:rsid w:val="00276F3B"/>
    <w:rsid w:val="00280050"/>
    <w:rsid w:val="00281D72"/>
    <w:rsid w:val="002820AD"/>
    <w:rsid w:val="00282323"/>
    <w:rsid w:val="00282451"/>
    <w:rsid w:val="0028319C"/>
    <w:rsid w:val="002839C5"/>
    <w:rsid w:val="002840A4"/>
    <w:rsid w:val="00284C28"/>
    <w:rsid w:val="00284CA9"/>
    <w:rsid w:val="00285688"/>
    <w:rsid w:val="00285D5F"/>
    <w:rsid w:val="0028673A"/>
    <w:rsid w:val="002869E4"/>
    <w:rsid w:val="00286EA1"/>
    <w:rsid w:val="002874C2"/>
    <w:rsid w:val="00287EA5"/>
    <w:rsid w:val="002908FE"/>
    <w:rsid w:val="00290FBD"/>
    <w:rsid w:val="00291FEC"/>
    <w:rsid w:val="002923E7"/>
    <w:rsid w:val="002946AE"/>
    <w:rsid w:val="002951A9"/>
    <w:rsid w:val="002959F9"/>
    <w:rsid w:val="00295CD3"/>
    <w:rsid w:val="002A011F"/>
    <w:rsid w:val="002A0C97"/>
    <w:rsid w:val="002A0E28"/>
    <w:rsid w:val="002A0F2F"/>
    <w:rsid w:val="002A1587"/>
    <w:rsid w:val="002A16BF"/>
    <w:rsid w:val="002A21C9"/>
    <w:rsid w:val="002A2884"/>
    <w:rsid w:val="002A382E"/>
    <w:rsid w:val="002A3A28"/>
    <w:rsid w:val="002A406A"/>
    <w:rsid w:val="002A44F1"/>
    <w:rsid w:val="002A4684"/>
    <w:rsid w:val="002A4F3D"/>
    <w:rsid w:val="002A4F85"/>
    <w:rsid w:val="002A585D"/>
    <w:rsid w:val="002A5E20"/>
    <w:rsid w:val="002A6428"/>
    <w:rsid w:val="002A66E0"/>
    <w:rsid w:val="002A6819"/>
    <w:rsid w:val="002B1099"/>
    <w:rsid w:val="002B2FAE"/>
    <w:rsid w:val="002B4258"/>
    <w:rsid w:val="002B5523"/>
    <w:rsid w:val="002B5F35"/>
    <w:rsid w:val="002B7576"/>
    <w:rsid w:val="002C114A"/>
    <w:rsid w:val="002C117A"/>
    <w:rsid w:val="002C1ED5"/>
    <w:rsid w:val="002C352E"/>
    <w:rsid w:val="002C42C8"/>
    <w:rsid w:val="002C6CE2"/>
    <w:rsid w:val="002C7026"/>
    <w:rsid w:val="002C7EBB"/>
    <w:rsid w:val="002D1CCC"/>
    <w:rsid w:val="002D22D1"/>
    <w:rsid w:val="002D2410"/>
    <w:rsid w:val="002D2647"/>
    <w:rsid w:val="002D3FD7"/>
    <w:rsid w:val="002D40B1"/>
    <w:rsid w:val="002D4A77"/>
    <w:rsid w:val="002D4F12"/>
    <w:rsid w:val="002D52A1"/>
    <w:rsid w:val="002D5413"/>
    <w:rsid w:val="002D62AE"/>
    <w:rsid w:val="002D6F2E"/>
    <w:rsid w:val="002D780E"/>
    <w:rsid w:val="002D7B1A"/>
    <w:rsid w:val="002E063A"/>
    <w:rsid w:val="002E0648"/>
    <w:rsid w:val="002E082B"/>
    <w:rsid w:val="002E0EEA"/>
    <w:rsid w:val="002E11B8"/>
    <w:rsid w:val="002E2C9B"/>
    <w:rsid w:val="002E2CC4"/>
    <w:rsid w:val="002E3C6A"/>
    <w:rsid w:val="002E3F26"/>
    <w:rsid w:val="002E4CEF"/>
    <w:rsid w:val="002E510A"/>
    <w:rsid w:val="002E5289"/>
    <w:rsid w:val="002E556A"/>
    <w:rsid w:val="002E75A1"/>
    <w:rsid w:val="002E7DAE"/>
    <w:rsid w:val="002F0391"/>
    <w:rsid w:val="002F03AF"/>
    <w:rsid w:val="002F0A0B"/>
    <w:rsid w:val="002F0C50"/>
    <w:rsid w:val="002F0D08"/>
    <w:rsid w:val="002F0DA0"/>
    <w:rsid w:val="002F1350"/>
    <w:rsid w:val="002F19D9"/>
    <w:rsid w:val="002F1D7D"/>
    <w:rsid w:val="002F212C"/>
    <w:rsid w:val="002F214D"/>
    <w:rsid w:val="002F26E1"/>
    <w:rsid w:val="002F2D26"/>
    <w:rsid w:val="002F3CCF"/>
    <w:rsid w:val="002F46CB"/>
    <w:rsid w:val="002F6235"/>
    <w:rsid w:val="002F67CB"/>
    <w:rsid w:val="002F684A"/>
    <w:rsid w:val="002F6DB8"/>
    <w:rsid w:val="002F7A40"/>
    <w:rsid w:val="002F7CE9"/>
    <w:rsid w:val="002F7F46"/>
    <w:rsid w:val="00300785"/>
    <w:rsid w:val="00301037"/>
    <w:rsid w:val="003015AE"/>
    <w:rsid w:val="00301E62"/>
    <w:rsid w:val="00301F10"/>
    <w:rsid w:val="003020A8"/>
    <w:rsid w:val="003022F4"/>
    <w:rsid w:val="00302483"/>
    <w:rsid w:val="00302704"/>
    <w:rsid w:val="00303FCD"/>
    <w:rsid w:val="0030422D"/>
    <w:rsid w:val="003044C3"/>
    <w:rsid w:val="00304F73"/>
    <w:rsid w:val="003052FB"/>
    <w:rsid w:val="00306EC5"/>
    <w:rsid w:val="00307EE3"/>
    <w:rsid w:val="00310E00"/>
    <w:rsid w:val="00311C5C"/>
    <w:rsid w:val="00313B68"/>
    <w:rsid w:val="003146BC"/>
    <w:rsid w:val="00314BA6"/>
    <w:rsid w:val="00317338"/>
    <w:rsid w:val="00320C6B"/>
    <w:rsid w:val="003217AF"/>
    <w:rsid w:val="003217E8"/>
    <w:rsid w:val="00321BB4"/>
    <w:rsid w:val="00322680"/>
    <w:rsid w:val="00322866"/>
    <w:rsid w:val="00322895"/>
    <w:rsid w:val="0032292D"/>
    <w:rsid w:val="00323148"/>
    <w:rsid w:val="00324AA2"/>
    <w:rsid w:val="003254C7"/>
    <w:rsid w:val="0032589A"/>
    <w:rsid w:val="00330CE6"/>
    <w:rsid w:val="0033129A"/>
    <w:rsid w:val="003319C2"/>
    <w:rsid w:val="00331C59"/>
    <w:rsid w:val="0033396C"/>
    <w:rsid w:val="0033427A"/>
    <w:rsid w:val="003342AA"/>
    <w:rsid w:val="0033443A"/>
    <w:rsid w:val="00334CF0"/>
    <w:rsid w:val="0033552E"/>
    <w:rsid w:val="0033623B"/>
    <w:rsid w:val="00336C9B"/>
    <w:rsid w:val="00336D99"/>
    <w:rsid w:val="003371A8"/>
    <w:rsid w:val="00337378"/>
    <w:rsid w:val="0033745C"/>
    <w:rsid w:val="00337DDF"/>
    <w:rsid w:val="00340726"/>
    <w:rsid w:val="003408EC"/>
    <w:rsid w:val="00340B30"/>
    <w:rsid w:val="00340F96"/>
    <w:rsid w:val="0034168D"/>
    <w:rsid w:val="00341986"/>
    <w:rsid w:val="0034229A"/>
    <w:rsid w:val="00343195"/>
    <w:rsid w:val="0034385E"/>
    <w:rsid w:val="00344A76"/>
    <w:rsid w:val="00344E35"/>
    <w:rsid w:val="00345123"/>
    <w:rsid w:val="00346B53"/>
    <w:rsid w:val="00346CDC"/>
    <w:rsid w:val="0035011E"/>
    <w:rsid w:val="003507EA"/>
    <w:rsid w:val="00350B71"/>
    <w:rsid w:val="00351087"/>
    <w:rsid w:val="00352A26"/>
    <w:rsid w:val="00352C6E"/>
    <w:rsid w:val="00352E61"/>
    <w:rsid w:val="00353132"/>
    <w:rsid w:val="0035392F"/>
    <w:rsid w:val="00353B1D"/>
    <w:rsid w:val="00353F7E"/>
    <w:rsid w:val="00354D52"/>
    <w:rsid w:val="00355F74"/>
    <w:rsid w:val="003561DE"/>
    <w:rsid w:val="0035667B"/>
    <w:rsid w:val="003569A1"/>
    <w:rsid w:val="00356BDE"/>
    <w:rsid w:val="003579F5"/>
    <w:rsid w:val="00357C61"/>
    <w:rsid w:val="00357CF6"/>
    <w:rsid w:val="00360AFE"/>
    <w:rsid w:val="003610B7"/>
    <w:rsid w:val="003627DA"/>
    <w:rsid w:val="00362A19"/>
    <w:rsid w:val="00363230"/>
    <w:rsid w:val="00363B82"/>
    <w:rsid w:val="00365BF0"/>
    <w:rsid w:val="0036632B"/>
    <w:rsid w:val="00366814"/>
    <w:rsid w:val="00366BD5"/>
    <w:rsid w:val="0036709C"/>
    <w:rsid w:val="00367AB9"/>
    <w:rsid w:val="00367DB2"/>
    <w:rsid w:val="00370878"/>
    <w:rsid w:val="00370E25"/>
    <w:rsid w:val="0037279F"/>
    <w:rsid w:val="00372ACD"/>
    <w:rsid w:val="00372FFD"/>
    <w:rsid w:val="003731B1"/>
    <w:rsid w:val="00374F2C"/>
    <w:rsid w:val="0037553F"/>
    <w:rsid w:val="00376C13"/>
    <w:rsid w:val="00377768"/>
    <w:rsid w:val="003779E8"/>
    <w:rsid w:val="00377B86"/>
    <w:rsid w:val="00377C75"/>
    <w:rsid w:val="00377CE0"/>
    <w:rsid w:val="003804C0"/>
    <w:rsid w:val="00380F96"/>
    <w:rsid w:val="00382360"/>
    <w:rsid w:val="00382B11"/>
    <w:rsid w:val="00383712"/>
    <w:rsid w:val="00384AE3"/>
    <w:rsid w:val="00384C5B"/>
    <w:rsid w:val="00385781"/>
    <w:rsid w:val="00385CC1"/>
    <w:rsid w:val="003866C0"/>
    <w:rsid w:val="00386DAC"/>
    <w:rsid w:val="00386F74"/>
    <w:rsid w:val="00386FDA"/>
    <w:rsid w:val="00387546"/>
    <w:rsid w:val="0038796A"/>
    <w:rsid w:val="00387BDF"/>
    <w:rsid w:val="003901A6"/>
    <w:rsid w:val="00390ED2"/>
    <w:rsid w:val="0039191D"/>
    <w:rsid w:val="003931BD"/>
    <w:rsid w:val="00395B89"/>
    <w:rsid w:val="00396416"/>
    <w:rsid w:val="00397D13"/>
    <w:rsid w:val="003A0221"/>
    <w:rsid w:val="003A0F20"/>
    <w:rsid w:val="003A1425"/>
    <w:rsid w:val="003A2BCD"/>
    <w:rsid w:val="003A32EE"/>
    <w:rsid w:val="003A3D63"/>
    <w:rsid w:val="003A41C3"/>
    <w:rsid w:val="003A43AB"/>
    <w:rsid w:val="003A4421"/>
    <w:rsid w:val="003A4FB7"/>
    <w:rsid w:val="003A520A"/>
    <w:rsid w:val="003A5335"/>
    <w:rsid w:val="003A6314"/>
    <w:rsid w:val="003A65F0"/>
    <w:rsid w:val="003A7E6F"/>
    <w:rsid w:val="003B0A37"/>
    <w:rsid w:val="003B0BDB"/>
    <w:rsid w:val="003B1A76"/>
    <w:rsid w:val="003B2135"/>
    <w:rsid w:val="003B3C41"/>
    <w:rsid w:val="003B5404"/>
    <w:rsid w:val="003B629F"/>
    <w:rsid w:val="003B6BA6"/>
    <w:rsid w:val="003B7254"/>
    <w:rsid w:val="003B751B"/>
    <w:rsid w:val="003B7548"/>
    <w:rsid w:val="003B77A9"/>
    <w:rsid w:val="003B7FA4"/>
    <w:rsid w:val="003C03A9"/>
    <w:rsid w:val="003C10E3"/>
    <w:rsid w:val="003C12CC"/>
    <w:rsid w:val="003C1389"/>
    <w:rsid w:val="003C21A1"/>
    <w:rsid w:val="003C26B9"/>
    <w:rsid w:val="003C38D0"/>
    <w:rsid w:val="003C3AA2"/>
    <w:rsid w:val="003C56B0"/>
    <w:rsid w:val="003C5A4D"/>
    <w:rsid w:val="003C625B"/>
    <w:rsid w:val="003C6D90"/>
    <w:rsid w:val="003C6E2D"/>
    <w:rsid w:val="003C7C4E"/>
    <w:rsid w:val="003D0338"/>
    <w:rsid w:val="003D0919"/>
    <w:rsid w:val="003D0EB8"/>
    <w:rsid w:val="003D0FA7"/>
    <w:rsid w:val="003D1B19"/>
    <w:rsid w:val="003D2338"/>
    <w:rsid w:val="003D2945"/>
    <w:rsid w:val="003D2BFD"/>
    <w:rsid w:val="003D3136"/>
    <w:rsid w:val="003D3CDE"/>
    <w:rsid w:val="003D4300"/>
    <w:rsid w:val="003D46CD"/>
    <w:rsid w:val="003D4CD3"/>
    <w:rsid w:val="003D5A36"/>
    <w:rsid w:val="003D71D0"/>
    <w:rsid w:val="003D772C"/>
    <w:rsid w:val="003E1356"/>
    <w:rsid w:val="003E1375"/>
    <w:rsid w:val="003E2162"/>
    <w:rsid w:val="003E2285"/>
    <w:rsid w:val="003E4321"/>
    <w:rsid w:val="003E64F7"/>
    <w:rsid w:val="003E67EE"/>
    <w:rsid w:val="003E6D1B"/>
    <w:rsid w:val="003E7BE2"/>
    <w:rsid w:val="003F0088"/>
    <w:rsid w:val="003F0D33"/>
    <w:rsid w:val="003F0DCB"/>
    <w:rsid w:val="003F11B9"/>
    <w:rsid w:val="003F228F"/>
    <w:rsid w:val="003F2760"/>
    <w:rsid w:val="003F416F"/>
    <w:rsid w:val="003F42E4"/>
    <w:rsid w:val="003F4BFE"/>
    <w:rsid w:val="003F6494"/>
    <w:rsid w:val="003F6E3B"/>
    <w:rsid w:val="003F74E6"/>
    <w:rsid w:val="003F7613"/>
    <w:rsid w:val="003F785B"/>
    <w:rsid w:val="003F78A9"/>
    <w:rsid w:val="004006EB"/>
    <w:rsid w:val="00401184"/>
    <w:rsid w:val="004017F7"/>
    <w:rsid w:val="0040230A"/>
    <w:rsid w:val="004030F3"/>
    <w:rsid w:val="00403650"/>
    <w:rsid w:val="00403B86"/>
    <w:rsid w:val="0040400E"/>
    <w:rsid w:val="004040E6"/>
    <w:rsid w:val="00404723"/>
    <w:rsid w:val="0040692D"/>
    <w:rsid w:val="00407202"/>
    <w:rsid w:val="00407AA1"/>
    <w:rsid w:val="0041006D"/>
    <w:rsid w:val="00411487"/>
    <w:rsid w:val="0041263E"/>
    <w:rsid w:val="00413952"/>
    <w:rsid w:val="00413B72"/>
    <w:rsid w:val="004147E1"/>
    <w:rsid w:val="00414B68"/>
    <w:rsid w:val="00414F3C"/>
    <w:rsid w:val="00415609"/>
    <w:rsid w:val="00416858"/>
    <w:rsid w:val="00416B3A"/>
    <w:rsid w:val="004213E8"/>
    <w:rsid w:val="00421499"/>
    <w:rsid w:val="00423BAF"/>
    <w:rsid w:val="00424272"/>
    <w:rsid w:val="00424E0C"/>
    <w:rsid w:val="00424FC9"/>
    <w:rsid w:val="00425612"/>
    <w:rsid w:val="004256C9"/>
    <w:rsid w:val="00427781"/>
    <w:rsid w:val="00430230"/>
    <w:rsid w:val="0043129B"/>
    <w:rsid w:val="004312BB"/>
    <w:rsid w:val="0043193A"/>
    <w:rsid w:val="0043219E"/>
    <w:rsid w:val="0043240B"/>
    <w:rsid w:val="004324C4"/>
    <w:rsid w:val="004325CD"/>
    <w:rsid w:val="00432DED"/>
    <w:rsid w:val="00433353"/>
    <w:rsid w:val="0043462F"/>
    <w:rsid w:val="00436C10"/>
    <w:rsid w:val="00440AD3"/>
    <w:rsid w:val="00440F39"/>
    <w:rsid w:val="004417EB"/>
    <w:rsid w:val="00441867"/>
    <w:rsid w:val="00442D63"/>
    <w:rsid w:val="00442D86"/>
    <w:rsid w:val="00443A2E"/>
    <w:rsid w:val="004444F4"/>
    <w:rsid w:val="00444E11"/>
    <w:rsid w:val="004463D0"/>
    <w:rsid w:val="00447B60"/>
    <w:rsid w:val="004500B1"/>
    <w:rsid w:val="004503EB"/>
    <w:rsid w:val="0045045E"/>
    <w:rsid w:val="00450498"/>
    <w:rsid w:val="00452DD4"/>
    <w:rsid w:val="00452EF0"/>
    <w:rsid w:val="004536FC"/>
    <w:rsid w:val="00453FEF"/>
    <w:rsid w:val="00454056"/>
    <w:rsid w:val="00455C00"/>
    <w:rsid w:val="00455C08"/>
    <w:rsid w:val="00456ED9"/>
    <w:rsid w:val="00456FEC"/>
    <w:rsid w:val="0045738B"/>
    <w:rsid w:val="0045768B"/>
    <w:rsid w:val="00460D64"/>
    <w:rsid w:val="004622B3"/>
    <w:rsid w:val="00462703"/>
    <w:rsid w:val="00462F69"/>
    <w:rsid w:val="004637F8"/>
    <w:rsid w:val="004638B7"/>
    <w:rsid w:val="004639E6"/>
    <w:rsid w:val="00463F33"/>
    <w:rsid w:val="00464B12"/>
    <w:rsid w:val="00465BDF"/>
    <w:rsid w:val="00466BF4"/>
    <w:rsid w:val="00466D6E"/>
    <w:rsid w:val="004675FF"/>
    <w:rsid w:val="0047009A"/>
    <w:rsid w:val="004736A9"/>
    <w:rsid w:val="00473A4A"/>
    <w:rsid w:val="00473B7D"/>
    <w:rsid w:val="00473ECB"/>
    <w:rsid w:val="00474BD0"/>
    <w:rsid w:val="00474D1A"/>
    <w:rsid w:val="00475621"/>
    <w:rsid w:val="00475727"/>
    <w:rsid w:val="004760F1"/>
    <w:rsid w:val="004763E4"/>
    <w:rsid w:val="0047690B"/>
    <w:rsid w:val="00476AF7"/>
    <w:rsid w:val="00476D57"/>
    <w:rsid w:val="00476E50"/>
    <w:rsid w:val="00477F4C"/>
    <w:rsid w:val="0048003E"/>
    <w:rsid w:val="0048113C"/>
    <w:rsid w:val="004811C8"/>
    <w:rsid w:val="00481854"/>
    <w:rsid w:val="00481C2C"/>
    <w:rsid w:val="00482D03"/>
    <w:rsid w:val="00483D2A"/>
    <w:rsid w:val="004841C7"/>
    <w:rsid w:val="004865EA"/>
    <w:rsid w:val="00487B11"/>
    <w:rsid w:val="0049072E"/>
    <w:rsid w:val="00490989"/>
    <w:rsid w:val="004924E3"/>
    <w:rsid w:val="00492D01"/>
    <w:rsid w:val="00492D35"/>
    <w:rsid w:val="00492E35"/>
    <w:rsid w:val="0049340F"/>
    <w:rsid w:val="004943AB"/>
    <w:rsid w:val="00494B7B"/>
    <w:rsid w:val="00494CA4"/>
    <w:rsid w:val="004951FA"/>
    <w:rsid w:val="004959DD"/>
    <w:rsid w:val="00495D85"/>
    <w:rsid w:val="00496340"/>
    <w:rsid w:val="004A0E14"/>
    <w:rsid w:val="004A16FE"/>
    <w:rsid w:val="004A18D8"/>
    <w:rsid w:val="004A1E20"/>
    <w:rsid w:val="004A1F92"/>
    <w:rsid w:val="004A241B"/>
    <w:rsid w:val="004A28E6"/>
    <w:rsid w:val="004A3E1D"/>
    <w:rsid w:val="004A6A79"/>
    <w:rsid w:val="004A713A"/>
    <w:rsid w:val="004A7574"/>
    <w:rsid w:val="004B13E2"/>
    <w:rsid w:val="004B1627"/>
    <w:rsid w:val="004B18C3"/>
    <w:rsid w:val="004B21BE"/>
    <w:rsid w:val="004B27CD"/>
    <w:rsid w:val="004B280D"/>
    <w:rsid w:val="004B2BA0"/>
    <w:rsid w:val="004B4399"/>
    <w:rsid w:val="004B4C94"/>
    <w:rsid w:val="004B6E2A"/>
    <w:rsid w:val="004B70E2"/>
    <w:rsid w:val="004B7663"/>
    <w:rsid w:val="004C17BC"/>
    <w:rsid w:val="004C1B34"/>
    <w:rsid w:val="004C1BB6"/>
    <w:rsid w:val="004C28B1"/>
    <w:rsid w:val="004C2960"/>
    <w:rsid w:val="004C2F49"/>
    <w:rsid w:val="004C3892"/>
    <w:rsid w:val="004C3E1A"/>
    <w:rsid w:val="004C47C8"/>
    <w:rsid w:val="004C5D97"/>
    <w:rsid w:val="004C63BD"/>
    <w:rsid w:val="004C68DB"/>
    <w:rsid w:val="004C732E"/>
    <w:rsid w:val="004D0259"/>
    <w:rsid w:val="004D17D5"/>
    <w:rsid w:val="004D19EB"/>
    <w:rsid w:val="004D2D97"/>
    <w:rsid w:val="004D3D63"/>
    <w:rsid w:val="004D4290"/>
    <w:rsid w:val="004D4AED"/>
    <w:rsid w:val="004D5D05"/>
    <w:rsid w:val="004D60B9"/>
    <w:rsid w:val="004D63CD"/>
    <w:rsid w:val="004D6888"/>
    <w:rsid w:val="004D71F7"/>
    <w:rsid w:val="004E1B0B"/>
    <w:rsid w:val="004E27A1"/>
    <w:rsid w:val="004E2DA0"/>
    <w:rsid w:val="004E2FBE"/>
    <w:rsid w:val="004E51DB"/>
    <w:rsid w:val="004E523D"/>
    <w:rsid w:val="004E541B"/>
    <w:rsid w:val="004E5550"/>
    <w:rsid w:val="004E6AC7"/>
    <w:rsid w:val="004E6D6C"/>
    <w:rsid w:val="004E6F66"/>
    <w:rsid w:val="004E7034"/>
    <w:rsid w:val="004E758E"/>
    <w:rsid w:val="004F0814"/>
    <w:rsid w:val="004F0940"/>
    <w:rsid w:val="004F09DB"/>
    <w:rsid w:val="004F0DDE"/>
    <w:rsid w:val="004F1123"/>
    <w:rsid w:val="004F1820"/>
    <w:rsid w:val="004F1E82"/>
    <w:rsid w:val="004F21B7"/>
    <w:rsid w:val="004F2486"/>
    <w:rsid w:val="004F3DDA"/>
    <w:rsid w:val="004F436F"/>
    <w:rsid w:val="004F4D7C"/>
    <w:rsid w:val="004F52B2"/>
    <w:rsid w:val="004F5408"/>
    <w:rsid w:val="004F547A"/>
    <w:rsid w:val="004F54DD"/>
    <w:rsid w:val="004F710E"/>
    <w:rsid w:val="004F7C32"/>
    <w:rsid w:val="0050022D"/>
    <w:rsid w:val="00502230"/>
    <w:rsid w:val="00502409"/>
    <w:rsid w:val="005029F9"/>
    <w:rsid w:val="005030DF"/>
    <w:rsid w:val="00504707"/>
    <w:rsid w:val="00504FF8"/>
    <w:rsid w:val="00506ADE"/>
    <w:rsid w:val="005117E9"/>
    <w:rsid w:val="00512F2E"/>
    <w:rsid w:val="00515563"/>
    <w:rsid w:val="0051614D"/>
    <w:rsid w:val="005163CD"/>
    <w:rsid w:val="0051777B"/>
    <w:rsid w:val="00517C5C"/>
    <w:rsid w:val="00517E91"/>
    <w:rsid w:val="005201AD"/>
    <w:rsid w:val="0052030E"/>
    <w:rsid w:val="005208A1"/>
    <w:rsid w:val="00520EC4"/>
    <w:rsid w:val="005211A1"/>
    <w:rsid w:val="0052140E"/>
    <w:rsid w:val="00521F94"/>
    <w:rsid w:val="00521FFB"/>
    <w:rsid w:val="00522871"/>
    <w:rsid w:val="00522E2D"/>
    <w:rsid w:val="0052352B"/>
    <w:rsid w:val="00523DA2"/>
    <w:rsid w:val="00523F41"/>
    <w:rsid w:val="00525B9F"/>
    <w:rsid w:val="00526423"/>
    <w:rsid w:val="00526718"/>
    <w:rsid w:val="0052671B"/>
    <w:rsid w:val="0052751F"/>
    <w:rsid w:val="005278F0"/>
    <w:rsid w:val="005306D0"/>
    <w:rsid w:val="00530F23"/>
    <w:rsid w:val="00531262"/>
    <w:rsid w:val="00531A42"/>
    <w:rsid w:val="005321F3"/>
    <w:rsid w:val="0053231A"/>
    <w:rsid w:val="005324AB"/>
    <w:rsid w:val="00532E77"/>
    <w:rsid w:val="0053321F"/>
    <w:rsid w:val="00533486"/>
    <w:rsid w:val="0053521E"/>
    <w:rsid w:val="00535751"/>
    <w:rsid w:val="00535B4C"/>
    <w:rsid w:val="00535C4B"/>
    <w:rsid w:val="0053651C"/>
    <w:rsid w:val="00536933"/>
    <w:rsid w:val="00536B0B"/>
    <w:rsid w:val="00536C7B"/>
    <w:rsid w:val="005407A3"/>
    <w:rsid w:val="005417C1"/>
    <w:rsid w:val="00541BB9"/>
    <w:rsid w:val="00542B89"/>
    <w:rsid w:val="0054369A"/>
    <w:rsid w:val="005445C1"/>
    <w:rsid w:val="00544A38"/>
    <w:rsid w:val="00544E92"/>
    <w:rsid w:val="00551060"/>
    <w:rsid w:val="0055404D"/>
    <w:rsid w:val="0055473E"/>
    <w:rsid w:val="00554B4E"/>
    <w:rsid w:val="00554ECB"/>
    <w:rsid w:val="0055516B"/>
    <w:rsid w:val="005553BB"/>
    <w:rsid w:val="005556C1"/>
    <w:rsid w:val="00556424"/>
    <w:rsid w:val="00556807"/>
    <w:rsid w:val="00556BD1"/>
    <w:rsid w:val="00557E56"/>
    <w:rsid w:val="00560193"/>
    <w:rsid w:val="005607FB"/>
    <w:rsid w:val="00560BC6"/>
    <w:rsid w:val="00560CE6"/>
    <w:rsid w:val="00560F9C"/>
    <w:rsid w:val="00561089"/>
    <w:rsid w:val="00562735"/>
    <w:rsid w:val="00564699"/>
    <w:rsid w:val="00564A54"/>
    <w:rsid w:val="00565473"/>
    <w:rsid w:val="0056587B"/>
    <w:rsid w:val="00565D75"/>
    <w:rsid w:val="00565DB8"/>
    <w:rsid w:val="00567943"/>
    <w:rsid w:val="005703C6"/>
    <w:rsid w:val="00570670"/>
    <w:rsid w:val="005706A3"/>
    <w:rsid w:val="00570DC1"/>
    <w:rsid w:val="00570E50"/>
    <w:rsid w:val="00571D87"/>
    <w:rsid w:val="0057224B"/>
    <w:rsid w:val="005726D2"/>
    <w:rsid w:val="005727BC"/>
    <w:rsid w:val="00572B34"/>
    <w:rsid w:val="00572B58"/>
    <w:rsid w:val="00573FBE"/>
    <w:rsid w:val="00574A93"/>
    <w:rsid w:val="00574D91"/>
    <w:rsid w:val="00574F97"/>
    <w:rsid w:val="00575222"/>
    <w:rsid w:val="005757BA"/>
    <w:rsid w:val="00575907"/>
    <w:rsid w:val="005759E3"/>
    <w:rsid w:val="00576815"/>
    <w:rsid w:val="0057768F"/>
    <w:rsid w:val="00577D88"/>
    <w:rsid w:val="00577DA4"/>
    <w:rsid w:val="005815B7"/>
    <w:rsid w:val="00582B4B"/>
    <w:rsid w:val="0058363B"/>
    <w:rsid w:val="00583F3F"/>
    <w:rsid w:val="0058486D"/>
    <w:rsid w:val="005851F2"/>
    <w:rsid w:val="005853CF"/>
    <w:rsid w:val="0058554E"/>
    <w:rsid w:val="00585719"/>
    <w:rsid w:val="00586454"/>
    <w:rsid w:val="00590EF4"/>
    <w:rsid w:val="005912E2"/>
    <w:rsid w:val="00591ABF"/>
    <w:rsid w:val="00591B85"/>
    <w:rsid w:val="00592897"/>
    <w:rsid w:val="00592ECF"/>
    <w:rsid w:val="00593093"/>
    <w:rsid w:val="005933B3"/>
    <w:rsid w:val="00594E59"/>
    <w:rsid w:val="00594EAF"/>
    <w:rsid w:val="00595F59"/>
    <w:rsid w:val="00596267"/>
    <w:rsid w:val="00596FE0"/>
    <w:rsid w:val="005A052C"/>
    <w:rsid w:val="005A2C36"/>
    <w:rsid w:val="005A2D59"/>
    <w:rsid w:val="005A3127"/>
    <w:rsid w:val="005A3297"/>
    <w:rsid w:val="005A3847"/>
    <w:rsid w:val="005A612C"/>
    <w:rsid w:val="005A66C7"/>
    <w:rsid w:val="005A66D8"/>
    <w:rsid w:val="005A7142"/>
    <w:rsid w:val="005A74F8"/>
    <w:rsid w:val="005B2BE8"/>
    <w:rsid w:val="005B33DC"/>
    <w:rsid w:val="005B497E"/>
    <w:rsid w:val="005B4B76"/>
    <w:rsid w:val="005B4E05"/>
    <w:rsid w:val="005B5395"/>
    <w:rsid w:val="005B7673"/>
    <w:rsid w:val="005B7801"/>
    <w:rsid w:val="005C01F6"/>
    <w:rsid w:val="005C06AA"/>
    <w:rsid w:val="005C1E5D"/>
    <w:rsid w:val="005C2769"/>
    <w:rsid w:val="005C4FAB"/>
    <w:rsid w:val="005C5068"/>
    <w:rsid w:val="005C56C0"/>
    <w:rsid w:val="005C57CB"/>
    <w:rsid w:val="005C67B8"/>
    <w:rsid w:val="005C6B56"/>
    <w:rsid w:val="005C7DEA"/>
    <w:rsid w:val="005D0F63"/>
    <w:rsid w:val="005D213C"/>
    <w:rsid w:val="005D2B94"/>
    <w:rsid w:val="005D3B0B"/>
    <w:rsid w:val="005D4E92"/>
    <w:rsid w:val="005D5046"/>
    <w:rsid w:val="005D56E7"/>
    <w:rsid w:val="005D5DE1"/>
    <w:rsid w:val="005D6EE6"/>
    <w:rsid w:val="005D72E6"/>
    <w:rsid w:val="005D7ED8"/>
    <w:rsid w:val="005E04D9"/>
    <w:rsid w:val="005E06AD"/>
    <w:rsid w:val="005E18CA"/>
    <w:rsid w:val="005E2F4D"/>
    <w:rsid w:val="005E323F"/>
    <w:rsid w:val="005E3362"/>
    <w:rsid w:val="005E3729"/>
    <w:rsid w:val="005E3B18"/>
    <w:rsid w:val="005E43D1"/>
    <w:rsid w:val="005E5898"/>
    <w:rsid w:val="005E647A"/>
    <w:rsid w:val="005F06A4"/>
    <w:rsid w:val="005F12B5"/>
    <w:rsid w:val="005F3180"/>
    <w:rsid w:val="005F41C8"/>
    <w:rsid w:val="005F54D4"/>
    <w:rsid w:val="005F57D4"/>
    <w:rsid w:val="005F5D6A"/>
    <w:rsid w:val="005F6330"/>
    <w:rsid w:val="00600115"/>
    <w:rsid w:val="006002F0"/>
    <w:rsid w:val="006005ED"/>
    <w:rsid w:val="00600AB8"/>
    <w:rsid w:val="00600AE1"/>
    <w:rsid w:val="00600D8E"/>
    <w:rsid w:val="00600EF3"/>
    <w:rsid w:val="00602A24"/>
    <w:rsid w:val="00602DE5"/>
    <w:rsid w:val="00602EBC"/>
    <w:rsid w:val="006071ED"/>
    <w:rsid w:val="00607BB4"/>
    <w:rsid w:val="0061113A"/>
    <w:rsid w:val="00613088"/>
    <w:rsid w:val="006138D4"/>
    <w:rsid w:val="00613B56"/>
    <w:rsid w:val="006145C4"/>
    <w:rsid w:val="00615250"/>
    <w:rsid w:val="00617062"/>
    <w:rsid w:val="00617785"/>
    <w:rsid w:val="00622C5E"/>
    <w:rsid w:val="006236A5"/>
    <w:rsid w:val="00623C20"/>
    <w:rsid w:val="0062423E"/>
    <w:rsid w:val="0062436C"/>
    <w:rsid w:val="0062462F"/>
    <w:rsid w:val="00627219"/>
    <w:rsid w:val="00627772"/>
    <w:rsid w:val="006316A5"/>
    <w:rsid w:val="00633084"/>
    <w:rsid w:val="00633433"/>
    <w:rsid w:val="00634D1A"/>
    <w:rsid w:val="006366BB"/>
    <w:rsid w:val="006406E8"/>
    <w:rsid w:val="006408DE"/>
    <w:rsid w:val="0064161A"/>
    <w:rsid w:val="0064169C"/>
    <w:rsid w:val="0064203B"/>
    <w:rsid w:val="00642BAF"/>
    <w:rsid w:val="0064378E"/>
    <w:rsid w:val="00643AC7"/>
    <w:rsid w:val="00643BB9"/>
    <w:rsid w:val="0064520A"/>
    <w:rsid w:val="00646301"/>
    <w:rsid w:val="0064775F"/>
    <w:rsid w:val="00650488"/>
    <w:rsid w:val="006512F3"/>
    <w:rsid w:val="006517D3"/>
    <w:rsid w:val="00653179"/>
    <w:rsid w:val="00653B0C"/>
    <w:rsid w:val="006543B5"/>
    <w:rsid w:val="006549E7"/>
    <w:rsid w:val="00654C58"/>
    <w:rsid w:val="006553FA"/>
    <w:rsid w:val="0065553A"/>
    <w:rsid w:val="00656D85"/>
    <w:rsid w:val="006571FD"/>
    <w:rsid w:val="006575EC"/>
    <w:rsid w:val="00657F9C"/>
    <w:rsid w:val="00660511"/>
    <w:rsid w:val="00660F01"/>
    <w:rsid w:val="00661045"/>
    <w:rsid w:val="00661095"/>
    <w:rsid w:val="00661EA9"/>
    <w:rsid w:val="00662290"/>
    <w:rsid w:val="00662CA8"/>
    <w:rsid w:val="00663625"/>
    <w:rsid w:val="00663BE1"/>
    <w:rsid w:val="0066401A"/>
    <w:rsid w:val="00664348"/>
    <w:rsid w:val="006649D6"/>
    <w:rsid w:val="00664B6C"/>
    <w:rsid w:val="00664F14"/>
    <w:rsid w:val="00665A5E"/>
    <w:rsid w:val="006673E1"/>
    <w:rsid w:val="0067006E"/>
    <w:rsid w:val="00670CBD"/>
    <w:rsid w:val="006716A1"/>
    <w:rsid w:val="00672653"/>
    <w:rsid w:val="00672949"/>
    <w:rsid w:val="0067326C"/>
    <w:rsid w:val="00673EE6"/>
    <w:rsid w:val="00674773"/>
    <w:rsid w:val="00674984"/>
    <w:rsid w:val="006751E9"/>
    <w:rsid w:val="0067602B"/>
    <w:rsid w:val="00676C17"/>
    <w:rsid w:val="0067729C"/>
    <w:rsid w:val="006777CE"/>
    <w:rsid w:val="00677C8B"/>
    <w:rsid w:val="006805AB"/>
    <w:rsid w:val="00680F17"/>
    <w:rsid w:val="0068118A"/>
    <w:rsid w:val="00682C94"/>
    <w:rsid w:val="00682ED0"/>
    <w:rsid w:val="006830F4"/>
    <w:rsid w:val="006838BF"/>
    <w:rsid w:val="00683C8D"/>
    <w:rsid w:val="006841AB"/>
    <w:rsid w:val="006862AB"/>
    <w:rsid w:val="00686802"/>
    <w:rsid w:val="006875C5"/>
    <w:rsid w:val="0068781E"/>
    <w:rsid w:val="00690644"/>
    <w:rsid w:val="00690E6F"/>
    <w:rsid w:val="00690FC1"/>
    <w:rsid w:val="00691334"/>
    <w:rsid w:val="0069232A"/>
    <w:rsid w:val="00692AC1"/>
    <w:rsid w:val="00693BB6"/>
    <w:rsid w:val="0069419B"/>
    <w:rsid w:val="00694882"/>
    <w:rsid w:val="00694C6D"/>
    <w:rsid w:val="00694E6F"/>
    <w:rsid w:val="00695311"/>
    <w:rsid w:val="00695381"/>
    <w:rsid w:val="0069542D"/>
    <w:rsid w:val="00695F24"/>
    <w:rsid w:val="006966C7"/>
    <w:rsid w:val="006968E9"/>
    <w:rsid w:val="00696DCE"/>
    <w:rsid w:val="006A0C24"/>
    <w:rsid w:val="006A153B"/>
    <w:rsid w:val="006A264F"/>
    <w:rsid w:val="006A2665"/>
    <w:rsid w:val="006A30A1"/>
    <w:rsid w:val="006A3BC8"/>
    <w:rsid w:val="006A4B71"/>
    <w:rsid w:val="006A6124"/>
    <w:rsid w:val="006A6BC5"/>
    <w:rsid w:val="006B1DB9"/>
    <w:rsid w:val="006B32CB"/>
    <w:rsid w:val="006B391E"/>
    <w:rsid w:val="006B415D"/>
    <w:rsid w:val="006B4530"/>
    <w:rsid w:val="006B4EFA"/>
    <w:rsid w:val="006B5310"/>
    <w:rsid w:val="006C00A9"/>
    <w:rsid w:val="006C07CD"/>
    <w:rsid w:val="006C0C7A"/>
    <w:rsid w:val="006C2144"/>
    <w:rsid w:val="006C3930"/>
    <w:rsid w:val="006C3DE6"/>
    <w:rsid w:val="006C4EC0"/>
    <w:rsid w:val="006C500B"/>
    <w:rsid w:val="006C7F4F"/>
    <w:rsid w:val="006D1E3C"/>
    <w:rsid w:val="006D35B4"/>
    <w:rsid w:val="006D44AA"/>
    <w:rsid w:val="006D4A38"/>
    <w:rsid w:val="006D4F50"/>
    <w:rsid w:val="006D5B2A"/>
    <w:rsid w:val="006D5BB2"/>
    <w:rsid w:val="006D671A"/>
    <w:rsid w:val="006D73B8"/>
    <w:rsid w:val="006E0B7A"/>
    <w:rsid w:val="006E0B8B"/>
    <w:rsid w:val="006E109F"/>
    <w:rsid w:val="006E23BA"/>
    <w:rsid w:val="006E5C1A"/>
    <w:rsid w:val="006E6937"/>
    <w:rsid w:val="006E754F"/>
    <w:rsid w:val="006E7A52"/>
    <w:rsid w:val="006E7B7B"/>
    <w:rsid w:val="006F05AA"/>
    <w:rsid w:val="006F0C63"/>
    <w:rsid w:val="006F0DAB"/>
    <w:rsid w:val="006F14D3"/>
    <w:rsid w:val="006F1626"/>
    <w:rsid w:val="006F1659"/>
    <w:rsid w:val="006F2210"/>
    <w:rsid w:val="006F3199"/>
    <w:rsid w:val="006F3884"/>
    <w:rsid w:val="006F4013"/>
    <w:rsid w:val="006F49D1"/>
    <w:rsid w:val="006F6D60"/>
    <w:rsid w:val="006F7943"/>
    <w:rsid w:val="00701553"/>
    <w:rsid w:val="007015CB"/>
    <w:rsid w:val="00701A8A"/>
    <w:rsid w:val="00701FD5"/>
    <w:rsid w:val="0070268F"/>
    <w:rsid w:val="00703111"/>
    <w:rsid w:val="007038D7"/>
    <w:rsid w:val="00704787"/>
    <w:rsid w:val="0070676C"/>
    <w:rsid w:val="00706878"/>
    <w:rsid w:val="00707872"/>
    <w:rsid w:val="00710DF7"/>
    <w:rsid w:val="0071102D"/>
    <w:rsid w:val="007125CE"/>
    <w:rsid w:val="007130C1"/>
    <w:rsid w:val="0071391F"/>
    <w:rsid w:val="00713955"/>
    <w:rsid w:val="00713A97"/>
    <w:rsid w:val="00713E1C"/>
    <w:rsid w:val="007143E3"/>
    <w:rsid w:val="007154C6"/>
    <w:rsid w:val="0072087A"/>
    <w:rsid w:val="00720E81"/>
    <w:rsid w:val="0072279F"/>
    <w:rsid w:val="007228E9"/>
    <w:rsid w:val="00722C07"/>
    <w:rsid w:val="007236A6"/>
    <w:rsid w:val="00723D71"/>
    <w:rsid w:val="00723DB8"/>
    <w:rsid w:val="00723DF2"/>
    <w:rsid w:val="00724F5B"/>
    <w:rsid w:val="007252E4"/>
    <w:rsid w:val="0072583A"/>
    <w:rsid w:val="00726BF5"/>
    <w:rsid w:val="00726DE5"/>
    <w:rsid w:val="007273BC"/>
    <w:rsid w:val="007300C5"/>
    <w:rsid w:val="007301D9"/>
    <w:rsid w:val="0073093A"/>
    <w:rsid w:val="00730CCA"/>
    <w:rsid w:val="0073135C"/>
    <w:rsid w:val="00731B40"/>
    <w:rsid w:val="00731E0E"/>
    <w:rsid w:val="00733170"/>
    <w:rsid w:val="007336E1"/>
    <w:rsid w:val="007340BE"/>
    <w:rsid w:val="007352A9"/>
    <w:rsid w:val="00735DA6"/>
    <w:rsid w:val="00735F20"/>
    <w:rsid w:val="00736E4C"/>
    <w:rsid w:val="0073731B"/>
    <w:rsid w:val="0074004D"/>
    <w:rsid w:val="00740E24"/>
    <w:rsid w:val="00741587"/>
    <w:rsid w:val="00741669"/>
    <w:rsid w:val="00741694"/>
    <w:rsid w:val="00741C92"/>
    <w:rsid w:val="00741F1F"/>
    <w:rsid w:val="00742443"/>
    <w:rsid w:val="00742BD4"/>
    <w:rsid w:val="007432AE"/>
    <w:rsid w:val="00744AE5"/>
    <w:rsid w:val="00745A20"/>
    <w:rsid w:val="007465B2"/>
    <w:rsid w:val="007474C1"/>
    <w:rsid w:val="00747ACD"/>
    <w:rsid w:val="00747D77"/>
    <w:rsid w:val="00747FE2"/>
    <w:rsid w:val="007508CD"/>
    <w:rsid w:val="007511F4"/>
    <w:rsid w:val="007512C0"/>
    <w:rsid w:val="007529A5"/>
    <w:rsid w:val="00752D52"/>
    <w:rsid w:val="00752F1D"/>
    <w:rsid w:val="00754433"/>
    <w:rsid w:val="00754544"/>
    <w:rsid w:val="00754F9E"/>
    <w:rsid w:val="00761BC9"/>
    <w:rsid w:val="00761D2F"/>
    <w:rsid w:val="00763084"/>
    <w:rsid w:val="00766EB7"/>
    <w:rsid w:val="0076760C"/>
    <w:rsid w:val="0076791D"/>
    <w:rsid w:val="00767A3C"/>
    <w:rsid w:val="00770C20"/>
    <w:rsid w:val="00770C7C"/>
    <w:rsid w:val="00770F36"/>
    <w:rsid w:val="00772F43"/>
    <w:rsid w:val="0077342E"/>
    <w:rsid w:val="007757BB"/>
    <w:rsid w:val="0077698D"/>
    <w:rsid w:val="00776B26"/>
    <w:rsid w:val="00777531"/>
    <w:rsid w:val="00777C72"/>
    <w:rsid w:val="007800A9"/>
    <w:rsid w:val="00780129"/>
    <w:rsid w:val="007805E6"/>
    <w:rsid w:val="00780AF0"/>
    <w:rsid w:val="007813FB"/>
    <w:rsid w:val="0078237E"/>
    <w:rsid w:val="0078283E"/>
    <w:rsid w:val="00783E55"/>
    <w:rsid w:val="007845C7"/>
    <w:rsid w:val="00784906"/>
    <w:rsid w:val="00784A57"/>
    <w:rsid w:val="00784A8B"/>
    <w:rsid w:val="00785F91"/>
    <w:rsid w:val="00786935"/>
    <w:rsid w:val="00787050"/>
    <w:rsid w:val="0079025F"/>
    <w:rsid w:val="00790450"/>
    <w:rsid w:val="00790F0D"/>
    <w:rsid w:val="00791122"/>
    <w:rsid w:val="00791B94"/>
    <w:rsid w:val="00791CC9"/>
    <w:rsid w:val="007923C0"/>
    <w:rsid w:val="007938E7"/>
    <w:rsid w:val="0079415C"/>
    <w:rsid w:val="007946DE"/>
    <w:rsid w:val="00794783"/>
    <w:rsid w:val="007948AC"/>
    <w:rsid w:val="007955E0"/>
    <w:rsid w:val="0079571F"/>
    <w:rsid w:val="00796D85"/>
    <w:rsid w:val="00796F52"/>
    <w:rsid w:val="00797E92"/>
    <w:rsid w:val="007A0E2C"/>
    <w:rsid w:val="007A119A"/>
    <w:rsid w:val="007A187B"/>
    <w:rsid w:val="007A204C"/>
    <w:rsid w:val="007A209A"/>
    <w:rsid w:val="007A2348"/>
    <w:rsid w:val="007A2F39"/>
    <w:rsid w:val="007A40CA"/>
    <w:rsid w:val="007A4282"/>
    <w:rsid w:val="007A4390"/>
    <w:rsid w:val="007A47EE"/>
    <w:rsid w:val="007A4B7F"/>
    <w:rsid w:val="007A4D27"/>
    <w:rsid w:val="007A5CD4"/>
    <w:rsid w:val="007A6081"/>
    <w:rsid w:val="007A6C3C"/>
    <w:rsid w:val="007A7433"/>
    <w:rsid w:val="007A755C"/>
    <w:rsid w:val="007A797E"/>
    <w:rsid w:val="007A7F02"/>
    <w:rsid w:val="007B044F"/>
    <w:rsid w:val="007B0B4A"/>
    <w:rsid w:val="007B1ECB"/>
    <w:rsid w:val="007B21FB"/>
    <w:rsid w:val="007B230C"/>
    <w:rsid w:val="007B2812"/>
    <w:rsid w:val="007B4823"/>
    <w:rsid w:val="007B5162"/>
    <w:rsid w:val="007B51DF"/>
    <w:rsid w:val="007B54D7"/>
    <w:rsid w:val="007B56BF"/>
    <w:rsid w:val="007B61E7"/>
    <w:rsid w:val="007B6919"/>
    <w:rsid w:val="007B6BC1"/>
    <w:rsid w:val="007B78EB"/>
    <w:rsid w:val="007C058C"/>
    <w:rsid w:val="007C1BCE"/>
    <w:rsid w:val="007C1E30"/>
    <w:rsid w:val="007C1ECA"/>
    <w:rsid w:val="007C21E4"/>
    <w:rsid w:val="007C560F"/>
    <w:rsid w:val="007C574F"/>
    <w:rsid w:val="007C664C"/>
    <w:rsid w:val="007C74BA"/>
    <w:rsid w:val="007C7A8A"/>
    <w:rsid w:val="007D1328"/>
    <w:rsid w:val="007D15F0"/>
    <w:rsid w:val="007D1FFD"/>
    <w:rsid w:val="007D2083"/>
    <w:rsid w:val="007D20DD"/>
    <w:rsid w:val="007D3A99"/>
    <w:rsid w:val="007D4187"/>
    <w:rsid w:val="007D4A66"/>
    <w:rsid w:val="007D4A89"/>
    <w:rsid w:val="007D4ED5"/>
    <w:rsid w:val="007D5011"/>
    <w:rsid w:val="007D5B7A"/>
    <w:rsid w:val="007D60E9"/>
    <w:rsid w:val="007D7426"/>
    <w:rsid w:val="007E18CF"/>
    <w:rsid w:val="007E1CBC"/>
    <w:rsid w:val="007E301E"/>
    <w:rsid w:val="007E3BE3"/>
    <w:rsid w:val="007E4C31"/>
    <w:rsid w:val="007E5729"/>
    <w:rsid w:val="007E62AC"/>
    <w:rsid w:val="007E6B58"/>
    <w:rsid w:val="007F00AD"/>
    <w:rsid w:val="007F0A30"/>
    <w:rsid w:val="007F15CC"/>
    <w:rsid w:val="007F169D"/>
    <w:rsid w:val="007F2513"/>
    <w:rsid w:val="007F257F"/>
    <w:rsid w:val="007F26E2"/>
    <w:rsid w:val="007F290D"/>
    <w:rsid w:val="007F2C21"/>
    <w:rsid w:val="007F2DB1"/>
    <w:rsid w:val="007F3247"/>
    <w:rsid w:val="007F3E9B"/>
    <w:rsid w:val="007F4306"/>
    <w:rsid w:val="007F4D3D"/>
    <w:rsid w:val="007F4F04"/>
    <w:rsid w:val="007F5687"/>
    <w:rsid w:val="007F6CA4"/>
    <w:rsid w:val="00800C5F"/>
    <w:rsid w:val="008018BA"/>
    <w:rsid w:val="00802851"/>
    <w:rsid w:val="00802D79"/>
    <w:rsid w:val="00802EF8"/>
    <w:rsid w:val="0080309D"/>
    <w:rsid w:val="00804A6D"/>
    <w:rsid w:val="00804B7D"/>
    <w:rsid w:val="008055F7"/>
    <w:rsid w:val="00805D27"/>
    <w:rsid w:val="00806AEB"/>
    <w:rsid w:val="00806D39"/>
    <w:rsid w:val="00806E1D"/>
    <w:rsid w:val="00807E03"/>
    <w:rsid w:val="00810CFA"/>
    <w:rsid w:val="00810CFC"/>
    <w:rsid w:val="0081210D"/>
    <w:rsid w:val="00814531"/>
    <w:rsid w:val="0081492E"/>
    <w:rsid w:val="00816072"/>
    <w:rsid w:val="00816871"/>
    <w:rsid w:val="00816E54"/>
    <w:rsid w:val="00820422"/>
    <w:rsid w:val="00820B5D"/>
    <w:rsid w:val="00821F6A"/>
    <w:rsid w:val="00821F70"/>
    <w:rsid w:val="00822042"/>
    <w:rsid w:val="0082220B"/>
    <w:rsid w:val="0082313B"/>
    <w:rsid w:val="0082435C"/>
    <w:rsid w:val="008243C7"/>
    <w:rsid w:val="0082515B"/>
    <w:rsid w:val="008252C8"/>
    <w:rsid w:val="00825584"/>
    <w:rsid w:val="00825A18"/>
    <w:rsid w:val="00826671"/>
    <w:rsid w:val="00827568"/>
    <w:rsid w:val="00827A2F"/>
    <w:rsid w:val="0083076D"/>
    <w:rsid w:val="00830890"/>
    <w:rsid w:val="00830C15"/>
    <w:rsid w:val="00830F7A"/>
    <w:rsid w:val="0083178E"/>
    <w:rsid w:val="008332C9"/>
    <w:rsid w:val="008351B7"/>
    <w:rsid w:val="00836658"/>
    <w:rsid w:val="0084092C"/>
    <w:rsid w:val="00842315"/>
    <w:rsid w:val="00842BA1"/>
    <w:rsid w:val="00842C61"/>
    <w:rsid w:val="0084314B"/>
    <w:rsid w:val="00843D98"/>
    <w:rsid w:val="008459CF"/>
    <w:rsid w:val="00845A44"/>
    <w:rsid w:val="00845C58"/>
    <w:rsid w:val="0084715E"/>
    <w:rsid w:val="00847820"/>
    <w:rsid w:val="00850039"/>
    <w:rsid w:val="0085081C"/>
    <w:rsid w:val="008512AB"/>
    <w:rsid w:val="0085192D"/>
    <w:rsid w:val="0085229F"/>
    <w:rsid w:val="00852DED"/>
    <w:rsid w:val="00852FD3"/>
    <w:rsid w:val="00854039"/>
    <w:rsid w:val="00854211"/>
    <w:rsid w:val="0085421B"/>
    <w:rsid w:val="008554FB"/>
    <w:rsid w:val="00855AEB"/>
    <w:rsid w:val="008567B8"/>
    <w:rsid w:val="0086023A"/>
    <w:rsid w:val="00860D3E"/>
    <w:rsid w:val="00860F46"/>
    <w:rsid w:val="008611AE"/>
    <w:rsid w:val="0086143A"/>
    <w:rsid w:val="008615C7"/>
    <w:rsid w:val="00861904"/>
    <w:rsid w:val="00862168"/>
    <w:rsid w:val="00862840"/>
    <w:rsid w:val="00865771"/>
    <w:rsid w:val="0086579C"/>
    <w:rsid w:val="00866762"/>
    <w:rsid w:val="00866A56"/>
    <w:rsid w:val="008670C1"/>
    <w:rsid w:val="00870D87"/>
    <w:rsid w:val="00871786"/>
    <w:rsid w:val="00872F9C"/>
    <w:rsid w:val="00873217"/>
    <w:rsid w:val="00873AC3"/>
    <w:rsid w:val="00874C1B"/>
    <w:rsid w:val="00874D06"/>
    <w:rsid w:val="008751A3"/>
    <w:rsid w:val="008760A5"/>
    <w:rsid w:val="00876339"/>
    <w:rsid w:val="00876415"/>
    <w:rsid w:val="008765E2"/>
    <w:rsid w:val="00876ACA"/>
    <w:rsid w:val="00876B71"/>
    <w:rsid w:val="00877321"/>
    <w:rsid w:val="00880243"/>
    <w:rsid w:val="0088055C"/>
    <w:rsid w:val="008805C3"/>
    <w:rsid w:val="00882A1B"/>
    <w:rsid w:val="00882D7D"/>
    <w:rsid w:val="00882D9D"/>
    <w:rsid w:val="00883B4B"/>
    <w:rsid w:val="00884007"/>
    <w:rsid w:val="00884413"/>
    <w:rsid w:val="00884A9E"/>
    <w:rsid w:val="00885076"/>
    <w:rsid w:val="008850FE"/>
    <w:rsid w:val="00885249"/>
    <w:rsid w:val="00885405"/>
    <w:rsid w:val="008856CD"/>
    <w:rsid w:val="00885918"/>
    <w:rsid w:val="008860B5"/>
    <w:rsid w:val="00886F44"/>
    <w:rsid w:val="00890469"/>
    <w:rsid w:val="00891AF9"/>
    <w:rsid w:val="008933FD"/>
    <w:rsid w:val="008937E8"/>
    <w:rsid w:val="00893F4E"/>
    <w:rsid w:val="008941FA"/>
    <w:rsid w:val="0089421F"/>
    <w:rsid w:val="00894A42"/>
    <w:rsid w:val="00895020"/>
    <w:rsid w:val="00895D1C"/>
    <w:rsid w:val="008960F7"/>
    <w:rsid w:val="008974EE"/>
    <w:rsid w:val="00897D11"/>
    <w:rsid w:val="008A0BAD"/>
    <w:rsid w:val="008A31EB"/>
    <w:rsid w:val="008A34AD"/>
    <w:rsid w:val="008A3D83"/>
    <w:rsid w:val="008A40DC"/>
    <w:rsid w:val="008A49C6"/>
    <w:rsid w:val="008A4FB7"/>
    <w:rsid w:val="008A6471"/>
    <w:rsid w:val="008A653D"/>
    <w:rsid w:val="008A6704"/>
    <w:rsid w:val="008A6C7B"/>
    <w:rsid w:val="008A6F71"/>
    <w:rsid w:val="008A7402"/>
    <w:rsid w:val="008A7BC3"/>
    <w:rsid w:val="008B0288"/>
    <w:rsid w:val="008B0313"/>
    <w:rsid w:val="008B0E01"/>
    <w:rsid w:val="008B120B"/>
    <w:rsid w:val="008B1538"/>
    <w:rsid w:val="008B15F0"/>
    <w:rsid w:val="008B173A"/>
    <w:rsid w:val="008B2AAE"/>
    <w:rsid w:val="008B2AE2"/>
    <w:rsid w:val="008B449A"/>
    <w:rsid w:val="008B4E7A"/>
    <w:rsid w:val="008B5E8C"/>
    <w:rsid w:val="008B5EB7"/>
    <w:rsid w:val="008B62F8"/>
    <w:rsid w:val="008C0309"/>
    <w:rsid w:val="008C0BBD"/>
    <w:rsid w:val="008C10AC"/>
    <w:rsid w:val="008C1337"/>
    <w:rsid w:val="008C14D0"/>
    <w:rsid w:val="008C17CD"/>
    <w:rsid w:val="008C17CF"/>
    <w:rsid w:val="008C276C"/>
    <w:rsid w:val="008C2A6C"/>
    <w:rsid w:val="008C2B66"/>
    <w:rsid w:val="008C2E7F"/>
    <w:rsid w:val="008C50F2"/>
    <w:rsid w:val="008C5DB6"/>
    <w:rsid w:val="008C6AE1"/>
    <w:rsid w:val="008C7FB3"/>
    <w:rsid w:val="008D00F8"/>
    <w:rsid w:val="008D07EF"/>
    <w:rsid w:val="008D0C8F"/>
    <w:rsid w:val="008D318F"/>
    <w:rsid w:val="008D3A28"/>
    <w:rsid w:val="008D4527"/>
    <w:rsid w:val="008D4D0D"/>
    <w:rsid w:val="008D65EB"/>
    <w:rsid w:val="008D6A83"/>
    <w:rsid w:val="008D6E92"/>
    <w:rsid w:val="008D72E3"/>
    <w:rsid w:val="008D76DF"/>
    <w:rsid w:val="008E0E4D"/>
    <w:rsid w:val="008E0F94"/>
    <w:rsid w:val="008E0FEC"/>
    <w:rsid w:val="008E128E"/>
    <w:rsid w:val="008E1370"/>
    <w:rsid w:val="008E185C"/>
    <w:rsid w:val="008E2F4F"/>
    <w:rsid w:val="008E333D"/>
    <w:rsid w:val="008E4171"/>
    <w:rsid w:val="008E4BE7"/>
    <w:rsid w:val="008E4C6D"/>
    <w:rsid w:val="008E596F"/>
    <w:rsid w:val="008E6092"/>
    <w:rsid w:val="008E6C1A"/>
    <w:rsid w:val="008F01A4"/>
    <w:rsid w:val="008F118E"/>
    <w:rsid w:val="008F1201"/>
    <w:rsid w:val="008F1C66"/>
    <w:rsid w:val="008F29EA"/>
    <w:rsid w:val="008F2B3C"/>
    <w:rsid w:val="008F33BE"/>
    <w:rsid w:val="008F3F4C"/>
    <w:rsid w:val="008F5046"/>
    <w:rsid w:val="008F607F"/>
    <w:rsid w:val="008F6AC0"/>
    <w:rsid w:val="008F77B2"/>
    <w:rsid w:val="00900250"/>
    <w:rsid w:val="00900420"/>
    <w:rsid w:val="00900874"/>
    <w:rsid w:val="00900C93"/>
    <w:rsid w:val="00901493"/>
    <w:rsid w:val="00901E2E"/>
    <w:rsid w:val="0090243C"/>
    <w:rsid w:val="00902615"/>
    <w:rsid w:val="00903F6A"/>
    <w:rsid w:val="00904621"/>
    <w:rsid w:val="00904E25"/>
    <w:rsid w:val="00904E2D"/>
    <w:rsid w:val="00904FDB"/>
    <w:rsid w:val="00905012"/>
    <w:rsid w:val="00905C67"/>
    <w:rsid w:val="009068D5"/>
    <w:rsid w:val="00906F26"/>
    <w:rsid w:val="00907243"/>
    <w:rsid w:val="00907F60"/>
    <w:rsid w:val="0091051D"/>
    <w:rsid w:val="0091158A"/>
    <w:rsid w:val="00912047"/>
    <w:rsid w:val="009132A3"/>
    <w:rsid w:val="009145F9"/>
    <w:rsid w:val="009154A0"/>
    <w:rsid w:val="00915517"/>
    <w:rsid w:val="00915F62"/>
    <w:rsid w:val="009171A4"/>
    <w:rsid w:val="00917AF8"/>
    <w:rsid w:val="009201B1"/>
    <w:rsid w:val="00922688"/>
    <w:rsid w:val="00922DFB"/>
    <w:rsid w:val="00924A32"/>
    <w:rsid w:val="00924EEE"/>
    <w:rsid w:val="00925AA2"/>
    <w:rsid w:val="0092619C"/>
    <w:rsid w:val="00926640"/>
    <w:rsid w:val="00927709"/>
    <w:rsid w:val="009279AC"/>
    <w:rsid w:val="00927C63"/>
    <w:rsid w:val="0093062F"/>
    <w:rsid w:val="00930845"/>
    <w:rsid w:val="00930B0F"/>
    <w:rsid w:val="00930B14"/>
    <w:rsid w:val="00930BFF"/>
    <w:rsid w:val="0093112E"/>
    <w:rsid w:val="0093294E"/>
    <w:rsid w:val="00932AF2"/>
    <w:rsid w:val="00933569"/>
    <w:rsid w:val="00933A18"/>
    <w:rsid w:val="00933D7F"/>
    <w:rsid w:val="00934758"/>
    <w:rsid w:val="00935892"/>
    <w:rsid w:val="00935C4E"/>
    <w:rsid w:val="009361EF"/>
    <w:rsid w:val="009361F1"/>
    <w:rsid w:val="0093680A"/>
    <w:rsid w:val="009375E7"/>
    <w:rsid w:val="0093794D"/>
    <w:rsid w:val="00937E40"/>
    <w:rsid w:val="00941C61"/>
    <w:rsid w:val="009426CD"/>
    <w:rsid w:val="00943672"/>
    <w:rsid w:val="0094391E"/>
    <w:rsid w:val="0094395C"/>
    <w:rsid w:val="0094446C"/>
    <w:rsid w:val="009460EA"/>
    <w:rsid w:val="009462BB"/>
    <w:rsid w:val="00947A0D"/>
    <w:rsid w:val="00950A21"/>
    <w:rsid w:val="00951C72"/>
    <w:rsid w:val="00951CD2"/>
    <w:rsid w:val="0095229F"/>
    <w:rsid w:val="00954623"/>
    <w:rsid w:val="009546DC"/>
    <w:rsid w:val="0095475B"/>
    <w:rsid w:val="00954D60"/>
    <w:rsid w:val="00955EA2"/>
    <w:rsid w:val="009576FD"/>
    <w:rsid w:val="00957BC9"/>
    <w:rsid w:val="00957C7C"/>
    <w:rsid w:val="0096075A"/>
    <w:rsid w:val="00960CA0"/>
    <w:rsid w:val="0096111B"/>
    <w:rsid w:val="0096119C"/>
    <w:rsid w:val="00961685"/>
    <w:rsid w:val="00961E14"/>
    <w:rsid w:val="00962025"/>
    <w:rsid w:val="009627BE"/>
    <w:rsid w:val="00962E70"/>
    <w:rsid w:val="009636CA"/>
    <w:rsid w:val="00963B38"/>
    <w:rsid w:val="009645D1"/>
    <w:rsid w:val="00964AF3"/>
    <w:rsid w:val="0096589E"/>
    <w:rsid w:val="00965940"/>
    <w:rsid w:val="009664DD"/>
    <w:rsid w:val="00967B38"/>
    <w:rsid w:val="0097001E"/>
    <w:rsid w:val="00970B92"/>
    <w:rsid w:val="009721BC"/>
    <w:rsid w:val="009729F0"/>
    <w:rsid w:val="00973338"/>
    <w:rsid w:val="00973503"/>
    <w:rsid w:val="00973CE5"/>
    <w:rsid w:val="00973E49"/>
    <w:rsid w:val="0097443F"/>
    <w:rsid w:val="0097479F"/>
    <w:rsid w:val="009763D0"/>
    <w:rsid w:val="00977567"/>
    <w:rsid w:val="00977A37"/>
    <w:rsid w:val="0098068A"/>
    <w:rsid w:val="00982029"/>
    <w:rsid w:val="00983D8E"/>
    <w:rsid w:val="009840D5"/>
    <w:rsid w:val="00984D80"/>
    <w:rsid w:val="00985A38"/>
    <w:rsid w:val="00985AB7"/>
    <w:rsid w:val="00985EFA"/>
    <w:rsid w:val="009863FD"/>
    <w:rsid w:val="00986DD8"/>
    <w:rsid w:val="00986FB0"/>
    <w:rsid w:val="00987424"/>
    <w:rsid w:val="009913E9"/>
    <w:rsid w:val="00991E87"/>
    <w:rsid w:val="00992365"/>
    <w:rsid w:val="0099365F"/>
    <w:rsid w:val="0099392E"/>
    <w:rsid w:val="00993C55"/>
    <w:rsid w:val="009941D7"/>
    <w:rsid w:val="0099440E"/>
    <w:rsid w:val="00994596"/>
    <w:rsid w:val="0099558D"/>
    <w:rsid w:val="00995BEC"/>
    <w:rsid w:val="00997473"/>
    <w:rsid w:val="00997CA7"/>
    <w:rsid w:val="00997E00"/>
    <w:rsid w:val="009A0C06"/>
    <w:rsid w:val="009A113B"/>
    <w:rsid w:val="009A118B"/>
    <w:rsid w:val="009A127E"/>
    <w:rsid w:val="009A1312"/>
    <w:rsid w:val="009A28EE"/>
    <w:rsid w:val="009A3234"/>
    <w:rsid w:val="009A35AC"/>
    <w:rsid w:val="009A379B"/>
    <w:rsid w:val="009A3961"/>
    <w:rsid w:val="009A3F87"/>
    <w:rsid w:val="009A45A9"/>
    <w:rsid w:val="009A4E1C"/>
    <w:rsid w:val="009A5460"/>
    <w:rsid w:val="009A61CF"/>
    <w:rsid w:val="009A6CB0"/>
    <w:rsid w:val="009A7938"/>
    <w:rsid w:val="009B0A74"/>
    <w:rsid w:val="009B0AB7"/>
    <w:rsid w:val="009B1719"/>
    <w:rsid w:val="009B202E"/>
    <w:rsid w:val="009B2F17"/>
    <w:rsid w:val="009B2F6C"/>
    <w:rsid w:val="009B4E92"/>
    <w:rsid w:val="009B5760"/>
    <w:rsid w:val="009B598E"/>
    <w:rsid w:val="009B5F7E"/>
    <w:rsid w:val="009B6FDE"/>
    <w:rsid w:val="009B7872"/>
    <w:rsid w:val="009B7B16"/>
    <w:rsid w:val="009B7C46"/>
    <w:rsid w:val="009C01DF"/>
    <w:rsid w:val="009C020E"/>
    <w:rsid w:val="009C03CA"/>
    <w:rsid w:val="009C090C"/>
    <w:rsid w:val="009C0E75"/>
    <w:rsid w:val="009C10FF"/>
    <w:rsid w:val="009C2432"/>
    <w:rsid w:val="009C26A3"/>
    <w:rsid w:val="009C2CED"/>
    <w:rsid w:val="009C4522"/>
    <w:rsid w:val="009C5A3A"/>
    <w:rsid w:val="009C6A21"/>
    <w:rsid w:val="009C7309"/>
    <w:rsid w:val="009C73C9"/>
    <w:rsid w:val="009C7DC2"/>
    <w:rsid w:val="009D0D54"/>
    <w:rsid w:val="009D0F5F"/>
    <w:rsid w:val="009D136A"/>
    <w:rsid w:val="009D3392"/>
    <w:rsid w:val="009D3DF1"/>
    <w:rsid w:val="009D418A"/>
    <w:rsid w:val="009D45DA"/>
    <w:rsid w:val="009D4990"/>
    <w:rsid w:val="009D4B37"/>
    <w:rsid w:val="009D4CC6"/>
    <w:rsid w:val="009D561E"/>
    <w:rsid w:val="009D6587"/>
    <w:rsid w:val="009D74DC"/>
    <w:rsid w:val="009D7F69"/>
    <w:rsid w:val="009E10C7"/>
    <w:rsid w:val="009E1FDD"/>
    <w:rsid w:val="009E2A0B"/>
    <w:rsid w:val="009E3458"/>
    <w:rsid w:val="009E36B5"/>
    <w:rsid w:val="009E3F52"/>
    <w:rsid w:val="009E4553"/>
    <w:rsid w:val="009E48A3"/>
    <w:rsid w:val="009E5B3B"/>
    <w:rsid w:val="009E64F6"/>
    <w:rsid w:val="009E66CA"/>
    <w:rsid w:val="009E69F3"/>
    <w:rsid w:val="009E6CC8"/>
    <w:rsid w:val="009E6E22"/>
    <w:rsid w:val="009E7220"/>
    <w:rsid w:val="009E7337"/>
    <w:rsid w:val="009F12C1"/>
    <w:rsid w:val="009F1CF7"/>
    <w:rsid w:val="009F2398"/>
    <w:rsid w:val="009F40AE"/>
    <w:rsid w:val="009F4936"/>
    <w:rsid w:val="009F4B01"/>
    <w:rsid w:val="009F5F87"/>
    <w:rsid w:val="009F6157"/>
    <w:rsid w:val="009F6412"/>
    <w:rsid w:val="009F64FC"/>
    <w:rsid w:val="009F75B6"/>
    <w:rsid w:val="00A002E1"/>
    <w:rsid w:val="00A00D58"/>
    <w:rsid w:val="00A02EAA"/>
    <w:rsid w:val="00A0317C"/>
    <w:rsid w:val="00A03A61"/>
    <w:rsid w:val="00A03AB9"/>
    <w:rsid w:val="00A0405B"/>
    <w:rsid w:val="00A0418F"/>
    <w:rsid w:val="00A0573B"/>
    <w:rsid w:val="00A05797"/>
    <w:rsid w:val="00A05A0C"/>
    <w:rsid w:val="00A05CE2"/>
    <w:rsid w:val="00A06A25"/>
    <w:rsid w:val="00A115FC"/>
    <w:rsid w:val="00A1183C"/>
    <w:rsid w:val="00A127C1"/>
    <w:rsid w:val="00A12C1E"/>
    <w:rsid w:val="00A12E0C"/>
    <w:rsid w:val="00A141F0"/>
    <w:rsid w:val="00A20018"/>
    <w:rsid w:val="00A212E2"/>
    <w:rsid w:val="00A21510"/>
    <w:rsid w:val="00A21CB7"/>
    <w:rsid w:val="00A234A3"/>
    <w:rsid w:val="00A23D28"/>
    <w:rsid w:val="00A2460A"/>
    <w:rsid w:val="00A24AC4"/>
    <w:rsid w:val="00A258C4"/>
    <w:rsid w:val="00A26159"/>
    <w:rsid w:val="00A308BB"/>
    <w:rsid w:val="00A30CC1"/>
    <w:rsid w:val="00A30F40"/>
    <w:rsid w:val="00A310A3"/>
    <w:rsid w:val="00A33057"/>
    <w:rsid w:val="00A33EDA"/>
    <w:rsid w:val="00A34A06"/>
    <w:rsid w:val="00A34B6C"/>
    <w:rsid w:val="00A35177"/>
    <w:rsid w:val="00A35194"/>
    <w:rsid w:val="00A361E0"/>
    <w:rsid w:val="00A36788"/>
    <w:rsid w:val="00A36CA4"/>
    <w:rsid w:val="00A40882"/>
    <w:rsid w:val="00A41597"/>
    <w:rsid w:val="00A41FE3"/>
    <w:rsid w:val="00A42859"/>
    <w:rsid w:val="00A42E03"/>
    <w:rsid w:val="00A4302D"/>
    <w:rsid w:val="00A439A6"/>
    <w:rsid w:val="00A43A42"/>
    <w:rsid w:val="00A43A4C"/>
    <w:rsid w:val="00A44720"/>
    <w:rsid w:val="00A44B2B"/>
    <w:rsid w:val="00A45ACA"/>
    <w:rsid w:val="00A4612D"/>
    <w:rsid w:val="00A4618B"/>
    <w:rsid w:val="00A46383"/>
    <w:rsid w:val="00A46592"/>
    <w:rsid w:val="00A470EA"/>
    <w:rsid w:val="00A47A10"/>
    <w:rsid w:val="00A47EC4"/>
    <w:rsid w:val="00A47ED9"/>
    <w:rsid w:val="00A51672"/>
    <w:rsid w:val="00A51E55"/>
    <w:rsid w:val="00A52343"/>
    <w:rsid w:val="00A52CA4"/>
    <w:rsid w:val="00A53E15"/>
    <w:rsid w:val="00A54038"/>
    <w:rsid w:val="00A5445B"/>
    <w:rsid w:val="00A55507"/>
    <w:rsid w:val="00A55A30"/>
    <w:rsid w:val="00A5690F"/>
    <w:rsid w:val="00A5794B"/>
    <w:rsid w:val="00A60660"/>
    <w:rsid w:val="00A608F4"/>
    <w:rsid w:val="00A61C14"/>
    <w:rsid w:val="00A61C8F"/>
    <w:rsid w:val="00A62A21"/>
    <w:rsid w:val="00A63DB0"/>
    <w:rsid w:val="00A6417A"/>
    <w:rsid w:val="00A64291"/>
    <w:rsid w:val="00A64C55"/>
    <w:rsid w:val="00A653C4"/>
    <w:rsid w:val="00A65AFE"/>
    <w:rsid w:val="00A675BF"/>
    <w:rsid w:val="00A67FE7"/>
    <w:rsid w:val="00A7089F"/>
    <w:rsid w:val="00A70F73"/>
    <w:rsid w:val="00A715A0"/>
    <w:rsid w:val="00A71939"/>
    <w:rsid w:val="00A7281B"/>
    <w:rsid w:val="00A7313B"/>
    <w:rsid w:val="00A731F7"/>
    <w:rsid w:val="00A7440C"/>
    <w:rsid w:val="00A74AC5"/>
    <w:rsid w:val="00A7500C"/>
    <w:rsid w:val="00A754AB"/>
    <w:rsid w:val="00A76148"/>
    <w:rsid w:val="00A761D0"/>
    <w:rsid w:val="00A769FA"/>
    <w:rsid w:val="00A76F1A"/>
    <w:rsid w:val="00A76FF5"/>
    <w:rsid w:val="00A77830"/>
    <w:rsid w:val="00A80B1B"/>
    <w:rsid w:val="00A811A7"/>
    <w:rsid w:val="00A82832"/>
    <w:rsid w:val="00A830F5"/>
    <w:rsid w:val="00A83318"/>
    <w:rsid w:val="00A86267"/>
    <w:rsid w:val="00A862DF"/>
    <w:rsid w:val="00A8686C"/>
    <w:rsid w:val="00A86A2E"/>
    <w:rsid w:val="00A86A33"/>
    <w:rsid w:val="00A86EAA"/>
    <w:rsid w:val="00A92197"/>
    <w:rsid w:val="00A925D3"/>
    <w:rsid w:val="00A92E01"/>
    <w:rsid w:val="00A9359F"/>
    <w:rsid w:val="00A93A43"/>
    <w:rsid w:val="00A93BE0"/>
    <w:rsid w:val="00A95212"/>
    <w:rsid w:val="00A95B96"/>
    <w:rsid w:val="00A965B3"/>
    <w:rsid w:val="00A96864"/>
    <w:rsid w:val="00A96F15"/>
    <w:rsid w:val="00AA0C90"/>
    <w:rsid w:val="00AA1546"/>
    <w:rsid w:val="00AA1F9D"/>
    <w:rsid w:val="00AA22B1"/>
    <w:rsid w:val="00AA2B5C"/>
    <w:rsid w:val="00AA443B"/>
    <w:rsid w:val="00AA5BC7"/>
    <w:rsid w:val="00AA604C"/>
    <w:rsid w:val="00AB03D2"/>
    <w:rsid w:val="00AB04B4"/>
    <w:rsid w:val="00AB14A1"/>
    <w:rsid w:val="00AB1E58"/>
    <w:rsid w:val="00AB2B97"/>
    <w:rsid w:val="00AB4C0B"/>
    <w:rsid w:val="00AB5021"/>
    <w:rsid w:val="00AB50D4"/>
    <w:rsid w:val="00AB5240"/>
    <w:rsid w:val="00AB5718"/>
    <w:rsid w:val="00AB7CE3"/>
    <w:rsid w:val="00AB7F12"/>
    <w:rsid w:val="00AC0174"/>
    <w:rsid w:val="00AC08E3"/>
    <w:rsid w:val="00AC0CC0"/>
    <w:rsid w:val="00AC1462"/>
    <w:rsid w:val="00AC18A6"/>
    <w:rsid w:val="00AC198C"/>
    <w:rsid w:val="00AC1BCB"/>
    <w:rsid w:val="00AC2BB9"/>
    <w:rsid w:val="00AC2E1B"/>
    <w:rsid w:val="00AC407D"/>
    <w:rsid w:val="00AC4409"/>
    <w:rsid w:val="00AC4DB6"/>
    <w:rsid w:val="00AC6B68"/>
    <w:rsid w:val="00AC6D47"/>
    <w:rsid w:val="00AC7C08"/>
    <w:rsid w:val="00AC7EB0"/>
    <w:rsid w:val="00AC7F8D"/>
    <w:rsid w:val="00ACF3BE"/>
    <w:rsid w:val="00AD0576"/>
    <w:rsid w:val="00AD0B34"/>
    <w:rsid w:val="00AD3454"/>
    <w:rsid w:val="00AD3995"/>
    <w:rsid w:val="00AD40CB"/>
    <w:rsid w:val="00AD4640"/>
    <w:rsid w:val="00AD4AD8"/>
    <w:rsid w:val="00AD4E45"/>
    <w:rsid w:val="00AD52CD"/>
    <w:rsid w:val="00AD57E2"/>
    <w:rsid w:val="00AD7584"/>
    <w:rsid w:val="00AD7A26"/>
    <w:rsid w:val="00AE0531"/>
    <w:rsid w:val="00AE14F3"/>
    <w:rsid w:val="00AE15E0"/>
    <w:rsid w:val="00AE196F"/>
    <w:rsid w:val="00AE1F49"/>
    <w:rsid w:val="00AE2677"/>
    <w:rsid w:val="00AE4159"/>
    <w:rsid w:val="00AE5FD5"/>
    <w:rsid w:val="00AE5FDF"/>
    <w:rsid w:val="00AE6256"/>
    <w:rsid w:val="00AE6A1B"/>
    <w:rsid w:val="00AE7155"/>
    <w:rsid w:val="00AE7ED7"/>
    <w:rsid w:val="00AF0038"/>
    <w:rsid w:val="00AF02D9"/>
    <w:rsid w:val="00AF091D"/>
    <w:rsid w:val="00AF20F4"/>
    <w:rsid w:val="00AF2AD2"/>
    <w:rsid w:val="00AF477D"/>
    <w:rsid w:val="00AF4A96"/>
    <w:rsid w:val="00AF5A7A"/>
    <w:rsid w:val="00AF5ED0"/>
    <w:rsid w:val="00AF66E6"/>
    <w:rsid w:val="00B00778"/>
    <w:rsid w:val="00B00F02"/>
    <w:rsid w:val="00B027B7"/>
    <w:rsid w:val="00B02DB7"/>
    <w:rsid w:val="00B05965"/>
    <w:rsid w:val="00B05B08"/>
    <w:rsid w:val="00B07A48"/>
    <w:rsid w:val="00B10E94"/>
    <w:rsid w:val="00B11130"/>
    <w:rsid w:val="00B121D8"/>
    <w:rsid w:val="00B1234C"/>
    <w:rsid w:val="00B14024"/>
    <w:rsid w:val="00B14773"/>
    <w:rsid w:val="00B14BA5"/>
    <w:rsid w:val="00B14EA9"/>
    <w:rsid w:val="00B150FA"/>
    <w:rsid w:val="00B159A7"/>
    <w:rsid w:val="00B15C24"/>
    <w:rsid w:val="00B15FD8"/>
    <w:rsid w:val="00B16DC4"/>
    <w:rsid w:val="00B1706A"/>
    <w:rsid w:val="00B177EA"/>
    <w:rsid w:val="00B17990"/>
    <w:rsid w:val="00B17DCF"/>
    <w:rsid w:val="00B2018A"/>
    <w:rsid w:val="00B201E2"/>
    <w:rsid w:val="00B20484"/>
    <w:rsid w:val="00B2197C"/>
    <w:rsid w:val="00B21F4D"/>
    <w:rsid w:val="00B224D5"/>
    <w:rsid w:val="00B22629"/>
    <w:rsid w:val="00B235B2"/>
    <w:rsid w:val="00B2380C"/>
    <w:rsid w:val="00B23A56"/>
    <w:rsid w:val="00B23F5E"/>
    <w:rsid w:val="00B240B9"/>
    <w:rsid w:val="00B24518"/>
    <w:rsid w:val="00B24EC6"/>
    <w:rsid w:val="00B254FD"/>
    <w:rsid w:val="00B25F27"/>
    <w:rsid w:val="00B25FC0"/>
    <w:rsid w:val="00B26517"/>
    <w:rsid w:val="00B26DE5"/>
    <w:rsid w:val="00B2707C"/>
    <w:rsid w:val="00B27282"/>
    <w:rsid w:val="00B274CB"/>
    <w:rsid w:val="00B274E9"/>
    <w:rsid w:val="00B27591"/>
    <w:rsid w:val="00B2761F"/>
    <w:rsid w:val="00B2791A"/>
    <w:rsid w:val="00B31D5C"/>
    <w:rsid w:val="00B31F63"/>
    <w:rsid w:val="00B3237B"/>
    <w:rsid w:val="00B32664"/>
    <w:rsid w:val="00B32D32"/>
    <w:rsid w:val="00B32F54"/>
    <w:rsid w:val="00B33126"/>
    <w:rsid w:val="00B3360D"/>
    <w:rsid w:val="00B33EE6"/>
    <w:rsid w:val="00B34607"/>
    <w:rsid w:val="00B34765"/>
    <w:rsid w:val="00B34C75"/>
    <w:rsid w:val="00B35C35"/>
    <w:rsid w:val="00B35FE4"/>
    <w:rsid w:val="00B36567"/>
    <w:rsid w:val="00B3728A"/>
    <w:rsid w:val="00B37AAA"/>
    <w:rsid w:val="00B4013C"/>
    <w:rsid w:val="00B40146"/>
    <w:rsid w:val="00B40251"/>
    <w:rsid w:val="00B40AF5"/>
    <w:rsid w:val="00B40CD1"/>
    <w:rsid w:val="00B41553"/>
    <w:rsid w:val="00B41EB9"/>
    <w:rsid w:val="00B4298B"/>
    <w:rsid w:val="00B45812"/>
    <w:rsid w:val="00B465DA"/>
    <w:rsid w:val="00B46811"/>
    <w:rsid w:val="00B46A92"/>
    <w:rsid w:val="00B5032E"/>
    <w:rsid w:val="00B50DD3"/>
    <w:rsid w:val="00B5371E"/>
    <w:rsid w:val="00B53E93"/>
    <w:rsid w:val="00B565D5"/>
    <w:rsid w:val="00B567EE"/>
    <w:rsid w:val="00B57BF0"/>
    <w:rsid w:val="00B60070"/>
    <w:rsid w:val="00B6029B"/>
    <w:rsid w:val="00B60B6D"/>
    <w:rsid w:val="00B61A33"/>
    <w:rsid w:val="00B62661"/>
    <w:rsid w:val="00B62745"/>
    <w:rsid w:val="00B6357C"/>
    <w:rsid w:val="00B63C2A"/>
    <w:rsid w:val="00B64DF2"/>
    <w:rsid w:val="00B64F93"/>
    <w:rsid w:val="00B65959"/>
    <w:rsid w:val="00B65A01"/>
    <w:rsid w:val="00B67071"/>
    <w:rsid w:val="00B679AA"/>
    <w:rsid w:val="00B67E0E"/>
    <w:rsid w:val="00B7023C"/>
    <w:rsid w:val="00B70E71"/>
    <w:rsid w:val="00B7150F"/>
    <w:rsid w:val="00B721B8"/>
    <w:rsid w:val="00B72D4A"/>
    <w:rsid w:val="00B74463"/>
    <w:rsid w:val="00B746D5"/>
    <w:rsid w:val="00B74E07"/>
    <w:rsid w:val="00B7611D"/>
    <w:rsid w:val="00B76C72"/>
    <w:rsid w:val="00B76FDE"/>
    <w:rsid w:val="00B776F0"/>
    <w:rsid w:val="00B77D43"/>
    <w:rsid w:val="00B80BC6"/>
    <w:rsid w:val="00B80CD1"/>
    <w:rsid w:val="00B80DFC"/>
    <w:rsid w:val="00B81E56"/>
    <w:rsid w:val="00B82AB7"/>
    <w:rsid w:val="00B82D54"/>
    <w:rsid w:val="00B83347"/>
    <w:rsid w:val="00B83365"/>
    <w:rsid w:val="00B839F5"/>
    <w:rsid w:val="00B83E2D"/>
    <w:rsid w:val="00B84FCE"/>
    <w:rsid w:val="00B8666D"/>
    <w:rsid w:val="00B86C4C"/>
    <w:rsid w:val="00B879DA"/>
    <w:rsid w:val="00B90E4F"/>
    <w:rsid w:val="00B9111A"/>
    <w:rsid w:val="00B91E5F"/>
    <w:rsid w:val="00B9330E"/>
    <w:rsid w:val="00B937E9"/>
    <w:rsid w:val="00B94688"/>
    <w:rsid w:val="00B94CA4"/>
    <w:rsid w:val="00B94EF1"/>
    <w:rsid w:val="00B9583F"/>
    <w:rsid w:val="00B9604A"/>
    <w:rsid w:val="00B96453"/>
    <w:rsid w:val="00B96BF6"/>
    <w:rsid w:val="00B96E03"/>
    <w:rsid w:val="00B972A5"/>
    <w:rsid w:val="00BA062F"/>
    <w:rsid w:val="00BA08BA"/>
    <w:rsid w:val="00BA0E2D"/>
    <w:rsid w:val="00BA1500"/>
    <w:rsid w:val="00BA171B"/>
    <w:rsid w:val="00BA1D79"/>
    <w:rsid w:val="00BA3735"/>
    <w:rsid w:val="00BA44C1"/>
    <w:rsid w:val="00BA4518"/>
    <w:rsid w:val="00BA48E1"/>
    <w:rsid w:val="00BA4A8F"/>
    <w:rsid w:val="00BA50F9"/>
    <w:rsid w:val="00BA52F1"/>
    <w:rsid w:val="00BA671E"/>
    <w:rsid w:val="00BA6828"/>
    <w:rsid w:val="00BA683A"/>
    <w:rsid w:val="00BA730F"/>
    <w:rsid w:val="00BA77EC"/>
    <w:rsid w:val="00BA786B"/>
    <w:rsid w:val="00BA7D16"/>
    <w:rsid w:val="00BB10E5"/>
    <w:rsid w:val="00BB14AF"/>
    <w:rsid w:val="00BB18A6"/>
    <w:rsid w:val="00BB1EB1"/>
    <w:rsid w:val="00BB3023"/>
    <w:rsid w:val="00BB3080"/>
    <w:rsid w:val="00BB3992"/>
    <w:rsid w:val="00BB418F"/>
    <w:rsid w:val="00BB4794"/>
    <w:rsid w:val="00BB488D"/>
    <w:rsid w:val="00BB5002"/>
    <w:rsid w:val="00BB54BF"/>
    <w:rsid w:val="00BB5551"/>
    <w:rsid w:val="00BB6089"/>
    <w:rsid w:val="00BB6A64"/>
    <w:rsid w:val="00BB6B1F"/>
    <w:rsid w:val="00BB6FDE"/>
    <w:rsid w:val="00BB6FF7"/>
    <w:rsid w:val="00BB74CE"/>
    <w:rsid w:val="00BC066E"/>
    <w:rsid w:val="00BC0E8E"/>
    <w:rsid w:val="00BC17A3"/>
    <w:rsid w:val="00BC1ED5"/>
    <w:rsid w:val="00BC25CB"/>
    <w:rsid w:val="00BC28D0"/>
    <w:rsid w:val="00BC2C9C"/>
    <w:rsid w:val="00BC3B22"/>
    <w:rsid w:val="00BC3F90"/>
    <w:rsid w:val="00BC4992"/>
    <w:rsid w:val="00BC5567"/>
    <w:rsid w:val="00BC5D78"/>
    <w:rsid w:val="00BC5F35"/>
    <w:rsid w:val="00BC604B"/>
    <w:rsid w:val="00BC62E3"/>
    <w:rsid w:val="00BC69AC"/>
    <w:rsid w:val="00BC69F9"/>
    <w:rsid w:val="00BC6E80"/>
    <w:rsid w:val="00BD041A"/>
    <w:rsid w:val="00BD165B"/>
    <w:rsid w:val="00BD1CB4"/>
    <w:rsid w:val="00BD2193"/>
    <w:rsid w:val="00BD279D"/>
    <w:rsid w:val="00BD3660"/>
    <w:rsid w:val="00BD3980"/>
    <w:rsid w:val="00BD3BB0"/>
    <w:rsid w:val="00BD42B7"/>
    <w:rsid w:val="00BD4992"/>
    <w:rsid w:val="00BD588D"/>
    <w:rsid w:val="00BD6915"/>
    <w:rsid w:val="00BD76AC"/>
    <w:rsid w:val="00BD7FAB"/>
    <w:rsid w:val="00BE00EE"/>
    <w:rsid w:val="00BE09D2"/>
    <w:rsid w:val="00BE0C99"/>
    <w:rsid w:val="00BE1426"/>
    <w:rsid w:val="00BE15B1"/>
    <w:rsid w:val="00BE2457"/>
    <w:rsid w:val="00BE2DBA"/>
    <w:rsid w:val="00BE31E3"/>
    <w:rsid w:val="00BE538A"/>
    <w:rsid w:val="00BE55AE"/>
    <w:rsid w:val="00BE5A55"/>
    <w:rsid w:val="00BE5B01"/>
    <w:rsid w:val="00BE5C5F"/>
    <w:rsid w:val="00BE625B"/>
    <w:rsid w:val="00BE78F6"/>
    <w:rsid w:val="00BE7E73"/>
    <w:rsid w:val="00BF06C4"/>
    <w:rsid w:val="00BF08CD"/>
    <w:rsid w:val="00BF0C6C"/>
    <w:rsid w:val="00BF13B7"/>
    <w:rsid w:val="00BF1EC2"/>
    <w:rsid w:val="00BF2921"/>
    <w:rsid w:val="00BF3422"/>
    <w:rsid w:val="00BF3ADD"/>
    <w:rsid w:val="00BF3E0F"/>
    <w:rsid w:val="00BF45B5"/>
    <w:rsid w:val="00BF4C71"/>
    <w:rsid w:val="00BF539E"/>
    <w:rsid w:val="00BF5E49"/>
    <w:rsid w:val="00BF5F7A"/>
    <w:rsid w:val="00BF6249"/>
    <w:rsid w:val="00BF6E57"/>
    <w:rsid w:val="00BF70A1"/>
    <w:rsid w:val="00BF7734"/>
    <w:rsid w:val="00C00085"/>
    <w:rsid w:val="00C00614"/>
    <w:rsid w:val="00C00952"/>
    <w:rsid w:val="00C01AFC"/>
    <w:rsid w:val="00C02AC4"/>
    <w:rsid w:val="00C0359C"/>
    <w:rsid w:val="00C038B9"/>
    <w:rsid w:val="00C03CE1"/>
    <w:rsid w:val="00C0409D"/>
    <w:rsid w:val="00C04D33"/>
    <w:rsid w:val="00C04FC1"/>
    <w:rsid w:val="00C054D6"/>
    <w:rsid w:val="00C05E9C"/>
    <w:rsid w:val="00C05F15"/>
    <w:rsid w:val="00C067B5"/>
    <w:rsid w:val="00C06955"/>
    <w:rsid w:val="00C06A69"/>
    <w:rsid w:val="00C11A4F"/>
    <w:rsid w:val="00C11AAD"/>
    <w:rsid w:val="00C122D0"/>
    <w:rsid w:val="00C134D6"/>
    <w:rsid w:val="00C14D2C"/>
    <w:rsid w:val="00C15DB8"/>
    <w:rsid w:val="00C169F1"/>
    <w:rsid w:val="00C20118"/>
    <w:rsid w:val="00C23323"/>
    <w:rsid w:val="00C235D2"/>
    <w:rsid w:val="00C23DE2"/>
    <w:rsid w:val="00C248BF"/>
    <w:rsid w:val="00C25295"/>
    <w:rsid w:val="00C25796"/>
    <w:rsid w:val="00C26C28"/>
    <w:rsid w:val="00C27632"/>
    <w:rsid w:val="00C27AA4"/>
    <w:rsid w:val="00C27D49"/>
    <w:rsid w:val="00C30F58"/>
    <w:rsid w:val="00C32513"/>
    <w:rsid w:val="00C3348E"/>
    <w:rsid w:val="00C34E4B"/>
    <w:rsid w:val="00C36B5A"/>
    <w:rsid w:val="00C37F10"/>
    <w:rsid w:val="00C40586"/>
    <w:rsid w:val="00C410FF"/>
    <w:rsid w:val="00C41557"/>
    <w:rsid w:val="00C429D6"/>
    <w:rsid w:val="00C44F84"/>
    <w:rsid w:val="00C458F0"/>
    <w:rsid w:val="00C46296"/>
    <w:rsid w:val="00C509B0"/>
    <w:rsid w:val="00C50A47"/>
    <w:rsid w:val="00C50FF0"/>
    <w:rsid w:val="00C52769"/>
    <w:rsid w:val="00C5300E"/>
    <w:rsid w:val="00C54F88"/>
    <w:rsid w:val="00C55447"/>
    <w:rsid w:val="00C55C8F"/>
    <w:rsid w:val="00C56DD9"/>
    <w:rsid w:val="00C60243"/>
    <w:rsid w:val="00C60359"/>
    <w:rsid w:val="00C608B0"/>
    <w:rsid w:val="00C60C3C"/>
    <w:rsid w:val="00C63325"/>
    <w:rsid w:val="00C65331"/>
    <w:rsid w:val="00C66802"/>
    <w:rsid w:val="00C66A44"/>
    <w:rsid w:val="00C67390"/>
    <w:rsid w:val="00C67701"/>
    <w:rsid w:val="00C70C01"/>
    <w:rsid w:val="00C711C7"/>
    <w:rsid w:val="00C715CE"/>
    <w:rsid w:val="00C71876"/>
    <w:rsid w:val="00C718D7"/>
    <w:rsid w:val="00C71EF5"/>
    <w:rsid w:val="00C72668"/>
    <w:rsid w:val="00C72D06"/>
    <w:rsid w:val="00C731BA"/>
    <w:rsid w:val="00C7326C"/>
    <w:rsid w:val="00C73814"/>
    <w:rsid w:val="00C74002"/>
    <w:rsid w:val="00C74375"/>
    <w:rsid w:val="00C74814"/>
    <w:rsid w:val="00C74A32"/>
    <w:rsid w:val="00C75863"/>
    <w:rsid w:val="00C75EBB"/>
    <w:rsid w:val="00C76F6A"/>
    <w:rsid w:val="00C77753"/>
    <w:rsid w:val="00C77A97"/>
    <w:rsid w:val="00C77A9E"/>
    <w:rsid w:val="00C77E9C"/>
    <w:rsid w:val="00C80161"/>
    <w:rsid w:val="00C804AF"/>
    <w:rsid w:val="00C809A0"/>
    <w:rsid w:val="00C80D97"/>
    <w:rsid w:val="00C81578"/>
    <w:rsid w:val="00C81789"/>
    <w:rsid w:val="00C81C7F"/>
    <w:rsid w:val="00C82256"/>
    <w:rsid w:val="00C823B1"/>
    <w:rsid w:val="00C82777"/>
    <w:rsid w:val="00C83DF8"/>
    <w:rsid w:val="00C840D6"/>
    <w:rsid w:val="00C84313"/>
    <w:rsid w:val="00C84B5C"/>
    <w:rsid w:val="00C8606E"/>
    <w:rsid w:val="00C87A19"/>
    <w:rsid w:val="00C87C04"/>
    <w:rsid w:val="00C87FDC"/>
    <w:rsid w:val="00C904CE"/>
    <w:rsid w:val="00C90753"/>
    <w:rsid w:val="00C90A3E"/>
    <w:rsid w:val="00C91B0E"/>
    <w:rsid w:val="00C92133"/>
    <w:rsid w:val="00C928FF"/>
    <w:rsid w:val="00C93415"/>
    <w:rsid w:val="00C939F7"/>
    <w:rsid w:val="00C93BC2"/>
    <w:rsid w:val="00C9448A"/>
    <w:rsid w:val="00C95260"/>
    <w:rsid w:val="00C957A3"/>
    <w:rsid w:val="00C9587E"/>
    <w:rsid w:val="00C95A7C"/>
    <w:rsid w:val="00C95AB7"/>
    <w:rsid w:val="00C95DC8"/>
    <w:rsid w:val="00C961DF"/>
    <w:rsid w:val="00C97688"/>
    <w:rsid w:val="00C9773A"/>
    <w:rsid w:val="00CA048F"/>
    <w:rsid w:val="00CA04A4"/>
    <w:rsid w:val="00CA075F"/>
    <w:rsid w:val="00CA17F0"/>
    <w:rsid w:val="00CA1A86"/>
    <w:rsid w:val="00CA1C3F"/>
    <w:rsid w:val="00CA1D1A"/>
    <w:rsid w:val="00CA27DB"/>
    <w:rsid w:val="00CA2F14"/>
    <w:rsid w:val="00CA3383"/>
    <w:rsid w:val="00CA39E2"/>
    <w:rsid w:val="00CA4466"/>
    <w:rsid w:val="00CA5A8F"/>
    <w:rsid w:val="00CA5DFA"/>
    <w:rsid w:val="00CA5EEA"/>
    <w:rsid w:val="00CA6421"/>
    <w:rsid w:val="00CA7227"/>
    <w:rsid w:val="00CA7582"/>
    <w:rsid w:val="00CA75C6"/>
    <w:rsid w:val="00CB05F4"/>
    <w:rsid w:val="00CB064A"/>
    <w:rsid w:val="00CB0767"/>
    <w:rsid w:val="00CB24B7"/>
    <w:rsid w:val="00CB3D05"/>
    <w:rsid w:val="00CB3E1B"/>
    <w:rsid w:val="00CB6C3D"/>
    <w:rsid w:val="00CB716D"/>
    <w:rsid w:val="00CB7564"/>
    <w:rsid w:val="00CB767E"/>
    <w:rsid w:val="00CC0594"/>
    <w:rsid w:val="00CC31A2"/>
    <w:rsid w:val="00CC3E25"/>
    <w:rsid w:val="00CC4179"/>
    <w:rsid w:val="00CC4C13"/>
    <w:rsid w:val="00CC58F6"/>
    <w:rsid w:val="00CC7386"/>
    <w:rsid w:val="00CD05D7"/>
    <w:rsid w:val="00CD05E0"/>
    <w:rsid w:val="00CD0C53"/>
    <w:rsid w:val="00CD1999"/>
    <w:rsid w:val="00CD293E"/>
    <w:rsid w:val="00CD2C01"/>
    <w:rsid w:val="00CD3662"/>
    <w:rsid w:val="00CD37AB"/>
    <w:rsid w:val="00CD54E4"/>
    <w:rsid w:val="00CD5C40"/>
    <w:rsid w:val="00CD7590"/>
    <w:rsid w:val="00CE0024"/>
    <w:rsid w:val="00CE07FA"/>
    <w:rsid w:val="00CE10DB"/>
    <w:rsid w:val="00CE1B00"/>
    <w:rsid w:val="00CE245C"/>
    <w:rsid w:val="00CE3192"/>
    <w:rsid w:val="00CE353E"/>
    <w:rsid w:val="00CE3AE0"/>
    <w:rsid w:val="00CE517D"/>
    <w:rsid w:val="00CE59E5"/>
    <w:rsid w:val="00CE6164"/>
    <w:rsid w:val="00CE67D9"/>
    <w:rsid w:val="00CE68A5"/>
    <w:rsid w:val="00CE71B3"/>
    <w:rsid w:val="00CE73C3"/>
    <w:rsid w:val="00CE7B06"/>
    <w:rsid w:val="00CE7CAA"/>
    <w:rsid w:val="00CE7E32"/>
    <w:rsid w:val="00CF0B7D"/>
    <w:rsid w:val="00CF0CDF"/>
    <w:rsid w:val="00CF190C"/>
    <w:rsid w:val="00CF307D"/>
    <w:rsid w:val="00CF30CB"/>
    <w:rsid w:val="00CF3E3C"/>
    <w:rsid w:val="00CF4896"/>
    <w:rsid w:val="00CF5D29"/>
    <w:rsid w:val="00CF5E7D"/>
    <w:rsid w:val="00CF6580"/>
    <w:rsid w:val="00CF68EB"/>
    <w:rsid w:val="00CF788A"/>
    <w:rsid w:val="00CF78DC"/>
    <w:rsid w:val="00CF7993"/>
    <w:rsid w:val="00D003B0"/>
    <w:rsid w:val="00D00CFF"/>
    <w:rsid w:val="00D011AB"/>
    <w:rsid w:val="00D012D0"/>
    <w:rsid w:val="00D015B6"/>
    <w:rsid w:val="00D02522"/>
    <w:rsid w:val="00D02BEA"/>
    <w:rsid w:val="00D02DEE"/>
    <w:rsid w:val="00D02ECB"/>
    <w:rsid w:val="00D03464"/>
    <w:rsid w:val="00D04529"/>
    <w:rsid w:val="00D04DD4"/>
    <w:rsid w:val="00D0566A"/>
    <w:rsid w:val="00D056B0"/>
    <w:rsid w:val="00D07052"/>
    <w:rsid w:val="00D07296"/>
    <w:rsid w:val="00D07CF5"/>
    <w:rsid w:val="00D100C6"/>
    <w:rsid w:val="00D11713"/>
    <w:rsid w:val="00D1182D"/>
    <w:rsid w:val="00D11CF4"/>
    <w:rsid w:val="00D131BE"/>
    <w:rsid w:val="00D13708"/>
    <w:rsid w:val="00D1372F"/>
    <w:rsid w:val="00D14FC4"/>
    <w:rsid w:val="00D1529F"/>
    <w:rsid w:val="00D16362"/>
    <w:rsid w:val="00D17084"/>
    <w:rsid w:val="00D20D69"/>
    <w:rsid w:val="00D20F88"/>
    <w:rsid w:val="00D226CA"/>
    <w:rsid w:val="00D231D9"/>
    <w:rsid w:val="00D23581"/>
    <w:rsid w:val="00D23867"/>
    <w:rsid w:val="00D24B33"/>
    <w:rsid w:val="00D26346"/>
    <w:rsid w:val="00D2644F"/>
    <w:rsid w:val="00D264D3"/>
    <w:rsid w:val="00D26BB2"/>
    <w:rsid w:val="00D30EF3"/>
    <w:rsid w:val="00D311CD"/>
    <w:rsid w:val="00D3137A"/>
    <w:rsid w:val="00D31E2F"/>
    <w:rsid w:val="00D31E86"/>
    <w:rsid w:val="00D3357B"/>
    <w:rsid w:val="00D337D5"/>
    <w:rsid w:val="00D33A03"/>
    <w:rsid w:val="00D33BC9"/>
    <w:rsid w:val="00D33C6C"/>
    <w:rsid w:val="00D3484E"/>
    <w:rsid w:val="00D354AB"/>
    <w:rsid w:val="00D37255"/>
    <w:rsid w:val="00D405A7"/>
    <w:rsid w:val="00D40771"/>
    <w:rsid w:val="00D40F82"/>
    <w:rsid w:val="00D41381"/>
    <w:rsid w:val="00D42FB6"/>
    <w:rsid w:val="00D44238"/>
    <w:rsid w:val="00D4484A"/>
    <w:rsid w:val="00D44A3D"/>
    <w:rsid w:val="00D45F06"/>
    <w:rsid w:val="00D45F76"/>
    <w:rsid w:val="00D46538"/>
    <w:rsid w:val="00D46637"/>
    <w:rsid w:val="00D46BA1"/>
    <w:rsid w:val="00D50236"/>
    <w:rsid w:val="00D50292"/>
    <w:rsid w:val="00D50739"/>
    <w:rsid w:val="00D50FD2"/>
    <w:rsid w:val="00D51235"/>
    <w:rsid w:val="00D51BB4"/>
    <w:rsid w:val="00D52C15"/>
    <w:rsid w:val="00D53211"/>
    <w:rsid w:val="00D536AA"/>
    <w:rsid w:val="00D53B46"/>
    <w:rsid w:val="00D54260"/>
    <w:rsid w:val="00D55F5F"/>
    <w:rsid w:val="00D563F6"/>
    <w:rsid w:val="00D566C7"/>
    <w:rsid w:val="00D57A8A"/>
    <w:rsid w:val="00D61219"/>
    <w:rsid w:val="00D61E74"/>
    <w:rsid w:val="00D62433"/>
    <w:rsid w:val="00D625E5"/>
    <w:rsid w:val="00D6278D"/>
    <w:rsid w:val="00D63F1C"/>
    <w:rsid w:val="00D63FB3"/>
    <w:rsid w:val="00D641FF"/>
    <w:rsid w:val="00D65FFF"/>
    <w:rsid w:val="00D66A46"/>
    <w:rsid w:val="00D7095B"/>
    <w:rsid w:val="00D70DC4"/>
    <w:rsid w:val="00D720AC"/>
    <w:rsid w:val="00D72398"/>
    <w:rsid w:val="00D72C17"/>
    <w:rsid w:val="00D736A2"/>
    <w:rsid w:val="00D7457F"/>
    <w:rsid w:val="00D74926"/>
    <w:rsid w:val="00D75213"/>
    <w:rsid w:val="00D75D94"/>
    <w:rsid w:val="00D77178"/>
    <w:rsid w:val="00D77341"/>
    <w:rsid w:val="00D77C92"/>
    <w:rsid w:val="00D77E8B"/>
    <w:rsid w:val="00D8015D"/>
    <w:rsid w:val="00D8020D"/>
    <w:rsid w:val="00D805C6"/>
    <w:rsid w:val="00D80B55"/>
    <w:rsid w:val="00D81E47"/>
    <w:rsid w:val="00D83C35"/>
    <w:rsid w:val="00D83F2A"/>
    <w:rsid w:val="00D84646"/>
    <w:rsid w:val="00D84AA2"/>
    <w:rsid w:val="00D854A9"/>
    <w:rsid w:val="00D85E5F"/>
    <w:rsid w:val="00D860C8"/>
    <w:rsid w:val="00D87FDA"/>
    <w:rsid w:val="00D9066E"/>
    <w:rsid w:val="00D90DED"/>
    <w:rsid w:val="00D946BC"/>
    <w:rsid w:val="00D95547"/>
    <w:rsid w:val="00D95670"/>
    <w:rsid w:val="00D95A37"/>
    <w:rsid w:val="00D9668C"/>
    <w:rsid w:val="00D96D9B"/>
    <w:rsid w:val="00D978C2"/>
    <w:rsid w:val="00DA0EAA"/>
    <w:rsid w:val="00DA18B3"/>
    <w:rsid w:val="00DA1945"/>
    <w:rsid w:val="00DA1BCE"/>
    <w:rsid w:val="00DA238D"/>
    <w:rsid w:val="00DA2CDB"/>
    <w:rsid w:val="00DA2EFE"/>
    <w:rsid w:val="00DA3B77"/>
    <w:rsid w:val="00DA4F8D"/>
    <w:rsid w:val="00DA51A8"/>
    <w:rsid w:val="00DA5BB3"/>
    <w:rsid w:val="00DA6206"/>
    <w:rsid w:val="00DA69FD"/>
    <w:rsid w:val="00DB07D8"/>
    <w:rsid w:val="00DB092F"/>
    <w:rsid w:val="00DB0A2E"/>
    <w:rsid w:val="00DB0E82"/>
    <w:rsid w:val="00DB11A3"/>
    <w:rsid w:val="00DB16A5"/>
    <w:rsid w:val="00DB174F"/>
    <w:rsid w:val="00DB248D"/>
    <w:rsid w:val="00DB46D1"/>
    <w:rsid w:val="00DB4D39"/>
    <w:rsid w:val="00DB5241"/>
    <w:rsid w:val="00DB57E4"/>
    <w:rsid w:val="00DB679B"/>
    <w:rsid w:val="00DB69F8"/>
    <w:rsid w:val="00DB6C88"/>
    <w:rsid w:val="00DB7380"/>
    <w:rsid w:val="00DB7707"/>
    <w:rsid w:val="00DB77F2"/>
    <w:rsid w:val="00DC0222"/>
    <w:rsid w:val="00DC139A"/>
    <w:rsid w:val="00DC2836"/>
    <w:rsid w:val="00DC2E6B"/>
    <w:rsid w:val="00DC2EBD"/>
    <w:rsid w:val="00DC3789"/>
    <w:rsid w:val="00DC38E7"/>
    <w:rsid w:val="00DC3F36"/>
    <w:rsid w:val="00DC46D7"/>
    <w:rsid w:val="00DC524C"/>
    <w:rsid w:val="00DC5A34"/>
    <w:rsid w:val="00DC606A"/>
    <w:rsid w:val="00DC65BA"/>
    <w:rsid w:val="00DC6832"/>
    <w:rsid w:val="00DC695D"/>
    <w:rsid w:val="00DC6B5C"/>
    <w:rsid w:val="00DC715B"/>
    <w:rsid w:val="00DC7216"/>
    <w:rsid w:val="00DD189A"/>
    <w:rsid w:val="00DD1BBF"/>
    <w:rsid w:val="00DD1F6D"/>
    <w:rsid w:val="00DD39D3"/>
    <w:rsid w:val="00DD4F81"/>
    <w:rsid w:val="00DD6010"/>
    <w:rsid w:val="00DD611B"/>
    <w:rsid w:val="00DD79B5"/>
    <w:rsid w:val="00DE0062"/>
    <w:rsid w:val="00DE05D2"/>
    <w:rsid w:val="00DE06AB"/>
    <w:rsid w:val="00DE0E27"/>
    <w:rsid w:val="00DE101C"/>
    <w:rsid w:val="00DE14FC"/>
    <w:rsid w:val="00DE44B0"/>
    <w:rsid w:val="00DE48F0"/>
    <w:rsid w:val="00DE51F3"/>
    <w:rsid w:val="00DE5B94"/>
    <w:rsid w:val="00DE75B0"/>
    <w:rsid w:val="00DF0382"/>
    <w:rsid w:val="00DF1216"/>
    <w:rsid w:val="00DF1797"/>
    <w:rsid w:val="00DF18CE"/>
    <w:rsid w:val="00DF19A6"/>
    <w:rsid w:val="00DF2015"/>
    <w:rsid w:val="00DF2460"/>
    <w:rsid w:val="00DF3388"/>
    <w:rsid w:val="00DF3B91"/>
    <w:rsid w:val="00DF4320"/>
    <w:rsid w:val="00DF4670"/>
    <w:rsid w:val="00DF5070"/>
    <w:rsid w:val="00DF5346"/>
    <w:rsid w:val="00DF559F"/>
    <w:rsid w:val="00DF58F9"/>
    <w:rsid w:val="00DF5C54"/>
    <w:rsid w:val="00DF5DD4"/>
    <w:rsid w:val="00E000E9"/>
    <w:rsid w:val="00E00306"/>
    <w:rsid w:val="00E00CB5"/>
    <w:rsid w:val="00E01009"/>
    <w:rsid w:val="00E014D2"/>
    <w:rsid w:val="00E01A43"/>
    <w:rsid w:val="00E023A9"/>
    <w:rsid w:val="00E02A35"/>
    <w:rsid w:val="00E02D88"/>
    <w:rsid w:val="00E03103"/>
    <w:rsid w:val="00E03205"/>
    <w:rsid w:val="00E03711"/>
    <w:rsid w:val="00E03928"/>
    <w:rsid w:val="00E05679"/>
    <w:rsid w:val="00E05A63"/>
    <w:rsid w:val="00E05F20"/>
    <w:rsid w:val="00E061F6"/>
    <w:rsid w:val="00E063CE"/>
    <w:rsid w:val="00E07937"/>
    <w:rsid w:val="00E10946"/>
    <w:rsid w:val="00E10F7E"/>
    <w:rsid w:val="00E12FB7"/>
    <w:rsid w:val="00E1352F"/>
    <w:rsid w:val="00E13578"/>
    <w:rsid w:val="00E13CCE"/>
    <w:rsid w:val="00E204C0"/>
    <w:rsid w:val="00E205FD"/>
    <w:rsid w:val="00E20725"/>
    <w:rsid w:val="00E20C9B"/>
    <w:rsid w:val="00E210E5"/>
    <w:rsid w:val="00E211BA"/>
    <w:rsid w:val="00E23872"/>
    <w:rsid w:val="00E23A99"/>
    <w:rsid w:val="00E23DA9"/>
    <w:rsid w:val="00E2407E"/>
    <w:rsid w:val="00E24087"/>
    <w:rsid w:val="00E24173"/>
    <w:rsid w:val="00E24B1D"/>
    <w:rsid w:val="00E24B42"/>
    <w:rsid w:val="00E25CD7"/>
    <w:rsid w:val="00E276BE"/>
    <w:rsid w:val="00E30626"/>
    <w:rsid w:val="00E31162"/>
    <w:rsid w:val="00E31DD3"/>
    <w:rsid w:val="00E32043"/>
    <w:rsid w:val="00E328F8"/>
    <w:rsid w:val="00E32A64"/>
    <w:rsid w:val="00E32EFD"/>
    <w:rsid w:val="00E3366F"/>
    <w:rsid w:val="00E33D06"/>
    <w:rsid w:val="00E34865"/>
    <w:rsid w:val="00E34E48"/>
    <w:rsid w:val="00E351AA"/>
    <w:rsid w:val="00E35AC9"/>
    <w:rsid w:val="00E35D04"/>
    <w:rsid w:val="00E3698D"/>
    <w:rsid w:val="00E36F62"/>
    <w:rsid w:val="00E37041"/>
    <w:rsid w:val="00E40003"/>
    <w:rsid w:val="00E407A6"/>
    <w:rsid w:val="00E411CB"/>
    <w:rsid w:val="00E42573"/>
    <w:rsid w:val="00E42827"/>
    <w:rsid w:val="00E43346"/>
    <w:rsid w:val="00E43CF2"/>
    <w:rsid w:val="00E4428B"/>
    <w:rsid w:val="00E444D1"/>
    <w:rsid w:val="00E44B39"/>
    <w:rsid w:val="00E456F9"/>
    <w:rsid w:val="00E460D0"/>
    <w:rsid w:val="00E47513"/>
    <w:rsid w:val="00E47D56"/>
    <w:rsid w:val="00E50AF8"/>
    <w:rsid w:val="00E50FC0"/>
    <w:rsid w:val="00E511F2"/>
    <w:rsid w:val="00E523E8"/>
    <w:rsid w:val="00E5278C"/>
    <w:rsid w:val="00E528BB"/>
    <w:rsid w:val="00E52E99"/>
    <w:rsid w:val="00E52F2A"/>
    <w:rsid w:val="00E531C7"/>
    <w:rsid w:val="00E53EA1"/>
    <w:rsid w:val="00E547E2"/>
    <w:rsid w:val="00E56674"/>
    <w:rsid w:val="00E5726C"/>
    <w:rsid w:val="00E57669"/>
    <w:rsid w:val="00E60051"/>
    <w:rsid w:val="00E60071"/>
    <w:rsid w:val="00E60DA0"/>
    <w:rsid w:val="00E61612"/>
    <w:rsid w:val="00E61F3F"/>
    <w:rsid w:val="00E65E42"/>
    <w:rsid w:val="00E667CC"/>
    <w:rsid w:val="00E6700C"/>
    <w:rsid w:val="00E671C2"/>
    <w:rsid w:val="00E67DCE"/>
    <w:rsid w:val="00E70B62"/>
    <w:rsid w:val="00E710D8"/>
    <w:rsid w:val="00E717FE"/>
    <w:rsid w:val="00E71D37"/>
    <w:rsid w:val="00E72B4F"/>
    <w:rsid w:val="00E73B56"/>
    <w:rsid w:val="00E7519C"/>
    <w:rsid w:val="00E75228"/>
    <w:rsid w:val="00E7598E"/>
    <w:rsid w:val="00E772B7"/>
    <w:rsid w:val="00E779E1"/>
    <w:rsid w:val="00E80E05"/>
    <w:rsid w:val="00E81743"/>
    <w:rsid w:val="00E81A80"/>
    <w:rsid w:val="00E82104"/>
    <w:rsid w:val="00E824D4"/>
    <w:rsid w:val="00E834D5"/>
    <w:rsid w:val="00E83645"/>
    <w:rsid w:val="00E83681"/>
    <w:rsid w:val="00E83B0A"/>
    <w:rsid w:val="00E8406F"/>
    <w:rsid w:val="00E840BC"/>
    <w:rsid w:val="00E84251"/>
    <w:rsid w:val="00E84630"/>
    <w:rsid w:val="00E86DE3"/>
    <w:rsid w:val="00E871AE"/>
    <w:rsid w:val="00E87246"/>
    <w:rsid w:val="00E87A84"/>
    <w:rsid w:val="00E901C5"/>
    <w:rsid w:val="00E908F1"/>
    <w:rsid w:val="00E91A55"/>
    <w:rsid w:val="00E9235A"/>
    <w:rsid w:val="00E927AA"/>
    <w:rsid w:val="00E93CBB"/>
    <w:rsid w:val="00E94F73"/>
    <w:rsid w:val="00E952C0"/>
    <w:rsid w:val="00E9544B"/>
    <w:rsid w:val="00E9576F"/>
    <w:rsid w:val="00E97C06"/>
    <w:rsid w:val="00EA049A"/>
    <w:rsid w:val="00EA0FD2"/>
    <w:rsid w:val="00EA12E4"/>
    <w:rsid w:val="00EA1980"/>
    <w:rsid w:val="00EA2447"/>
    <w:rsid w:val="00EA3156"/>
    <w:rsid w:val="00EA33A9"/>
    <w:rsid w:val="00EA3511"/>
    <w:rsid w:val="00EA3523"/>
    <w:rsid w:val="00EA3956"/>
    <w:rsid w:val="00EA39A8"/>
    <w:rsid w:val="00EA4BE6"/>
    <w:rsid w:val="00EA5205"/>
    <w:rsid w:val="00EA7097"/>
    <w:rsid w:val="00EB0B0B"/>
    <w:rsid w:val="00EB2587"/>
    <w:rsid w:val="00EB2759"/>
    <w:rsid w:val="00EB2F05"/>
    <w:rsid w:val="00EB3C56"/>
    <w:rsid w:val="00EB3DD9"/>
    <w:rsid w:val="00EB41F6"/>
    <w:rsid w:val="00EB4C76"/>
    <w:rsid w:val="00EB673E"/>
    <w:rsid w:val="00EB6837"/>
    <w:rsid w:val="00EB70CE"/>
    <w:rsid w:val="00EC00E8"/>
    <w:rsid w:val="00EC085B"/>
    <w:rsid w:val="00EC0E21"/>
    <w:rsid w:val="00EC0EA5"/>
    <w:rsid w:val="00EC2FE7"/>
    <w:rsid w:val="00EC4240"/>
    <w:rsid w:val="00EC43E7"/>
    <w:rsid w:val="00EC4675"/>
    <w:rsid w:val="00EC5A28"/>
    <w:rsid w:val="00EC5F0B"/>
    <w:rsid w:val="00EC61AB"/>
    <w:rsid w:val="00EC62FA"/>
    <w:rsid w:val="00EC63F1"/>
    <w:rsid w:val="00EC65CA"/>
    <w:rsid w:val="00EC6DF9"/>
    <w:rsid w:val="00EC7A46"/>
    <w:rsid w:val="00EC7C0F"/>
    <w:rsid w:val="00EC7FBC"/>
    <w:rsid w:val="00ED061B"/>
    <w:rsid w:val="00ED0837"/>
    <w:rsid w:val="00ED0D1A"/>
    <w:rsid w:val="00ED0F13"/>
    <w:rsid w:val="00ED2119"/>
    <w:rsid w:val="00ED23A5"/>
    <w:rsid w:val="00ED3461"/>
    <w:rsid w:val="00ED5156"/>
    <w:rsid w:val="00ED51E1"/>
    <w:rsid w:val="00ED56C2"/>
    <w:rsid w:val="00ED6415"/>
    <w:rsid w:val="00EE0515"/>
    <w:rsid w:val="00EE0906"/>
    <w:rsid w:val="00EE0CA1"/>
    <w:rsid w:val="00EE0D4D"/>
    <w:rsid w:val="00EE1B17"/>
    <w:rsid w:val="00EE3872"/>
    <w:rsid w:val="00EE3EA7"/>
    <w:rsid w:val="00EE4637"/>
    <w:rsid w:val="00EE4F56"/>
    <w:rsid w:val="00EE5499"/>
    <w:rsid w:val="00EE5C0B"/>
    <w:rsid w:val="00EE6F1B"/>
    <w:rsid w:val="00EF1BA2"/>
    <w:rsid w:val="00EF1F49"/>
    <w:rsid w:val="00EF3CDF"/>
    <w:rsid w:val="00EF4188"/>
    <w:rsid w:val="00EF41A5"/>
    <w:rsid w:val="00EF45B2"/>
    <w:rsid w:val="00EF45E1"/>
    <w:rsid w:val="00EF53BD"/>
    <w:rsid w:val="00EF5D32"/>
    <w:rsid w:val="00EF6042"/>
    <w:rsid w:val="00EF7D1D"/>
    <w:rsid w:val="00EF7FD0"/>
    <w:rsid w:val="00F0001C"/>
    <w:rsid w:val="00F004E6"/>
    <w:rsid w:val="00F00631"/>
    <w:rsid w:val="00F009C0"/>
    <w:rsid w:val="00F0199C"/>
    <w:rsid w:val="00F02AE9"/>
    <w:rsid w:val="00F02E07"/>
    <w:rsid w:val="00F049C0"/>
    <w:rsid w:val="00F04B90"/>
    <w:rsid w:val="00F05082"/>
    <w:rsid w:val="00F054BF"/>
    <w:rsid w:val="00F061C2"/>
    <w:rsid w:val="00F063A0"/>
    <w:rsid w:val="00F10223"/>
    <w:rsid w:val="00F10410"/>
    <w:rsid w:val="00F10CB2"/>
    <w:rsid w:val="00F110B9"/>
    <w:rsid w:val="00F11A97"/>
    <w:rsid w:val="00F12322"/>
    <w:rsid w:val="00F1237A"/>
    <w:rsid w:val="00F1241A"/>
    <w:rsid w:val="00F12FC1"/>
    <w:rsid w:val="00F13913"/>
    <w:rsid w:val="00F13A8A"/>
    <w:rsid w:val="00F13DA0"/>
    <w:rsid w:val="00F142DB"/>
    <w:rsid w:val="00F14974"/>
    <w:rsid w:val="00F14C20"/>
    <w:rsid w:val="00F14D6C"/>
    <w:rsid w:val="00F14E81"/>
    <w:rsid w:val="00F1580F"/>
    <w:rsid w:val="00F15A08"/>
    <w:rsid w:val="00F16717"/>
    <w:rsid w:val="00F205F2"/>
    <w:rsid w:val="00F2167A"/>
    <w:rsid w:val="00F221AE"/>
    <w:rsid w:val="00F22B36"/>
    <w:rsid w:val="00F22ED6"/>
    <w:rsid w:val="00F24475"/>
    <w:rsid w:val="00F24677"/>
    <w:rsid w:val="00F2477E"/>
    <w:rsid w:val="00F2584D"/>
    <w:rsid w:val="00F25E4A"/>
    <w:rsid w:val="00F26545"/>
    <w:rsid w:val="00F269AB"/>
    <w:rsid w:val="00F26B16"/>
    <w:rsid w:val="00F26C55"/>
    <w:rsid w:val="00F30342"/>
    <w:rsid w:val="00F3230D"/>
    <w:rsid w:val="00F33F22"/>
    <w:rsid w:val="00F35140"/>
    <w:rsid w:val="00F35C59"/>
    <w:rsid w:val="00F360E5"/>
    <w:rsid w:val="00F3622F"/>
    <w:rsid w:val="00F3623C"/>
    <w:rsid w:val="00F404EA"/>
    <w:rsid w:val="00F4205C"/>
    <w:rsid w:val="00F424E6"/>
    <w:rsid w:val="00F42DC9"/>
    <w:rsid w:val="00F430DE"/>
    <w:rsid w:val="00F433C9"/>
    <w:rsid w:val="00F43A72"/>
    <w:rsid w:val="00F4511D"/>
    <w:rsid w:val="00F45339"/>
    <w:rsid w:val="00F45513"/>
    <w:rsid w:val="00F45CB2"/>
    <w:rsid w:val="00F4682D"/>
    <w:rsid w:val="00F46C82"/>
    <w:rsid w:val="00F476BA"/>
    <w:rsid w:val="00F4788D"/>
    <w:rsid w:val="00F5061A"/>
    <w:rsid w:val="00F50A84"/>
    <w:rsid w:val="00F51049"/>
    <w:rsid w:val="00F51F99"/>
    <w:rsid w:val="00F5289D"/>
    <w:rsid w:val="00F5328E"/>
    <w:rsid w:val="00F532B4"/>
    <w:rsid w:val="00F54079"/>
    <w:rsid w:val="00F560E6"/>
    <w:rsid w:val="00F56185"/>
    <w:rsid w:val="00F56936"/>
    <w:rsid w:val="00F5703C"/>
    <w:rsid w:val="00F60315"/>
    <w:rsid w:val="00F60BB6"/>
    <w:rsid w:val="00F61B1F"/>
    <w:rsid w:val="00F61E0D"/>
    <w:rsid w:val="00F62ABB"/>
    <w:rsid w:val="00F635DC"/>
    <w:rsid w:val="00F63A07"/>
    <w:rsid w:val="00F6412A"/>
    <w:rsid w:val="00F6464F"/>
    <w:rsid w:val="00F64E52"/>
    <w:rsid w:val="00F66A3A"/>
    <w:rsid w:val="00F66A4E"/>
    <w:rsid w:val="00F70E35"/>
    <w:rsid w:val="00F7245A"/>
    <w:rsid w:val="00F72D6A"/>
    <w:rsid w:val="00F73765"/>
    <w:rsid w:val="00F73BF0"/>
    <w:rsid w:val="00F73F2B"/>
    <w:rsid w:val="00F7411E"/>
    <w:rsid w:val="00F742AB"/>
    <w:rsid w:val="00F744C9"/>
    <w:rsid w:val="00F75FF1"/>
    <w:rsid w:val="00F76017"/>
    <w:rsid w:val="00F7601D"/>
    <w:rsid w:val="00F77347"/>
    <w:rsid w:val="00F77D41"/>
    <w:rsid w:val="00F77FA5"/>
    <w:rsid w:val="00F82A9D"/>
    <w:rsid w:val="00F84237"/>
    <w:rsid w:val="00F84557"/>
    <w:rsid w:val="00F855A8"/>
    <w:rsid w:val="00F861FA"/>
    <w:rsid w:val="00F8743B"/>
    <w:rsid w:val="00F879A3"/>
    <w:rsid w:val="00F92541"/>
    <w:rsid w:val="00F92AB3"/>
    <w:rsid w:val="00F92B96"/>
    <w:rsid w:val="00F9345F"/>
    <w:rsid w:val="00F936FB"/>
    <w:rsid w:val="00F93DFC"/>
    <w:rsid w:val="00F942D9"/>
    <w:rsid w:val="00F949D6"/>
    <w:rsid w:val="00F94C84"/>
    <w:rsid w:val="00F952B9"/>
    <w:rsid w:val="00F9653F"/>
    <w:rsid w:val="00F96945"/>
    <w:rsid w:val="00F96AF4"/>
    <w:rsid w:val="00F9796F"/>
    <w:rsid w:val="00FA0BB0"/>
    <w:rsid w:val="00FA1248"/>
    <w:rsid w:val="00FA247F"/>
    <w:rsid w:val="00FA2A1A"/>
    <w:rsid w:val="00FA3CA9"/>
    <w:rsid w:val="00FA45DC"/>
    <w:rsid w:val="00FA4945"/>
    <w:rsid w:val="00FA51BC"/>
    <w:rsid w:val="00FA557E"/>
    <w:rsid w:val="00FA5FDE"/>
    <w:rsid w:val="00FA61D5"/>
    <w:rsid w:val="00FA6491"/>
    <w:rsid w:val="00FA653F"/>
    <w:rsid w:val="00FA6BBD"/>
    <w:rsid w:val="00FB1552"/>
    <w:rsid w:val="00FB189F"/>
    <w:rsid w:val="00FB2F82"/>
    <w:rsid w:val="00FB347F"/>
    <w:rsid w:val="00FB3BD2"/>
    <w:rsid w:val="00FB4C9A"/>
    <w:rsid w:val="00FB5337"/>
    <w:rsid w:val="00FB54B3"/>
    <w:rsid w:val="00FB561B"/>
    <w:rsid w:val="00FB5AD7"/>
    <w:rsid w:val="00FB6721"/>
    <w:rsid w:val="00FB7623"/>
    <w:rsid w:val="00FB7A88"/>
    <w:rsid w:val="00FC0054"/>
    <w:rsid w:val="00FC03EE"/>
    <w:rsid w:val="00FC0940"/>
    <w:rsid w:val="00FC0E6E"/>
    <w:rsid w:val="00FC1771"/>
    <w:rsid w:val="00FC1B97"/>
    <w:rsid w:val="00FC2C2B"/>
    <w:rsid w:val="00FC59BC"/>
    <w:rsid w:val="00FC5C5A"/>
    <w:rsid w:val="00FC5F00"/>
    <w:rsid w:val="00FC62D1"/>
    <w:rsid w:val="00FC6F71"/>
    <w:rsid w:val="00FC7480"/>
    <w:rsid w:val="00FC79D2"/>
    <w:rsid w:val="00FC7E39"/>
    <w:rsid w:val="00FD1192"/>
    <w:rsid w:val="00FD15F6"/>
    <w:rsid w:val="00FD1884"/>
    <w:rsid w:val="00FD242E"/>
    <w:rsid w:val="00FD27A8"/>
    <w:rsid w:val="00FD2836"/>
    <w:rsid w:val="00FD2AF5"/>
    <w:rsid w:val="00FD2D8B"/>
    <w:rsid w:val="00FD3023"/>
    <w:rsid w:val="00FD302F"/>
    <w:rsid w:val="00FD31BB"/>
    <w:rsid w:val="00FD334D"/>
    <w:rsid w:val="00FD37E1"/>
    <w:rsid w:val="00FD4F41"/>
    <w:rsid w:val="00FD5237"/>
    <w:rsid w:val="00FD624B"/>
    <w:rsid w:val="00FD6344"/>
    <w:rsid w:val="00FD67DD"/>
    <w:rsid w:val="00FD6F43"/>
    <w:rsid w:val="00FD7145"/>
    <w:rsid w:val="00FD7532"/>
    <w:rsid w:val="00FD75D0"/>
    <w:rsid w:val="00FD782B"/>
    <w:rsid w:val="00FE00EA"/>
    <w:rsid w:val="00FE01DF"/>
    <w:rsid w:val="00FE0EA6"/>
    <w:rsid w:val="00FE100D"/>
    <w:rsid w:val="00FE1102"/>
    <w:rsid w:val="00FE1329"/>
    <w:rsid w:val="00FE1AAD"/>
    <w:rsid w:val="00FE1D6E"/>
    <w:rsid w:val="00FE3125"/>
    <w:rsid w:val="00FE3271"/>
    <w:rsid w:val="00FE49BE"/>
    <w:rsid w:val="00FE617D"/>
    <w:rsid w:val="00FE6D8A"/>
    <w:rsid w:val="00FE71A5"/>
    <w:rsid w:val="00FE7E53"/>
    <w:rsid w:val="00FE7FD5"/>
    <w:rsid w:val="00FF0CF4"/>
    <w:rsid w:val="00FF231B"/>
    <w:rsid w:val="00FF26BD"/>
    <w:rsid w:val="00FF485D"/>
    <w:rsid w:val="00FF48C7"/>
    <w:rsid w:val="00FF52F6"/>
    <w:rsid w:val="00FF6147"/>
    <w:rsid w:val="00FF63D7"/>
    <w:rsid w:val="00FF690C"/>
    <w:rsid w:val="00FF6D6D"/>
    <w:rsid w:val="00FF775A"/>
    <w:rsid w:val="00FF77B4"/>
    <w:rsid w:val="00FF7A56"/>
    <w:rsid w:val="01F483BF"/>
    <w:rsid w:val="01F89CE7"/>
    <w:rsid w:val="02331909"/>
    <w:rsid w:val="02550622"/>
    <w:rsid w:val="026F702B"/>
    <w:rsid w:val="0294D95A"/>
    <w:rsid w:val="02A39C59"/>
    <w:rsid w:val="02B68825"/>
    <w:rsid w:val="02B9DFBC"/>
    <w:rsid w:val="02BBE780"/>
    <w:rsid w:val="02E8E502"/>
    <w:rsid w:val="02EFA942"/>
    <w:rsid w:val="038C1B1B"/>
    <w:rsid w:val="039FA436"/>
    <w:rsid w:val="040C1133"/>
    <w:rsid w:val="042B5781"/>
    <w:rsid w:val="0431AACB"/>
    <w:rsid w:val="04380A64"/>
    <w:rsid w:val="048BDDFF"/>
    <w:rsid w:val="04D83D55"/>
    <w:rsid w:val="04F5D575"/>
    <w:rsid w:val="04F74703"/>
    <w:rsid w:val="04FE1765"/>
    <w:rsid w:val="05071B5D"/>
    <w:rsid w:val="051A4BD7"/>
    <w:rsid w:val="05351BA3"/>
    <w:rsid w:val="05663C72"/>
    <w:rsid w:val="05C9D6C3"/>
    <w:rsid w:val="05E3C859"/>
    <w:rsid w:val="0606017E"/>
    <w:rsid w:val="0610C466"/>
    <w:rsid w:val="06773D0A"/>
    <w:rsid w:val="06957537"/>
    <w:rsid w:val="06A21FDD"/>
    <w:rsid w:val="06B1C8B5"/>
    <w:rsid w:val="06C738CE"/>
    <w:rsid w:val="07139721"/>
    <w:rsid w:val="071C139F"/>
    <w:rsid w:val="0734FAF2"/>
    <w:rsid w:val="073D0169"/>
    <w:rsid w:val="07AEF834"/>
    <w:rsid w:val="07E79B86"/>
    <w:rsid w:val="07EADADE"/>
    <w:rsid w:val="07EE7CAB"/>
    <w:rsid w:val="0819E3A3"/>
    <w:rsid w:val="084E5121"/>
    <w:rsid w:val="08659837"/>
    <w:rsid w:val="08B6BC95"/>
    <w:rsid w:val="0938DE68"/>
    <w:rsid w:val="096C7ADB"/>
    <w:rsid w:val="097ECB14"/>
    <w:rsid w:val="09E90B75"/>
    <w:rsid w:val="09F2A5CB"/>
    <w:rsid w:val="0A546D7C"/>
    <w:rsid w:val="0B1C66E2"/>
    <w:rsid w:val="0B271964"/>
    <w:rsid w:val="0B80C98D"/>
    <w:rsid w:val="0B9D19A9"/>
    <w:rsid w:val="0BE07E7A"/>
    <w:rsid w:val="0C26B27D"/>
    <w:rsid w:val="0C2D1DAB"/>
    <w:rsid w:val="0C3AE030"/>
    <w:rsid w:val="0C55B08B"/>
    <w:rsid w:val="0CB86AB9"/>
    <w:rsid w:val="0CF218AC"/>
    <w:rsid w:val="0D0BB7FF"/>
    <w:rsid w:val="0D30E014"/>
    <w:rsid w:val="0D3D35BE"/>
    <w:rsid w:val="0D4241F0"/>
    <w:rsid w:val="0D718D0D"/>
    <w:rsid w:val="0D84ABA7"/>
    <w:rsid w:val="0DC01659"/>
    <w:rsid w:val="0DC5931A"/>
    <w:rsid w:val="0DEC8A24"/>
    <w:rsid w:val="0E157863"/>
    <w:rsid w:val="0E16E643"/>
    <w:rsid w:val="0E1AE366"/>
    <w:rsid w:val="0E1B2343"/>
    <w:rsid w:val="0E4BA879"/>
    <w:rsid w:val="0E4E0A53"/>
    <w:rsid w:val="0E64C9DB"/>
    <w:rsid w:val="0E840FA6"/>
    <w:rsid w:val="0E8DA7D6"/>
    <w:rsid w:val="0EC59508"/>
    <w:rsid w:val="0ED7B767"/>
    <w:rsid w:val="0EDBF744"/>
    <w:rsid w:val="0F10B620"/>
    <w:rsid w:val="0F24BEF0"/>
    <w:rsid w:val="0F2BC9A4"/>
    <w:rsid w:val="0F48134E"/>
    <w:rsid w:val="0FA02C04"/>
    <w:rsid w:val="0FE83829"/>
    <w:rsid w:val="0FFA1DE4"/>
    <w:rsid w:val="10201A00"/>
    <w:rsid w:val="10330D98"/>
    <w:rsid w:val="1063943E"/>
    <w:rsid w:val="10AF7909"/>
    <w:rsid w:val="10D3DBC0"/>
    <w:rsid w:val="10D48E02"/>
    <w:rsid w:val="10F1BDF8"/>
    <w:rsid w:val="1122D6ED"/>
    <w:rsid w:val="1129CEC5"/>
    <w:rsid w:val="11361258"/>
    <w:rsid w:val="11487B67"/>
    <w:rsid w:val="1149F5F0"/>
    <w:rsid w:val="1156D932"/>
    <w:rsid w:val="11660BEC"/>
    <w:rsid w:val="11BEF9D7"/>
    <w:rsid w:val="12283774"/>
    <w:rsid w:val="12374DE1"/>
    <w:rsid w:val="1294428C"/>
    <w:rsid w:val="12A9D325"/>
    <w:rsid w:val="12CB6D8D"/>
    <w:rsid w:val="12DD8D3B"/>
    <w:rsid w:val="12EA7006"/>
    <w:rsid w:val="12F356CF"/>
    <w:rsid w:val="12F5C90A"/>
    <w:rsid w:val="1325ABA9"/>
    <w:rsid w:val="133A19F7"/>
    <w:rsid w:val="133C98B0"/>
    <w:rsid w:val="1352DB01"/>
    <w:rsid w:val="135903D0"/>
    <w:rsid w:val="13B40A48"/>
    <w:rsid w:val="13B69249"/>
    <w:rsid w:val="1433DE68"/>
    <w:rsid w:val="1448A271"/>
    <w:rsid w:val="144AECFC"/>
    <w:rsid w:val="144E8D2B"/>
    <w:rsid w:val="1473AA2E"/>
    <w:rsid w:val="1474DD11"/>
    <w:rsid w:val="1477A766"/>
    <w:rsid w:val="14E94CA6"/>
    <w:rsid w:val="14FA6BB8"/>
    <w:rsid w:val="15130F21"/>
    <w:rsid w:val="1525AD99"/>
    <w:rsid w:val="155BC467"/>
    <w:rsid w:val="15807F89"/>
    <w:rsid w:val="159498B1"/>
    <w:rsid w:val="15DDC235"/>
    <w:rsid w:val="15F0BAB3"/>
    <w:rsid w:val="162BD45C"/>
    <w:rsid w:val="164468D8"/>
    <w:rsid w:val="16502254"/>
    <w:rsid w:val="165B782B"/>
    <w:rsid w:val="166C6B2A"/>
    <w:rsid w:val="16714E39"/>
    <w:rsid w:val="1679F2C8"/>
    <w:rsid w:val="168182D2"/>
    <w:rsid w:val="1697744C"/>
    <w:rsid w:val="16B3A0BB"/>
    <w:rsid w:val="16D50AAE"/>
    <w:rsid w:val="16E31BE5"/>
    <w:rsid w:val="16F2DF59"/>
    <w:rsid w:val="17014FF5"/>
    <w:rsid w:val="171B1A7A"/>
    <w:rsid w:val="171B5C41"/>
    <w:rsid w:val="171B974A"/>
    <w:rsid w:val="174D3122"/>
    <w:rsid w:val="1775291F"/>
    <w:rsid w:val="1778B129"/>
    <w:rsid w:val="17B50D3E"/>
    <w:rsid w:val="17CEB8A6"/>
    <w:rsid w:val="17D2AD7C"/>
    <w:rsid w:val="17E2B96C"/>
    <w:rsid w:val="17F7488C"/>
    <w:rsid w:val="1807F321"/>
    <w:rsid w:val="181DF7F7"/>
    <w:rsid w:val="18499F09"/>
    <w:rsid w:val="186C0A1C"/>
    <w:rsid w:val="18B66704"/>
    <w:rsid w:val="18E07C0B"/>
    <w:rsid w:val="18E8B503"/>
    <w:rsid w:val="18FAD8F0"/>
    <w:rsid w:val="18FDC1B5"/>
    <w:rsid w:val="1927C3FD"/>
    <w:rsid w:val="196FDC36"/>
    <w:rsid w:val="197B72D4"/>
    <w:rsid w:val="19852EE3"/>
    <w:rsid w:val="199BCBCB"/>
    <w:rsid w:val="19A8E41D"/>
    <w:rsid w:val="19B22349"/>
    <w:rsid w:val="19B46F31"/>
    <w:rsid w:val="19DFC822"/>
    <w:rsid w:val="1A0C6EED"/>
    <w:rsid w:val="1A493A97"/>
    <w:rsid w:val="1A5C003B"/>
    <w:rsid w:val="1A60DE53"/>
    <w:rsid w:val="1AA14860"/>
    <w:rsid w:val="1AA9B853"/>
    <w:rsid w:val="1AB7D571"/>
    <w:rsid w:val="1AF7B1B1"/>
    <w:rsid w:val="1B535838"/>
    <w:rsid w:val="1B7DDC6E"/>
    <w:rsid w:val="1BA5687B"/>
    <w:rsid w:val="1BA6083E"/>
    <w:rsid w:val="1BCC0A44"/>
    <w:rsid w:val="1BD54489"/>
    <w:rsid w:val="1BE618A4"/>
    <w:rsid w:val="1C57D8A8"/>
    <w:rsid w:val="1C9CA36B"/>
    <w:rsid w:val="1CD9EA65"/>
    <w:rsid w:val="1CE0F9F4"/>
    <w:rsid w:val="1D2EFCAF"/>
    <w:rsid w:val="1D425E49"/>
    <w:rsid w:val="1D630E8A"/>
    <w:rsid w:val="1DA01456"/>
    <w:rsid w:val="1DAD690C"/>
    <w:rsid w:val="1DBDC887"/>
    <w:rsid w:val="1DBFF0CC"/>
    <w:rsid w:val="1DE62FF8"/>
    <w:rsid w:val="1E0A56D9"/>
    <w:rsid w:val="1E7E3409"/>
    <w:rsid w:val="1E906BFA"/>
    <w:rsid w:val="1F174BE3"/>
    <w:rsid w:val="1F1E8C50"/>
    <w:rsid w:val="1F4915A5"/>
    <w:rsid w:val="1F61B19F"/>
    <w:rsid w:val="1F7C8E6C"/>
    <w:rsid w:val="1FA29330"/>
    <w:rsid w:val="1FBBF60E"/>
    <w:rsid w:val="1FCD7FED"/>
    <w:rsid w:val="20717D3B"/>
    <w:rsid w:val="208223A3"/>
    <w:rsid w:val="2095419D"/>
    <w:rsid w:val="20CBA931"/>
    <w:rsid w:val="20E689E0"/>
    <w:rsid w:val="2107031D"/>
    <w:rsid w:val="21238D65"/>
    <w:rsid w:val="212716F5"/>
    <w:rsid w:val="21959C3A"/>
    <w:rsid w:val="21BAF925"/>
    <w:rsid w:val="223983E9"/>
    <w:rsid w:val="2262A1EC"/>
    <w:rsid w:val="2285E888"/>
    <w:rsid w:val="230EC1AA"/>
    <w:rsid w:val="2326919B"/>
    <w:rsid w:val="233CEE1C"/>
    <w:rsid w:val="236809BA"/>
    <w:rsid w:val="23715BC6"/>
    <w:rsid w:val="23D918E0"/>
    <w:rsid w:val="23F3DAF3"/>
    <w:rsid w:val="2414641B"/>
    <w:rsid w:val="2431FB94"/>
    <w:rsid w:val="24561BBA"/>
    <w:rsid w:val="24570898"/>
    <w:rsid w:val="245A9F05"/>
    <w:rsid w:val="24B625A6"/>
    <w:rsid w:val="24B62EC7"/>
    <w:rsid w:val="24D71E7F"/>
    <w:rsid w:val="2526FAED"/>
    <w:rsid w:val="25307CBD"/>
    <w:rsid w:val="25630BFA"/>
    <w:rsid w:val="256B9777"/>
    <w:rsid w:val="25747B7C"/>
    <w:rsid w:val="258884D3"/>
    <w:rsid w:val="2607EFD0"/>
    <w:rsid w:val="266634BB"/>
    <w:rsid w:val="2674A50C"/>
    <w:rsid w:val="26C20EA4"/>
    <w:rsid w:val="26D496CC"/>
    <w:rsid w:val="26F2E92D"/>
    <w:rsid w:val="273A6FD2"/>
    <w:rsid w:val="274AB22C"/>
    <w:rsid w:val="27625473"/>
    <w:rsid w:val="2772390C"/>
    <w:rsid w:val="2783C0D2"/>
    <w:rsid w:val="27C26477"/>
    <w:rsid w:val="27C71F39"/>
    <w:rsid w:val="282FF6BC"/>
    <w:rsid w:val="28375137"/>
    <w:rsid w:val="284D8731"/>
    <w:rsid w:val="28590538"/>
    <w:rsid w:val="2861DA69"/>
    <w:rsid w:val="2912FF29"/>
    <w:rsid w:val="2934CA25"/>
    <w:rsid w:val="29571F91"/>
    <w:rsid w:val="29A2944F"/>
    <w:rsid w:val="29AFFB4D"/>
    <w:rsid w:val="29CCB616"/>
    <w:rsid w:val="29D03499"/>
    <w:rsid w:val="29E37AD8"/>
    <w:rsid w:val="29FDAF20"/>
    <w:rsid w:val="2A1437CB"/>
    <w:rsid w:val="2A2C12EB"/>
    <w:rsid w:val="2B237474"/>
    <w:rsid w:val="2B45E6EA"/>
    <w:rsid w:val="2B52CBA3"/>
    <w:rsid w:val="2B5D7D3F"/>
    <w:rsid w:val="2BB4346D"/>
    <w:rsid w:val="2BD3E88F"/>
    <w:rsid w:val="2BE6799D"/>
    <w:rsid w:val="2C1FDDBF"/>
    <w:rsid w:val="2C31F4D2"/>
    <w:rsid w:val="2C7AE9BC"/>
    <w:rsid w:val="2CBD2BD4"/>
    <w:rsid w:val="2CED4F8A"/>
    <w:rsid w:val="2D09CD99"/>
    <w:rsid w:val="2D446432"/>
    <w:rsid w:val="2D53C3EC"/>
    <w:rsid w:val="2D6BF115"/>
    <w:rsid w:val="2DAAED56"/>
    <w:rsid w:val="2DC19ED0"/>
    <w:rsid w:val="2DD3ECE9"/>
    <w:rsid w:val="2E016C90"/>
    <w:rsid w:val="2E079833"/>
    <w:rsid w:val="2E1422F3"/>
    <w:rsid w:val="2E5B9683"/>
    <w:rsid w:val="2E71AC87"/>
    <w:rsid w:val="2E7688C3"/>
    <w:rsid w:val="2E7B3AC6"/>
    <w:rsid w:val="2E849B60"/>
    <w:rsid w:val="2E99F8FE"/>
    <w:rsid w:val="2EC0B833"/>
    <w:rsid w:val="2EC870CD"/>
    <w:rsid w:val="2ECC348E"/>
    <w:rsid w:val="2EEF057E"/>
    <w:rsid w:val="2EEF0590"/>
    <w:rsid w:val="2EF07661"/>
    <w:rsid w:val="2EFD966B"/>
    <w:rsid w:val="2F352A62"/>
    <w:rsid w:val="2F5A0888"/>
    <w:rsid w:val="2F7C7F31"/>
    <w:rsid w:val="2FA6DCD1"/>
    <w:rsid w:val="2FECBD81"/>
    <w:rsid w:val="300A9AF4"/>
    <w:rsid w:val="300B2357"/>
    <w:rsid w:val="304D4BF2"/>
    <w:rsid w:val="3051827C"/>
    <w:rsid w:val="306C2E23"/>
    <w:rsid w:val="307C04F4"/>
    <w:rsid w:val="30870E18"/>
    <w:rsid w:val="30A6C23A"/>
    <w:rsid w:val="30BF4111"/>
    <w:rsid w:val="30C8C133"/>
    <w:rsid w:val="312D5162"/>
    <w:rsid w:val="3130DC93"/>
    <w:rsid w:val="3174DFB0"/>
    <w:rsid w:val="318D3C7D"/>
    <w:rsid w:val="31B57517"/>
    <w:rsid w:val="31B636D6"/>
    <w:rsid w:val="31B78B65"/>
    <w:rsid w:val="31D530B6"/>
    <w:rsid w:val="31D84190"/>
    <w:rsid w:val="31E7EE11"/>
    <w:rsid w:val="31EDF46C"/>
    <w:rsid w:val="31F482CB"/>
    <w:rsid w:val="3202128D"/>
    <w:rsid w:val="32151482"/>
    <w:rsid w:val="3217D555"/>
    <w:rsid w:val="32183D3C"/>
    <w:rsid w:val="32204C51"/>
    <w:rsid w:val="325DA128"/>
    <w:rsid w:val="3271F5FF"/>
    <w:rsid w:val="32CFE8FC"/>
    <w:rsid w:val="32F880E1"/>
    <w:rsid w:val="330BBD17"/>
    <w:rsid w:val="33345C55"/>
    <w:rsid w:val="3338BA99"/>
    <w:rsid w:val="3363CCB7"/>
    <w:rsid w:val="337FCEEC"/>
    <w:rsid w:val="338E83C0"/>
    <w:rsid w:val="339F9FD2"/>
    <w:rsid w:val="33B4AD6B"/>
    <w:rsid w:val="33C0FEB3"/>
    <w:rsid w:val="33CCAF2E"/>
    <w:rsid w:val="34398CF0"/>
    <w:rsid w:val="348B81C4"/>
    <w:rsid w:val="34FA652B"/>
    <w:rsid w:val="3502E37A"/>
    <w:rsid w:val="3507C192"/>
    <w:rsid w:val="3519D717"/>
    <w:rsid w:val="353E4464"/>
    <w:rsid w:val="35999002"/>
    <w:rsid w:val="35AE541C"/>
    <w:rsid w:val="363BEEE7"/>
    <w:rsid w:val="365777C7"/>
    <w:rsid w:val="3678AD88"/>
    <w:rsid w:val="36913E6D"/>
    <w:rsid w:val="36A5A867"/>
    <w:rsid w:val="36FBE7DA"/>
    <w:rsid w:val="378AFBAE"/>
    <w:rsid w:val="37BF25D6"/>
    <w:rsid w:val="37E0BD85"/>
    <w:rsid w:val="37EBF315"/>
    <w:rsid w:val="37EC8A8D"/>
    <w:rsid w:val="383D6E8D"/>
    <w:rsid w:val="3846510F"/>
    <w:rsid w:val="384B3C60"/>
    <w:rsid w:val="384CDA92"/>
    <w:rsid w:val="3855D7F7"/>
    <w:rsid w:val="386312ED"/>
    <w:rsid w:val="3865661C"/>
    <w:rsid w:val="387EAE80"/>
    <w:rsid w:val="38845AB8"/>
    <w:rsid w:val="38E4CF50"/>
    <w:rsid w:val="3928BE4C"/>
    <w:rsid w:val="392EE96E"/>
    <w:rsid w:val="39630629"/>
    <w:rsid w:val="39C7DE09"/>
    <w:rsid w:val="39D398D9"/>
    <w:rsid w:val="39D6D8A4"/>
    <w:rsid w:val="39F60C57"/>
    <w:rsid w:val="3A155E02"/>
    <w:rsid w:val="3A6B7987"/>
    <w:rsid w:val="3AA8554D"/>
    <w:rsid w:val="3AB6E21D"/>
    <w:rsid w:val="3AD468BE"/>
    <w:rsid w:val="3AEB547B"/>
    <w:rsid w:val="3AFC68CB"/>
    <w:rsid w:val="3B21439A"/>
    <w:rsid w:val="3B28917C"/>
    <w:rsid w:val="3B316B37"/>
    <w:rsid w:val="3B379C22"/>
    <w:rsid w:val="3B48EF57"/>
    <w:rsid w:val="3B7F69F2"/>
    <w:rsid w:val="3BA7AD46"/>
    <w:rsid w:val="3BC31B91"/>
    <w:rsid w:val="3BC63278"/>
    <w:rsid w:val="3BC6A521"/>
    <w:rsid w:val="3BE819F5"/>
    <w:rsid w:val="3BE97F70"/>
    <w:rsid w:val="3C1ED5E0"/>
    <w:rsid w:val="3C4BC212"/>
    <w:rsid w:val="3C68B2B2"/>
    <w:rsid w:val="3CD494FC"/>
    <w:rsid w:val="3CE3B32E"/>
    <w:rsid w:val="3CF87F03"/>
    <w:rsid w:val="3D227F39"/>
    <w:rsid w:val="3D9C8E84"/>
    <w:rsid w:val="3D9CCECE"/>
    <w:rsid w:val="3DB92A22"/>
    <w:rsid w:val="3DBA5B62"/>
    <w:rsid w:val="3DCC213F"/>
    <w:rsid w:val="3DD3F74A"/>
    <w:rsid w:val="3DF96DDA"/>
    <w:rsid w:val="3E03DE7B"/>
    <w:rsid w:val="3E20761D"/>
    <w:rsid w:val="3E5F1418"/>
    <w:rsid w:val="3E8DD979"/>
    <w:rsid w:val="3EBAED26"/>
    <w:rsid w:val="3F0755CE"/>
    <w:rsid w:val="3F1BD2E4"/>
    <w:rsid w:val="3F2000D1"/>
    <w:rsid w:val="3F32947E"/>
    <w:rsid w:val="3F42CA29"/>
    <w:rsid w:val="3F821284"/>
    <w:rsid w:val="3F874ABF"/>
    <w:rsid w:val="3FD19391"/>
    <w:rsid w:val="40136037"/>
    <w:rsid w:val="40260BB4"/>
    <w:rsid w:val="402CCB78"/>
    <w:rsid w:val="4076CDF1"/>
    <w:rsid w:val="409D68A6"/>
    <w:rsid w:val="40E1F160"/>
    <w:rsid w:val="4121CB11"/>
    <w:rsid w:val="414045CE"/>
    <w:rsid w:val="4151C6A0"/>
    <w:rsid w:val="41867799"/>
    <w:rsid w:val="41A50DD2"/>
    <w:rsid w:val="420BC69A"/>
    <w:rsid w:val="421B9449"/>
    <w:rsid w:val="424748BD"/>
    <w:rsid w:val="42845A27"/>
    <w:rsid w:val="428CC516"/>
    <w:rsid w:val="42ACFA82"/>
    <w:rsid w:val="42CE6FB4"/>
    <w:rsid w:val="42D44A42"/>
    <w:rsid w:val="42E35B83"/>
    <w:rsid w:val="431AA6B7"/>
    <w:rsid w:val="432E4548"/>
    <w:rsid w:val="434A4992"/>
    <w:rsid w:val="4365DBB1"/>
    <w:rsid w:val="436E9285"/>
    <w:rsid w:val="439ED7F8"/>
    <w:rsid w:val="43ABBEC8"/>
    <w:rsid w:val="43C84B64"/>
    <w:rsid w:val="44228DC7"/>
    <w:rsid w:val="44580B0D"/>
    <w:rsid w:val="44625578"/>
    <w:rsid w:val="44B14DC0"/>
    <w:rsid w:val="44B7BF67"/>
    <w:rsid w:val="44FBEC0D"/>
    <w:rsid w:val="4525FA2C"/>
    <w:rsid w:val="454A8325"/>
    <w:rsid w:val="456E11BC"/>
    <w:rsid w:val="457251B5"/>
    <w:rsid w:val="458A92F6"/>
    <w:rsid w:val="45B4B7F3"/>
    <w:rsid w:val="45C3CE60"/>
    <w:rsid w:val="45E75B5C"/>
    <w:rsid w:val="46138E95"/>
    <w:rsid w:val="46383AE5"/>
    <w:rsid w:val="464EDF9B"/>
    <w:rsid w:val="469EC7C0"/>
    <w:rsid w:val="46B806B3"/>
    <w:rsid w:val="46F2DF5F"/>
    <w:rsid w:val="4754DEAB"/>
    <w:rsid w:val="47599FFF"/>
    <w:rsid w:val="478CF762"/>
    <w:rsid w:val="47A666D6"/>
    <w:rsid w:val="47B9BB07"/>
    <w:rsid w:val="480D1B12"/>
    <w:rsid w:val="4853C65B"/>
    <w:rsid w:val="48A6A294"/>
    <w:rsid w:val="48B55B51"/>
    <w:rsid w:val="490633DB"/>
    <w:rsid w:val="490EC878"/>
    <w:rsid w:val="49288E3A"/>
    <w:rsid w:val="4938B6CC"/>
    <w:rsid w:val="49412804"/>
    <w:rsid w:val="49642755"/>
    <w:rsid w:val="49BB3D82"/>
    <w:rsid w:val="4A0A52B0"/>
    <w:rsid w:val="4A1DF38D"/>
    <w:rsid w:val="4A2956BD"/>
    <w:rsid w:val="4A85AFA1"/>
    <w:rsid w:val="4A8628F4"/>
    <w:rsid w:val="4A87AA51"/>
    <w:rsid w:val="4AB80C67"/>
    <w:rsid w:val="4B0E9E71"/>
    <w:rsid w:val="4B186FE8"/>
    <w:rsid w:val="4B5E2C0D"/>
    <w:rsid w:val="4B6F6BF7"/>
    <w:rsid w:val="4B947CEE"/>
    <w:rsid w:val="4BBE36B2"/>
    <w:rsid w:val="4BC3A08E"/>
    <w:rsid w:val="4BC4457A"/>
    <w:rsid w:val="4BDAD63E"/>
    <w:rsid w:val="4BDCC8EB"/>
    <w:rsid w:val="4BDEEE29"/>
    <w:rsid w:val="4C58DD04"/>
    <w:rsid w:val="4C9194CB"/>
    <w:rsid w:val="4C91EB6D"/>
    <w:rsid w:val="4CAF4076"/>
    <w:rsid w:val="4CEE383A"/>
    <w:rsid w:val="4D4E0838"/>
    <w:rsid w:val="4D926D45"/>
    <w:rsid w:val="4DC362F2"/>
    <w:rsid w:val="4DD5C890"/>
    <w:rsid w:val="4E2F8F0F"/>
    <w:rsid w:val="4EADCB4F"/>
    <w:rsid w:val="4EEBB1F4"/>
    <w:rsid w:val="4EF5BEE1"/>
    <w:rsid w:val="4F0AA99A"/>
    <w:rsid w:val="4F25FE96"/>
    <w:rsid w:val="4F44E86F"/>
    <w:rsid w:val="4F69DA43"/>
    <w:rsid w:val="4F92CD00"/>
    <w:rsid w:val="4F9D914E"/>
    <w:rsid w:val="4FB2029C"/>
    <w:rsid w:val="4FBB8223"/>
    <w:rsid w:val="50020CE2"/>
    <w:rsid w:val="5095AA49"/>
    <w:rsid w:val="50FA1B29"/>
    <w:rsid w:val="513132B7"/>
    <w:rsid w:val="51426379"/>
    <w:rsid w:val="515DC528"/>
    <w:rsid w:val="51802988"/>
    <w:rsid w:val="518AF973"/>
    <w:rsid w:val="51A3BEA0"/>
    <w:rsid w:val="51D22818"/>
    <w:rsid w:val="51E521B6"/>
    <w:rsid w:val="522B5F1F"/>
    <w:rsid w:val="52675611"/>
    <w:rsid w:val="52760E5C"/>
    <w:rsid w:val="52B1733E"/>
    <w:rsid w:val="52D55F93"/>
    <w:rsid w:val="52DAB516"/>
    <w:rsid w:val="52E6BE79"/>
    <w:rsid w:val="5326A505"/>
    <w:rsid w:val="535090BD"/>
    <w:rsid w:val="537BBDC6"/>
    <w:rsid w:val="5387836E"/>
    <w:rsid w:val="53A36FC9"/>
    <w:rsid w:val="54206FC7"/>
    <w:rsid w:val="549565EA"/>
    <w:rsid w:val="54A08108"/>
    <w:rsid w:val="5530F0A5"/>
    <w:rsid w:val="553FD7A2"/>
    <w:rsid w:val="5555B027"/>
    <w:rsid w:val="56017DA4"/>
    <w:rsid w:val="5605158D"/>
    <w:rsid w:val="56678715"/>
    <w:rsid w:val="569778A2"/>
    <w:rsid w:val="56A525AF"/>
    <w:rsid w:val="56C1C5DE"/>
    <w:rsid w:val="56E6D6D5"/>
    <w:rsid w:val="574F7CFA"/>
    <w:rsid w:val="576303B9"/>
    <w:rsid w:val="57847B5A"/>
    <w:rsid w:val="578F20B0"/>
    <w:rsid w:val="583B1F98"/>
    <w:rsid w:val="585D9249"/>
    <w:rsid w:val="58896B76"/>
    <w:rsid w:val="58B67107"/>
    <w:rsid w:val="58C4C180"/>
    <w:rsid w:val="59294FCB"/>
    <w:rsid w:val="59558B8F"/>
    <w:rsid w:val="59866418"/>
    <w:rsid w:val="59980608"/>
    <w:rsid w:val="59CB81F9"/>
    <w:rsid w:val="59DDB2C0"/>
    <w:rsid w:val="59EC49EB"/>
    <w:rsid w:val="59FAB7E0"/>
    <w:rsid w:val="5A338EDE"/>
    <w:rsid w:val="5A3FCF4F"/>
    <w:rsid w:val="5A401CFE"/>
    <w:rsid w:val="5A607796"/>
    <w:rsid w:val="5A9A3704"/>
    <w:rsid w:val="5A9A9943"/>
    <w:rsid w:val="5A9B242B"/>
    <w:rsid w:val="5AA053B8"/>
    <w:rsid w:val="5AAC7E5D"/>
    <w:rsid w:val="5ACD6379"/>
    <w:rsid w:val="5AF74D10"/>
    <w:rsid w:val="5B2B1F95"/>
    <w:rsid w:val="5B379E30"/>
    <w:rsid w:val="5B57619E"/>
    <w:rsid w:val="5B9EF099"/>
    <w:rsid w:val="5BEBD66E"/>
    <w:rsid w:val="5BEC27BB"/>
    <w:rsid w:val="5C0693FA"/>
    <w:rsid w:val="5C16CAB0"/>
    <w:rsid w:val="5C2EDD19"/>
    <w:rsid w:val="5C4C433A"/>
    <w:rsid w:val="5C6BCDE6"/>
    <w:rsid w:val="5C74488E"/>
    <w:rsid w:val="5CE4A968"/>
    <w:rsid w:val="5CECDF61"/>
    <w:rsid w:val="5CF92476"/>
    <w:rsid w:val="5D063DC9"/>
    <w:rsid w:val="5D0FF27A"/>
    <w:rsid w:val="5D2EAA7D"/>
    <w:rsid w:val="5D31FEED"/>
    <w:rsid w:val="5D4FAEE4"/>
    <w:rsid w:val="5D596AB6"/>
    <w:rsid w:val="5D76A6AE"/>
    <w:rsid w:val="5D9E8B97"/>
    <w:rsid w:val="5DA08F18"/>
    <w:rsid w:val="5DEC5A1D"/>
    <w:rsid w:val="5DEDBD1E"/>
    <w:rsid w:val="5E07F8EB"/>
    <w:rsid w:val="5E5CD296"/>
    <w:rsid w:val="5F7D8C7F"/>
    <w:rsid w:val="5F8E26DA"/>
    <w:rsid w:val="5FC592E4"/>
    <w:rsid w:val="5FC7AB50"/>
    <w:rsid w:val="5FCA0C1A"/>
    <w:rsid w:val="5FED3C04"/>
    <w:rsid w:val="600C55E5"/>
    <w:rsid w:val="6023E8AB"/>
    <w:rsid w:val="60B1F37D"/>
    <w:rsid w:val="60C2A9CD"/>
    <w:rsid w:val="60C99839"/>
    <w:rsid w:val="60E4CAA2"/>
    <w:rsid w:val="61578245"/>
    <w:rsid w:val="61ABEB2D"/>
    <w:rsid w:val="61ADAF47"/>
    <w:rsid w:val="61B1C823"/>
    <w:rsid w:val="61B76A37"/>
    <w:rsid w:val="61C19D1F"/>
    <w:rsid w:val="625319C6"/>
    <w:rsid w:val="626816F6"/>
    <w:rsid w:val="629266A5"/>
    <w:rsid w:val="6294E030"/>
    <w:rsid w:val="62BEAE5E"/>
    <w:rsid w:val="62DF45EC"/>
    <w:rsid w:val="62E8E6E7"/>
    <w:rsid w:val="62FC452A"/>
    <w:rsid w:val="6330C799"/>
    <w:rsid w:val="63365537"/>
    <w:rsid w:val="6360C500"/>
    <w:rsid w:val="6361B190"/>
    <w:rsid w:val="6389AB16"/>
    <w:rsid w:val="639A6D36"/>
    <w:rsid w:val="63E93BE4"/>
    <w:rsid w:val="640EB2C4"/>
    <w:rsid w:val="640ED8E5"/>
    <w:rsid w:val="642C403F"/>
    <w:rsid w:val="642E76DE"/>
    <w:rsid w:val="643A8549"/>
    <w:rsid w:val="643DBAE1"/>
    <w:rsid w:val="646A0A83"/>
    <w:rsid w:val="6482E1FC"/>
    <w:rsid w:val="64B1234D"/>
    <w:rsid w:val="64B2863B"/>
    <w:rsid w:val="6501CE5F"/>
    <w:rsid w:val="652196C9"/>
    <w:rsid w:val="6532376E"/>
    <w:rsid w:val="653D9C6C"/>
    <w:rsid w:val="6544597C"/>
    <w:rsid w:val="6577D9A6"/>
    <w:rsid w:val="6586D857"/>
    <w:rsid w:val="6589788E"/>
    <w:rsid w:val="65CB6FBA"/>
    <w:rsid w:val="65E801E8"/>
    <w:rsid w:val="661EB25D"/>
    <w:rsid w:val="66824F21"/>
    <w:rsid w:val="66D4219E"/>
    <w:rsid w:val="67569797"/>
    <w:rsid w:val="676E7A83"/>
    <w:rsid w:val="677BBCD7"/>
    <w:rsid w:val="67EF1803"/>
    <w:rsid w:val="680B9B4D"/>
    <w:rsid w:val="682E7F4C"/>
    <w:rsid w:val="6878F656"/>
    <w:rsid w:val="688C0897"/>
    <w:rsid w:val="690455FC"/>
    <w:rsid w:val="691C3B0C"/>
    <w:rsid w:val="691FA2AA"/>
    <w:rsid w:val="69205EDE"/>
    <w:rsid w:val="69359B7D"/>
    <w:rsid w:val="697B84F2"/>
    <w:rsid w:val="69B441D2"/>
    <w:rsid w:val="69C16B7F"/>
    <w:rsid w:val="69DA3B3B"/>
    <w:rsid w:val="69E33687"/>
    <w:rsid w:val="69EB1FB6"/>
    <w:rsid w:val="69F9150E"/>
    <w:rsid w:val="6A924585"/>
    <w:rsid w:val="6AAE464E"/>
    <w:rsid w:val="6ABBE1CA"/>
    <w:rsid w:val="6AE47802"/>
    <w:rsid w:val="6B21A663"/>
    <w:rsid w:val="6B34D975"/>
    <w:rsid w:val="6B453CFC"/>
    <w:rsid w:val="6B596F9D"/>
    <w:rsid w:val="6BF09AD7"/>
    <w:rsid w:val="6C6ABAA8"/>
    <w:rsid w:val="6C8D803A"/>
    <w:rsid w:val="6C8FC26A"/>
    <w:rsid w:val="6CD92F24"/>
    <w:rsid w:val="6D05CA81"/>
    <w:rsid w:val="6D617D88"/>
    <w:rsid w:val="6D85974D"/>
    <w:rsid w:val="6D9821C2"/>
    <w:rsid w:val="6DB84E23"/>
    <w:rsid w:val="6E162B8B"/>
    <w:rsid w:val="6E355314"/>
    <w:rsid w:val="6E6A2A8A"/>
    <w:rsid w:val="6E83E11D"/>
    <w:rsid w:val="6EB6EAF0"/>
    <w:rsid w:val="6EFD3146"/>
    <w:rsid w:val="6F53FA84"/>
    <w:rsid w:val="6F7E4F41"/>
    <w:rsid w:val="6FA400CC"/>
    <w:rsid w:val="6FAF2ECD"/>
    <w:rsid w:val="6FBA5CFD"/>
    <w:rsid w:val="70214B1B"/>
    <w:rsid w:val="7029EB68"/>
    <w:rsid w:val="70647C41"/>
    <w:rsid w:val="70C048F7"/>
    <w:rsid w:val="70C9245B"/>
    <w:rsid w:val="710F0ECA"/>
    <w:rsid w:val="71203562"/>
    <w:rsid w:val="712A0EA8"/>
    <w:rsid w:val="7131F8A8"/>
    <w:rsid w:val="71448A7B"/>
    <w:rsid w:val="7152C7C2"/>
    <w:rsid w:val="7179FA44"/>
    <w:rsid w:val="718BA473"/>
    <w:rsid w:val="7199515E"/>
    <w:rsid w:val="71C78231"/>
    <w:rsid w:val="71E765C4"/>
    <w:rsid w:val="71FAA45F"/>
    <w:rsid w:val="721BD1E4"/>
    <w:rsid w:val="725158CE"/>
    <w:rsid w:val="7251700F"/>
    <w:rsid w:val="7284199A"/>
    <w:rsid w:val="72B5CF9C"/>
    <w:rsid w:val="736946DF"/>
    <w:rsid w:val="738EDCFD"/>
    <w:rsid w:val="73945BA9"/>
    <w:rsid w:val="739997A2"/>
    <w:rsid w:val="73CF11EF"/>
    <w:rsid w:val="73DCED38"/>
    <w:rsid w:val="73DE17F5"/>
    <w:rsid w:val="742AD72E"/>
    <w:rsid w:val="74303CAF"/>
    <w:rsid w:val="747AB978"/>
    <w:rsid w:val="7483AD51"/>
    <w:rsid w:val="74A6A3CE"/>
    <w:rsid w:val="74C4F62F"/>
    <w:rsid w:val="74ED8103"/>
    <w:rsid w:val="753EEBA0"/>
    <w:rsid w:val="758E24E6"/>
    <w:rsid w:val="759715EB"/>
    <w:rsid w:val="759A07C4"/>
    <w:rsid w:val="7652437C"/>
    <w:rsid w:val="76753760"/>
    <w:rsid w:val="76807806"/>
    <w:rsid w:val="768CFDFC"/>
    <w:rsid w:val="76AC9714"/>
    <w:rsid w:val="76D1C855"/>
    <w:rsid w:val="773ECF07"/>
    <w:rsid w:val="775CA1B6"/>
    <w:rsid w:val="777105CF"/>
    <w:rsid w:val="77802317"/>
    <w:rsid w:val="77AF80A6"/>
    <w:rsid w:val="77F2970F"/>
    <w:rsid w:val="77FF14AF"/>
    <w:rsid w:val="7819A044"/>
    <w:rsid w:val="78267E4C"/>
    <w:rsid w:val="782A58C1"/>
    <w:rsid w:val="783594C5"/>
    <w:rsid w:val="78429F89"/>
    <w:rsid w:val="784D9885"/>
    <w:rsid w:val="78AAFD53"/>
    <w:rsid w:val="78C9892A"/>
    <w:rsid w:val="78E7F82E"/>
    <w:rsid w:val="79484191"/>
    <w:rsid w:val="794C20FA"/>
    <w:rsid w:val="79591FE7"/>
    <w:rsid w:val="79881CD8"/>
    <w:rsid w:val="79A359F8"/>
    <w:rsid w:val="79D32402"/>
    <w:rsid w:val="79E45699"/>
    <w:rsid w:val="7A52F7A1"/>
    <w:rsid w:val="7A5BB317"/>
    <w:rsid w:val="7A6BDEAB"/>
    <w:rsid w:val="7A7CB4DB"/>
    <w:rsid w:val="7AA2EFD1"/>
    <w:rsid w:val="7AD2076D"/>
    <w:rsid w:val="7B0EA95A"/>
    <w:rsid w:val="7B1172A4"/>
    <w:rsid w:val="7B1D0E39"/>
    <w:rsid w:val="7B3E2B44"/>
    <w:rsid w:val="7B46BA53"/>
    <w:rsid w:val="7C466F49"/>
    <w:rsid w:val="7C6FBE28"/>
    <w:rsid w:val="7CE89408"/>
    <w:rsid w:val="7D14DD2C"/>
    <w:rsid w:val="7D391087"/>
    <w:rsid w:val="7D5B7908"/>
    <w:rsid w:val="7D87AACA"/>
    <w:rsid w:val="7D8D3831"/>
    <w:rsid w:val="7DAF6414"/>
    <w:rsid w:val="7DB7B5FF"/>
    <w:rsid w:val="7DC1D1CE"/>
    <w:rsid w:val="7DE08341"/>
    <w:rsid w:val="7E34F52F"/>
    <w:rsid w:val="7E375700"/>
    <w:rsid w:val="7E68C292"/>
    <w:rsid w:val="7E68FBD0"/>
    <w:rsid w:val="7EA0E12A"/>
    <w:rsid w:val="7EAE5766"/>
    <w:rsid w:val="7ED66487"/>
    <w:rsid w:val="7EE2012D"/>
    <w:rsid w:val="7F239039"/>
    <w:rsid w:val="7F2E2A0F"/>
    <w:rsid w:val="7F69ED09"/>
    <w:rsid w:val="7F8F4A57"/>
    <w:rsid w:val="7FB3C1FD"/>
    <w:rsid w:val="7FBF2518"/>
    <w:rsid w:val="7FD8F63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FDA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5D3"/>
    <w:pPr>
      <w:spacing w:after="200" w:line="276" w:lineRule="auto"/>
    </w:pPr>
    <w:rPr>
      <w:rFonts w:asciiTheme="minorHAnsi" w:hAnsiTheme="minorHAnsi" w:cstheme="minorBidi"/>
      <w:szCs w:val="22"/>
    </w:rPr>
  </w:style>
  <w:style w:type="paragraph" w:styleId="Heading1">
    <w:name w:val="heading 1"/>
    <w:basedOn w:val="Normal"/>
    <w:next w:val="Normal"/>
    <w:link w:val="Heading1Char"/>
    <w:uiPriority w:val="9"/>
    <w:qFormat/>
    <w:rsid w:val="00D4484A"/>
    <w:pPr>
      <w:spacing w:before="60" w:after="120" w:line="240" w:lineRule="auto"/>
      <w:outlineLvl w:val="0"/>
    </w:pPr>
    <w:rPr>
      <w:rFonts w:ascii="Calibri" w:eastAsia="Calibri" w:hAnsi="Calibri" w:cs="Calibri"/>
      <w:b/>
      <w:bCs/>
    </w:rPr>
  </w:style>
  <w:style w:type="paragraph" w:styleId="Heading2">
    <w:name w:val="heading 2"/>
    <w:basedOn w:val="Normal"/>
    <w:next w:val="Normal"/>
    <w:link w:val="Heading2Char"/>
    <w:uiPriority w:val="9"/>
    <w:unhideWhenUsed/>
    <w:qFormat/>
    <w:rsid w:val="00D4484A"/>
    <w:pPr>
      <w:spacing w:before="60" w:after="120" w:line="240" w:lineRule="auto"/>
      <w:outlineLvl w:val="1"/>
    </w:pPr>
    <w:rPr>
      <w:rFonts w:ascii="Calibri" w:eastAsia="Calibri" w:hAnsi="Calibri" w:cs="Calibri"/>
      <w:b/>
      <w:szCs w:val="24"/>
    </w:rPr>
  </w:style>
  <w:style w:type="paragraph" w:styleId="Heading6">
    <w:name w:val="heading 6"/>
    <w:basedOn w:val="Normal"/>
    <w:next w:val="Normal"/>
    <w:link w:val="Heading6Char"/>
    <w:uiPriority w:val="9"/>
    <w:semiHidden/>
    <w:unhideWhenUsed/>
    <w:qFormat/>
    <w:rsid w:val="003146BC"/>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3146BC"/>
    <w:rPr>
      <w:rFonts w:asciiTheme="majorHAnsi" w:eastAsiaTheme="majorEastAsia" w:hAnsiTheme="majorHAnsi" w:cstheme="majorBidi"/>
      <w:color w:val="1F4D78" w:themeColor="accent1" w:themeShade="7F"/>
      <w:sz w:val="22"/>
      <w:szCs w:val="22"/>
    </w:r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3146BC"/>
    <w:pPr>
      <w:ind w:left="720"/>
      <w:contextualSpacing/>
    </w:pPr>
  </w:style>
  <w:style w:type="paragraph" w:customStyle="1" w:styleId="Default">
    <w:name w:val="Default"/>
    <w:rsid w:val="001A141A"/>
    <w:pPr>
      <w:autoSpaceDE w:val="0"/>
      <w:autoSpaceDN w:val="0"/>
      <w:adjustRightInd w:val="0"/>
      <w:spacing w:after="0" w:line="240" w:lineRule="auto"/>
    </w:pPr>
    <w:rPr>
      <w:color w:val="000000"/>
    </w:rPr>
  </w:style>
  <w:style w:type="character" w:styleId="Hyperlink">
    <w:name w:val="Hyperlink"/>
    <w:basedOn w:val="DefaultParagraphFont"/>
    <w:uiPriority w:val="99"/>
    <w:unhideWhenUsed/>
    <w:rsid w:val="00B62745"/>
    <w:rPr>
      <w:color w:val="0563C1" w:themeColor="hyperlink"/>
      <w:u w:val="single"/>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locked/>
    <w:rsid w:val="00B62745"/>
    <w:rPr>
      <w:rFonts w:asciiTheme="minorHAnsi" w:hAnsiTheme="minorHAnsi" w:cstheme="minorBidi"/>
      <w:sz w:val="22"/>
      <w:szCs w:val="22"/>
    </w:rPr>
  </w:style>
  <w:style w:type="table" w:styleId="TableGrid">
    <w:name w:val="Table Grid"/>
    <w:basedOn w:val="TableNormal"/>
    <w:uiPriority w:val="59"/>
    <w:rsid w:val="00AB2B9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rsid w:val="00D805C6"/>
    <w:pPr>
      <w:spacing w:line="240" w:lineRule="auto"/>
    </w:pPr>
    <w:rPr>
      <w:sz w:val="20"/>
      <w:szCs w:val="20"/>
    </w:rPr>
  </w:style>
  <w:style w:type="character" w:customStyle="1" w:styleId="CommentTextChar">
    <w:name w:val="Comment Text Char"/>
    <w:basedOn w:val="DefaultParagraphFont"/>
    <w:link w:val="CommentText"/>
    <w:uiPriority w:val="99"/>
    <w:rsid w:val="00D805C6"/>
    <w:rPr>
      <w:rFonts w:asciiTheme="minorHAnsi" w:hAnsiTheme="minorHAnsi" w:cstheme="minorBidi"/>
      <w:sz w:val="20"/>
      <w:szCs w:val="20"/>
    </w:rPr>
  </w:style>
  <w:style w:type="character" w:styleId="CommentReference">
    <w:name w:val="annotation reference"/>
    <w:basedOn w:val="DefaultParagraphFont"/>
    <w:uiPriority w:val="99"/>
    <w:semiHidden/>
    <w:unhideWhenUsed/>
    <w:rsid w:val="00D805C6"/>
    <w:rPr>
      <w:sz w:val="16"/>
      <w:szCs w:val="16"/>
    </w:rPr>
  </w:style>
  <w:style w:type="paragraph" w:styleId="CommentSubject">
    <w:name w:val="annotation subject"/>
    <w:basedOn w:val="CommentText"/>
    <w:next w:val="CommentText"/>
    <w:link w:val="CommentSubjectChar"/>
    <w:uiPriority w:val="99"/>
    <w:semiHidden/>
    <w:unhideWhenUsed/>
    <w:rsid w:val="007D4ED5"/>
    <w:rPr>
      <w:b/>
      <w:bCs/>
    </w:rPr>
  </w:style>
  <w:style w:type="character" w:customStyle="1" w:styleId="CommentSubjectChar">
    <w:name w:val="Comment Subject Char"/>
    <w:basedOn w:val="CommentTextChar"/>
    <w:link w:val="CommentSubject"/>
    <w:uiPriority w:val="99"/>
    <w:semiHidden/>
    <w:rsid w:val="007D4ED5"/>
    <w:rPr>
      <w:rFonts w:asciiTheme="minorHAnsi" w:hAnsiTheme="minorHAnsi" w:cstheme="minorBidi"/>
      <w:b/>
      <w:bCs/>
      <w:sz w:val="20"/>
      <w:szCs w:val="20"/>
    </w:rPr>
  </w:style>
  <w:style w:type="paragraph" w:styleId="Revision">
    <w:name w:val="Revision"/>
    <w:hidden/>
    <w:uiPriority w:val="99"/>
    <w:semiHidden/>
    <w:rsid w:val="005C1E5D"/>
    <w:pPr>
      <w:spacing w:after="0" w:line="240" w:lineRule="auto"/>
    </w:pPr>
    <w:rPr>
      <w:rFonts w:asciiTheme="minorHAnsi" w:hAnsiTheme="minorHAnsi" w:cstheme="minorBidi"/>
      <w:sz w:val="22"/>
      <w:szCs w:val="22"/>
    </w:rPr>
  </w:style>
  <w:style w:type="character" w:styleId="UnresolvedMention">
    <w:name w:val="Unresolved Mention"/>
    <w:basedOn w:val="DefaultParagraphFont"/>
    <w:uiPriority w:val="99"/>
    <w:semiHidden/>
    <w:unhideWhenUsed/>
    <w:rsid w:val="00D854A9"/>
    <w:rPr>
      <w:color w:val="605E5C"/>
      <w:shd w:val="clear" w:color="auto" w:fill="E1DFDD"/>
    </w:rPr>
  </w:style>
  <w:style w:type="character" w:customStyle="1" w:styleId="normaltextrun">
    <w:name w:val="normaltextrun"/>
    <w:basedOn w:val="DefaultParagraphFont"/>
    <w:rsid w:val="002F214D"/>
  </w:style>
  <w:style w:type="character" w:styleId="Mention">
    <w:name w:val="Mention"/>
    <w:basedOn w:val="DefaultParagraphFont"/>
    <w:uiPriority w:val="99"/>
    <w:unhideWhenUsed/>
    <w:rsid w:val="00CE7E32"/>
    <w:rPr>
      <w:color w:val="2B579A"/>
      <w:shd w:val="clear" w:color="auto" w:fill="E1DFDD"/>
    </w:rPr>
  </w:style>
  <w:style w:type="paragraph" w:customStyle="1" w:styleId="paragraph">
    <w:name w:val="paragraph"/>
    <w:basedOn w:val="Normal"/>
    <w:rsid w:val="00B83347"/>
    <w:pPr>
      <w:spacing w:before="100" w:beforeAutospacing="1" w:after="100" w:afterAutospacing="1" w:line="240" w:lineRule="auto"/>
    </w:pPr>
    <w:rPr>
      <w:rFonts w:ascii="Times New Roman" w:hAnsi="Times New Roman" w:cs="Times New Roman"/>
      <w:szCs w:val="24"/>
      <w:lang w:eastAsia="en-AU"/>
    </w:rPr>
  </w:style>
  <w:style w:type="paragraph" w:styleId="Header">
    <w:name w:val="header"/>
    <w:basedOn w:val="Normal"/>
    <w:link w:val="HeaderChar"/>
    <w:uiPriority w:val="99"/>
    <w:unhideWhenUsed/>
    <w:rsid w:val="005F5D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5D6A"/>
    <w:rPr>
      <w:rFonts w:asciiTheme="minorHAnsi" w:hAnsiTheme="minorHAnsi" w:cstheme="minorBidi"/>
      <w:szCs w:val="22"/>
    </w:rPr>
  </w:style>
  <w:style w:type="paragraph" w:styleId="Footer">
    <w:name w:val="footer"/>
    <w:basedOn w:val="Normal"/>
    <w:link w:val="FooterChar"/>
    <w:uiPriority w:val="99"/>
    <w:unhideWhenUsed/>
    <w:rsid w:val="005F5D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5D6A"/>
    <w:rPr>
      <w:rFonts w:asciiTheme="minorHAnsi" w:hAnsiTheme="minorHAnsi" w:cstheme="minorBidi"/>
      <w:szCs w:val="22"/>
    </w:rPr>
  </w:style>
  <w:style w:type="character" w:customStyle="1" w:styleId="findhit">
    <w:name w:val="findhit"/>
    <w:basedOn w:val="DefaultParagraphFont"/>
    <w:uiPriority w:val="1"/>
    <w:rsid w:val="000C5D6F"/>
  </w:style>
  <w:style w:type="paragraph" w:styleId="NormalWeb">
    <w:name w:val="Normal (Web)"/>
    <w:basedOn w:val="Normal"/>
    <w:uiPriority w:val="99"/>
    <w:semiHidden/>
    <w:unhideWhenUsed/>
    <w:rsid w:val="001A7DC4"/>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pf1">
    <w:name w:val="pf1"/>
    <w:basedOn w:val="Normal"/>
    <w:rsid w:val="001A7DC4"/>
    <w:pPr>
      <w:spacing w:before="100" w:beforeAutospacing="1" w:after="100" w:afterAutospacing="1" w:line="240" w:lineRule="auto"/>
      <w:ind w:left="720"/>
    </w:pPr>
    <w:rPr>
      <w:rFonts w:ascii="Times New Roman" w:eastAsia="Times New Roman" w:hAnsi="Times New Roman" w:cs="Times New Roman"/>
      <w:szCs w:val="24"/>
      <w:lang w:eastAsia="en-AU"/>
    </w:rPr>
  </w:style>
  <w:style w:type="paragraph" w:customStyle="1" w:styleId="pf0">
    <w:name w:val="pf0"/>
    <w:basedOn w:val="Normal"/>
    <w:rsid w:val="001A7DC4"/>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cf01">
    <w:name w:val="cf01"/>
    <w:basedOn w:val="DefaultParagraphFont"/>
    <w:rsid w:val="001A7DC4"/>
    <w:rPr>
      <w:rFonts w:ascii="Segoe UI" w:hAnsi="Segoe UI" w:cs="Segoe UI" w:hint="default"/>
      <w:sz w:val="18"/>
      <w:szCs w:val="18"/>
    </w:rPr>
  </w:style>
  <w:style w:type="character" w:customStyle="1" w:styleId="Heading1Char">
    <w:name w:val="Heading 1 Char"/>
    <w:basedOn w:val="DefaultParagraphFont"/>
    <w:link w:val="Heading1"/>
    <w:uiPriority w:val="9"/>
    <w:rsid w:val="00D4484A"/>
    <w:rPr>
      <w:rFonts w:ascii="Calibri" w:eastAsia="Calibri" w:hAnsi="Calibri" w:cs="Calibri"/>
      <w:b/>
      <w:bCs/>
      <w:szCs w:val="22"/>
    </w:rPr>
  </w:style>
  <w:style w:type="character" w:customStyle="1" w:styleId="Heading2Char">
    <w:name w:val="Heading 2 Char"/>
    <w:basedOn w:val="DefaultParagraphFont"/>
    <w:link w:val="Heading2"/>
    <w:uiPriority w:val="9"/>
    <w:rsid w:val="00D4484A"/>
    <w:rPr>
      <w:rFonts w:ascii="Calibri" w:eastAsia="Calibri" w:hAnsi="Calibri" w:cs="Calibri"/>
      <w:b/>
    </w:rPr>
  </w:style>
  <w:style w:type="paragraph" w:styleId="Title">
    <w:name w:val="Title"/>
    <w:basedOn w:val="Normal"/>
    <w:next w:val="Normal"/>
    <w:link w:val="TitleChar"/>
    <w:uiPriority w:val="10"/>
    <w:qFormat/>
    <w:rsid w:val="00752D52"/>
    <w:pPr>
      <w:spacing w:before="600" w:line="240" w:lineRule="auto"/>
      <w:jc w:val="center"/>
    </w:pPr>
    <w:rPr>
      <w:sz w:val="36"/>
      <w:szCs w:val="36"/>
    </w:rPr>
  </w:style>
  <w:style w:type="character" w:customStyle="1" w:styleId="TitleChar">
    <w:name w:val="Title Char"/>
    <w:basedOn w:val="DefaultParagraphFont"/>
    <w:link w:val="Title"/>
    <w:uiPriority w:val="10"/>
    <w:rsid w:val="00752D52"/>
    <w:rPr>
      <w:rFonts w:asciiTheme="minorHAnsi" w:hAnsiTheme="minorHAnsi" w:cstheme="minorBidi"/>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586246">
      <w:bodyDiv w:val="1"/>
      <w:marLeft w:val="0"/>
      <w:marRight w:val="0"/>
      <w:marTop w:val="0"/>
      <w:marBottom w:val="0"/>
      <w:divBdr>
        <w:top w:val="none" w:sz="0" w:space="0" w:color="auto"/>
        <w:left w:val="none" w:sz="0" w:space="0" w:color="auto"/>
        <w:bottom w:val="none" w:sz="0" w:space="0" w:color="auto"/>
        <w:right w:val="none" w:sz="0" w:space="0" w:color="auto"/>
      </w:divBdr>
    </w:div>
    <w:div w:id="188225273">
      <w:bodyDiv w:val="1"/>
      <w:marLeft w:val="0"/>
      <w:marRight w:val="0"/>
      <w:marTop w:val="0"/>
      <w:marBottom w:val="0"/>
      <w:divBdr>
        <w:top w:val="none" w:sz="0" w:space="0" w:color="auto"/>
        <w:left w:val="none" w:sz="0" w:space="0" w:color="auto"/>
        <w:bottom w:val="none" w:sz="0" w:space="0" w:color="auto"/>
        <w:right w:val="none" w:sz="0" w:space="0" w:color="auto"/>
      </w:divBdr>
    </w:div>
    <w:div w:id="230969479">
      <w:bodyDiv w:val="1"/>
      <w:marLeft w:val="0"/>
      <w:marRight w:val="0"/>
      <w:marTop w:val="0"/>
      <w:marBottom w:val="0"/>
      <w:divBdr>
        <w:top w:val="none" w:sz="0" w:space="0" w:color="auto"/>
        <w:left w:val="none" w:sz="0" w:space="0" w:color="auto"/>
        <w:bottom w:val="none" w:sz="0" w:space="0" w:color="auto"/>
        <w:right w:val="none" w:sz="0" w:space="0" w:color="auto"/>
      </w:divBdr>
    </w:div>
    <w:div w:id="475996298">
      <w:bodyDiv w:val="1"/>
      <w:marLeft w:val="0"/>
      <w:marRight w:val="0"/>
      <w:marTop w:val="0"/>
      <w:marBottom w:val="0"/>
      <w:divBdr>
        <w:top w:val="none" w:sz="0" w:space="0" w:color="auto"/>
        <w:left w:val="none" w:sz="0" w:space="0" w:color="auto"/>
        <w:bottom w:val="none" w:sz="0" w:space="0" w:color="auto"/>
        <w:right w:val="none" w:sz="0" w:space="0" w:color="auto"/>
      </w:divBdr>
    </w:div>
    <w:div w:id="552547046">
      <w:bodyDiv w:val="1"/>
      <w:marLeft w:val="0"/>
      <w:marRight w:val="0"/>
      <w:marTop w:val="0"/>
      <w:marBottom w:val="0"/>
      <w:divBdr>
        <w:top w:val="none" w:sz="0" w:space="0" w:color="auto"/>
        <w:left w:val="none" w:sz="0" w:space="0" w:color="auto"/>
        <w:bottom w:val="none" w:sz="0" w:space="0" w:color="auto"/>
        <w:right w:val="none" w:sz="0" w:space="0" w:color="auto"/>
      </w:divBdr>
    </w:div>
    <w:div w:id="620772272">
      <w:bodyDiv w:val="1"/>
      <w:marLeft w:val="0"/>
      <w:marRight w:val="0"/>
      <w:marTop w:val="0"/>
      <w:marBottom w:val="0"/>
      <w:divBdr>
        <w:top w:val="none" w:sz="0" w:space="0" w:color="auto"/>
        <w:left w:val="none" w:sz="0" w:space="0" w:color="auto"/>
        <w:bottom w:val="none" w:sz="0" w:space="0" w:color="auto"/>
        <w:right w:val="none" w:sz="0" w:space="0" w:color="auto"/>
      </w:divBdr>
    </w:div>
    <w:div w:id="769275233">
      <w:bodyDiv w:val="1"/>
      <w:marLeft w:val="0"/>
      <w:marRight w:val="0"/>
      <w:marTop w:val="0"/>
      <w:marBottom w:val="0"/>
      <w:divBdr>
        <w:top w:val="none" w:sz="0" w:space="0" w:color="auto"/>
        <w:left w:val="none" w:sz="0" w:space="0" w:color="auto"/>
        <w:bottom w:val="none" w:sz="0" w:space="0" w:color="auto"/>
        <w:right w:val="none" w:sz="0" w:space="0" w:color="auto"/>
      </w:divBdr>
    </w:div>
    <w:div w:id="811404042">
      <w:bodyDiv w:val="1"/>
      <w:marLeft w:val="0"/>
      <w:marRight w:val="0"/>
      <w:marTop w:val="0"/>
      <w:marBottom w:val="0"/>
      <w:divBdr>
        <w:top w:val="none" w:sz="0" w:space="0" w:color="auto"/>
        <w:left w:val="none" w:sz="0" w:space="0" w:color="auto"/>
        <w:bottom w:val="none" w:sz="0" w:space="0" w:color="auto"/>
        <w:right w:val="none" w:sz="0" w:space="0" w:color="auto"/>
      </w:divBdr>
    </w:div>
    <w:div w:id="860514262">
      <w:bodyDiv w:val="1"/>
      <w:marLeft w:val="0"/>
      <w:marRight w:val="0"/>
      <w:marTop w:val="0"/>
      <w:marBottom w:val="0"/>
      <w:divBdr>
        <w:top w:val="none" w:sz="0" w:space="0" w:color="auto"/>
        <w:left w:val="none" w:sz="0" w:space="0" w:color="auto"/>
        <w:bottom w:val="none" w:sz="0" w:space="0" w:color="auto"/>
        <w:right w:val="none" w:sz="0" w:space="0" w:color="auto"/>
      </w:divBdr>
    </w:div>
    <w:div w:id="1152066702">
      <w:bodyDiv w:val="1"/>
      <w:marLeft w:val="0"/>
      <w:marRight w:val="0"/>
      <w:marTop w:val="0"/>
      <w:marBottom w:val="0"/>
      <w:divBdr>
        <w:top w:val="none" w:sz="0" w:space="0" w:color="auto"/>
        <w:left w:val="none" w:sz="0" w:space="0" w:color="auto"/>
        <w:bottom w:val="none" w:sz="0" w:space="0" w:color="auto"/>
        <w:right w:val="none" w:sz="0" w:space="0" w:color="auto"/>
      </w:divBdr>
    </w:div>
    <w:div w:id="1307196629">
      <w:bodyDiv w:val="1"/>
      <w:marLeft w:val="0"/>
      <w:marRight w:val="0"/>
      <w:marTop w:val="0"/>
      <w:marBottom w:val="0"/>
      <w:divBdr>
        <w:top w:val="none" w:sz="0" w:space="0" w:color="auto"/>
        <w:left w:val="none" w:sz="0" w:space="0" w:color="auto"/>
        <w:bottom w:val="none" w:sz="0" w:space="0" w:color="auto"/>
        <w:right w:val="none" w:sz="0" w:space="0" w:color="auto"/>
      </w:divBdr>
    </w:div>
    <w:div w:id="1408453475">
      <w:bodyDiv w:val="1"/>
      <w:marLeft w:val="0"/>
      <w:marRight w:val="0"/>
      <w:marTop w:val="0"/>
      <w:marBottom w:val="0"/>
      <w:divBdr>
        <w:top w:val="none" w:sz="0" w:space="0" w:color="auto"/>
        <w:left w:val="none" w:sz="0" w:space="0" w:color="auto"/>
        <w:bottom w:val="none" w:sz="0" w:space="0" w:color="auto"/>
        <w:right w:val="none" w:sz="0" w:space="0" w:color="auto"/>
      </w:divBdr>
    </w:div>
    <w:div w:id="1510218102">
      <w:bodyDiv w:val="1"/>
      <w:marLeft w:val="0"/>
      <w:marRight w:val="0"/>
      <w:marTop w:val="0"/>
      <w:marBottom w:val="0"/>
      <w:divBdr>
        <w:top w:val="none" w:sz="0" w:space="0" w:color="auto"/>
        <w:left w:val="none" w:sz="0" w:space="0" w:color="auto"/>
        <w:bottom w:val="none" w:sz="0" w:space="0" w:color="auto"/>
        <w:right w:val="none" w:sz="0" w:space="0" w:color="auto"/>
      </w:divBdr>
    </w:div>
    <w:div w:id="1667053203">
      <w:bodyDiv w:val="1"/>
      <w:marLeft w:val="0"/>
      <w:marRight w:val="0"/>
      <w:marTop w:val="0"/>
      <w:marBottom w:val="0"/>
      <w:divBdr>
        <w:top w:val="none" w:sz="0" w:space="0" w:color="auto"/>
        <w:left w:val="none" w:sz="0" w:space="0" w:color="auto"/>
        <w:bottom w:val="none" w:sz="0" w:space="0" w:color="auto"/>
        <w:right w:val="none" w:sz="0" w:space="0" w:color="auto"/>
      </w:divBdr>
    </w:div>
    <w:div w:id="1694645170">
      <w:bodyDiv w:val="1"/>
      <w:marLeft w:val="0"/>
      <w:marRight w:val="0"/>
      <w:marTop w:val="0"/>
      <w:marBottom w:val="0"/>
      <w:divBdr>
        <w:top w:val="none" w:sz="0" w:space="0" w:color="auto"/>
        <w:left w:val="none" w:sz="0" w:space="0" w:color="auto"/>
        <w:bottom w:val="none" w:sz="0" w:space="0" w:color="auto"/>
        <w:right w:val="none" w:sz="0" w:space="0" w:color="auto"/>
      </w:divBdr>
    </w:div>
    <w:div w:id="1924727079">
      <w:bodyDiv w:val="1"/>
      <w:marLeft w:val="0"/>
      <w:marRight w:val="0"/>
      <w:marTop w:val="0"/>
      <w:marBottom w:val="0"/>
      <w:divBdr>
        <w:top w:val="none" w:sz="0" w:space="0" w:color="auto"/>
        <w:left w:val="none" w:sz="0" w:space="0" w:color="auto"/>
        <w:bottom w:val="none" w:sz="0" w:space="0" w:color="auto"/>
        <w:right w:val="none" w:sz="0" w:space="0" w:color="auto"/>
      </w:divBdr>
    </w:div>
    <w:div w:id="203063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F202C-95C7-4275-A242-C8204B398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7466</Words>
  <Characters>41216</Characters>
  <Application>Microsoft Office Word</Application>
  <DocSecurity>0</DocSecurity>
  <Lines>824</Lines>
  <Paragraphs>624</Paragraphs>
  <ScaleCrop>false</ScaleCrop>
  <HeadingPairs>
    <vt:vector size="2" baseType="variant">
      <vt:variant>
        <vt:lpstr>Title</vt:lpstr>
      </vt:variant>
      <vt:variant>
        <vt:i4>1</vt:i4>
      </vt:variant>
    </vt:vector>
  </HeadingPairs>
  <TitlesOfParts>
    <vt:vector size="1" baseType="lpstr">
      <vt:lpstr>Australian Government response to the Senate Select Committee into the Provision of and Access to Dental Services in Australia report</vt:lpstr>
    </vt:vector>
  </TitlesOfParts>
  <Company/>
  <LinksUpToDate>false</LinksUpToDate>
  <CharactersWithSpaces>48058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Senate Select Committee into the Provision of and Access to Dental Services in Australia report</dc:title>
  <dc:subject>Dental health</dc:subject>
  <dc:creator>Australian Government Department of Health and Aged Care</dc:creator>
  <cp:keywords>Dental health</cp:keywords>
  <dc:description/>
  <cp:lastModifiedBy/>
  <cp:revision>1</cp:revision>
  <dcterms:created xsi:type="dcterms:W3CDTF">2024-07-18T06:37:00Z</dcterms:created>
  <dcterms:modified xsi:type="dcterms:W3CDTF">2024-07-18T06:45:00Z</dcterms:modified>
</cp:coreProperties>
</file>