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5D28" w14:textId="7758969B" w:rsidR="008376E2" w:rsidRPr="008376E2" w:rsidRDefault="00D154DA" w:rsidP="008E1817">
      <w:pPr>
        <w:pStyle w:val="Heading1"/>
        <w:sectPr w:rsidR="008376E2" w:rsidRPr="008376E2" w:rsidSect="000226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>
        <w:t xml:space="preserve">Workforce Incentive Program (WIP) – Doctor Stream </w:t>
      </w:r>
      <w:r w:rsidR="00C95750">
        <w:t>o</w:t>
      </w:r>
      <w:r w:rsidR="000438E6">
        <w:t>verview</w:t>
      </w:r>
    </w:p>
    <w:p w14:paraId="7F2EA6A2" w14:textId="2B005B35" w:rsidR="008E7658" w:rsidRPr="00A165D4" w:rsidRDefault="002367A2" w:rsidP="005475F6">
      <w:pPr>
        <w:pStyle w:val="IntroPara"/>
      </w:pPr>
      <w:r w:rsidRPr="008E1817">
        <w:t>The Workforce Incentive Program (WIP)</w:t>
      </w:r>
      <w:r w:rsidR="008E7658" w:rsidRPr="008E1817">
        <w:t xml:space="preserve"> </w:t>
      </w:r>
      <w:r w:rsidRPr="008E1817">
        <w:t xml:space="preserve">Doctor Stream </w:t>
      </w:r>
      <w:r w:rsidR="00947959" w:rsidRPr="008E1817">
        <w:t>giv</w:t>
      </w:r>
      <w:r w:rsidR="00947959">
        <w:t>es</w:t>
      </w:r>
      <w:r w:rsidR="00947959" w:rsidRPr="008E1817">
        <w:t xml:space="preserve"> doctors financial incentives to practise in regional, </w:t>
      </w:r>
      <w:proofErr w:type="gramStart"/>
      <w:r w:rsidR="00947959" w:rsidRPr="008E1817">
        <w:t>rural</w:t>
      </w:r>
      <w:proofErr w:type="gramEnd"/>
      <w:r w:rsidR="00947959" w:rsidRPr="008E1817">
        <w:t xml:space="preserve"> and remote </w:t>
      </w:r>
      <w:r w:rsidR="00947959">
        <w:t>areas. The program</w:t>
      </w:r>
      <w:r w:rsidR="00947959" w:rsidRPr="008E1817">
        <w:t xml:space="preserve"> </w:t>
      </w:r>
      <w:r w:rsidRPr="008E1817">
        <w:t xml:space="preserve">aims to improve access to </w:t>
      </w:r>
      <w:r w:rsidR="00C95750">
        <w:t>doctor</w:t>
      </w:r>
      <w:r w:rsidRPr="008E1817">
        <w:t xml:space="preserve">s in </w:t>
      </w:r>
      <w:r w:rsidR="00947959">
        <w:t>these</w:t>
      </w:r>
      <w:r w:rsidRPr="008E1817">
        <w:t xml:space="preserve"> areas and promote careers in rural medicine. </w:t>
      </w:r>
      <w:r w:rsidR="008E7658" w:rsidRPr="00A165D4">
        <w:t>The Doctor Stream replaced the General Practice Rural Incentives Program (</w:t>
      </w:r>
      <w:r w:rsidR="008E7658" w:rsidRPr="005475F6">
        <w:t>GPRIP</w:t>
      </w:r>
      <w:r w:rsidR="008E7658" w:rsidRPr="00A165D4">
        <w:t>) in early 2020.</w:t>
      </w:r>
    </w:p>
    <w:p w14:paraId="2CDB052D" w14:textId="6687587C" w:rsidR="00D154DA" w:rsidRPr="008E1817" w:rsidRDefault="00D154DA" w:rsidP="008E1817">
      <w:pPr>
        <w:pStyle w:val="Heading2"/>
      </w:pPr>
      <w:r w:rsidRPr="008E1817">
        <w:t xml:space="preserve">Eligibility </w:t>
      </w:r>
      <w:r w:rsidR="008E1817">
        <w:t>r</w:t>
      </w:r>
      <w:r w:rsidRPr="008E1817">
        <w:t>equirements</w:t>
      </w:r>
    </w:p>
    <w:p w14:paraId="696248AA" w14:textId="062CB4C0" w:rsidR="002367A2" w:rsidRPr="005475F6" w:rsidRDefault="002367A2" w:rsidP="005475F6">
      <w:r w:rsidRPr="005475F6">
        <w:t>To be eligible for the Doctor Stream, participants must:</w:t>
      </w:r>
    </w:p>
    <w:p w14:paraId="7A8AA03C" w14:textId="30BB495F" w:rsidR="00D154DA" w:rsidRPr="00D154DA" w:rsidRDefault="002367A2" w:rsidP="005475F6">
      <w:pPr>
        <w:pStyle w:val="ListNumber"/>
      </w:pPr>
      <w:r>
        <w:t>p</w:t>
      </w:r>
      <w:r w:rsidR="00D154DA" w:rsidRPr="00D154DA">
        <w:t>rovide a minimum amount of eligible primary care services in MM 3</w:t>
      </w:r>
      <w:r w:rsidR="008633FD">
        <w:t xml:space="preserve"> to </w:t>
      </w:r>
      <w:r w:rsidR="00D154DA" w:rsidRPr="00D154DA">
        <w:t>7 locations and/or undertake eligible GP training under an approved training pathway</w:t>
      </w:r>
    </w:p>
    <w:p w14:paraId="33320F04" w14:textId="77777777" w:rsidR="00D154DA" w:rsidRPr="00D154DA" w:rsidRDefault="002367A2" w:rsidP="005475F6">
      <w:pPr>
        <w:pStyle w:val="ListNumber"/>
      </w:pPr>
      <w:r>
        <w:t>m</w:t>
      </w:r>
      <w:r w:rsidR="00D154DA" w:rsidRPr="00D154DA">
        <w:t>eet the required number of active quarters for payment</w:t>
      </w:r>
    </w:p>
    <w:p w14:paraId="2276D19D" w14:textId="49B588BE" w:rsidR="00D154DA" w:rsidRPr="00D154DA" w:rsidRDefault="002367A2" w:rsidP="005475F6">
      <w:pPr>
        <w:pStyle w:val="ListNumber"/>
      </w:pPr>
      <w:r>
        <w:t>h</w:t>
      </w:r>
      <w:r w:rsidR="00D154DA" w:rsidRPr="00D154DA">
        <w:t>ave an eligible current Medicare provider number</w:t>
      </w:r>
    </w:p>
    <w:p w14:paraId="4354409D" w14:textId="77777777" w:rsidR="00D154DA" w:rsidRPr="00D154DA" w:rsidRDefault="002367A2" w:rsidP="005475F6">
      <w:pPr>
        <w:pStyle w:val="ListNumber"/>
      </w:pPr>
      <w:r>
        <w:t>h</w:t>
      </w:r>
      <w:r w:rsidR="00D154DA" w:rsidRPr="00D154DA">
        <w:t>ave provided current bank account details to Services Australia specifically for the Doctor Stream.</w:t>
      </w:r>
    </w:p>
    <w:p w14:paraId="123F92F1" w14:textId="5B842584" w:rsidR="002367A2" w:rsidRPr="005475F6" w:rsidRDefault="00D154DA" w:rsidP="005475F6">
      <w:r w:rsidRPr="005475F6">
        <w:t>All participants should ensure that</w:t>
      </w:r>
      <w:r w:rsidR="0015310F" w:rsidRPr="005475F6">
        <w:t xml:space="preserve"> their preferred mailing</w:t>
      </w:r>
      <w:r w:rsidRPr="005475F6">
        <w:t xml:space="preserve"> address and bank details provided to Services Australia are up to </w:t>
      </w:r>
      <w:proofErr w:type="gramStart"/>
      <w:r w:rsidRPr="005475F6">
        <w:t>date at all times</w:t>
      </w:r>
      <w:proofErr w:type="gramEnd"/>
      <w:r w:rsidRPr="005475F6">
        <w:t>.</w:t>
      </w:r>
    </w:p>
    <w:p w14:paraId="1A481A43" w14:textId="46264BA7" w:rsidR="002367A2" w:rsidRPr="005475F6" w:rsidRDefault="002367A2" w:rsidP="005475F6">
      <w:r w:rsidRPr="005475F6">
        <w:t xml:space="preserve">See the </w:t>
      </w:r>
      <w:hyperlink r:id="rId15" w:history="1">
        <w:r w:rsidRPr="005475F6">
          <w:rPr>
            <w:rStyle w:val="Hyperlink"/>
            <w:rFonts w:eastAsiaTheme="majorEastAsia"/>
          </w:rPr>
          <w:t>WIP guidelines</w:t>
        </w:r>
      </w:hyperlink>
      <w:r w:rsidRPr="005475F6">
        <w:t xml:space="preserve"> for full details of eligibility requirements.</w:t>
      </w:r>
    </w:p>
    <w:p w14:paraId="5B244B17" w14:textId="319EA1CA" w:rsidR="00D154DA" w:rsidRPr="00B23780" w:rsidRDefault="008E1817" w:rsidP="008E1817">
      <w:pPr>
        <w:pStyle w:val="Heading2"/>
      </w:pPr>
      <w:r w:rsidRPr="00B23780">
        <w:t xml:space="preserve">Maximum </w:t>
      </w:r>
      <w:r>
        <w:t xml:space="preserve">annual </w:t>
      </w:r>
      <w:r w:rsidRPr="00B23780">
        <w:t>incentive payment amounts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Maximum incentive payment amounts"/>
        <w:tblDescription w:val="This table provides the maximum annual incentive payments amounts by MM location and Year Level. The incentives range from $4500 to $12000 in MM 3, $8000 to $18000 in MM 4, $12000 to $23000 in MM 5, $16000 to $35000 in MM 6 and $25000 to $60000 in MM 7."/>
      </w:tblPr>
      <w:tblGrid>
        <w:gridCol w:w="1837"/>
        <w:gridCol w:w="1260"/>
        <w:gridCol w:w="1452"/>
        <w:gridCol w:w="1452"/>
        <w:gridCol w:w="1452"/>
        <w:gridCol w:w="1563"/>
      </w:tblGrid>
      <w:tr w:rsidR="00D154DA" w:rsidRPr="005475F6" w14:paraId="1A79384E" w14:textId="77777777" w:rsidTr="00247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1A618787" w14:textId="26EDBD35" w:rsidR="00D154DA" w:rsidRPr="005475F6" w:rsidRDefault="00D154DA" w:rsidP="005475F6">
            <w:r w:rsidRPr="005475F6">
              <w:t>Location</w:t>
            </w:r>
            <w:r w:rsidR="00334C0C">
              <w:t xml:space="preserve"> </w:t>
            </w:r>
            <w:r w:rsidRPr="005475F6">
              <w:t>(MM)</w:t>
            </w:r>
          </w:p>
        </w:tc>
        <w:tc>
          <w:tcPr>
            <w:tcW w:w="699" w:type="pct"/>
          </w:tcPr>
          <w:p w14:paraId="2A98F52D" w14:textId="77777777" w:rsidR="00D154DA" w:rsidRPr="005475F6" w:rsidRDefault="00D154DA" w:rsidP="00547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Year Level 1</w:t>
            </w:r>
          </w:p>
        </w:tc>
        <w:tc>
          <w:tcPr>
            <w:tcW w:w="805" w:type="pct"/>
          </w:tcPr>
          <w:p w14:paraId="49027C7D" w14:textId="77777777" w:rsidR="00D154DA" w:rsidRPr="005475F6" w:rsidRDefault="00D154DA" w:rsidP="00547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Year Level 2</w:t>
            </w:r>
          </w:p>
        </w:tc>
        <w:tc>
          <w:tcPr>
            <w:tcW w:w="805" w:type="pct"/>
          </w:tcPr>
          <w:p w14:paraId="7F6EA9A3" w14:textId="77777777" w:rsidR="00D154DA" w:rsidRPr="005475F6" w:rsidRDefault="00D154DA" w:rsidP="00547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Year Level 3</w:t>
            </w:r>
          </w:p>
        </w:tc>
        <w:tc>
          <w:tcPr>
            <w:tcW w:w="805" w:type="pct"/>
          </w:tcPr>
          <w:p w14:paraId="536ED770" w14:textId="77777777" w:rsidR="00D154DA" w:rsidRPr="005475F6" w:rsidRDefault="00D154DA" w:rsidP="00547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Year Level 4</w:t>
            </w:r>
          </w:p>
        </w:tc>
        <w:tc>
          <w:tcPr>
            <w:tcW w:w="868" w:type="pct"/>
          </w:tcPr>
          <w:p w14:paraId="5E4BBC07" w14:textId="77777777" w:rsidR="00D154DA" w:rsidRPr="005475F6" w:rsidRDefault="00D154DA" w:rsidP="00547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Year Level 5+</w:t>
            </w:r>
          </w:p>
        </w:tc>
      </w:tr>
      <w:tr w:rsidR="00D154DA" w:rsidRPr="005475F6" w14:paraId="7943EA5E" w14:textId="77777777" w:rsidTr="0024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3771C10F" w14:textId="77777777" w:rsidR="00D154DA" w:rsidRPr="005475F6" w:rsidRDefault="00D154DA" w:rsidP="005475F6">
            <w:r w:rsidRPr="005475F6">
              <w:t>MM 3</w:t>
            </w:r>
          </w:p>
        </w:tc>
        <w:tc>
          <w:tcPr>
            <w:tcW w:w="699" w:type="pct"/>
          </w:tcPr>
          <w:p w14:paraId="2208232F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$0</w:t>
            </w:r>
          </w:p>
        </w:tc>
        <w:tc>
          <w:tcPr>
            <w:tcW w:w="805" w:type="pct"/>
          </w:tcPr>
          <w:p w14:paraId="2D3A8789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$4,500</w:t>
            </w:r>
          </w:p>
        </w:tc>
        <w:tc>
          <w:tcPr>
            <w:tcW w:w="805" w:type="pct"/>
          </w:tcPr>
          <w:p w14:paraId="396E54DB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$7,500</w:t>
            </w:r>
          </w:p>
        </w:tc>
        <w:tc>
          <w:tcPr>
            <w:tcW w:w="805" w:type="pct"/>
          </w:tcPr>
          <w:p w14:paraId="58BA3757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$7,500</w:t>
            </w:r>
          </w:p>
        </w:tc>
        <w:tc>
          <w:tcPr>
            <w:tcW w:w="868" w:type="pct"/>
          </w:tcPr>
          <w:p w14:paraId="7AE9E004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$12,000</w:t>
            </w:r>
          </w:p>
        </w:tc>
      </w:tr>
      <w:tr w:rsidR="00D154DA" w:rsidRPr="005475F6" w14:paraId="758BB6EF" w14:textId="77777777" w:rsidTr="0024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3D830E29" w14:textId="77777777" w:rsidR="00D154DA" w:rsidRPr="005475F6" w:rsidRDefault="00D154DA" w:rsidP="005475F6">
            <w:r w:rsidRPr="005475F6">
              <w:t>MM 4</w:t>
            </w:r>
          </w:p>
        </w:tc>
        <w:tc>
          <w:tcPr>
            <w:tcW w:w="699" w:type="pct"/>
          </w:tcPr>
          <w:p w14:paraId="67C31807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$0</w:t>
            </w:r>
          </w:p>
        </w:tc>
        <w:tc>
          <w:tcPr>
            <w:tcW w:w="805" w:type="pct"/>
          </w:tcPr>
          <w:p w14:paraId="427DBC47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$8,000</w:t>
            </w:r>
          </w:p>
        </w:tc>
        <w:tc>
          <w:tcPr>
            <w:tcW w:w="805" w:type="pct"/>
          </w:tcPr>
          <w:p w14:paraId="6CACD3AC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$13,000</w:t>
            </w:r>
          </w:p>
        </w:tc>
        <w:tc>
          <w:tcPr>
            <w:tcW w:w="805" w:type="pct"/>
          </w:tcPr>
          <w:p w14:paraId="3D414C32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$13,000</w:t>
            </w:r>
          </w:p>
        </w:tc>
        <w:tc>
          <w:tcPr>
            <w:tcW w:w="868" w:type="pct"/>
          </w:tcPr>
          <w:p w14:paraId="0D14E46C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$18,000</w:t>
            </w:r>
          </w:p>
        </w:tc>
      </w:tr>
      <w:tr w:rsidR="00D154DA" w:rsidRPr="005475F6" w14:paraId="34A407E7" w14:textId="77777777" w:rsidTr="0024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0BF5D568" w14:textId="77777777" w:rsidR="00D154DA" w:rsidRPr="005475F6" w:rsidRDefault="00D154DA" w:rsidP="005475F6">
            <w:r w:rsidRPr="005475F6">
              <w:t>MM 5</w:t>
            </w:r>
          </w:p>
        </w:tc>
        <w:tc>
          <w:tcPr>
            <w:tcW w:w="699" w:type="pct"/>
          </w:tcPr>
          <w:p w14:paraId="71089D84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$0</w:t>
            </w:r>
          </w:p>
        </w:tc>
        <w:tc>
          <w:tcPr>
            <w:tcW w:w="805" w:type="pct"/>
          </w:tcPr>
          <w:p w14:paraId="728FCDA2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$12,000</w:t>
            </w:r>
          </w:p>
        </w:tc>
        <w:tc>
          <w:tcPr>
            <w:tcW w:w="805" w:type="pct"/>
          </w:tcPr>
          <w:p w14:paraId="11D0A349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$17,000</w:t>
            </w:r>
          </w:p>
        </w:tc>
        <w:tc>
          <w:tcPr>
            <w:tcW w:w="805" w:type="pct"/>
          </w:tcPr>
          <w:p w14:paraId="0C14DC7F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$17,000</w:t>
            </w:r>
          </w:p>
        </w:tc>
        <w:tc>
          <w:tcPr>
            <w:tcW w:w="868" w:type="pct"/>
          </w:tcPr>
          <w:p w14:paraId="175BB7BA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$23,000</w:t>
            </w:r>
          </w:p>
        </w:tc>
      </w:tr>
      <w:tr w:rsidR="00D154DA" w:rsidRPr="005475F6" w14:paraId="32B5A4C6" w14:textId="77777777" w:rsidTr="0024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13CFFEA4" w14:textId="77777777" w:rsidR="00D154DA" w:rsidRPr="005475F6" w:rsidRDefault="00D154DA" w:rsidP="005475F6">
            <w:r w:rsidRPr="005475F6">
              <w:t>MM 6</w:t>
            </w:r>
          </w:p>
        </w:tc>
        <w:tc>
          <w:tcPr>
            <w:tcW w:w="699" w:type="pct"/>
          </w:tcPr>
          <w:p w14:paraId="2D688543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$16,000</w:t>
            </w:r>
          </w:p>
        </w:tc>
        <w:tc>
          <w:tcPr>
            <w:tcW w:w="805" w:type="pct"/>
          </w:tcPr>
          <w:p w14:paraId="1DCD3136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$16,000</w:t>
            </w:r>
          </w:p>
        </w:tc>
        <w:tc>
          <w:tcPr>
            <w:tcW w:w="805" w:type="pct"/>
          </w:tcPr>
          <w:p w14:paraId="63E59E3C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$25,000</w:t>
            </w:r>
          </w:p>
        </w:tc>
        <w:tc>
          <w:tcPr>
            <w:tcW w:w="805" w:type="pct"/>
          </w:tcPr>
          <w:p w14:paraId="7AF457C8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$25,000</w:t>
            </w:r>
          </w:p>
        </w:tc>
        <w:tc>
          <w:tcPr>
            <w:tcW w:w="868" w:type="pct"/>
          </w:tcPr>
          <w:p w14:paraId="0AD89AC1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$35,000</w:t>
            </w:r>
          </w:p>
        </w:tc>
      </w:tr>
      <w:tr w:rsidR="00D154DA" w:rsidRPr="005475F6" w14:paraId="1B907B7B" w14:textId="77777777" w:rsidTr="0024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7D7EFE6B" w14:textId="77777777" w:rsidR="00D154DA" w:rsidRPr="005475F6" w:rsidRDefault="00D154DA" w:rsidP="005475F6">
            <w:r w:rsidRPr="005475F6">
              <w:t>MM 7</w:t>
            </w:r>
          </w:p>
        </w:tc>
        <w:tc>
          <w:tcPr>
            <w:tcW w:w="699" w:type="pct"/>
          </w:tcPr>
          <w:p w14:paraId="0BF33B72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$25,000</w:t>
            </w:r>
          </w:p>
        </w:tc>
        <w:tc>
          <w:tcPr>
            <w:tcW w:w="805" w:type="pct"/>
          </w:tcPr>
          <w:p w14:paraId="0D3C3F89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$25,000</w:t>
            </w:r>
          </w:p>
        </w:tc>
        <w:tc>
          <w:tcPr>
            <w:tcW w:w="805" w:type="pct"/>
          </w:tcPr>
          <w:p w14:paraId="5B5E2A4F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$35,000</w:t>
            </w:r>
          </w:p>
        </w:tc>
        <w:tc>
          <w:tcPr>
            <w:tcW w:w="805" w:type="pct"/>
          </w:tcPr>
          <w:p w14:paraId="4689F3BD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$35,000</w:t>
            </w:r>
          </w:p>
        </w:tc>
        <w:tc>
          <w:tcPr>
            <w:tcW w:w="868" w:type="pct"/>
          </w:tcPr>
          <w:p w14:paraId="355867BD" w14:textId="77777777" w:rsidR="00D154DA" w:rsidRPr="005475F6" w:rsidRDefault="00D154DA" w:rsidP="0054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F6">
              <w:t>$60,000</w:t>
            </w:r>
          </w:p>
        </w:tc>
      </w:tr>
    </w:tbl>
    <w:p w14:paraId="3FDD6945" w14:textId="05739A23" w:rsidR="00E73EBF" w:rsidRPr="005475F6" w:rsidRDefault="00E73EBF" w:rsidP="005475F6">
      <w:r>
        <w:br w:type="page"/>
      </w:r>
    </w:p>
    <w:p w14:paraId="10DDCB8B" w14:textId="19B443C8" w:rsidR="00D154DA" w:rsidRPr="005475F6" w:rsidRDefault="00D154DA" w:rsidP="005475F6">
      <w:pPr>
        <w:pStyle w:val="Heading2"/>
      </w:pPr>
      <w:r w:rsidRPr="005475F6">
        <w:lastRenderedPageBreak/>
        <w:t>Active quarters</w:t>
      </w:r>
    </w:p>
    <w:p w14:paraId="27D64D45" w14:textId="77777777" w:rsidR="00D154DA" w:rsidRPr="005475F6" w:rsidRDefault="00D154DA" w:rsidP="005475F6">
      <w:r w:rsidRPr="005475F6">
        <w:t>Number of active quarters required for payment:</w:t>
      </w:r>
    </w:p>
    <w:p w14:paraId="27CC9EE2" w14:textId="53FAD086" w:rsidR="007F47BE" w:rsidRDefault="007F47BE" w:rsidP="005475F6">
      <w:pPr>
        <w:pStyle w:val="ListBullet"/>
      </w:pPr>
      <w:r w:rsidRPr="005475F6">
        <w:rPr>
          <w:rStyle w:val="Strong"/>
        </w:rPr>
        <w:t>N</w:t>
      </w:r>
      <w:r w:rsidR="00D154DA" w:rsidRPr="005475F6">
        <w:rPr>
          <w:rStyle w:val="Strong"/>
        </w:rPr>
        <w:t xml:space="preserve">ew </w:t>
      </w:r>
      <w:r w:rsidR="00D154DA" w:rsidRPr="00D154DA">
        <w:t xml:space="preserve">participants in </w:t>
      </w:r>
      <w:r w:rsidR="00D154DA" w:rsidRPr="005475F6">
        <w:rPr>
          <w:rStyle w:val="Strong"/>
        </w:rPr>
        <w:t>MM 3</w:t>
      </w:r>
      <w:r w:rsidR="008E1817" w:rsidRPr="005475F6">
        <w:rPr>
          <w:rStyle w:val="Strong"/>
        </w:rPr>
        <w:t xml:space="preserve"> to </w:t>
      </w:r>
      <w:r w:rsidR="00D154DA" w:rsidRPr="005475F6">
        <w:rPr>
          <w:rStyle w:val="Strong"/>
        </w:rPr>
        <w:t xml:space="preserve">5 </w:t>
      </w:r>
      <w:r w:rsidR="00D154DA" w:rsidRPr="00D154DA">
        <w:t xml:space="preserve">locations – 8 active quarters </w:t>
      </w:r>
      <w:r w:rsidR="0015310F">
        <w:t>within</w:t>
      </w:r>
      <w:r w:rsidR="0015310F" w:rsidRPr="00D154DA">
        <w:t xml:space="preserve"> </w:t>
      </w:r>
      <w:r w:rsidR="00D154DA" w:rsidRPr="00D154DA">
        <w:t>a 16</w:t>
      </w:r>
      <w:r w:rsidR="00C95750">
        <w:t>-</w:t>
      </w:r>
      <w:r w:rsidR="00D154DA" w:rsidRPr="00D154DA">
        <w:t>quarter period</w:t>
      </w:r>
      <w:r>
        <w:t>.</w:t>
      </w:r>
    </w:p>
    <w:p w14:paraId="4F59DA31" w14:textId="5BAD5723" w:rsidR="00D154DA" w:rsidRPr="007F47BE" w:rsidRDefault="007F47BE" w:rsidP="005475F6">
      <w:pPr>
        <w:pStyle w:val="ListBullet"/>
      </w:pPr>
      <w:r w:rsidRPr="005475F6">
        <w:rPr>
          <w:rStyle w:val="Strong"/>
        </w:rPr>
        <w:t>N</w:t>
      </w:r>
      <w:r w:rsidR="00D154DA" w:rsidRPr="005475F6">
        <w:rPr>
          <w:rStyle w:val="Strong"/>
        </w:rPr>
        <w:t xml:space="preserve">ew </w:t>
      </w:r>
      <w:r w:rsidR="00D154DA" w:rsidRPr="007F47BE">
        <w:t xml:space="preserve">participants in </w:t>
      </w:r>
      <w:r w:rsidR="00D154DA" w:rsidRPr="005475F6">
        <w:rPr>
          <w:rStyle w:val="Strong"/>
        </w:rPr>
        <w:t>MM 6</w:t>
      </w:r>
      <w:r w:rsidR="00C95750" w:rsidRPr="005475F6">
        <w:rPr>
          <w:rStyle w:val="Strong"/>
        </w:rPr>
        <w:t xml:space="preserve"> to </w:t>
      </w:r>
      <w:r w:rsidR="00D154DA" w:rsidRPr="005475F6">
        <w:rPr>
          <w:rStyle w:val="Strong"/>
        </w:rPr>
        <w:t xml:space="preserve">7 </w:t>
      </w:r>
      <w:r w:rsidR="00D154DA" w:rsidRPr="007F47BE">
        <w:t xml:space="preserve">locations – 4 active quarters </w:t>
      </w:r>
      <w:r w:rsidR="00923D68" w:rsidRPr="007F47BE">
        <w:t xml:space="preserve">within </w:t>
      </w:r>
      <w:r w:rsidR="00D154DA" w:rsidRPr="007F47BE">
        <w:t>an 8</w:t>
      </w:r>
      <w:r w:rsidR="00C95750" w:rsidRPr="007F47BE">
        <w:t>-</w:t>
      </w:r>
      <w:r w:rsidR="00AB3751" w:rsidRPr="007F47BE">
        <w:t>quarter period</w:t>
      </w:r>
      <w:r>
        <w:t>.</w:t>
      </w:r>
    </w:p>
    <w:p w14:paraId="4514777F" w14:textId="1D210E9A" w:rsidR="00D154DA" w:rsidRPr="00D154DA" w:rsidRDefault="007F47BE" w:rsidP="005475F6">
      <w:pPr>
        <w:pStyle w:val="ListBullet"/>
      </w:pPr>
      <w:r w:rsidRPr="005475F6">
        <w:rPr>
          <w:rStyle w:val="Strong"/>
        </w:rPr>
        <w:t>C</w:t>
      </w:r>
      <w:r w:rsidR="00D154DA" w:rsidRPr="005475F6">
        <w:rPr>
          <w:rStyle w:val="Strong"/>
        </w:rPr>
        <w:t xml:space="preserve">ontinuing </w:t>
      </w:r>
      <w:r w:rsidR="00D154DA" w:rsidRPr="00D154DA">
        <w:t xml:space="preserve">participants in </w:t>
      </w:r>
      <w:r w:rsidR="00D154DA" w:rsidRPr="005475F6">
        <w:rPr>
          <w:rStyle w:val="Strong"/>
        </w:rPr>
        <w:t>MM 3</w:t>
      </w:r>
      <w:r w:rsidR="00C95750" w:rsidRPr="005475F6">
        <w:rPr>
          <w:rStyle w:val="Strong"/>
        </w:rPr>
        <w:t xml:space="preserve"> to </w:t>
      </w:r>
      <w:r w:rsidR="00D154DA" w:rsidRPr="005475F6">
        <w:rPr>
          <w:rStyle w:val="Strong"/>
        </w:rPr>
        <w:t xml:space="preserve">7 </w:t>
      </w:r>
      <w:r w:rsidR="00D154DA" w:rsidRPr="00D154DA">
        <w:t xml:space="preserve">locations – 4 active quarters </w:t>
      </w:r>
      <w:r w:rsidR="00923D68">
        <w:t>within</w:t>
      </w:r>
      <w:r w:rsidR="00923D68" w:rsidRPr="00D154DA">
        <w:t xml:space="preserve"> </w:t>
      </w:r>
      <w:r w:rsidR="00D154DA" w:rsidRPr="00D154DA">
        <w:t>an 8</w:t>
      </w:r>
      <w:r w:rsidR="00C95750">
        <w:t>-</w:t>
      </w:r>
      <w:r w:rsidR="00D154DA" w:rsidRPr="00D154DA">
        <w:t>quarter period.</w:t>
      </w:r>
    </w:p>
    <w:p w14:paraId="3D3919FB" w14:textId="3AEFE166" w:rsidR="00D154DA" w:rsidRPr="005475F6" w:rsidRDefault="00D154DA" w:rsidP="005475F6">
      <w:r w:rsidRPr="005475F6">
        <w:t xml:space="preserve">An active quarter is a payment quarter in which a </w:t>
      </w:r>
      <w:r w:rsidR="00C95750" w:rsidRPr="005475F6">
        <w:t>doctor</w:t>
      </w:r>
      <w:r w:rsidRPr="005475F6">
        <w:t xml:space="preserve"> has met the minimum activity threshold</w:t>
      </w:r>
      <w:r w:rsidR="00AB3751" w:rsidRPr="005475F6">
        <w:t xml:space="preserve"> of either</w:t>
      </w:r>
      <w:r w:rsidRPr="005475F6">
        <w:t>:</w:t>
      </w:r>
    </w:p>
    <w:p w14:paraId="52A679AA" w14:textId="3DDA9DD5" w:rsidR="00D154DA" w:rsidRPr="005475F6" w:rsidRDefault="00D154DA" w:rsidP="005475F6">
      <w:pPr>
        <w:pStyle w:val="ListBullet"/>
      </w:pPr>
      <w:r w:rsidRPr="00D154DA">
        <w:t xml:space="preserve">$6,000 of </w:t>
      </w:r>
      <w:r w:rsidRPr="005475F6">
        <w:t xml:space="preserve">eligible primary care services billed under the Medicare Benefits Schedule (MBS) for the Central Payment System (refer to section 3 of the </w:t>
      </w:r>
      <w:r w:rsidR="00C95750" w:rsidRPr="005475F6">
        <w:t>g</w:t>
      </w:r>
      <w:r w:rsidRPr="005475F6">
        <w:t>uidelines</w:t>
      </w:r>
      <w:r w:rsidR="00AB3751" w:rsidRPr="005475F6">
        <w:t>)</w:t>
      </w:r>
    </w:p>
    <w:p w14:paraId="57965389" w14:textId="53F02E4C" w:rsidR="00D154DA" w:rsidRPr="00D154DA" w:rsidRDefault="00D154DA" w:rsidP="005475F6">
      <w:pPr>
        <w:pStyle w:val="ListBullet"/>
      </w:pPr>
      <w:r w:rsidRPr="005475F6">
        <w:t>21 sessions</w:t>
      </w:r>
      <w:r w:rsidRPr="00D154DA">
        <w:t xml:space="preserve"> under the Flexible Payment System (refer to section 4 of the </w:t>
      </w:r>
      <w:r w:rsidR="00C95750">
        <w:t>g</w:t>
      </w:r>
      <w:r w:rsidRPr="00D154DA">
        <w:t>uidelines).</w:t>
      </w:r>
    </w:p>
    <w:p w14:paraId="3D0F945F" w14:textId="77777777" w:rsidR="00D154DA" w:rsidRPr="00B23780" w:rsidRDefault="00D154DA" w:rsidP="008E1817">
      <w:pPr>
        <w:pStyle w:val="Heading2"/>
      </w:pPr>
      <w:r w:rsidRPr="00B23780">
        <w:t>Central Payment System (CPS)</w:t>
      </w:r>
    </w:p>
    <w:p w14:paraId="19BBE60B" w14:textId="77777777" w:rsidR="00D154DA" w:rsidRPr="005475F6" w:rsidRDefault="00D154DA" w:rsidP="005475F6">
      <w:r w:rsidRPr="005475F6">
        <w:t>Eligible primary care services are clinical services from the following sections of the MBS:</w:t>
      </w:r>
    </w:p>
    <w:p w14:paraId="5874EC31" w14:textId="3A949D91" w:rsidR="00D154DA" w:rsidRPr="005475F6" w:rsidRDefault="00D154DA" w:rsidP="005475F6">
      <w:pPr>
        <w:pStyle w:val="ListBullet"/>
      </w:pPr>
      <w:r w:rsidRPr="005475F6">
        <w:t>Category 1: Professional attendances</w:t>
      </w:r>
    </w:p>
    <w:p w14:paraId="1895F67C" w14:textId="5F207C84" w:rsidR="00D154DA" w:rsidRPr="005475F6" w:rsidRDefault="00D154DA" w:rsidP="005475F6">
      <w:pPr>
        <w:pStyle w:val="ListBullet"/>
      </w:pPr>
      <w:r w:rsidRPr="005475F6">
        <w:t>Category 2: Diagnostic procedures and investigations</w:t>
      </w:r>
    </w:p>
    <w:p w14:paraId="4C1DAEFD" w14:textId="3B064669" w:rsidR="00D154DA" w:rsidRPr="005475F6" w:rsidRDefault="00D154DA" w:rsidP="005475F6">
      <w:pPr>
        <w:pStyle w:val="ListBullet"/>
      </w:pPr>
      <w:r w:rsidRPr="005475F6">
        <w:t>Category 3: Therapeutic procedures</w:t>
      </w:r>
    </w:p>
    <w:p w14:paraId="29CF05BD" w14:textId="77777777" w:rsidR="00D154DA" w:rsidRPr="005475F6" w:rsidRDefault="00D154DA" w:rsidP="005475F6">
      <w:pPr>
        <w:pStyle w:val="ListBullet"/>
      </w:pPr>
      <w:r w:rsidRPr="005475F6">
        <w:t>Category 7: Cleft lip and cleft palate services.</w:t>
      </w:r>
    </w:p>
    <w:p w14:paraId="061BF7BC" w14:textId="77777777" w:rsidR="00D154DA" w:rsidRPr="005475F6" w:rsidRDefault="00D154DA" w:rsidP="005475F6">
      <w:r w:rsidRPr="0024753F">
        <w:rPr>
          <w:rStyle w:val="Strong"/>
        </w:rPr>
        <w:t>Telehealth services</w:t>
      </w:r>
      <w:r w:rsidRPr="005475F6">
        <w:t xml:space="preserve"> within these categories are generally included.</w:t>
      </w:r>
    </w:p>
    <w:p w14:paraId="79FB9320" w14:textId="77777777" w:rsidR="00D154DA" w:rsidRPr="005475F6" w:rsidRDefault="00D154DA" w:rsidP="005475F6">
      <w:r w:rsidRPr="0024753F">
        <w:rPr>
          <w:rStyle w:val="Strong"/>
        </w:rPr>
        <w:t>New participants</w:t>
      </w:r>
      <w:r w:rsidRPr="005475F6">
        <w:t>: Services Australia will send a letter requesting bank details, which must be provided within 60 days. Once provided, the payment will be processed.</w:t>
      </w:r>
    </w:p>
    <w:p w14:paraId="43483CCB" w14:textId="77777777" w:rsidR="00D154DA" w:rsidRPr="005475F6" w:rsidRDefault="00D154DA" w:rsidP="005475F6">
      <w:r w:rsidRPr="0024753F">
        <w:rPr>
          <w:rStyle w:val="Strong"/>
        </w:rPr>
        <w:t>Continuing participants</w:t>
      </w:r>
      <w:r w:rsidRPr="005475F6">
        <w:t>: Services Australia will process payments automatically to your nominated bank account and send a payment advice.</w:t>
      </w:r>
    </w:p>
    <w:p w14:paraId="45510F7D" w14:textId="77777777" w:rsidR="00D154DA" w:rsidRPr="00B03DD2" w:rsidRDefault="00D154DA" w:rsidP="008E1817">
      <w:pPr>
        <w:pStyle w:val="Heading2"/>
      </w:pPr>
      <w:r w:rsidRPr="00B03DD2">
        <w:t>Flexible Payment System (FPS)</w:t>
      </w:r>
    </w:p>
    <w:p w14:paraId="51CBFCC9" w14:textId="0D3CC032" w:rsidR="00D154DA" w:rsidRPr="005475F6" w:rsidRDefault="00C95750" w:rsidP="005475F6">
      <w:r w:rsidRPr="005475F6">
        <w:t>Doctor</w:t>
      </w:r>
      <w:r w:rsidR="00D154DA" w:rsidRPr="005475F6">
        <w:t>s who provide eligible non-billed primary care services may be eligible for payment under the FPS.</w:t>
      </w:r>
    </w:p>
    <w:p w14:paraId="19AD84B6" w14:textId="5B3A2938" w:rsidR="00D154DA" w:rsidRPr="005475F6" w:rsidRDefault="00D154DA" w:rsidP="005475F6">
      <w:r w:rsidRPr="0024753F">
        <w:rPr>
          <w:rStyle w:val="Strong"/>
        </w:rPr>
        <w:t>Eligible primary care services</w:t>
      </w:r>
      <w:r w:rsidRPr="005475F6">
        <w:t xml:space="preserve"> under the FPS are those which are equivalent to those listed under the CPS. These services must be in relation to direct clinical engagement with a patient(s).</w:t>
      </w:r>
    </w:p>
    <w:p w14:paraId="30C8FDDB" w14:textId="1504F487" w:rsidR="00D154DA" w:rsidRPr="005475F6" w:rsidRDefault="00D154DA" w:rsidP="005475F6">
      <w:r w:rsidRPr="005475F6">
        <w:t xml:space="preserve">Types of employment eligible for payment under the FPS are listed in the </w:t>
      </w:r>
      <w:r w:rsidR="00EF3217" w:rsidRPr="005475F6">
        <w:t>g</w:t>
      </w:r>
      <w:r w:rsidRPr="005475F6">
        <w:t>uidelines.</w:t>
      </w:r>
    </w:p>
    <w:p w14:paraId="29BF75D4" w14:textId="70A25502" w:rsidR="00D154DA" w:rsidRPr="005475F6" w:rsidRDefault="00D154DA" w:rsidP="005475F6">
      <w:r w:rsidRPr="005475F6">
        <w:t xml:space="preserve">Top-up payments may also be available for </w:t>
      </w:r>
      <w:r w:rsidR="00530380" w:rsidRPr="005475F6">
        <w:t xml:space="preserve">doctors </w:t>
      </w:r>
      <w:r w:rsidRPr="005475F6">
        <w:t xml:space="preserve">who provide a mix of billed and non-billed services. </w:t>
      </w:r>
    </w:p>
    <w:p w14:paraId="3118137E" w14:textId="3FF23C44" w:rsidR="00D154DA" w:rsidRPr="005475F6" w:rsidRDefault="00D154DA" w:rsidP="005475F6">
      <w:r w:rsidRPr="005475F6">
        <w:t xml:space="preserve">To receive a payment under the FPS you must complete an application form and submit to the relevant Rural Workforce Agency (RWA). Refer to Part B, Section 4 of the </w:t>
      </w:r>
      <w:r w:rsidR="00530380" w:rsidRPr="005475F6">
        <w:t>g</w:t>
      </w:r>
      <w:r w:rsidRPr="005475F6">
        <w:t>uidelines for more information.</w:t>
      </w:r>
    </w:p>
    <w:p w14:paraId="03B09B93" w14:textId="39D8F1F9" w:rsidR="00D154DA" w:rsidRPr="005475F6" w:rsidRDefault="00D154DA" w:rsidP="005475F6">
      <w:r w:rsidRPr="0024753F">
        <w:rPr>
          <w:rStyle w:val="Strong"/>
        </w:rPr>
        <w:t>NOTE:</w:t>
      </w:r>
      <w:r w:rsidRPr="005475F6">
        <w:t xml:space="preserve"> Please refer to the </w:t>
      </w:r>
      <w:hyperlink r:id="rId16" w:history="1">
        <w:r w:rsidRPr="005475F6">
          <w:rPr>
            <w:rStyle w:val="Hyperlink"/>
          </w:rPr>
          <w:t xml:space="preserve">Workforce Incentive Program </w:t>
        </w:r>
        <w:r w:rsidR="00CA4747" w:rsidRPr="005475F6">
          <w:rPr>
            <w:rStyle w:val="Hyperlink"/>
          </w:rPr>
          <w:t>g</w:t>
        </w:r>
        <w:r w:rsidRPr="005475F6">
          <w:rPr>
            <w:rStyle w:val="Hyperlink"/>
          </w:rPr>
          <w:t>uidelines</w:t>
        </w:r>
      </w:hyperlink>
      <w:r w:rsidRPr="005475F6">
        <w:t xml:space="preserve"> for detailed requirements to receive payments under the Doctor Stream. It is the responsibility of eligible </w:t>
      </w:r>
      <w:r w:rsidR="00C95750" w:rsidRPr="005475F6">
        <w:t>doctor</w:t>
      </w:r>
      <w:r w:rsidR="00F205EC" w:rsidRPr="005475F6">
        <w:t xml:space="preserve">s </w:t>
      </w:r>
      <w:r w:rsidRPr="005475F6">
        <w:t xml:space="preserve">to ensure they are operating under the current version of the WIP </w:t>
      </w:r>
      <w:r w:rsidR="00530380" w:rsidRPr="005475F6">
        <w:t>g</w:t>
      </w:r>
      <w:r w:rsidRPr="005475F6">
        <w:t>uidelines.</w:t>
      </w:r>
    </w:p>
    <w:p w14:paraId="520CC9DA" w14:textId="52EF8B11" w:rsidR="005475F6" w:rsidRDefault="00D154DA" w:rsidP="005475F6">
      <w:r w:rsidRPr="005475F6">
        <w:t xml:space="preserve">Please visit </w:t>
      </w:r>
      <w:hyperlink r:id="rId17" w:tooltip="Department of Health website" w:history="1">
        <w:r w:rsidRPr="005475F6">
          <w:rPr>
            <w:rStyle w:val="Hyperlink"/>
          </w:rPr>
          <w:t>www.health.gov.au/workforceincentiveprogram</w:t>
        </w:r>
      </w:hyperlink>
      <w:r w:rsidRPr="005475F6">
        <w:t xml:space="preserve"> for more information, including the current version of the </w:t>
      </w:r>
      <w:hyperlink r:id="rId18" w:history="1">
        <w:r w:rsidRPr="005475F6">
          <w:rPr>
            <w:rStyle w:val="Hyperlink"/>
          </w:rPr>
          <w:t xml:space="preserve">WIP </w:t>
        </w:r>
        <w:r w:rsidR="00530380" w:rsidRPr="005475F6">
          <w:rPr>
            <w:rStyle w:val="Hyperlink"/>
          </w:rPr>
          <w:t>g</w:t>
        </w:r>
        <w:r w:rsidRPr="005475F6">
          <w:rPr>
            <w:rStyle w:val="Hyperlink"/>
          </w:rPr>
          <w:t>uidelines</w:t>
        </w:r>
      </w:hyperlink>
    </w:p>
    <w:p w14:paraId="294CFEDE" w14:textId="55CBEBA9" w:rsidR="005475F6" w:rsidRPr="005475F6" w:rsidRDefault="005475F6" w:rsidP="005475F6">
      <w:pPr>
        <w:sectPr w:rsidR="005475F6" w:rsidRPr="005475F6" w:rsidSect="0024753F">
          <w:type w:val="continuous"/>
          <w:pgSz w:w="11906" w:h="16838"/>
          <w:pgMar w:top="851" w:right="1440" w:bottom="1440" w:left="1440" w:header="709" w:footer="351" w:gutter="0"/>
          <w:cols w:space="708"/>
          <w:docGrid w:linePitch="360"/>
        </w:sectPr>
      </w:pPr>
    </w:p>
    <w:p w14:paraId="150C9D9C" w14:textId="77777777" w:rsidR="00D154DA" w:rsidRPr="005475F6" w:rsidRDefault="00D154DA" w:rsidP="005475F6">
      <w:pPr>
        <w:pStyle w:val="Heading2"/>
      </w:pPr>
      <w:r w:rsidRPr="005475F6">
        <w:lastRenderedPageBreak/>
        <w:t>Contact information</w:t>
      </w:r>
    </w:p>
    <w:p w14:paraId="20072731" w14:textId="77777777" w:rsidR="00D154DA" w:rsidRPr="005475F6" w:rsidRDefault="00D154DA" w:rsidP="005475F6">
      <w:r w:rsidRPr="005475F6">
        <w:rPr>
          <w:rStyle w:val="Strong"/>
        </w:rPr>
        <w:t>Services Australia</w:t>
      </w:r>
      <w:r w:rsidRPr="005475F6">
        <w:t xml:space="preserve"> – for payment assessment and calculation enquiries:</w:t>
      </w:r>
    </w:p>
    <w:p w14:paraId="4D773B25" w14:textId="4AB6DAE6" w:rsidR="00D154DA" w:rsidRPr="005475F6" w:rsidRDefault="00D154DA" w:rsidP="005475F6">
      <w:r w:rsidRPr="005475F6">
        <w:t xml:space="preserve">Website: </w:t>
      </w:r>
      <w:hyperlink r:id="rId19" w:history="1">
        <w:r w:rsidRPr="00D154DA">
          <w:rPr>
            <w:rStyle w:val="Hyperlink"/>
            <w:rFonts w:cs="Arial"/>
            <w:szCs w:val="21"/>
          </w:rPr>
          <w:t>Services Australia</w:t>
        </w:r>
      </w:hyperlink>
    </w:p>
    <w:p w14:paraId="7224EB0E" w14:textId="4469D937" w:rsidR="00D154DA" w:rsidRPr="005475F6" w:rsidRDefault="00D154DA" w:rsidP="005475F6">
      <w:r w:rsidRPr="005475F6">
        <w:t>Phone:</w:t>
      </w:r>
      <w:r w:rsidRPr="005475F6">
        <w:rPr>
          <w:rStyle w:val="Strong"/>
        </w:rPr>
        <w:t xml:space="preserve"> </w:t>
      </w:r>
      <w:r w:rsidRPr="005475F6">
        <w:t xml:space="preserve">1800 </w:t>
      </w:r>
      <w:r w:rsidR="006764BA" w:rsidRPr="005475F6">
        <w:t>222 032</w:t>
      </w:r>
    </w:p>
    <w:p w14:paraId="0D5A7884" w14:textId="515C79C6" w:rsidR="00D154DA" w:rsidRPr="005475F6" w:rsidRDefault="00817B6C" w:rsidP="005475F6">
      <w:pPr>
        <w:rPr>
          <w:sz w:val="22"/>
        </w:rPr>
      </w:pPr>
      <w:r w:rsidRPr="005475F6">
        <w:t xml:space="preserve">Email: </w:t>
      </w:r>
      <w:hyperlink r:id="rId20" w:history="1">
        <w:r w:rsidRPr="00710A35">
          <w:rPr>
            <w:rStyle w:val="Hyperlink"/>
            <w:rFonts w:cs="Arial"/>
            <w:szCs w:val="21"/>
          </w:rPr>
          <w:t>WIPDoctor@servicesaustralia.gov.au</w:t>
        </w:r>
      </w:hyperlink>
      <w:r w:rsidRPr="005475F6">
        <w:t xml:space="preserve"> </w:t>
      </w:r>
    </w:p>
    <w:p w14:paraId="62CE2051" w14:textId="2C2ADBBA" w:rsidR="00D154DA" w:rsidRPr="005475F6" w:rsidRDefault="00D154DA" w:rsidP="0024753F">
      <w:pPr>
        <w:spacing w:before="600"/>
      </w:pPr>
      <w:r w:rsidRPr="005475F6">
        <w:rPr>
          <w:rStyle w:val="Strong"/>
        </w:rPr>
        <w:t>Department of Health</w:t>
      </w:r>
      <w:r w:rsidRPr="005475F6">
        <w:t xml:space="preserve"> </w:t>
      </w:r>
      <w:r w:rsidR="00B2710A" w:rsidRPr="005475F6">
        <w:t>–</w:t>
      </w:r>
      <w:r w:rsidRPr="005475F6">
        <w:t xml:space="preserve"> for eligibility enquiries:</w:t>
      </w:r>
    </w:p>
    <w:p w14:paraId="18BA9E64" w14:textId="5DCCC303" w:rsidR="00D154DA" w:rsidRPr="005475F6" w:rsidRDefault="00D154DA" w:rsidP="005475F6">
      <w:r w:rsidRPr="005475F6">
        <w:t xml:space="preserve">Website: </w:t>
      </w:r>
      <w:hyperlink r:id="rId21" w:history="1">
        <w:r w:rsidRPr="00E42B02">
          <w:rPr>
            <w:rStyle w:val="Hyperlink"/>
            <w:rFonts w:cs="Arial"/>
            <w:szCs w:val="21"/>
          </w:rPr>
          <w:t>Department of Health</w:t>
        </w:r>
      </w:hyperlink>
    </w:p>
    <w:p w14:paraId="1B56951F" w14:textId="37FE00A9" w:rsidR="00530380" w:rsidRPr="005475F6" w:rsidRDefault="00D154DA" w:rsidP="005475F6">
      <w:pPr>
        <w:rPr>
          <w:sz w:val="22"/>
        </w:rPr>
      </w:pPr>
      <w:r w:rsidRPr="005475F6">
        <w:t xml:space="preserve">Email: </w:t>
      </w:r>
      <w:hyperlink r:id="rId22" w:history="1">
        <w:r w:rsidRPr="00D154DA">
          <w:rPr>
            <w:rStyle w:val="Hyperlink"/>
            <w:rFonts w:cs="Arial"/>
            <w:szCs w:val="21"/>
          </w:rPr>
          <w:t>WIP@health.gov.au</w:t>
        </w:r>
      </w:hyperlink>
    </w:p>
    <w:p w14:paraId="26516FA0" w14:textId="7BA245A4" w:rsidR="00D154DA" w:rsidRPr="005475F6" w:rsidRDefault="00D154DA" w:rsidP="0024753F">
      <w:pPr>
        <w:spacing w:before="600"/>
        <w:sectPr w:rsidR="00D154DA" w:rsidRPr="005475F6" w:rsidSect="00AB2474">
          <w:pgSz w:w="11906" w:h="16838"/>
          <w:pgMar w:top="851" w:right="851" w:bottom="794" w:left="851" w:header="709" w:footer="709" w:gutter="0"/>
          <w:cols w:space="708"/>
          <w:docGrid w:linePitch="360"/>
        </w:sectPr>
      </w:pPr>
      <w:r w:rsidRPr="0024753F">
        <w:rPr>
          <w:rStyle w:val="Strong"/>
        </w:rPr>
        <w:t>Rural Workforce Agencies</w:t>
      </w:r>
      <w:r w:rsidRPr="005475F6">
        <w:t xml:space="preserve"> </w:t>
      </w:r>
      <w:r w:rsidR="00B2710A" w:rsidRPr="005475F6">
        <w:t>–</w:t>
      </w:r>
      <w:r w:rsidRPr="005475F6">
        <w:t xml:space="preserve"> for FPS enquiries and to submit applications:</w:t>
      </w:r>
    </w:p>
    <w:p w14:paraId="1D3420F9" w14:textId="2C69ABC9" w:rsidR="00D154DA" w:rsidRPr="005475F6" w:rsidRDefault="00D154DA" w:rsidP="005475F6">
      <w:pPr>
        <w:rPr>
          <w:rStyle w:val="Strong"/>
        </w:rPr>
      </w:pPr>
      <w:r w:rsidRPr="005475F6">
        <w:rPr>
          <w:rStyle w:val="Strong"/>
        </w:rPr>
        <w:t>NT – Northern Territory Primary Health Network</w:t>
      </w:r>
    </w:p>
    <w:p w14:paraId="73E1ADBF" w14:textId="58919E88" w:rsidR="00D154DA" w:rsidRPr="005475F6" w:rsidRDefault="00D154DA" w:rsidP="0024753F">
      <w:pPr>
        <w:pStyle w:val="NoSpacing"/>
      </w:pPr>
      <w:r w:rsidRPr="005475F6">
        <w:t xml:space="preserve">Email: </w:t>
      </w:r>
      <w:hyperlink r:id="rId23" w:history="1">
        <w:r w:rsidR="00072123" w:rsidRPr="005475F6">
          <w:rPr>
            <w:rStyle w:val="Hyperlink"/>
          </w:rPr>
          <w:t>gpwip@ntphn.org.au</w:t>
        </w:r>
      </w:hyperlink>
    </w:p>
    <w:p w14:paraId="33D3688E" w14:textId="22C78CDD" w:rsidR="00D154DA" w:rsidRPr="005475F6" w:rsidRDefault="00D154DA" w:rsidP="0024753F">
      <w:pPr>
        <w:pStyle w:val="NoSpacing"/>
      </w:pPr>
      <w:r w:rsidRPr="005475F6">
        <w:t xml:space="preserve">Phone: (08) 8982 </w:t>
      </w:r>
      <w:r w:rsidR="00DA7364" w:rsidRPr="005475F6">
        <w:t>10</w:t>
      </w:r>
      <w:r w:rsidR="00072123" w:rsidRPr="005475F6">
        <w:t>00</w:t>
      </w:r>
    </w:p>
    <w:p w14:paraId="5D8DE2B0" w14:textId="77777777" w:rsidR="005475F6" w:rsidRDefault="00D154DA" w:rsidP="005475F6">
      <w:r w:rsidRPr="005475F6">
        <w:rPr>
          <w:rStyle w:val="Strong"/>
        </w:rPr>
        <w:t>SA – Rural Doctors Workforce Agency South</w:t>
      </w:r>
      <w:r w:rsidRPr="005475F6">
        <w:t xml:space="preserve"> </w:t>
      </w:r>
      <w:proofErr w:type="spellStart"/>
      <w:r w:rsidRPr="005475F6">
        <w:t>Australia</w:t>
      </w:r>
      <w:proofErr w:type="spellEnd"/>
    </w:p>
    <w:p w14:paraId="785E860C" w14:textId="77777777" w:rsidR="0024753F" w:rsidRDefault="00D154DA" w:rsidP="0024753F">
      <w:pPr>
        <w:pStyle w:val="NoSpacing"/>
      </w:pPr>
      <w:r w:rsidRPr="005475F6">
        <w:t xml:space="preserve">Email: </w:t>
      </w:r>
      <w:hyperlink r:id="rId24" w:history="1">
        <w:r w:rsidR="00AB00C6" w:rsidRPr="005475F6">
          <w:rPr>
            <w:rStyle w:val="Hyperlink"/>
          </w:rPr>
          <w:t>gpservices@ruraldoc.com.au</w:t>
        </w:r>
      </w:hyperlink>
    </w:p>
    <w:p w14:paraId="505EE647" w14:textId="276C1496" w:rsidR="00D154DA" w:rsidRPr="005475F6" w:rsidRDefault="00D154DA" w:rsidP="0024753F">
      <w:pPr>
        <w:pStyle w:val="NoSpacing"/>
      </w:pPr>
      <w:r w:rsidRPr="005475F6">
        <w:t>Phone: (08) 8234 8277</w:t>
      </w:r>
    </w:p>
    <w:p w14:paraId="63B511B3" w14:textId="77777777" w:rsidR="00D154DA" w:rsidRPr="005475F6" w:rsidRDefault="00D154DA" w:rsidP="005475F6">
      <w:pPr>
        <w:rPr>
          <w:rStyle w:val="Strong"/>
        </w:rPr>
      </w:pPr>
      <w:r w:rsidRPr="005475F6">
        <w:rPr>
          <w:rStyle w:val="Strong"/>
        </w:rPr>
        <w:t>WA – Rural Health West</w:t>
      </w:r>
    </w:p>
    <w:p w14:paraId="489FC626" w14:textId="77777777" w:rsidR="005475F6" w:rsidRDefault="00D154DA" w:rsidP="0024753F">
      <w:pPr>
        <w:pStyle w:val="NoSpacing"/>
      </w:pPr>
      <w:r w:rsidRPr="005475F6">
        <w:t xml:space="preserve">Email: </w:t>
      </w:r>
      <w:hyperlink r:id="rId25" w:history="1">
        <w:r w:rsidR="00157AC2" w:rsidRPr="005475F6">
          <w:rPr>
            <w:rStyle w:val="Hyperlink"/>
          </w:rPr>
          <w:t>accounts@ruralhealthwest.com.au</w:t>
        </w:r>
      </w:hyperlink>
    </w:p>
    <w:p w14:paraId="3474ED0D" w14:textId="6BFC4995" w:rsidR="00D154DA" w:rsidRPr="005475F6" w:rsidRDefault="00D154DA" w:rsidP="0024753F">
      <w:pPr>
        <w:pStyle w:val="NoSpacing"/>
      </w:pPr>
      <w:r w:rsidRPr="005475F6">
        <w:t>Phone: (08) 6389 4500</w:t>
      </w:r>
      <w:r w:rsidRPr="005475F6">
        <w:br w:type="column"/>
      </w:r>
      <w:r w:rsidRPr="005475F6">
        <w:rPr>
          <w:rStyle w:val="Strong"/>
        </w:rPr>
        <w:t xml:space="preserve">TAS – </w:t>
      </w:r>
      <w:proofErr w:type="spellStart"/>
      <w:r w:rsidRPr="005475F6">
        <w:rPr>
          <w:rStyle w:val="Strong"/>
        </w:rPr>
        <w:t>HRPlus</w:t>
      </w:r>
      <w:proofErr w:type="spellEnd"/>
      <w:r w:rsidRPr="005475F6">
        <w:rPr>
          <w:rStyle w:val="Strong"/>
        </w:rPr>
        <w:t xml:space="preserve"> Tasmania</w:t>
      </w:r>
    </w:p>
    <w:p w14:paraId="7836EBF0" w14:textId="77777777" w:rsidR="0024753F" w:rsidRDefault="00D154DA" w:rsidP="0024753F">
      <w:pPr>
        <w:pStyle w:val="NoSpacing"/>
      </w:pPr>
      <w:r w:rsidRPr="005475F6">
        <w:t xml:space="preserve">Email: </w:t>
      </w:r>
      <w:hyperlink r:id="rId26" w:history="1">
        <w:r w:rsidR="00157AC2" w:rsidRPr="005475F6">
          <w:rPr>
            <w:rStyle w:val="Hyperlink"/>
          </w:rPr>
          <w:t>admin@hrplus.com.au</w:t>
        </w:r>
      </w:hyperlink>
    </w:p>
    <w:p w14:paraId="04B6CA38" w14:textId="06FB77FD" w:rsidR="00D154DA" w:rsidRPr="005475F6" w:rsidRDefault="00D154DA" w:rsidP="0024753F">
      <w:pPr>
        <w:pStyle w:val="NoSpacing"/>
      </w:pPr>
      <w:r w:rsidRPr="005475F6">
        <w:t>Phone: (03) 6332 8600</w:t>
      </w:r>
    </w:p>
    <w:p w14:paraId="7378662F" w14:textId="77777777" w:rsidR="00D154DA" w:rsidRPr="005475F6" w:rsidRDefault="00D154DA" w:rsidP="005475F6">
      <w:pPr>
        <w:rPr>
          <w:rStyle w:val="Strong"/>
        </w:rPr>
      </w:pPr>
      <w:r w:rsidRPr="005475F6">
        <w:rPr>
          <w:rStyle w:val="Strong"/>
        </w:rPr>
        <w:t>NSW – New South Wales Rural Doctors Network</w:t>
      </w:r>
    </w:p>
    <w:p w14:paraId="02CA9AF2" w14:textId="77777777" w:rsidR="005475F6" w:rsidRDefault="00D154DA" w:rsidP="0024753F">
      <w:pPr>
        <w:pStyle w:val="NoSpacing"/>
      </w:pPr>
      <w:r w:rsidRPr="005475F6">
        <w:t xml:space="preserve">Email: </w:t>
      </w:r>
      <w:hyperlink r:id="rId27" w:history="1">
        <w:r w:rsidRPr="005475F6">
          <w:rPr>
            <w:rStyle w:val="Hyperlink"/>
          </w:rPr>
          <w:t>gpgrants@nswrdn.com.au</w:t>
        </w:r>
      </w:hyperlink>
    </w:p>
    <w:p w14:paraId="12F9DD68" w14:textId="751D5ECB" w:rsidR="00D154DA" w:rsidRPr="005475F6" w:rsidRDefault="00D154DA" w:rsidP="0024753F">
      <w:pPr>
        <w:pStyle w:val="NoSpacing"/>
      </w:pPr>
      <w:r w:rsidRPr="005475F6">
        <w:t>Phone: (02) 4924 8000</w:t>
      </w:r>
    </w:p>
    <w:p w14:paraId="16AF97A8" w14:textId="77777777" w:rsidR="00D154DA" w:rsidRPr="005475F6" w:rsidRDefault="00D154DA" w:rsidP="005475F6">
      <w:pPr>
        <w:rPr>
          <w:rStyle w:val="Strong"/>
        </w:rPr>
      </w:pPr>
      <w:r w:rsidRPr="005475F6">
        <w:rPr>
          <w:rStyle w:val="Strong"/>
        </w:rPr>
        <w:t>QLD – Health Workforce Queensland</w:t>
      </w:r>
    </w:p>
    <w:p w14:paraId="3312A3A3" w14:textId="77777777" w:rsidR="005475F6" w:rsidRDefault="00D154DA" w:rsidP="0024753F">
      <w:pPr>
        <w:pStyle w:val="NoSpacing"/>
      </w:pPr>
      <w:r w:rsidRPr="005475F6">
        <w:t xml:space="preserve">Email: </w:t>
      </w:r>
      <w:hyperlink r:id="rId28" w:history="1">
        <w:r w:rsidRPr="005475F6">
          <w:rPr>
            <w:rStyle w:val="Hyperlink"/>
          </w:rPr>
          <w:t>wipds@healthworkforce.com.au</w:t>
        </w:r>
      </w:hyperlink>
    </w:p>
    <w:p w14:paraId="31B4E4D3" w14:textId="0F93C5A9" w:rsidR="00D154DA" w:rsidRPr="005475F6" w:rsidRDefault="00D154DA" w:rsidP="0024753F">
      <w:pPr>
        <w:pStyle w:val="NoSpacing"/>
      </w:pPr>
      <w:r w:rsidRPr="005475F6">
        <w:t>Phone: (07) 3105 7853</w:t>
      </w:r>
    </w:p>
    <w:p w14:paraId="03BB357E" w14:textId="77777777" w:rsidR="00D154DA" w:rsidRPr="005475F6" w:rsidRDefault="00D154DA" w:rsidP="005475F6">
      <w:pPr>
        <w:rPr>
          <w:rStyle w:val="Strong"/>
        </w:rPr>
      </w:pPr>
      <w:r w:rsidRPr="005475F6">
        <w:rPr>
          <w:rStyle w:val="Strong"/>
        </w:rPr>
        <w:t>VIC – Rural Workforce Agency Victoria</w:t>
      </w:r>
    </w:p>
    <w:p w14:paraId="095E9EA2" w14:textId="77777777" w:rsidR="005475F6" w:rsidRDefault="00D154DA" w:rsidP="0024753F">
      <w:pPr>
        <w:pStyle w:val="NoSpacing"/>
      </w:pPr>
      <w:r w:rsidRPr="005475F6">
        <w:t xml:space="preserve">Email: </w:t>
      </w:r>
      <w:hyperlink r:id="rId29" w:history="1">
        <w:r w:rsidR="00435949" w:rsidRPr="005475F6">
          <w:rPr>
            <w:rStyle w:val="Hyperlink"/>
          </w:rPr>
          <w:t>rwav@rwav.com.au</w:t>
        </w:r>
      </w:hyperlink>
    </w:p>
    <w:p w14:paraId="35A166C1" w14:textId="44479652" w:rsidR="00D154DA" w:rsidRPr="005475F6" w:rsidRDefault="00D154DA" w:rsidP="0024753F">
      <w:pPr>
        <w:pStyle w:val="NoSpacing"/>
      </w:pPr>
      <w:r w:rsidRPr="005475F6">
        <w:t>Phone: (03) 9349 780</w:t>
      </w:r>
    </w:p>
    <w:p w14:paraId="09725706" w14:textId="77777777" w:rsidR="005475F6" w:rsidRPr="005475F6" w:rsidRDefault="005475F6" w:rsidP="005475F6"/>
    <w:p w14:paraId="54EDA55E" w14:textId="53967AFA" w:rsidR="005475F6" w:rsidRPr="005475F6" w:rsidRDefault="005475F6" w:rsidP="005475F6">
      <w:pPr>
        <w:sectPr w:rsidR="005475F6" w:rsidRPr="005475F6" w:rsidSect="006533E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3BEDFBD0" w14:textId="77777777" w:rsidR="003F5F4D" w:rsidRPr="005475F6" w:rsidRDefault="003F5F4D" w:rsidP="005475F6"/>
    <w:sectPr w:rsidR="003F5F4D" w:rsidRPr="005475F6" w:rsidSect="00D154DA">
      <w:headerReference w:type="default" r:id="rId30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BB40" w14:textId="77777777" w:rsidR="00B07F17" w:rsidRDefault="00B07F17" w:rsidP="006B56BB">
      <w:r>
        <w:separator/>
      </w:r>
    </w:p>
    <w:p w14:paraId="7E9F29FD" w14:textId="77777777" w:rsidR="00B07F17" w:rsidRDefault="00B07F17"/>
  </w:endnote>
  <w:endnote w:type="continuationSeparator" w:id="0">
    <w:p w14:paraId="0C7A54E1" w14:textId="77777777" w:rsidR="00B07F17" w:rsidRDefault="00B07F17" w:rsidP="006B56BB">
      <w:r>
        <w:continuationSeparator/>
      </w:r>
    </w:p>
    <w:p w14:paraId="4C16E1A7" w14:textId="77777777" w:rsidR="00B07F17" w:rsidRDefault="00B07F17"/>
  </w:endnote>
  <w:endnote w:type="continuationNotice" w:id="1">
    <w:p w14:paraId="17B21BDA" w14:textId="77777777" w:rsidR="00B07F17" w:rsidRDefault="00B07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7D53" w14:textId="1B5BE054" w:rsidR="00B2710A" w:rsidRDefault="00B2710A" w:rsidP="00B2710A">
    <w:pPr>
      <w:pStyle w:val="Footer"/>
      <w:tabs>
        <w:tab w:val="clear" w:pos="4513"/>
      </w:tabs>
      <w:ind w:left="426"/>
    </w:pPr>
    <w:r>
      <w:t>Department of Health – February 2021</w:t>
    </w:r>
    <w:r w:rsidRPr="003D033A">
      <w:t xml:space="preserve"> </w:t>
    </w:r>
    <w:sdt>
      <w:sdtPr>
        <w:id w:val="189461606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6A1CBC">
          <w:rPr>
            <w:noProof/>
          </w:rPr>
          <w:t>3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400D" w14:textId="57E34A75" w:rsidR="008D48C9" w:rsidRPr="00DE3355" w:rsidRDefault="00AC2679" w:rsidP="003D033A">
    <w:pPr>
      <w:pStyle w:val="Footer"/>
      <w:tabs>
        <w:tab w:val="clear" w:pos="4513"/>
      </w:tabs>
    </w:pPr>
    <w:r>
      <w:t xml:space="preserve">Department of Health </w:t>
    </w:r>
    <w:r w:rsidR="00D154DA">
      <w:t>–</w:t>
    </w:r>
    <w:r>
      <w:t xml:space="preserve"> </w:t>
    </w:r>
    <w:r w:rsidR="00B2710A">
      <w:t>February 2021</w:t>
    </w:r>
    <w:r w:rsidR="003D033A" w:rsidRPr="003D033A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7F47BE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41AF" w14:textId="77777777" w:rsidR="00B07F17" w:rsidRDefault="00B07F17" w:rsidP="006B56BB">
      <w:r>
        <w:separator/>
      </w:r>
    </w:p>
    <w:p w14:paraId="28A3E05E" w14:textId="77777777" w:rsidR="00B07F17" w:rsidRDefault="00B07F17"/>
  </w:footnote>
  <w:footnote w:type="continuationSeparator" w:id="0">
    <w:p w14:paraId="78B9EBFE" w14:textId="77777777" w:rsidR="00B07F17" w:rsidRDefault="00B07F17" w:rsidP="006B56BB">
      <w:r>
        <w:continuationSeparator/>
      </w:r>
    </w:p>
    <w:p w14:paraId="0F9F6956" w14:textId="77777777" w:rsidR="00B07F17" w:rsidRDefault="00B07F17"/>
  </w:footnote>
  <w:footnote w:type="continuationNotice" w:id="1">
    <w:p w14:paraId="0ACB1A81" w14:textId="77777777" w:rsidR="00B07F17" w:rsidRDefault="00B07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279E" w14:textId="400689BC" w:rsidR="008D48C9" w:rsidRDefault="008D48C9" w:rsidP="00090316">
    <w:pPr>
      <w:pStyle w:val="Header"/>
    </w:pPr>
    <w:r>
      <w:rPr>
        <w:noProof/>
        <w:lang w:eastAsia="en-AU"/>
      </w:rPr>
      <w:drawing>
        <wp:inline distT="0" distB="0" distL="0" distR="0" wp14:anchorId="2D9ECB11" wp14:editId="2C3AC2BF">
          <wp:extent cx="1404000" cy="932400"/>
          <wp:effectExtent l="0" t="0" r="5715" b="1270"/>
          <wp:docPr id="1" name="Picture 1" descr="Australian Government Departn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16BD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3AAF23A0" wp14:editId="6BF6935B">
          <wp:extent cx="5865806" cy="959485"/>
          <wp:effectExtent l="0" t="0" r="1905" b="0"/>
          <wp:docPr id="2" name="Picture 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B143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164A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E40D6"/>
    <w:multiLevelType w:val="hybridMultilevel"/>
    <w:tmpl w:val="34E0F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2607F1"/>
    <w:multiLevelType w:val="multilevel"/>
    <w:tmpl w:val="AA18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8DA0F61"/>
    <w:multiLevelType w:val="hybridMultilevel"/>
    <w:tmpl w:val="687A8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6173"/>
    <w:multiLevelType w:val="hybridMultilevel"/>
    <w:tmpl w:val="7EC008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6059D"/>
    <w:multiLevelType w:val="hybridMultilevel"/>
    <w:tmpl w:val="214CE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D05D3"/>
    <w:multiLevelType w:val="hybridMultilevel"/>
    <w:tmpl w:val="52FAD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E180A"/>
    <w:multiLevelType w:val="hybridMultilevel"/>
    <w:tmpl w:val="004A6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F81EB5"/>
    <w:multiLevelType w:val="hybridMultilevel"/>
    <w:tmpl w:val="E0047990"/>
    <w:lvl w:ilvl="0" w:tplc="287A2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3957">
    <w:abstractNumId w:val="7"/>
  </w:num>
  <w:num w:numId="2" w16cid:durableId="659819497">
    <w:abstractNumId w:val="18"/>
  </w:num>
  <w:num w:numId="3" w16cid:durableId="1734698598">
    <w:abstractNumId w:val="23"/>
  </w:num>
  <w:num w:numId="4" w16cid:durableId="1065252773">
    <w:abstractNumId w:val="8"/>
  </w:num>
  <w:num w:numId="5" w16cid:durableId="928927313">
    <w:abstractNumId w:val="8"/>
    <w:lvlOverride w:ilvl="0">
      <w:startOverride w:val="1"/>
    </w:lvlOverride>
  </w:num>
  <w:num w:numId="6" w16cid:durableId="1915584495">
    <w:abstractNumId w:val="9"/>
  </w:num>
  <w:num w:numId="7" w16cid:durableId="164129807">
    <w:abstractNumId w:val="15"/>
  </w:num>
  <w:num w:numId="8" w16cid:durableId="729303309">
    <w:abstractNumId w:val="21"/>
  </w:num>
  <w:num w:numId="9" w16cid:durableId="1684745866">
    <w:abstractNumId w:val="5"/>
  </w:num>
  <w:num w:numId="10" w16cid:durableId="1996521278">
    <w:abstractNumId w:val="4"/>
  </w:num>
  <w:num w:numId="11" w16cid:durableId="1176921988">
    <w:abstractNumId w:val="3"/>
  </w:num>
  <w:num w:numId="12" w16cid:durableId="1152212757">
    <w:abstractNumId w:val="2"/>
  </w:num>
  <w:num w:numId="13" w16cid:durableId="2084600824">
    <w:abstractNumId w:val="6"/>
  </w:num>
  <w:num w:numId="14" w16cid:durableId="738096529">
    <w:abstractNumId w:val="1"/>
  </w:num>
  <w:num w:numId="15" w16cid:durableId="934746097">
    <w:abstractNumId w:val="0"/>
  </w:num>
  <w:num w:numId="16" w16cid:durableId="891623507">
    <w:abstractNumId w:val="24"/>
  </w:num>
  <w:num w:numId="17" w16cid:durableId="176625098">
    <w:abstractNumId w:val="11"/>
  </w:num>
  <w:num w:numId="18" w16cid:durableId="474100971">
    <w:abstractNumId w:val="12"/>
  </w:num>
  <w:num w:numId="19" w16cid:durableId="423452696">
    <w:abstractNumId w:val="13"/>
  </w:num>
  <w:num w:numId="20" w16cid:durableId="1461147492">
    <w:abstractNumId w:val="25"/>
  </w:num>
  <w:num w:numId="21" w16cid:durableId="897593116">
    <w:abstractNumId w:val="10"/>
  </w:num>
  <w:num w:numId="22" w16cid:durableId="2049795407">
    <w:abstractNumId w:val="22"/>
  </w:num>
  <w:num w:numId="23" w16cid:durableId="478423434">
    <w:abstractNumId w:val="20"/>
  </w:num>
  <w:num w:numId="24" w16cid:durableId="1476989936">
    <w:abstractNumId w:val="16"/>
  </w:num>
  <w:num w:numId="25" w16cid:durableId="207255628">
    <w:abstractNumId w:val="14"/>
  </w:num>
  <w:num w:numId="26" w16cid:durableId="1254362640">
    <w:abstractNumId w:val="17"/>
  </w:num>
  <w:num w:numId="27" w16cid:durableId="1878738046">
    <w:abstractNumId w:val="19"/>
  </w:num>
  <w:num w:numId="28" w16cid:durableId="755173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4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8E6"/>
    <w:rsid w:val="00046FF0"/>
    <w:rsid w:val="00050176"/>
    <w:rsid w:val="00050342"/>
    <w:rsid w:val="00067456"/>
    <w:rsid w:val="00071506"/>
    <w:rsid w:val="0007154F"/>
    <w:rsid w:val="00072123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56AB"/>
    <w:rsid w:val="001023FA"/>
    <w:rsid w:val="0010616D"/>
    <w:rsid w:val="00110478"/>
    <w:rsid w:val="0011711B"/>
    <w:rsid w:val="00117F8A"/>
    <w:rsid w:val="00121B9B"/>
    <w:rsid w:val="00122ADC"/>
    <w:rsid w:val="00130F59"/>
    <w:rsid w:val="00133EC0"/>
    <w:rsid w:val="00136062"/>
    <w:rsid w:val="00141CE5"/>
    <w:rsid w:val="00144908"/>
    <w:rsid w:val="0015310F"/>
    <w:rsid w:val="001571C7"/>
    <w:rsid w:val="00157AC2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3D00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367A2"/>
    <w:rsid w:val="00240046"/>
    <w:rsid w:val="0024753F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34C0C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5BB6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5949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30380"/>
    <w:rsid w:val="00545EE6"/>
    <w:rsid w:val="005475F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26DAE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3B90"/>
    <w:rsid w:val="006764BA"/>
    <w:rsid w:val="0067697A"/>
    <w:rsid w:val="006821EB"/>
    <w:rsid w:val="006A1CBC"/>
    <w:rsid w:val="006B2286"/>
    <w:rsid w:val="006B56BB"/>
    <w:rsid w:val="006C77A8"/>
    <w:rsid w:val="006D4098"/>
    <w:rsid w:val="006D513F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42AA9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7BE"/>
    <w:rsid w:val="007F4B3E"/>
    <w:rsid w:val="008127AF"/>
    <w:rsid w:val="00812B46"/>
    <w:rsid w:val="00815700"/>
    <w:rsid w:val="00817B6C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33FD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AFA"/>
    <w:rsid w:val="0089677E"/>
    <w:rsid w:val="008A7438"/>
    <w:rsid w:val="008B1334"/>
    <w:rsid w:val="008B25C7"/>
    <w:rsid w:val="008C0278"/>
    <w:rsid w:val="008C24E9"/>
    <w:rsid w:val="008C66ED"/>
    <w:rsid w:val="008D0533"/>
    <w:rsid w:val="008D42CB"/>
    <w:rsid w:val="008D48C9"/>
    <w:rsid w:val="008D6381"/>
    <w:rsid w:val="008E0C77"/>
    <w:rsid w:val="008E1817"/>
    <w:rsid w:val="008E625F"/>
    <w:rsid w:val="008E7658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3D68"/>
    <w:rsid w:val="009261E6"/>
    <w:rsid w:val="009268E1"/>
    <w:rsid w:val="009344DE"/>
    <w:rsid w:val="00945E7F"/>
    <w:rsid w:val="00947959"/>
    <w:rsid w:val="009557C1"/>
    <w:rsid w:val="00960D6E"/>
    <w:rsid w:val="00974B59"/>
    <w:rsid w:val="0098340B"/>
    <w:rsid w:val="00986830"/>
    <w:rsid w:val="009924C3"/>
    <w:rsid w:val="00993102"/>
    <w:rsid w:val="009B1570"/>
    <w:rsid w:val="009C385B"/>
    <w:rsid w:val="009C6127"/>
    <w:rsid w:val="009C6F10"/>
    <w:rsid w:val="009D148F"/>
    <w:rsid w:val="009D3D70"/>
    <w:rsid w:val="009E6F7E"/>
    <w:rsid w:val="009E7A57"/>
    <w:rsid w:val="009F4803"/>
    <w:rsid w:val="009F4F6A"/>
    <w:rsid w:val="00A13EB5"/>
    <w:rsid w:val="00A165D4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00C6"/>
    <w:rsid w:val="00AB1EE7"/>
    <w:rsid w:val="00AB2474"/>
    <w:rsid w:val="00AB3751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4E4D"/>
    <w:rsid w:val="00AF7386"/>
    <w:rsid w:val="00AF7934"/>
    <w:rsid w:val="00B00B81"/>
    <w:rsid w:val="00B04580"/>
    <w:rsid w:val="00B04B09"/>
    <w:rsid w:val="00B07F17"/>
    <w:rsid w:val="00B16A51"/>
    <w:rsid w:val="00B2710A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5750"/>
    <w:rsid w:val="00C971DC"/>
    <w:rsid w:val="00CA16B7"/>
    <w:rsid w:val="00CA4747"/>
    <w:rsid w:val="00CA62AE"/>
    <w:rsid w:val="00CB0DAB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3429"/>
    <w:rsid w:val="00CF7D3C"/>
    <w:rsid w:val="00D01F09"/>
    <w:rsid w:val="00D147EB"/>
    <w:rsid w:val="00D154DA"/>
    <w:rsid w:val="00D2389E"/>
    <w:rsid w:val="00D34667"/>
    <w:rsid w:val="00D401E1"/>
    <w:rsid w:val="00D408B4"/>
    <w:rsid w:val="00D46564"/>
    <w:rsid w:val="00D524C8"/>
    <w:rsid w:val="00D70E24"/>
    <w:rsid w:val="00D72B61"/>
    <w:rsid w:val="00D937AA"/>
    <w:rsid w:val="00DA3D1D"/>
    <w:rsid w:val="00DA7364"/>
    <w:rsid w:val="00DB6286"/>
    <w:rsid w:val="00DB645F"/>
    <w:rsid w:val="00DB76E9"/>
    <w:rsid w:val="00DC0A67"/>
    <w:rsid w:val="00DC1D5E"/>
    <w:rsid w:val="00DC5220"/>
    <w:rsid w:val="00DD2061"/>
    <w:rsid w:val="00DD4B1D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2B02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3EBF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3217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05EC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757B6"/>
  <w15:docId w15:val="{F87F37CE-0405-4B9F-BB31-23DF4993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4753F"/>
    <w:pPr>
      <w:spacing w:before="120" w:after="120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86AFA"/>
    <w:pPr>
      <w:keepNext/>
      <w:spacing w:before="36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24753F"/>
    <w:pPr>
      <w:numPr>
        <w:numId w:val="17"/>
      </w:numPr>
      <w:spacing w:before="60" w:after="60"/>
      <w:ind w:left="527" w:hanging="357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24753F"/>
    <w:pPr>
      <w:spacing w:before="20"/>
      <w:jc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</w:rPr>
    </w:tblStylePr>
    <w:tblStylePr w:type="firstCol">
      <w:rPr>
        <w:b/>
      </w:rPr>
    </w:tblStyle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Title"/>
    <w:qFormat/>
    <w:rsid w:val="00886AFA"/>
    <w:pPr>
      <w:spacing w:line="401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1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4DA"/>
    <w:pPr>
      <w:spacing w:after="160"/>
    </w:pPr>
    <w:rPr>
      <w:rFonts w:ascii="Times New Roman" w:eastAsiaTheme="minorHAnsi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4D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15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54DA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D154D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4DA"/>
    <w:pPr>
      <w:spacing w:after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4DA"/>
    <w:rPr>
      <w:rFonts w:ascii="Arial" w:eastAsiaTheme="minorHAnsi" w:hAnsi="Arial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321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17B6C"/>
    <w:rPr>
      <w:color w:val="605E5C"/>
      <w:shd w:val="clear" w:color="auto" w:fill="E1DFDD"/>
    </w:rPr>
  </w:style>
  <w:style w:type="paragraph" w:styleId="ListNumber">
    <w:name w:val="List Number"/>
    <w:basedOn w:val="Normal"/>
    <w:rsid w:val="00334C0C"/>
    <w:pPr>
      <w:numPr>
        <w:numId w:val="28"/>
      </w:numPr>
      <w:ind w:left="527" w:hanging="357"/>
    </w:pPr>
  </w:style>
  <w:style w:type="paragraph" w:styleId="NoSpacing">
    <w:name w:val="No Spacing"/>
    <w:uiPriority w:val="1"/>
    <w:rsid w:val="0024753F"/>
    <w:rPr>
      <w:rFonts w:ascii="Arial" w:hAnsi="Arial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health.gov.au/resources/publications/workforce-incentive-program-guidelines" TargetMode="External"/><Relationship Id="rId26" Type="http://schemas.openxmlformats.org/officeDocument/2006/relationships/hyperlink" Target="mailto:admin@hrplus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lth.gov.au/initiatives-and-programs/workforce-incentive-program/doctor-stre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health.gov.au/workforceincentiveprogram" TargetMode="External"/><Relationship Id="rId25" Type="http://schemas.openxmlformats.org/officeDocument/2006/relationships/hyperlink" Target="mailto:accounts@ruralhealthwest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.gov.au/resources/publications/workforce-incentive-program-guidelines" TargetMode="External"/><Relationship Id="rId20" Type="http://schemas.openxmlformats.org/officeDocument/2006/relationships/hyperlink" Target="mailto:WIPDoctor@servicesaustralia.gov.au" TargetMode="External"/><Relationship Id="rId29" Type="http://schemas.openxmlformats.org/officeDocument/2006/relationships/hyperlink" Target="mailto:rwav@rwav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gpservices@ruraldoc.com.a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ealth.gov.au/resources/publications/workforce-incentive-program-guidelines" TargetMode="External"/><Relationship Id="rId23" Type="http://schemas.openxmlformats.org/officeDocument/2006/relationships/hyperlink" Target="mailto:gpwip@ntphn.org.au" TargetMode="External"/><Relationship Id="rId28" Type="http://schemas.openxmlformats.org/officeDocument/2006/relationships/hyperlink" Target="mailto:gprip@healthworkforce.com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organisations/health-professionals/services/medicare/workforce-incentive-program-doctor-strea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WIP@health.gov.au" TargetMode="External"/><Relationship Id="rId27" Type="http://schemas.openxmlformats.org/officeDocument/2006/relationships/hyperlink" Target="mailto:gpgrants@nswrdn.com.au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6" ma:contentTypeDescription="Create a new document." ma:contentTypeScope="" ma:versionID="9df34c50d087ac73e645bebf37be71ca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FB616-4887-4BC0-8DEA-ED65074E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174D4-3F43-4911-878E-164158D9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Incentive Program – Doctor Stream overview</vt:lpstr>
    </vt:vector>
  </TitlesOfParts>
  <Company>Dept Health And Ageing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Incentive Program – Doctor Stream overview</dc:title>
  <dc:subject>Health workforce</dc:subject>
  <dc:creator>Australian Government Department of Health and Aged Care</dc:creator>
  <cp:lastModifiedBy>Australian Government Department of Health and Aged </cp:lastModifiedBy>
  <cp:revision>3</cp:revision>
  <dcterms:created xsi:type="dcterms:W3CDTF">2024-06-19T02:48:00Z</dcterms:created>
  <dcterms:modified xsi:type="dcterms:W3CDTF">2024-06-19T02:57:00Z</dcterms:modified>
</cp:coreProperties>
</file>