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ABD8" w14:textId="3A186045" w:rsidR="00CF2923" w:rsidRDefault="0081676F" w:rsidP="00CF2923">
      <w:r w:rsidRPr="00CF2923">
        <w:rPr>
          <w:noProof/>
        </w:rPr>
        <w:drawing>
          <wp:inline distT="0" distB="0" distL="0" distR="0" wp14:anchorId="63CCBCCF" wp14:editId="55CC7B67">
            <wp:extent cx="762000" cy="847725"/>
            <wp:effectExtent l="0" t="0" r="0" b="9525"/>
            <wp:docPr id="4" name="Picture 4" descr="Closing the Gap logo for the SEWB partnersh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losing the Gap logo for the SEWB partnershi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497" cy="848278"/>
                    </a:xfrm>
                    <a:prstGeom prst="rect">
                      <a:avLst/>
                    </a:prstGeom>
                  </pic:spPr>
                </pic:pic>
              </a:graphicData>
            </a:graphic>
          </wp:inline>
        </w:drawing>
      </w:r>
    </w:p>
    <w:p w14:paraId="3FD5CC41" w14:textId="63EC99F0" w:rsidR="00F403BA" w:rsidRPr="00787FB0" w:rsidRDefault="00F403BA" w:rsidP="0040344B">
      <w:pPr>
        <w:pStyle w:val="Title"/>
      </w:pPr>
      <w:r w:rsidRPr="00F403BA">
        <w:t>Social and Emotional Wellbeing</w:t>
      </w:r>
      <w:r w:rsidRPr="00787FB0">
        <w:t xml:space="preserve"> (SEWB)</w:t>
      </w:r>
      <w:r w:rsidRPr="0040344B">
        <w:rPr>
          <w:spacing w:val="-6"/>
        </w:rPr>
        <w:t xml:space="preserve"> </w:t>
      </w:r>
      <w:r w:rsidRPr="00F403BA">
        <w:t>Policy Partnership</w:t>
      </w:r>
    </w:p>
    <w:p w14:paraId="7531B175" w14:textId="77777777" w:rsidR="00ED7280" w:rsidRDefault="008015AF" w:rsidP="00ED7280">
      <w:pPr>
        <w:pStyle w:val="Subtitle"/>
      </w:pPr>
      <w:r w:rsidRPr="008015AF">
        <w:t xml:space="preserve">Closing the Gap Social and Emotional Wellbeing Policy Partnership </w:t>
      </w:r>
      <w:r w:rsidR="0040344B">
        <w:t>–</w:t>
      </w:r>
      <w:r w:rsidRPr="008015AF">
        <w:t xml:space="preserve"> Meeting</w:t>
      </w:r>
      <w:r w:rsidRPr="00787FB0">
        <w:t xml:space="preserve"> 4 </w:t>
      </w:r>
      <w:r w:rsidRPr="008015AF">
        <w:t>Communique</w:t>
      </w:r>
    </w:p>
    <w:p w14:paraId="4CFB3B29" w14:textId="5A331822" w:rsidR="00010670" w:rsidRPr="00ED7280" w:rsidRDefault="00010670" w:rsidP="00ED7280">
      <w:r>
        <w:rPr>
          <w:noProof/>
        </w:rPr>
        <w:drawing>
          <wp:inline distT="0" distB="0" distL="0" distR="0" wp14:anchorId="343D2A23" wp14:editId="5842E535">
            <wp:extent cx="5822950" cy="3095625"/>
            <wp:effectExtent l="0" t="0" r="6350" b="9525"/>
            <wp:docPr id="6" name="Picture 6" descr="Photograph of the SEWB members. Back row: Matthew Trindall, Dean Bayliss, Kate Garvey, Maureen Lewis; Middle row: Zaccariah Cox, Dr Paul Gray, Dr Liz Develin, Monica Kelly, Monica Barolits–McCabe; Front row: Deb Woods, Dr Elizabeth Moore, Ali Jenkins, Professor Pat Dudgeon, Sandra Ey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Photograph of the SEWB members. Back row: Matthew Trindall, Dean Bayliss, Kate Garvey, Maureen Lewis; Middle row: Zaccariah Cox, Dr Paul Gray, Dr Liz Develin, Monica Kelly, Monica Barolits–McCabe; Front row: Deb Woods, Dr Elizabeth Moore, Ali Jenkins, Professor Pat Dudgeon, Sandra Ey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22950" cy="3095625"/>
                    </a:xfrm>
                    <a:prstGeom prst="rect">
                      <a:avLst/>
                    </a:prstGeom>
                  </pic:spPr>
                </pic:pic>
              </a:graphicData>
            </a:graphic>
          </wp:inline>
        </w:drawing>
      </w:r>
    </w:p>
    <w:p w14:paraId="3294421A" w14:textId="77777777" w:rsidR="00010670" w:rsidRPr="0040344B" w:rsidRDefault="00010670" w:rsidP="00010670">
      <w:pPr>
        <w:spacing w:before="118" w:line="264" w:lineRule="auto"/>
        <w:ind w:left="131" w:right="140" w:hanging="1"/>
        <w:rPr>
          <w:rStyle w:val="Emphasis"/>
        </w:rPr>
      </w:pPr>
      <w:r w:rsidRPr="0040344B">
        <w:rPr>
          <w:rStyle w:val="Emphasis"/>
        </w:rPr>
        <w:t xml:space="preserve">Back row: Matthew </w:t>
      </w:r>
      <w:proofErr w:type="spellStart"/>
      <w:r w:rsidRPr="0040344B">
        <w:rPr>
          <w:rStyle w:val="Emphasis"/>
        </w:rPr>
        <w:t>Trindall</w:t>
      </w:r>
      <w:proofErr w:type="spellEnd"/>
      <w:r w:rsidRPr="0040344B">
        <w:rPr>
          <w:rStyle w:val="Emphasis"/>
        </w:rPr>
        <w:t xml:space="preserve">, Dean Bayliss, Kate Garvey, Maureen Lewis; Middle row: </w:t>
      </w:r>
      <w:proofErr w:type="spellStart"/>
      <w:r w:rsidRPr="0040344B">
        <w:rPr>
          <w:rStyle w:val="Emphasis"/>
        </w:rPr>
        <w:t>Zaccariah</w:t>
      </w:r>
      <w:proofErr w:type="spellEnd"/>
      <w:r w:rsidRPr="0040344B">
        <w:rPr>
          <w:rStyle w:val="Emphasis"/>
        </w:rPr>
        <w:t xml:space="preserve"> Cox, Dr Paul Gray, Dr Liz Develin, Monica Kelly, Monica </w:t>
      </w:r>
      <w:proofErr w:type="spellStart"/>
      <w:r w:rsidRPr="0040344B">
        <w:rPr>
          <w:rStyle w:val="Emphasis"/>
        </w:rPr>
        <w:t>Barolits</w:t>
      </w:r>
      <w:proofErr w:type="spellEnd"/>
      <w:r w:rsidRPr="0040344B">
        <w:rPr>
          <w:rStyle w:val="Emphasis"/>
        </w:rPr>
        <w:t>–McCabe; Front row: Deb Woods, Dr Elizabeth Moore, Ali Jenkins, Professor Pat Dudgeon, Sandra Eyre</w:t>
      </w:r>
    </w:p>
    <w:p w14:paraId="26D03A1F" w14:textId="7338F52E" w:rsidR="00F403BA" w:rsidRDefault="00F403BA" w:rsidP="0040344B">
      <w:r>
        <w:t>The Social and Emotional Wellbeing (SEWB) Policy Partnership held its fourth meeting on</w:t>
      </w:r>
      <w:r w:rsidRPr="0040344B">
        <w:t xml:space="preserve"> 14 </w:t>
      </w:r>
      <w:r>
        <w:t>March</w:t>
      </w:r>
      <w:r w:rsidRPr="0040344B">
        <w:t xml:space="preserve"> 2024</w:t>
      </w:r>
      <w:r>
        <w:t xml:space="preserve">, on Gadigal Country in Sydney. It was Co-Chaired by Professor Pat Dudgeon (Aboriginal and Torres Strait Islander Co-Chair), and Dr Liz Develin, Deputy Secretary, Department of </w:t>
      </w:r>
      <w:proofErr w:type="gramStart"/>
      <w:r>
        <w:t>Health</w:t>
      </w:r>
      <w:proofErr w:type="gramEnd"/>
      <w:r>
        <w:t xml:space="preserve"> and Aged Care (Government Co-Chair).</w:t>
      </w:r>
    </w:p>
    <w:p w14:paraId="506A22B7" w14:textId="18D91F75" w:rsidR="00F403BA" w:rsidRDefault="00F403BA" w:rsidP="0040344B">
      <w:r w:rsidRPr="008015AF">
        <w:rPr>
          <w:rStyle w:val="Strong"/>
        </w:rPr>
        <w:t xml:space="preserve">Member </w:t>
      </w:r>
      <w:r w:rsidR="008015AF">
        <w:rPr>
          <w:rStyle w:val="Strong"/>
        </w:rPr>
        <w:t>u</w:t>
      </w:r>
      <w:r w:rsidRPr="008015AF">
        <w:rPr>
          <w:rStyle w:val="Strong"/>
        </w:rPr>
        <w:t>pdates</w:t>
      </w:r>
      <w:r>
        <w:t>: Government and Aboriginal and Torres Strait Islander member updates included examples of work in partnership and shared decision making on investment in community-controlled organisations. Members discussed supporting the SEWB workforce in the context of continuing distress associated with the Referendum on the Voice, as well local initiatives such as the Yoorr</w:t>
      </w:r>
      <w:r w:rsidR="001D16AD">
        <w:t>o</w:t>
      </w:r>
      <w:r>
        <w:t>ok Justice Commission and Truth Telling hearings.</w:t>
      </w:r>
    </w:p>
    <w:p w14:paraId="6DC5E1DF" w14:textId="4E52D30E" w:rsidR="00F403BA" w:rsidRDefault="00F403BA" w:rsidP="00F403BA">
      <w:r>
        <w:t xml:space="preserve">Aboriginal and Torres Strait Islander members highlighted the need for appropriate investment in policy and programs to improve SEWB, such as ensuring funding for cultural and clinical supervision. Resourcing and implementation challenges were also discussed in the context of lapsing grant funding and how this could be better managed through early notification of extension and /or expansion. There was a call for government officials in health and mental health roles to more effectively engage across other policy areas to promote understanding of SEWB and health impacts of proposed laws or policies, particularly those </w:t>
      </w:r>
      <w:r>
        <w:lastRenderedPageBreak/>
        <w:t>relating to law and order. Members also discussed the importance of following through on commitments made in strategic documents, including reporting on progress for Aboriginal and Torres Strait Islander commitments, initiatives, and engagement mechanisms.</w:t>
      </w:r>
    </w:p>
    <w:p w14:paraId="48E2D0C1" w14:textId="01BD7D3C" w:rsidR="00F403BA" w:rsidRDefault="00F403BA" w:rsidP="00F403BA">
      <w:r w:rsidRPr="00F403BA">
        <w:rPr>
          <w:rStyle w:val="Strong"/>
        </w:rPr>
        <w:t>Strategic Direction</w:t>
      </w:r>
      <w:r>
        <w:t xml:space="preserve">: Members considered a draft Strategic Plan developed by Aboriginal and Torres Strait Islander members to guide the work of the SEWB Policy Partnership to June 2025 and agreed to </w:t>
      </w:r>
      <w:proofErr w:type="spellStart"/>
      <w:r>
        <w:t>finalise</w:t>
      </w:r>
      <w:proofErr w:type="spellEnd"/>
      <w:r>
        <w:t xml:space="preserve"> it for progression to the Joint Council on Closing the Gap. They noted continuing work on the refresh of the </w:t>
      </w:r>
      <w:r w:rsidRPr="00F403BA">
        <w:rPr>
          <w:rStyle w:val="Emphasis"/>
        </w:rPr>
        <w:t>National Strategic Framework for Aboriginal and Torres Strait Islander Peoples’ Mental Health and Social and Emotional Wellbeing 2017-2023</w:t>
      </w:r>
      <w:r>
        <w:t xml:space="preserve"> and its expected delivery in mid-2024. The National Aboriginal and Torres Strait Islander Suicide Prevention Strategy (NATSISPS) was tabled and will be progressed to the Mental Health and Suicide Prevention Senior Officials (MHSPSO) group for endorsement. The membership noted that a commissioning framework is potentially a priority for all policy partnerships. Such a framework should extend beyond investment and service delivery to address critical aspects of self-determination and sovereignty, aligning with the broader goals of the policy partnerships. The Co-Chairs will advocate for a cross-policy partnership discussion on commissioning, involving central agencies in developing comprehensive and collaborative policies and approaches.</w:t>
      </w:r>
    </w:p>
    <w:p w14:paraId="7935E3CA" w14:textId="4A9AFDB6" w:rsidR="00F403BA" w:rsidRPr="00F403BA" w:rsidRDefault="00F403BA" w:rsidP="00F403BA">
      <w:r>
        <w:t>Across the agenda, the following themes emerged: the value of more joined up work across Policy Partnerships, as well as across governments; the importance of good relationships, information</w:t>
      </w:r>
      <w:r w:rsidR="001D16AD">
        <w:t xml:space="preserve"> </w:t>
      </w:r>
      <w:r>
        <w:t>sharing and the need for mutual accountability; the value of Aboriginal and Torres Strait Islander representation across a range of government committees and decision-making forums; and the importance of research.</w:t>
      </w:r>
    </w:p>
    <w:p w14:paraId="3506C91B" w14:textId="77777777" w:rsidR="00F403BA" w:rsidRDefault="00F403BA" w:rsidP="008015AF">
      <w:pPr>
        <w:keepNext/>
      </w:pPr>
      <w:r w:rsidRPr="00F403BA">
        <w:rPr>
          <w:rStyle w:val="Strong"/>
        </w:rPr>
        <w:t>Presentations:</w:t>
      </w:r>
      <w:r>
        <w:t xml:space="preserve"> Members received presentations from:</w:t>
      </w:r>
    </w:p>
    <w:p w14:paraId="5377C37F" w14:textId="15098C5E" w:rsidR="00F403BA" w:rsidRDefault="00F403BA" w:rsidP="00F403BA">
      <w:pPr>
        <w:pStyle w:val="ListBullet"/>
      </w:pPr>
      <w:r>
        <w:t xml:space="preserve">National Indigenous Australians Agency (NIAA), on the </w:t>
      </w:r>
      <w:r w:rsidRPr="00F403BA">
        <w:rPr>
          <w:rStyle w:val="Emphasis"/>
        </w:rPr>
        <w:t>mapping of government investment in social and emotional wellbeing</w:t>
      </w:r>
      <w:r>
        <w:t xml:space="preserve"> and the associated implementation of strategies and programs. The mapping is proving to be complex, however NIAA expects to have a more complete picture by the middle of the year.</w:t>
      </w:r>
    </w:p>
    <w:p w14:paraId="2725D83A" w14:textId="77777777" w:rsidR="00F403BA" w:rsidRDefault="00F403BA" w:rsidP="00F403BA">
      <w:pPr>
        <w:pStyle w:val="ListBullet"/>
      </w:pPr>
      <w:r>
        <w:t xml:space="preserve">Professor Ray Lovett from the Australian National University study team, on their research on the </w:t>
      </w:r>
      <w:r w:rsidRPr="00F403BA">
        <w:rPr>
          <w:rStyle w:val="Emphasis"/>
        </w:rPr>
        <w:t>impact of the Referendum on the Voice to Parliament on Aboriginal and Torres Strait Islander Mental Health and Wellbeing</w:t>
      </w:r>
      <w:r>
        <w:t>, where findings include that discrimination is increasing, including in healthcare settings; psychological distress is common and risky alcohol use has increased. The most recent research report and resources can be shared on request to the co-secretariat.</w:t>
      </w:r>
    </w:p>
    <w:p w14:paraId="71046BE5" w14:textId="4D67EE17" w:rsidR="00F403BA" w:rsidRDefault="00F403BA" w:rsidP="00F403BA">
      <w:pPr>
        <w:pStyle w:val="ListBullet"/>
      </w:pPr>
      <w:r>
        <w:t xml:space="preserve">Productivity Commissioner, Romlie Mokak, on the Productivity Commission’s three yearly Review of the National Agreement on Closing the Gap (National Agreement). In the wake of the report’s release, governments have been engaging with the Commission to understand and respond to the findings. Policy Partnerships can help to drive change, particularly around shared decision-making and by collaborating on - cross cutting policy issues such as housing, </w:t>
      </w:r>
      <w:proofErr w:type="gramStart"/>
      <w:r>
        <w:t>justice</w:t>
      </w:r>
      <w:proofErr w:type="gramEnd"/>
      <w:r>
        <w:t xml:space="preserve"> and racism. Future areas of review are expected to include local governments (including under-representation of Aboriginal and Torres Strait Islanders in these decision-making bodies) and accountability for funded organisations. </w:t>
      </w:r>
    </w:p>
    <w:p w14:paraId="45373D3A" w14:textId="739D34ED" w:rsidR="00F403BA" w:rsidRDefault="00F403BA" w:rsidP="00F403BA">
      <w:r w:rsidRPr="00F403BA">
        <w:rPr>
          <w:rStyle w:val="Strong"/>
        </w:rPr>
        <w:t>Key Decisions by the Partnership</w:t>
      </w:r>
      <w:r>
        <w:t>: Members agreed to:</w:t>
      </w:r>
    </w:p>
    <w:p w14:paraId="12A606B4" w14:textId="2E3BBFBB" w:rsidR="00F403BA" w:rsidRDefault="00F403BA" w:rsidP="00C97EF5">
      <w:pPr>
        <w:pStyle w:val="ListNumber"/>
      </w:pPr>
      <w:r>
        <w:t xml:space="preserve">progress the NATSISPS </w:t>
      </w:r>
      <w:r w:rsidRPr="00C97EF5">
        <w:t>for</w:t>
      </w:r>
      <w:r>
        <w:t xml:space="preserve"> final endorsement by governments.</w:t>
      </w:r>
    </w:p>
    <w:p w14:paraId="0BB1D64A" w14:textId="2FD94120" w:rsidR="00F403BA" w:rsidRDefault="00F403BA" w:rsidP="00F403BA">
      <w:pPr>
        <w:pStyle w:val="ListNumber"/>
      </w:pPr>
      <w:r>
        <w:t>align government member updates to Closing the Gap reform priorities to demonstrate how they are enabling change.</w:t>
      </w:r>
    </w:p>
    <w:p w14:paraId="40769EFD" w14:textId="0484A8D2" w:rsidR="00F403BA" w:rsidRDefault="00F403BA" w:rsidP="00F403BA">
      <w:pPr>
        <w:pStyle w:val="ListNumber"/>
      </w:pPr>
      <w:proofErr w:type="spellStart"/>
      <w:r>
        <w:t>finalise</w:t>
      </w:r>
      <w:proofErr w:type="spellEnd"/>
      <w:r>
        <w:t xml:space="preserve"> the SEWB Policy Partnership Strategic Plan </w:t>
      </w:r>
      <w:proofErr w:type="gramStart"/>
      <w:r>
        <w:t>in order to</w:t>
      </w:r>
      <w:proofErr w:type="gramEnd"/>
      <w:r>
        <w:t xml:space="preserve"> progress to Joint Council.</w:t>
      </w:r>
    </w:p>
    <w:p w14:paraId="47A6C47D" w14:textId="08FA6F0E" w:rsidR="005E6750" w:rsidRPr="00CF2923" w:rsidRDefault="00F403BA" w:rsidP="0040344B">
      <w:r>
        <w:t>The SEWB Policy Partnership will meet again in August 2024 in Broome with a focus on implementation of actions under the Strategic Plan.</w:t>
      </w:r>
    </w:p>
    <w:sectPr w:rsidR="005E6750" w:rsidRPr="00CF2923" w:rsidSect="00C97EF5">
      <w:footerReference w:type="default" r:id="rId13"/>
      <w:pgSz w:w="11910" w:h="16840"/>
      <w:pgMar w:top="851" w:right="853" w:bottom="1701" w:left="1440" w:header="568" w:footer="2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69EF" w14:textId="77777777" w:rsidR="00371D19" w:rsidRDefault="00371D19" w:rsidP="001D16AD">
      <w:pPr>
        <w:spacing w:before="0" w:after="0"/>
      </w:pPr>
      <w:r>
        <w:separator/>
      </w:r>
    </w:p>
  </w:endnote>
  <w:endnote w:type="continuationSeparator" w:id="0">
    <w:p w14:paraId="2DBF8EFC" w14:textId="77777777" w:rsidR="00371D19" w:rsidRDefault="00371D19" w:rsidP="001D16AD">
      <w:pPr>
        <w:spacing w:before="0" w:after="0"/>
      </w:pPr>
      <w:r>
        <w:continuationSeparator/>
      </w:r>
    </w:p>
  </w:endnote>
  <w:endnote w:type="continuationNotice" w:id="1">
    <w:p w14:paraId="478DBFB5" w14:textId="77777777" w:rsidR="00371D19" w:rsidRDefault="00371D19" w:rsidP="001D16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DC96" w14:textId="1B9F0AB9" w:rsidR="005E6750" w:rsidRPr="00C97EF5" w:rsidRDefault="00AF1260" w:rsidP="0040344B">
    <w:pPr>
      <w:rPr>
        <w:rFonts w:eastAsia="Calibri"/>
      </w:rPr>
    </w:pPr>
    <w:r>
      <w:rPr>
        <w:noProof/>
      </w:rPr>
      <w:drawing>
        <wp:inline distT="0" distB="0" distL="0" distR="0" wp14:anchorId="724BAAA2" wp14:editId="041D2774">
          <wp:extent cx="2124625" cy="334261"/>
          <wp:effectExtent l="0" t="0" r="0" b="889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625" cy="334261"/>
                  </a:xfrm>
                  <a:prstGeom prst="rect">
                    <a:avLst/>
                  </a:prstGeom>
                </pic:spPr>
              </pic:pic>
            </a:graphicData>
          </a:graphic>
        </wp:inline>
      </w:drawing>
    </w:r>
    <w:r w:rsidR="00C97EF5">
      <w:rPr>
        <w:rFonts w:eastAsia="Calibri"/>
      </w:rPr>
      <w:tab/>
    </w:r>
    <w:r w:rsidR="001D16AD" w:rsidRPr="0040344B">
      <w:rPr>
        <w:rFonts w:eastAsia="Calibri"/>
      </w:rPr>
      <w:t>Closing the Gap Social and Emotional Wellbeing Policy Partnership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905F" w14:textId="77777777" w:rsidR="00371D19" w:rsidRDefault="00371D19" w:rsidP="001D16AD">
      <w:pPr>
        <w:spacing w:before="0" w:after="0"/>
      </w:pPr>
      <w:r>
        <w:separator/>
      </w:r>
    </w:p>
  </w:footnote>
  <w:footnote w:type="continuationSeparator" w:id="0">
    <w:p w14:paraId="16E78F5E" w14:textId="77777777" w:rsidR="00371D19" w:rsidRDefault="00371D19" w:rsidP="001D16AD">
      <w:pPr>
        <w:spacing w:before="0" w:after="0"/>
      </w:pPr>
      <w:r>
        <w:continuationSeparator/>
      </w:r>
    </w:p>
  </w:footnote>
  <w:footnote w:type="continuationNotice" w:id="1">
    <w:p w14:paraId="0FEFAE1A" w14:textId="77777777" w:rsidR="00371D19" w:rsidRDefault="00371D19" w:rsidP="001D16A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ECCA21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3EF46BA2"/>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8A9277DE"/>
    <w:lvl w:ilvl="0">
      <w:start w:val="1"/>
      <w:numFmt w:val="bullet"/>
      <w:pStyle w:val="ListBullet4"/>
      <w:lvlText w:val="-"/>
      <w:lvlJc w:val="left"/>
      <w:pPr>
        <w:ind w:left="1209" w:hanging="360"/>
      </w:pPr>
      <w:rPr>
        <w:rFonts w:ascii="Courier New" w:hAnsi="Courier New" w:hint="default"/>
      </w:rPr>
    </w:lvl>
  </w:abstractNum>
  <w:abstractNum w:abstractNumId="3" w15:restartNumberingAfterBreak="0">
    <w:nsid w:val="FFFFFF82"/>
    <w:multiLevelType w:val="singleLevel"/>
    <w:tmpl w:val="CBAE774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2A8D6B8"/>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0FABE2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9300FEC2"/>
    <w:lvl w:ilvl="0">
      <w:start w:val="1"/>
      <w:numFmt w:val="bullet"/>
      <w:pStyle w:val="ListBullet"/>
      <w:lvlText w:val="-"/>
      <w:lvlJc w:val="left"/>
      <w:pPr>
        <w:ind w:left="360" w:hanging="360"/>
      </w:pPr>
      <w:rPr>
        <w:rFonts w:ascii="Courier New" w:hAnsi="Courier New" w:hint="default"/>
      </w:rPr>
    </w:lvl>
  </w:abstractNum>
  <w:abstractNum w:abstractNumId="7" w15:restartNumberingAfterBreak="0">
    <w:nsid w:val="24840205"/>
    <w:multiLevelType w:val="hybridMultilevel"/>
    <w:tmpl w:val="EDF443B6"/>
    <w:lvl w:ilvl="0" w:tplc="3D320542">
      <w:numFmt w:val="bullet"/>
      <w:lvlText w:val="-"/>
      <w:lvlJc w:val="left"/>
      <w:pPr>
        <w:ind w:left="1080" w:hanging="360"/>
      </w:pPr>
      <w:rPr>
        <w:rFonts w:ascii="Times New Roman" w:eastAsiaTheme="minorHAns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7DD7E59"/>
    <w:multiLevelType w:val="hybridMultilevel"/>
    <w:tmpl w:val="943C2FA2"/>
    <w:lvl w:ilvl="0" w:tplc="5FC6910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42538"/>
    <w:multiLevelType w:val="hybridMultilevel"/>
    <w:tmpl w:val="7BD4D450"/>
    <w:lvl w:ilvl="0" w:tplc="B56685A4">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6B86482"/>
    <w:multiLevelType w:val="hybridMultilevel"/>
    <w:tmpl w:val="F7181850"/>
    <w:lvl w:ilvl="0" w:tplc="16C2544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FCD5E64"/>
    <w:multiLevelType w:val="hybridMultilevel"/>
    <w:tmpl w:val="FAA674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82D99"/>
    <w:multiLevelType w:val="hybridMultilevel"/>
    <w:tmpl w:val="1AD6F5A0"/>
    <w:lvl w:ilvl="0" w:tplc="7AFCA2E8">
      <w:start w:val="1"/>
      <w:numFmt w:val="decimal"/>
      <w:lvlText w:val="%1."/>
      <w:lvlJc w:val="left"/>
      <w:pPr>
        <w:ind w:left="154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688062E">
      <w:numFmt w:val="bullet"/>
      <w:lvlText w:val="•"/>
      <w:lvlJc w:val="left"/>
      <w:pPr>
        <w:ind w:left="2514" w:hanging="360"/>
      </w:pPr>
      <w:rPr>
        <w:rFonts w:hint="default"/>
        <w:lang w:val="en-US" w:eastAsia="en-US" w:bidi="ar-SA"/>
      </w:rPr>
    </w:lvl>
    <w:lvl w:ilvl="2" w:tplc="784EA532">
      <w:numFmt w:val="bullet"/>
      <w:lvlText w:val="•"/>
      <w:lvlJc w:val="left"/>
      <w:pPr>
        <w:ind w:left="3489" w:hanging="360"/>
      </w:pPr>
      <w:rPr>
        <w:rFonts w:hint="default"/>
        <w:lang w:val="en-US" w:eastAsia="en-US" w:bidi="ar-SA"/>
      </w:rPr>
    </w:lvl>
    <w:lvl w:ilvl="3" w:tplc="E8CA2D12">
      <w:numFmt w:val="bullet"/>
      <w:lvlText w:val="•"/>
      <w:lvlJc w:val="left"/>
      <w:pPr>
        <w:ind w:left="4463" w:hanging="360"/>
      </w:pPr>
      <w:rPr>
        <w:rFonts w:hint="default"/>
        <w:lang w:val="en-US" w:eastAsia="en-US" w:bidi="ar-SA"/>
      </w:rPr>
    </w:lvl>
    <w:lvl w:ilvl="4" w:tplc="64F0B0AC">
      <w:numFmt w:val="bullet"/>
      <w:lvlText w:val="•"/>
      <w:lvlJc w:val="left"/>
      <w:pPr>
        <w:ind w:left="5438" w:hanging="360"/>
      </w:pPr>
      <w:rPr>
        <w:rFonts w:hint="default"/>
        <w:lang w:val="en-US" w:eastAsia="en-US" w:bidi="ar-SA"/>
      </w:rPr>
    </w:lvl>
    <w:lvl w:ilvl="5" w:tplc="394EDCAC">
      <w:numFmt w:val="bullet"/>
      <w:lvlText w:val="•"/>
      <w:lvlJc w:val="left"/>
      <w:pPr>
        <w:ind w:left="6413" w:hanging="360"/>
      </w:pPr>
      <w:rPr>
        <w:rFonts w:hint="default"/>
        <w:lang w:val="en-US" w:eastAsia="en-US" w:bidi="ar-SA"/>
      </w:rPr>
    </w:lvl>
    <w:lvl w:ilvl="6" w:tplc="3E9C4280">
      <w:numFmt w:val="bullet"/>
      <w:lvlText w:val="•"/>
      <w:lvlJc w:val="left"/>
      <w:pPr>
        <w:ind w:left="7387" w:hanging="360"/>
      </w:pPr>
      <w:rPr>
        <w:rFonts w:hint="default"/>
        <w:lang w:val="en-US" w:eastAsia="en-US" w:bidi="ar-SA"/>
      </w:rPr>
    </w:lvl>
    <w:lvl w:ilvl="7" w:tplc="9E465AAC">
      <w:numFmt w:val="bullet"/>
      <w:lvlText w:val="•"/>
      <w:lvlJc w:val="left"/>
      <w:pPr>
        <w:ind w:left="8362" w:hanging="360"/>
      </w:pPr>
      <w:rPr>
        <w:rFonts w:hint="default"/>
        <w:lang w:val="en-US" w:eastAsia="en-US" w:bidi="ar-SA"/>
      </w:rPr>
    </w:lvl>
    <w:lvl w:ilvl="8" w:tplc="CE1695DE">
      <w:numFmt w:val="bullet"/>
      <w:lvlText w:val="•"/>
      <w:lvlJc w:val="left"/>
      <w:pPr>
        <w:ind w:left="9337" w:hanging="360"/>
      </w:pPr>
      <w:rPr>
        <w:rFonts w:hint="default"/>
        <w:lang w:val="en-US" w:eastAsia="en-US" w:bidi="ar-SA"/>
      </w:rPr>
    </w:lvl>
  </w:abstractNum>
  <w:abstractNum w:abstractNumId="13" w15:restartNumberingAfterBreak="0">
    <w:nsid w:val="731534C8"/>
    <w:multiLevelType w:val="hybridMultilevel"/>
    <w:tmpl w:val="CA9EBD62"/>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6921B6D"/>
    <w:multiLevelType w:val="hybridMultilevel"/>
    <w:tmpl w:val="A3183A5C"/>
    <w:lvl w:ilvl="0" w:tplc="58205FD6">
      <w:numFmt w:val="bullet"/>
      <w:lvlText w:val="-"/>
      <w:lvlJc w:val="left"/>
      <w:pPr>
        <w:ind w:left="1187" w:hanging="360"/>
      </w:pPr>
      <w:rPr>
        <w:rFonts w:ascii="Times New Roman" w:eastAsia="Times New Roman" w:hAnsi="Times New Roman" w:cs="Times New Roman" w:hint="default"/>
        <w:spacing w:val="0"/>
        <w:w w:val="100"/>
        <w:lang w:val="en-US" w:eastAsia="en-US" w:bidi="ar-SA"/>
      </w:rPr>
    </w:lvl>
    <w:lvl w:ilvl="1" w:tplc="2A709388">
      <w:numFmt w:val="bullet"/>
      <w:lvlText w:val="o"/>
      <w:lvlJc w:val="left"/>
      <w:pPr>
        <w:ind w:left="1907" w:hanging="360"/>
      </w:pPr>
      <w:rPr>
        <w:rFonts w:ascii="Courier New" w:eastAsia="Courier New" w:hAnsi="Courier New" w:cs="Courier New" w:hint="default"/>
        <w:b w:val="0"/>
        <w:bCs w:val="0"/>
        <w:i w:val="0"/>
        <w:iCs w:val="0"/>
        <w:spacing w:val="0"/>
        <w:w w:val="100"/>
        <w:sz w:val="24"/>
        <w:szCs w:val="24"/>
        <w:lang w:val="en-US" w:eastAsia="en-US" w:bidi="ar-SA"/>
      </w:rPr>
    </w:lvl>
    <w:lvl w:ilvl="2" w:tplc="49222372">
      <w:numFmt w:val="bullet"/>
      <w:lvlText w:val="•"/>
      <w:lvlJc w:val="left"/>
      <w:pPr>
        <w:ind w:left="2942" w:hanging="360"/>
      </w:pPr>
      <w:rPr>
        <w:rFonts w:hint="default"/>
        <w:lang w:val="en-US" w:eastAsia="en-US" w:bidi="ar-SA"/>
      </w:rPr>
    </w:lvl>
    <w:lvl w:ilvl="3" w:tplc="1DD6F014">
      <w:numFmt w:val="bullet"/>
      <w:lvlText w:val="•"/>
      <w:lvlJc w:val="left"/>
      <w:pPr>
        <w:ind w:left="3985" w:hanging="360"/>
      </w:pPr>
      <w:rPr>
        <w:rFonts w:hint="default"/>
        <w:lang w:val="en-US" w:eastAsia="en-US" w:bidi="ar-SA"/>
      </w:rPr>
    </w:lvl>
    <w:lvl w:ilvl="4" w:tplc="BA1AEB18">
      <w:numFmt w:val="bullet"/>
      <w:lvlText w:val="•"/>
      <w:lvlJc w:val="left"/>
      <w:pPr>
        <w:ind w:left="5028" w:hanging="360"/>
      </w:pPr>
      <w:rPr>
        <w:rFonts w:hint="default"/>
        <w:lang w:val="en-US" w:eastAsia="en-US" w:bidi="ar-SA"/>
      </w:rPr>
    </w:lvl>
    <w:lvl w:ilvl="5" w:tplc="BA76DB4E">
      <w:numFmt w:val="bullet"/>
      <w:lvlText w:val="•"/>
      <w:lvlJc w:val="left"/>
      <w:pPr>
        <w:ind w:left="6071" w:hanging="360"/>
      </w:pPr>
      <w:rPr>
        <w:rFonts w:hint="default"/>
        <w:lang w:val="en-US" w:eastAsia="en-US" w:bidi="ar-SA"/>
      </w:rPr>
    </w:lvl>
    <w:lvl w:ilvl="6" w:tplc="B7A49E1A">
      <w:numFmt w:val="bullet"/>
      <w:lvlText w:val="•"/>
      <w:lvlJc w:val="left"/>
      <w:pPr>
        <w:ind w:left="7114" w:hanging="360"/>
      </w:pPr>
      <w:rPr>
        <w:rFonts w:hint="default"/>
        <w:lang w:val="en-US" w:eastAsia="en-US" w:bidi="ar-SA"/>
      </w:rPr>
    </w:lvl>
    <w:lvl w:ilvl="7" w:tplc="D930A7DA">
      <w:numFmt w:val="bullet"/>
      <w:lvlText w:val="•"/>
      <w:lvlJc w:val="left"/>
      <w:pPr>
        <w:ind w:left="8157" w:hanging="360"/>
      </w:pPr>
      <w:rPr>
        <w:rFonts w:hint="default"/>
        <w:lang w:val="en-US" w:eastAsia="en-US" w:bidi="ar-SA"/>
      </w:rPr>
    </w:lvl>
    <w:lvl w:ilvl="8" w:tplc="E15070F6">
      <w:numFmt w:val="bullet"/>
      <w:lvlText w:val="•"/>
      <w:lvlJc w:val="left"/>
      <w:pPr>
        <w:ind w:left="9200" w:hanging="360"/>
      </w:pPr>
      <w:rPr>
        <w:rFonts w:hint="default"/>
        <w:lang w:val="en-US" w:eastAsia="en-US" w:bidi="ar-SA"/>
      </w:rPr>
    </w:lvl>
  </w:abstractNum>
  <w:num w:numId="1" w16cid:durableId="1152911912">
    <w:abstractNumId w:val="12"/>
  </w:num>
  <w:num w:numId="2" w16cid:durableId="486556487">
    <w:abstractNumId w:val="14"/>
  </w:num>
  <w:num w:numId="3" w16cid:durableId="688457997">
    <w:abstractNumId w:val="6"/>
  </w:num>
  <w:num w:numId="4" w16cid:durableId="1343318700">
    <w:abstractNumId w:val="4"/>
  </w:num>
  <w:num w:numId="5" w16cid:durableId="556211352">
    <w:abstractNumId w:val="5"/>
  </w:num>
  <w:num w:numId="6" w16cid:durableId="317149820">
    <w:abstractNumId w:val="1"/>
  </w:num>
  <w:num w:numId="7" w16cid:durableId="1811482194">
    <w:abstractNumId w:val="0"/>
  </w:num>
  <w:num w:numId="8" w16cid:durableId="2038457398">
    <w:abstractNumId w:val="2"/>
  </w:num>
  <w:num w:numId="9" w16cid:durableId="533274678">
    <w:abstractNumId w:val="3"/>
  </w:num>
  <w:num w:numId="10" w16cid:durableId="1138650365">
    <w:abstractNumId w:val="10"/>
  </w:num>
  <w:num w:numId="11" w16cid:durableId="1771195727">
    <w:abstractNumId w:val="9"/>
  </w:num>
  <w:num w:numId="12" w16cid:durableId="319890082">
    <w:abstractNumId w:val="8"/>
  </w:num>
  <w:num w:numId="13" w16cid:durableId="1212231419">
    <w:abstractNumId w:val="11"/>
  </w:num>
  <w:num w:numId="14" w16cid:durableId="542908549">
    <w:abstractNumId w:val="7"/>
  </w:num>
  <w:num w:numId="15" w16cid:durableId="10183919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50"/>
    <w:rsid w:val="00002143"/>
    <w:rsid w:val="00010670"/>
    <w:rsid w:val="00010855"/>
    <w:rsid w:val="00011667"/>
    <w:rsid w:val="00026695"/>
    <w:rsid w:val="000676D4"/>
    <w:rsid w:val="000727F5"/>
    <w:rsid w:val="00077E55"/>
    <w:rsid w:val="00084608"/>
    <w:rsid w:val="0008520D"/>
    <w:rsid w:val="000977D2"/>
    <w:rsid w:val="00097CAA"/>
    <w:rsid w:val="000A1078"/>
    <w:rsid w:val="000A1E16"/>
    <w:rsid w:val="000B151A"/>
    <w:rsid w:val="000B27DA"/>
    <w:rsid w:val="000B45A5"/>
    <w:rsid w:val="000C2180"/>
    <w:rsid w:val="000D16C5"/>
    <w:rsid w:val="000D57AF"/>
    <w:rsid w:val="000F004C"/>
    <w:rsid w:val="000F461A"/>
    <w:rsid w:val="0010324F"/>
    <w:rsid w:val="00110AF0"/>
    <w:rsid w:val="00116F14"/>
    <w:rsid w:val="001205AE"/>
    <w:rsid w:val="00135A4B"/>
    <w:rsid w:val="0015203F"/>
    <w:rsid w:val="0015374A"/>
    <w:rsid w:val="00154227"/>
    <w:rsid w:val="00164868"/>
    <w:rsid w:val="00166D96"/>
    <w:rsid w:val="00170FDC"/>
    <w:rsid w:val="001869C4"/>
    <w:rsid w:val="00192788"/>
    <w:rsid w:val="00195AD0"/>
    <w:rsid w:val="00197FB4"/>
    <w:rsid w:val="001A5E6A"/>
    <w:rsid w:val="001B42CD"/>
    <w:rsid w:val="001B55D8"/>
    <w:rsid w:val="001B5ED0"/>
    <w:rsid w:val="001C2A32"/>
    <w:rsid w:val="001C645B"/>
    <w:rsid w:val="001D0D9D"/>
    <w:rsid w:val="001D121F"/>
    <w:rsid w:val="001D16AD"/>
    <w:rsid w:val="001E251C"/>
    <w:rsid w:val="001E31F6"/>
    <w:rsid w:val="001F6C55"/>
    <w:rsid w:val="002003E4"/>
    <w:rsid w:val="00216215"/>
    <w:rsid w:val="00217CF2"/>
    <w:rsid w:val="00217FA0"/>
    <w:rsid w:val="00222D6E"/>
    <w:rsid w:val="0022441C"/>
    <w:rsid w:val="0023297A"/>
    <w:rsid w:val="002371A5"/>
    <w:rsid w:val="00241CC5"/>
    <w:rsid w:val="00261F8C"/>
    <w:rsid w:val="00267709"/>
    <w:rsid w:val="00272C15"/>
    <w:rsid w:val="002739D1"/>
    <w:rsid w:val="002776FC"/>
    <w:rsid w:val="00280050"/>
    <w:rsid w:val="0029190D"/>
    <w:rsid w:val="00295657"/>
    <w:rsid w:val="002A019C"/>
    <w:rsid w:val="002A4F17"/>
    <w:rsid w:val="002A6C7A"/>
    <w:rsid w:val="002B6433"/>
    <w:rsid w:val="002C573D"/>
    <w:rsid w:val="002C77B0"/>
    <w:rsid w:val="002D4CE5"/>
    <w:rsid w:val="002E0EA1"/>
    <w:rsid w:val="002E20A5"/>
    <w:rsid w:val="002E214A"/>
    <w:rsid w:val="002E2A6D"/>
    <w:rsid w:val="002E4D4E"/>
    <w:rsid w:val="002F7551"/>
    <w:rsid w:val="002F785C"/>
    <w:rsid w:val="002F7958"/>
    <w:rsid w:val="00323A6D"/>
    <w:rsid w:val="00326C08"/>
    <w:rsid w:val="00327092"/>
    <w:rsid w:val="00363BFE"/>
    <w:rsid w:val="0036464F"/>
    <w:rsid w:val="00366905"/>
    <w:rsid w:val="00371D19"/>
    <w:rsid w:val="003745B0"/>
    <w:rsid w:val="0037685C"/>
    <w:rsid w:val="0039528B"/>
    <w:rsid w:val="003C22A6"/>
    <w:rsid w:val="003C4B96"/>
    <w:rsid w:val="003D0089"/>
    <w:rsid w:val="003E6C05"/>
    <w:rsid w:val="0040344B"/>
    <w:rsid w:val="00425B1B"/>
    <w:rsid w:val="0044231C"/>
    <w:rsid w:val="00442B40"/>
    <w:rsid w:val="00445869"/>
    <w:rsid w:val="00453540"/>
    <w:rsid w:val="00460B06"/>
    <w:rsid w:val="004625F8"/>
    <w:rsid w:val="00473F90"/>
    <w:rsid w:val="00497247"/>
    <w:rsid w:val="004B6008"/>
    <w:rsid w:val="004C2AB5"/>
    <w:rsid w:val="004C37A9"/>
    <w:rsid w:val="004D6018"/>
    <w:rsid w:val="004E06FC"/>
    <w:rsid w:val="004E5090"/>
    <w:rsid w:val="004E5669"/>
    <w:rsid w:val="004F7D13"/>
    <w:rsid w:val="00505E0A"/>
    <w:rsid w:val="00510891"/>
    <w:rsid w:val="00522664"/>
    <w:rsid w:val="005350EA"/>
    <w:rsid w:val="00541D81"/>
    <w:rsid w:val="00547CEB"/>
    <w:rsid w:val="00552C63"/>
    <w:rsid w:val="00554F14"/>
    <w:rsid w:val="00573842"/>
    <w:rsid w:val="00581ADB"/>
    <w:rsid w:val="00582C73"/>
    <w:rsid w:val="0058473A"/>
    <w:rsid w:val="005A7A70"/>
    <w:rsid w:val="005B02E4"/>
    <w:rsid w:val="005B2158"/>
    <w:rsid w:val="005C33C6"/>
    <w:rsid w:val="005E0120"/>
    <w:rsid w:val="005E5339"/>
    <w:rsid w:val="005E5914"/>
    <w:rsid w:val="005E6750"/>
    <w:rsid w:val="005F0E7C"/>
    <w:rsid w:val="005F5407"/>
    <w:rsid w:val="0060063A"/>
    <w:rsid w:val="00602002"/>
    <w:rsid w:val="00604D24"/>
    <w:rsid w:val="006111A3"/>
    <w:rsid w:val="00620975"/>
    <w:rsid w:val="0062298B"/>
    <w:rsid w:val="00630EA7"/>
    <w:rsid w:val="006577A9"/>
    <w:rsid w:val="00680C2E"/>
    <w:rsid w:val="00680C42"/>
    <w:rsid w:val="006A4D09"/>
    <w:rsid w:val="006A6765"/>
    <w:rsid w:val="006D3DC2"/>
    <w:rsid w:val="006D5E89"/>
    <w:rsid w:val="006E5E82"/>
    <w:rsid w:val="00713B61"/>
    <w:rsid w:val="0071691B"/>
    <w:rsid w:val="007260B5"/>
    <w:rsid w:val="007343DE"/>
    <w:rsid w:val="00744C42"/>
    <w:rsid w:val="0076526C"/>
    <w:rsid w:val="00781837"/>
    <w:rsid w:val="00787FB0"/>
    <w:rsid w:val="00794F86"/>
    <w:rsid w:val="007973E7"/>
    <w:rsid w:val="007A07CA"/>
    <w:rsid w:val="007A418D"/>
    <w:rsid w:val="007C2D1C"/>
    <w:rsid w:val="007E0673"/>
    <w:rsid w:val="007E50E0"/>
    <w:rsid w:val="007E7578"/>
    <w:rsid w:val="007F6F23"/>
    <w:rsid w:val="008015AF"/>
    <w:rsid w:val="00807106"/>
    <w:rsid w:val="00811FD8"/>
    <w:rsid w:val="00814525"/>
    <w:rsid w:val="0081676F"/>
    <w:rsid w:val="008255E9"/>
    <w:rsid w:val="00830715"/>
    <w:rsid w:val="008429F1"/>
    <w:rsid w:val="00856016"/>
    <w:rsid w:val="008614A4"/>
    <w:rsid w:val="008655CF"/>
    <w:rsid w:val="008725DA"/>
    <w:rsid w:val="00881BE6"/>
    <w:rsid w:val="00882AB2"/>
    <w:rsid w:val="00883222"/>
    <w:rsid w:val="00885296"/>
    <w:rsid w:val="008A3F88"/>
    <w:rsid w:val="008B0A40"/>
    <w:rsid w:val="008E23CA"/>
    <w:rsid w:val="008E648B"/>
    <w:rsid w:val="008F6050"/>
    <w:rsid w:val="009078C4"/>
    <w:rsid w:val="00921B11"/>
    <w:rsid w:val="009307CC"/>
    <w:rsid w:val="0093197B"/>
    <w:rsid w:val="00950C7A"/>
    <w:rsid w:val="00951247"/>
    <w:rsid w:val="00954909"/>
    <w:rsid w:val="00961854"/>
    <w:rsid w:val="00962CDD"/>
    <w:rsid w:val="00964F4D"/>
    <w:rsid w:val="009703A8"/>
    <w:rsid w:val="009736A1"/>
    <w:rsid w:val="00973EB5"/>
    <w:rsid w:val="00985B6E"/>
    <w:rsid w:val="00986C51"/>
    <w:rsid w:val="009A3145"/>
    <w:rsid w:val="009A3612"/>
    <w:rsid w:val="009B252D"/>
    <w:rsid w:val="009B2A41"/>
    <w:rsid w:val="009C515E"/>
    <w:rsid w:val="009C6E0B"/>
    <w:rsid w:val="009F0919"/>
    <w:rsid w:val="00A14A33"/>
    <w:rsid w:val="00A55B30"/>
    <w:rsid w:val="00A73D89"/>
    <w:rsid w:val="00A847F4"/>
    <w:rsid w:val="00A873B1"/>
    <w:rsid w:val="00A93712"/>
    <w:rsid w:val="00AA326B"/>
    <w:rsid w:val="00AA4275"/>
    <w:rsid w:val="00AD2432"/>
    <w:rsid w:val="00AD64E3"/>
    <w:rsid w:val="00AE6D78"/>
    <w:rsid w:val="00AF1260"/>
    <w:rsid w:val="00AF6E4C"/>
    <w:rsid w:val="00B00ACF"/>
    <w:rsid w:val="00B04254"/>
    <w:rsid w:val="00B410C4"/>
    <w:rsid w:val="00B423DF"/>
    <w:rsid w:val="00B42ABD"/>
    <w:rsid w:val="00B46B3E"/>
    <w:rsid w:val="00B548FE"/>
    <w:rsid w:val="00B674DC"/>
    <w:rsid w:val="00B73461"/>
    <w:rsid w:val="00B803E8"/>
    <w:rsid w:val="00B80D0B"/>
    <w:rsid w:val="00B843FE"/>
    <w:rsid w:val="00B85270"/>
    <w:rsid w:val="00BA0665"/>
    <w:rsid w:val="00BA57DA"/>
    <w:rsid w:val="00BB6BEA"/>
    <w:rsid w:val="00BC450B"/>
    <w:rsid w:val="00BD44AD"/>
    <w:rsid w:val="00BE3681"/>
    <w:rsid w:val="00BE3C85"/>
    <w:rsid w:val="00C00813"/>
    <w:rsid w:val="00C02A01"/>
    <w:rsid w:val="00C10698"/>
    <w:rsid w:val="00C20477"/>
    <w:rsid w:val="00C25636"/>
    <w:rsid w:val="00C534F3"/>
    <w:rsid w:val="00C637C4"/>
    <w:rsid w:val="00C75921"/>
    <w:rsid w:val="00C75B35"/>
    <w:rsid w:val="00C802DD"/>
    <w:rsid w:val="00C8427D"/>
    <w:rsid w:val="00C878D1"/>
    <w:rsid w:val="00C97EF5"/>
    <w:rsid w:val="00CA2088"/>
    <w:rsid w:val="00CA44E7"/>
    <w:rsid w:val="00CA5C42"/>
    <w:rsid w:val="00CA6EF3"/>
    <w:rsid w:val="00CB55D4"/>
    <w:rsid w:val="00CC0DE7"/>
    <w:rsid w:val="00CC1A90"/>
    <w:rsid w:val="00CC219A"/>
    <w:rsid w:val="00CD4637"/>
    <w:rsid w:val="00CF2923"/>
    <w:rsid w:val="00CF293C"/>
    <w:rsid w:val="00D011E8"/>
    <w:rsid w:val="00D06587"/>
    <w:rsid w:val="00D06E76"/>
    <w:rsid w:val="00D317AA"/>
    <w:rsid w:val="00D35368"/>
    <w:rsid w:val="00D35C6C"/>
    <w:rsid w:val="00D419A0"/>
    <w:rsid w:val="00D7061E"/>
    <w:rsid w:val="00D73111"/>
    <w:rsid w:val="00D75CAD"/>
    <w:rsid w:val="00D8356D"/>
    <w:rsid w:val="00D871F3"/>
    <w:rsid w:val="00D9606C"/>
    <w:rsid w:val="00D96BB7"/>
    <w:rsid w:val="00DA0507"/>
    <w:rsid w:val="00DB00A5"/>
    <w:rsid w:val="00DB456A"/>
    <w:rsid w:val="00DB4605"/>
    <w:rsid w:val="00DB6D3A"/>
    <w:rsid w:val="00DC0DB6"/>
    <w:rsid w:val="00DD4196"/>
    <w:rsid w:val="00DF1631"/>
    <w:rsid w:val="00E04436"/>
    <w:rsid w:val="00E06F5A"/>
    <w:rsid w:val="00E37B17"/>
    <w:rsid w:val="00E41FA9"/>
    <w:rsid w:val="00E4484B"/>
    <w:rsid w:val="00E62376"/>
    <w:rsid w:val="00E635BC"/>
    <w:rsid w:val="00E747AA"/>
    <w:rsid w:val="00E75682"/>
    <w:rsid w:val="00E759D6"/>
    <w:rsid w:val="00E7775D"/>
    <w:rsid w:val="00EA0380"/>
    <w:rsid w:val="00EA0F8B"/>
    <w:rsid w:val="00EB5F91"/>
    <w:rsid w:val="00EC02BC"/>
    <w:rsid w:val="00ED311C"/>
    <w:rsid w:val="00ED7280"/>
    <w:rsid w:val="00EF1615"/>
    <w:rsid w:val="00EF20AA"/>
    <w:rsid w:val="00EF37F2"/>
    <w:rsid w:val="00EF3973"/>
    <w:rsid w:val="00F12539"/>
    <w:rsid w:val="00F12A31"/>
    <w:rsid w:val="00F12DE0"/>
    <w:rsid w:val="00F1371E"/>
    <w:rsid w:val="00F13791"/>
    <w:rsid w:val="00F14C55"/>
    <w:rsid w:val="00F14D6C"/>
    <w:rsid w:val="00F1520C"/>
    <w:rsid w:val="00F35B33"/>
    <w:rsid w:val="00F403BA"/>
    <w:rsid w:val="00F416CD"/>
    <w:rsid w:val="00F51779"/>
    <w:rsid w:val="00F545F8"/>
    <w:rsid w:val="00F676F2"/>
    <w:rsid w:val="00F67FD1"/>
    <w:rsid w:val="00F76B05"/>
    <w:rsid w:val="00F962FF"/>
    <w:rsid w:val="00FA2AF1"/>
    <w:rsid w:val="00FA474D"/>
    <w:rsid w:val="00FA5BEF"/>
    <w:rsid w:val="00FB1809"/>
    <w:rsid w:val="00FC0D78"/>
    <w:rsid w:val="00FD16B5"/>
    <w:rsid w:val="00FE525B"/>
    <w:rsid w:val="00FF1C5D"/>
    <w:rsid w:val="0392F7E4"/>
    <w:rsid w:val="045AC52A"/>
    <w:rsid w:val="06AFE70C"/>
    <w:rsid w:val="136820CE"/>
    <w:rsid w:val="14AF4F5F"/>
    <w:rsid w:val="1EA6D766"/>
    <w:rsid w:val="1FC668EB"/>
    <w:rsid w:val="2162394C"/>
    <w:rsid w:val="21DE7828"/>
    <w:rsid w:val="2333A51C"/>
    <w:rsid w:val="23653278"/>
    <w:rsid w:val="2609DBDD"/>
    <w:rsid w:val="264DA3DC"/>
    <w:rsid w:val="2913E220"/>
    <w:rsid w:val="2BD6FB91"/>
    <w:rsid w:val="30CC97DD"/>
    <w:rsid w:val="31847881"/>
    <w:rsid w:val="31E75D2A"/>
    <w:rsid w:val="331C1AFD"/>
    <w:rsid w:val="332048E2"/>
    <w:rsid w:val="3A323AFF"/>
    <w:rsid w:val="40507D7A"/>
    <w:rsid w:val="43C9C024"/>
    <w:rsid w:val="45CC570F"/>
    <w:rsid w:val="49C16F87"/>
    <w:rsid w:val="4CF07350"/>
    <w:rsid w:val="4DB7E988"/>
    <w:rsid w:val="4ED9DC57"/>
    <w:rsid w:val="4F56DE1B"/>
    <w:rsid w:val="505107DE"/>
    <w:rsid w:val="5418C6B3"/>
    <w:rsid w:val="54C9DBA5"/>
    <w:rsid w:val="5665AC06"/>
    <w:rsid w:val="58813E20"/>
    <w:rsid w:val="5B14374F"/>
    <w:rsid w:val="600C8E4C"/>
    <w:rsid w:val="625859A1"/>
    <w:rsid w:val="63F42A02"/>
    <w:rsid w:val="64453C5C"/>
    <w:rsid w:val="69F71E09"/>
    <w:rsid w:val="6C8FD4A5"/>
    <w:rsid w:val="701B7C8D"/>
    <w:rsid w:val="7204BCD3"/>
    <w:rsid w:val="75867132"/>
    <w:rsid w:val="75AFB3C7"/>
    <w:rsid w:val="7670A42D"/>
    <w:rsid w:val="77859433"/>
    <w:rsid w:val="7AC2319E"/>
    <w:rsid w:val="7C2FF36C"/>
    <w:rsid w:val="7C611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024F7"/>
  <w15:docId w15:val="{9639BB03-1B7C-4A70-8410-DD7F038A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B0"/>
    <w:pPr>
      <w:spacing w:before="120" w:after="120"/>
    </w:pPr>
    <w:rPr>
      <w:rFonts w:ascii="Calibri" w:eastAsia="Times New Roman" w:hAnsi="Calibri" w:cs="Times New Roman"/>
    </w:rPr>
  </w:style>
  <w:style w:type="paragraph" w:styleId="Heading1">
    <w:name w:val="heading 1"/>
    <w:uiPriority w:val="9"/>
    <w:qFormat/>
    <w:rsid w:val="00CF2923"/>
    <w:pPr>
      <w:spacing w:before="120" w:after="120" w:line="276" w:lineRule="auto"/>
      <w:outlineLvl w:val="0"/>
    </w:pPr>
    <w:rPr>
      <w:rFonts w:ascii="Calibri" w:eastAsia="Times New Roman" w:hAnsi="Calibri" w:cs="Times New Roman"/>
      <w:b/>
      <w:bCs/>
      <w:sz w:val="24"/>
      <w:szCs w:val="24"/>
    </w:rPr>
  </w:style>
  <w:style w:type="paragraph" w:styleId="Heading2">
    <w:name w:val="heading 2"/>
    <w:basedOn w:val="Heading1"/>
    <w:next w:val="Normal"/>
    <w:link w:val="Heading2Char"/>
    <w:uiPriority w:val="9"/>
    <w:unhideWhenUsed/>
    <w:qFormat/>
    <w:rsid w:val="00CF2923"/>
    <w:pPr>
      <w:keepNext/>
      <w:keepLines/>
      <w:outlineLvl w:val="1"/>
    </w:pPr>
    <w:rPr>
      <w:rFonts w:eastAsiaTheme="majorEastAsia" w:cstheme="majorBidi"/>
      <w:sz w:val="26"/>
      <w:szCs w:val="26"/>
    </w:rPr>
  </w:style>
  <w:style w:type="paragraph" w:styleId="Heading3">
    <w:name w:val="heading 3"/>
    <w:basedOn w:val="Heading2"/>
    <w:next w:val="Normal"/>
    <w:link w:val="Heading3Char"/>
    <w:uiPriority w:val="9"/>
    <w:unhideWhenUsed/>
    <w:qFormat/>
    <w:rsid w:val="00CF2923"/>
    <w:pPr>
      <w:spacing w:before="40"/>
      <w:outlineLvl w:val="2"/>
    </w:pPr>
    <w:rPr>
      <w:rFonts w:asciiTheme="minorHAnsi" w:hAnsiTheme="min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187" w:hanging="360"/>
    </w:pPr>
    <w:rPr>
      <w:rFonts w:ascii="Times New Roman" w:hAnsi="Times New Roman"/>
      <w:sz w:val="24"/>
      <w:szCs w:val="24"/>
    </w:rPr>
  </w:style>
  <w:style w:type="paragraph" w:styleId="ListParagraph">
    <w:name w:val="List Paragraph"/>
    <w:basedOn w:val="Normal"/>
    <w:uiPriority w:val="34"/>
    <w:qFormat/>
    <w:rsid w:val="00787FB0"/>
    <w:pPr>
      <w:spacing w:before="22"/>
      <w:ind w:left="1187" w:hanging="360"/>
    </w:pPr>
    <w:rPr>
      <w:rFonts w:ascii="Times New Roman" w:hAnsi="Times New Roman"/>
    </w:r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8015AF"/>
    <w:pPr>
      <w:contextualSpacing/>
    </w:pPr>
    <w:rPr>
      <w:rFonts w:eastAsiaTheme="majorEastAsia" w:cstheme="majorBidi"/>
      <w:b/>
      <w:color w:val="984806" w:themeColor="accent6" w:themeShade="80"/>
      <w:spacing w:val="-10"/>
      <w:kern w:val="28"/>
      <w:sz w:val="52"/>
      <w:szCs w:val="56"/>
    </w:rPr>
  </w:style>
  <w:style w:type="character" w:customStyle="1" w:styleId="TitleChar">
    <w:name w:val="Title Char"/>
    <w:basedOn w:val="DefaultParagraphFont"/>
    <w:link w:val="Title"/>
    <w:uiPriority w:val="10"/>
    <w:rsid w:val="008015AF"/>
    <w:rPr>
      <w:rFonts w:ascii="Calibri" w:eastAsiaTheme="majorEastAsia" w:hAnsi="Calibri" w:cstheme="majorBidi"/>
      <w:b/>
      <w:color w:val="984806" w:themeColor="accent6" w:themeShade="80"/>
      <w:spacing w:val="-10"/>
      <w:kern w:val="28"/>
      <w:sz w:val="52"/>
      <w:szCs w:val="56"/>
    </w:rPr>
  </w:style>
  <w:style w:type="character" w:customStyle="1" w:styleId="Heading2Char">
    <w:name w:val="Heading 2 Char"/>
    <w:basedOn w:val="DefaultParagraphFont"/>
    <w:link w:val="Heading2"/>
    <w:uiPriority w:val="9"/>
    <w:rsid w:val="00CF2923"/>
    <w:rPr>
      <w:rFonts w:ascii="Calibri" w:eastAsiaTheme="majorEastAsia" w:hAnsi="Calibri" w:cstheme="majorBidi"/>
      <w:b/>
      <w:bCs/>
      <w:sz w:val="26"/>
      <w:szCs w:val="26"/>
    </w:rPr>
  </w:style>
  <w:style w:type="character" w:customStyle="1" w:styleId="Heading3Char">
    <w:name w:val="Heading 3 Char"/>
    <w:basedOn w:val="DefaultParagraphFont"/>
    <w:link w:val="Heading3"/>
    <w:uiPriority w:val="9"/>
    <w:rsid w:val="00CF2923"/>
    <w:rPr>
      <w:rFonts w:eastAsiaTheme="majorEastAsia" w:cstheme="majorBidi"/>
      <w:b/>
      <w:bCs/>
      <w:color w:val="243F60" w:themeColor="accent1" w:themeShade="7F"/>
      <w:sz w:val="24"/>
      <w:szCs w:val="24"/>
    </w:rPr>
  </w:style>
  <w:style w:type="paragraph" w:styleId="ListBullet">
    <w:name w:val="List Bullet"/>
    <w:basedOn w:val="Normal"/>
    <w:uiPriority w:val="99"/>
    <w:unhideWhenUsed/>
    <w:rsid w:val="00CF2923"/>
    <w:pPr>
      <w:numPr>
        <w:numId w:val="3"/>
      </w:numPr>
      <w:ind w:left="357" w:hanging="357"/>
    </w:pPr>
  </w:style>
  <w:style w:type="paragraph" w:styleId="ListBullet2">
    <w:name w:val="List Bullet 2"/>
    <w:basedOn w:val="ListBullet"/>
    <w:uiPriority w:val="99"/>
    <w:unhideWhenUsed/>
    <w:rsid w:val="00CF2923"/>
    <w:pPr>
      <w:numPr>
        <w:numId w:val="4"/>
      </w:numPr>
      <w:spacing w:before="0" w:after="0"/>
      <w:ind w:left="641" w:hanging="357"/>
    </w:pPr>
  </w:style>
  <w:style w:type="paragraph" w:styleId="ListNumber">
    <w:name w:val="List Number"/>
    <w:basedOn w:val="Normal"/>
    <w:uiPriority w:val="99"/>
    <w:unhideWhenUsed/>
    <w:rsid w:val="00CF2923"/>
    <w:pPr>
      <w:numPr>
        <w:numId w:val="5"/>
      </w:numPr>
      <w:contextualSpacing/>
    </w:pPr>
  </w:style>
  <w:style w:type="paragraph" w:styleId="ListNumber2">
    <w:name w:val="List Number 2"/>
    <w:basedOn w:val="Normal"/>
    <w:uiPriority w:val="99"/>
    <w:unhideWhenUsed/>
    <w:rsid w:val="00CF2923"/>
    <w:pPr>
      <w:numPr>
        <w:numId w:val="6"/>
      </w:numPr>
      <w:contextualSpacing/>
    </w:pPr>
  </w:style>
  <w:style w:type="paragraph" w:styleId="ListNumber3">
    <w:name w:val="List Number 3"/>
    <w:basedOn w:val="Normal"/>
    <w:uiPriority w:val="99"/>
    <w:unhideWhenUsed/>
    <w:rsid w:val="00CF2923"/>
    <w:pPr>
      <w:numPr>
        <w:numId w:val="7"/>
      </w:numPr>
      <w:contextualSpacing/>
    </w:pPr>
  </w:style>
  <w:style w:type="paragraph" w:styleId="ListBullet4">
    <w:name w:val="List Bullet 4"/>
    <w:basedOn w:val="Normal"/>
    <w:uiPriority w:val="99"/>
    <w:unhideWhenUsed/>
    <w:rsid w:val="00CF2923"/>
    <w:pPr>
      <w:numPr>
        <w:numId w:val="8"/>
      </w:numPr>
      <w:contextualSpacing/>
    </w:pPr>
  </w:style>
  <w:style w:type="paragraph" w:styleId="ListBullet3">
    <w:name w:val="List Bullet 3"/>
    <w:basedOn w:val="Normal"/>
    <w:uiPriority w:val="99"/>
    <w:unhideWhenUsed/>
    <w:rsid w:val="00CF2923"/>
    <w:pPr>
      <w:numPr>
        <w:numId w:val="9"/>
      </w:numPr>
      <w:contextualSpacing/>
    </w:pPr>
  </w:style>
  <w:style w:type="character" w:styleId="Emphasis">
    <w:name w:val="Emphasis"/>
    <w:basedOn w:val="DefaultParagraphFont"/>
    <w:uiPriority w:val="20"/>
    <w:qFormat/>
    <w:rsid w:val="00F403BA"/>
    <w:rPr>
      <w:i/>
      <w:iCs/>
    </w:rPr>
  </w:style>
  <w:style w:type="character" w:styleId="Strong">
    <w:name w:val="Strong"/>
    <w:basedOn w:val="DefaultParagraphFont"/>
    <w:uiPriority w:val="22"/>
    <w:qFormat/>
    <w:rsid w:val="00F403BA"/>
    <w:rPr>
      <w:b/>
      <w:bCs/>
    </w:rPr>
  </w:style>
  <w:style w:type="paragraph" w:styleId="Subtitle">
    <w:name w:val="Subtitle"/>
    <w:basedOn w:val="Title"/>
    <w:next w:val="Normal"/>
    <w:link w:val="SubtitleChar"/>
    <w:uiPriority w:val="11"/>
    <w:qFormat/>
    <w:rsid w:val="008015AF"/>
    <w:pPr>
      <w:numPr>
        <w:ilvl w:val="1"/>
      </w:numPr>
      <w:contextualSpacing w:val="0"/>
    </w:pPr>
    <w:rPr>
      <w:rFonts w:asciiTheme="minorHAnsi" w:eastAsiaTheme="minorEastAsia" w:hAnsiTheme="minorHAnsi" w:cstheme="minorBidi"/>
      <w:color w:val="5A5A5A" w:themeColor="text1" w:themeTint="A5"/>
      <w:spacing w:val="0"/>
      <w:sz w:val="32"/>
    </w:rPr>
  </w:style>
  <w:style w:type="character" w:customStyle="1" w:styleId="SubtitleChar">
    <w:name w:val="Subtitle Char"/>
    <w:basedOn w:val="DefaultParagraphFont"/>
    <w:link w:val="Subtitle"/>
    <w:uiPriority w:val="11"/>
    <w:rsid w:val="008015AF"/>
    <w:rPr>
      <w:rFonts w:eastAsiaTheme="minorEastAsia"/>
      <w:color w:val="5A5A5A" w:themeColor="text1" w:themeTint="A5"/>
      <w:kern w:val="28"/>
      <w:sz w:val="32"/>
      <w:szCs w:val="56"/>
    </w:rPr>
  </w:style>
  <w:style w:type="paragraph" w:styleId="Header">
    <w:name w:val="header"/>
    <w:basedOn w:val="Normal"/>
    <w:link w:val="HeaderChar"/>
    <w:uiPriority w:val="99"/>
    <w:unhideWhenUsed/>
    <w:rsid w:val="00787FB0"/>
    <w:pPr>
      <w:widowControl/>
      <w:tabs>
        <w:tab w:val="center" w:pos="4513"/>
        <w:tab w:val="right" w:pos="9026"/>
      </w:tabs>
      <w:autoSpaceDE/>
      <w:autoSpaceDN/>
      <w:spacing w:before="0" w:after="0"/>
    </w:pPr>
    <w:rPr>
      <w:rFonts w:ascii="Times New Roman" w:eastAsiaTheme="minorHAnsi" w:hAnsi="Times New Roman"/>
      <w:sz w:val="24"/>
      <w:szCs w:val="24"/>
      <w:lang w:val="en-AU"/>
    </w:rPr>
  </w:style>
  <w:style w:type="character" w:customStyle="1" w:styleId="HeaderChar">
    <w:name w:val="Header Char"/>
    <w:basedOn w:val="DefaultParagraphFont"/>
    <w:link w:val="Header"/>
    <w:uiPriority w:val="99"/>
    <w:rsid w:val="00787FB0"/>
    <w:rPr>
      <w:rFonts w:ascii="Times New Roman" w:hAnsi="Times New Roman" w:cs="Times New Roman"/>
      <w:sz w:val="24"/>
      <w:szCs w:val="24"/>
      <w:lang w:val="en-AU"/>
    </w:rPr>
  </w:style>
  <w:style w:type="paragraph" w:styleId="Footer">
    <w:name w:val="footer"/>
    <w:basedOn w:val="Normal"/>
    <w:link w:val="FooterChar"/>
    <w:uiPriority w:val="99"/>
    <w:unhideWhenUsed/>
    <w:rsid w:val="00787FB0"/>
    <w:pPr>
      <w:widowControl/>
      <w:tabs>
        <w:tab w:val="center" w:pos="4513"/>
        <w:tab w:val="right" w:pos="9026"/>
      </w:tabs>
      <w:autoSpaceDE/>
      <w:autoSpaceDN/>
      <w:spacing w:before="0" w:after="0"/>
    </w:pPr>
    <w:rPr>
      <w:rFonts w:ascii="Times New Roman" w:eastAsiaTheme="minorHAnsi" w:hAnsi="Times New Roman"/>
      <w:sz w:val="24"/>
      <w:szCs w:val="24"/>
      <w:lang w:val="en-AU"/>
    </w:rPr>
  </w:style>
  <w:style w:type="character" w:customStyle="1" w:styleId="FooterChar">
    <w:name w:val="Footer Char"/>
    <w:basedOn w:val="DefaultParagraphFont"/>
    <w:link w:val="Footer"/>
    <w:uiPriority w:val="99"/>
    <w:rsid w:val="00787FB0"/>
    <w:rPr>
      <w:rFonts w:ascii="Times New Roman" w:hAnsi="Times New Roman" w:cs="Times New Roman"/>
      <w:sz w:val="24"/>
      <w:szCs w:val="24"/>
      <w:lang w:val="en-AU"/>
    </w:rPr>
  </w:style>
  <w:style w:type="character" w:styleId="CommentReference">
    <w:name w:val="annotation reference"/>
    <w:basedOn w:val="DefaultParagraphFont"/>
    <w:uiPriority w:val="99"/>
    <w:semiHidden/>
    <w:unhideWhenUsed/>
    <w:rsid w:val="00787FB0"/>
    <w:rPr>
      <w:sz w:val="16"/>
      <w:szCs w:val="16"/>
    </w:rPr>
  </w:style>
  <w:style w:type="paragraph" w:styleId="CommentText">
    <w:name w:val="annotation text"/>
    <w:basedOn w:val="Normal"/>
    <w:link w:val="CommentTextChar"/>
    <w:uiPriority w:val="99"/>
    <w:unhideWhenUsed/>
    <w:rsid w:val="00787FB0"/>
    <w:pPr>
      <w:widowControl/>
      <w:autoSpaceDE/>
      <w:autoSpaceDN/>
      <w:spacing w:before="0" w:after="160"/>
    </w:pPr>
    <w:rPr>
      <w:rFonts w:ascii="Times New Roman" w:eastAsiaTheme="minorHAnsi" w:hAnsi="Times New Roman"/>
      <w:sz w:val="20"/>
      <w:szCs w:val="20"/>
      <w:lang w:val="en-AU"/>
    </w:rPr>
  </w:style>
  <w:style w:type="character" w:customStyle="1" w:styleId="CommentTextChar">
    <w:name w:val="Comment Text Char"/>
    <w:basedOn w:val="DefaultParagraphFont"/>
    <w:link w:val="CommentText"/>
    <w:uiPriority w:val="99"/>
    <w:rsid w:val="00787FB0"/>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87FB0"/>
    <w:rPr>
      <w:b/>
      <w:bCs/>
    </w:rPr>
  </w:style>
  <w:style w:type="character" w:customStyle="1" w:styleId="CommentSubjectChar">
    <w:name w:val="Comment Subject Char"/>
    <w:basedOn w:val="CommentTextChar"/>
    <w:link w:val="CommentSubject"/>
    <w:uiPriority w:val="99"/>
    <w:semiHidden/>
    <w:rsid w:val="00787FB0"/>
    <w:rPr>
      <w:rFonts w:ascii="Times New Roman" w:hAnsi="Times New Roman" w:cs="Times New Roman"/>
      <w:b/>
      <w:bCs/>
      <w:sz w:val="20"/>
      <w:szCs w:val="20"/>
      <w:lang w:val="en-AU"/>
    </w:rPr>
  </w:style>
  <w:style w:type="paragraph" w:styleId="Revision">
    <w:name w:val="Revision"/>
    <w:hidden/>
    <w:uiPriority w:val="99"/>
    <w:semiHidden/>
    <w:rsid w:val="00787FB0"/>
    <w:pPr>
      <w:widowControl/>
      <w:autoSpaceDE/>
      <w:autoSpaceDN/>
    </w:pPr>
    <w:rPr>
      <w:rFonts w:ascii="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4" ma:contentTypeDescription="Create a new document." ma:contentTypeScope="" ma:versionID="32e306c19b5eaef2027611748a4d2901">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71d9782b826af949bd099d3bf8869273"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737612-a647-4131-bafc-9668282235db}"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35C88-7CE2-4A47-A753-3138BBFF145C}">
  <ds:schemaRefs>
    <ds:schemaRef ds:uri="http://schemas.microsoft.com/sharepoint/v3/contenttype/forms"/>
  </ds:schemaRefs>
</ds:datastoreItem>
</file>

<file path=customXml/itemProps2.xml><?xml version="1.0" encoding="utf-8"?>
<ds:datastoreItem xmlns:ds="http://schemas.openxmlformats.org/officeDocument/2006/customXml" ds:itemID="{5FE365CC-CE94-4A6E-AABE-66F70E567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2BC29-64E9-4C06-BEE0-7D8C0585E0DA}">
  <ds:schemaRefs>
    <ds:schemaRef ds:uri="http://schemas.microsoft.com/office/2006/metadata/properties"/>
    <ds:schemaRef ds:uri="http://schemas.microsoft.com/office/infopath/2007/PartnerControls"/>
    <ds:schemaRef ds:uri="c4876c76-5897-4d5d-ac80-954d0599e137"/>
    <ds:schemaRef ds:uri="01920aa1-7832-453e-a147-98c77996387c"/>
  </ds:schemaRefs>
</ds:datastoreItem>
</file>

<file path=customXml/itemProps4.xml><?xml version="1.0" encoding="utf-8"?>
<ds:datastoreItem xmlns:ds="http://schemas.openxmlformats.org/officeDocument/2006/customXml" ds:itemID="{48AA79CD-1970-4519-8F7F-45511C4D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Social and Emotional Wellbeing Policy Partnership communique – Meeting 4 [14 March 2024]</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Emotional Wellbeing Policy Partnership communique – Meeting 4 [14 March 2024]</dc:title>
  <dc:subject>Aboriginal and Torres Strait Islander health</dc:subject>
  <dc:creator>Australian Government Department of Health and Aged Care</dc:creator>
  <cp:keywords>Aboriginal and Torres Strait Islander health; Mental health and suicide prevention</cp:keywords>
  <dc:description/>
  <cp:lastModifiedBy>Australian Government Department of Health and Aged </cp:lastModifiedBy>
  <cp:revision>5</cp:revision>
  <dcterms:created xsi:type="dcterms:W3CDTF">2024-06-14T02:38:00Z</dcterms:created>
  <dcterms:modified xsi:type="dcterms:W3CDTF">2024-06-14T03:00:00Z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y fmtid="{D5CDD505-2E9C-101B-9397-08002B2CF9AE}" pid="3" name="MediaServiceImageTags">
    <vt:lpwstr/>
  </property>
</Properties>
</file>