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0EC3" w14:textId="77777777" w:rsidR="004E38FB" w:rsidRDefault="004E38FB" w:rsidP="00E462B4">
      <w:pPr>
        <w:spacing w:before="120" w:after="120"/>
        <w:jc w:val="center"/>
        <w:rPr>
          <w:rFonts w:asciiTheme="minorHAnsi" w:hAnsiTheme="minorHAnsi" w:cstheme="minorHAnsi"/>
          <w:b/>
          <w:bCs/>
        </w:rPr>
      </w:pPr>
    </w:p>
    <w:p w14:paraId="7E2DBF60" w14:textId="3C47554C" w:rsidR="00775FE4" w:rsidRPr="00E462B4" w:rsidRDefault="00393071" w:rsidP="00E462B4">
      <w:pPr>
        <w:spacing w:before="120" w:after="120"/>
        <w:jc w:val="center"/>
        <w:rPr>
          <w:rFonts w:asciiTheme="minorHAnsi" w:hAnsiTheme="minorHAnsi" w:cstheme="minorHAnsi"/>
          <w:b/>
          <w:bCs/>
        </w:rPr>
      </w:pPr>
      <w:r w:rsidRPr="00E462B4">
        <w:rPr>
          <w:rFonts w:asciiTheme="minorHAnsi" w:hAnsiTheme="minorHAnsi" w:cstheme="minorHAnsi"/>
          <w:b/>
          <w:bCs/>
        </w:rPr>
        <w:t>Response to</w:t>
      </w:r>
      <w:r w:rsidR="00933939">
        <w:rPr>
          <w:rFonts w:asciiTheme="minorHAnsi" w:hAnsiTheme="minorHAnsi" w:cstheme="minorHAnsi"/>
          <w:b/>
          <w:bCs/>
        </w:rPr>
        <w:t xml:space="preserve"> </w:t>
      </w:r>
      <w:r w:rsidRPr="00E462B4">
        <w:rPr>
          <w:rFonts w:asciiTheme="minorHAnsi" w:hAnsiTheme="minorHAnsi" w:cstheme="minorHAnsi"/>
          <w:b/>
          <w:bCs/>
        </w:rPr>
        <w:t xml:space="preserve">Final Report – KPMG Feasibility Study into </w:t>
      </w:r>
      <w:r w:rsidR="007C616D" w:rsidRPr="00E462B4">
        <w:rPr>
          <w:rFonts w:asciiTheme="minorHAnsi" w:hAnsiTheme="minorHAnsi" w:cstheme="minorHAnsi"/>
          <w:b/>
          <w:bCs/>
        </w:rPr>
        <w:t>employee</w:t>
      </w:r>
      <w:r w:rsidRPr="00E462B4">
        <w:rPr>
          <w:rFonts w:asciiTheme="minorHAnsi" w:hAnsiTheme="minorHAnsi" w:cstheme="minorHAnsi"/>
          <w:b/>
          <w:bCs/>
        </w:rPr>
        <w:t xml:space="preserve"> entitlement</w:t>
      </w:r>
      <w:r w:rsidR="00933939">
        <w:rPr>
          <w:rFonts w:asciiTheme="minorHAnsi" w:hAnsiTheme="minorHAnsi" w:cstheme="minorHAnsi"/>
          <w:b/>
          <w:bCs/>
        </w:rPr>
        <w:t xml:space="preserve"> portability for</w:t>
      </w:r>
      <w:r w:rsidR="00933939" w:rsidRPr="00E462B4">
        <w:rPr>
          <w:rFonts w:asciiTheme="minorHAnsi" w:hAnsiTheme="minorHAnsi" w:cstheme="minorHAnsi"/>
          <w:b/>
          <w:bCs/>
        </w:rPr>
        <w:t xml:space="preserve"> GP registrar</w:t>
      </w:r>
      <w:r w:rsidR="00933939">
        <w:rPr>
          <w:rFonts w:asciiTheme="minorHAnsi" w:hAnsiTheme="minorHAnsi" w:cstheme="minorHAnsi"/>
          <w:b/>
          <w:bCs/>
        </w:rPr>
        <w:t>s</w:t>
      </w:r>
    </w:p>
    <w:p w14:paraId="0097610B" w14:textId="7D7C40A1" w:rsidR="00393071" w:rsidRPr="00E462B4" w:rsidRDefault="00393071" w:rsidP="00E462B4">
      <w:pPr>
        <w:spacing w:before="120" w:after="120"/>
        <w:rPr>
          <w:rFonts w:asciiTheme="minorHAnsi" w:hAnsiTheme="minorHAnsi" w:cstheme="minorHAnsi"/>
        </w:rPr>
      </w:pPr>
      <w:r w:rsidRPr="00E462B4">
        <w:rPr>
          <w:rFonts w:asciiTheme="minorHAnsi" w:hAnsiTheme="minorHAnsi" w:cstheme="minorHAnsi"/>
        </w:rPr>
        <w:t>The</w:t>
      </w:r>
      <w:r w:rsidR="002C537F">
        <w:rPr>
          <w:rFonts w:asciiTheme="minorHAnsi" w:hAnsiTheme="minorHAnsi" w:cstheme="minorHAnsi"/>
        </w:rPr>
        <w:t xml:space="preserve"> Australian Government </w:t>
      </w:r>
      <w:r w:rsidRPr="00E462B4">
        <w:rPr>
          <w:rFonts w:asciiTheme="minorHAnsi" w:hAnsiTheme="minorHAnsi" w:cstheme="minorHAnsi"/>
        </w:rPr>
        <w:t>has welcomed the Final Report from</w:t>
      </w:r>
      <w:r w:rsidR="00933939">
        <w:rPr>
          <w:rFonts w:asciiTheme="minorHAnsi" w:hAnsiTheme="minorHAnsi" w:cstheme="minorHAnsi"/>
        </w:rPr>
        <w:t xml:space="preserve"> KPMG</w:t>
      </w:r>
      <w:r w:rsidRPr="00E462B4">
        <w:rPr>
          <w:rFonts w:asciiTheme="minorHAnsi" w:hAnsiTheme="minorHAnsi" w:cstheme="minorHAnsi"/>
        </w:rPr>
        <w:t>.</w:t>
      </w:r>
      <w:r w:rsidR="00933939">
        <w:rPr>
          <w:rFonts w:asciiTheme="minorHAnsi" w:hAnsiTheme="minorHAnsi" w:cstheme="minorHAnsi"/>
        </w:rPr>
        <w:t xml:space="preserve"> </w:t>
      </w:r>
      <w:r w:rsidRPr="00E462B4">
        <w:rPr>
          <w:rFonts w:asciiTheme="minorHAnsi" w:hAnsiTheme="minorHAnsi" w:cstheme="minorHAnsi"/>
        </w:rPr>
        <w:t>The Report recommends that a staged approach to employment reform be considered, and outlines areas for further investigation and consultation.</w:t>
      </w:r>
    </w:p>
    <w:p w14:paraId="4ED35C73" w14:textId="77777777" w:rsidR="00E462B4" w:rsidRPr="00E462B4" w:rsidRDefault="00E462B4" w:rsidP="00E462B4">
      <w:pPr>
        <w:spacing w:before="120" w:after="120"/>
        <w:rPr>
          <w:rFonts w:asciiTheme="minorHAnsi" w:hAnsiTheme="minorHAnsi" w:cstheme="minorHAnsi"/>
        </w:rPr>
      </w:pPr>
      <w:r w:rsidRPr="00E462B4">
        <w:rPr>
          <w:rFonts w:asciiTheme="minorHAnsi" w:hAnsiTheme="minorHAnsi" w:cstheme="minorHAnsi"/>
        </w:rPr>
        <w:t>The Department commissioned the study, which commenced in July 2022, to explore ways to better support GP registrars to access leave entitlements during their training. The study was expanded to include consideration of alternative incentives and a national Single Employer Model.</w:t>
      </w:r>
    </w:p>
    <w:p w14:paraId="7B0D9596" w14:textId="6B442CA2" w:rsidR="00AE483F" w:rsidRPr="00E462B4" w:rsidRDefault="00AE483F" w:rsidP="00E462B4">
      <w:pPr>
        <w:spacing w:before="120" w:after="120"/>
        <w:rPr>
          <w:rFonts w:asciiTheme="minorHAnsi" w:hAnsiTheme="minorHAnsi" w:cstheme="minorHAnsi"/>
        </w:rPr>
      </w:pPr>
      <w:r w:rsidRPr="00E462B4">
        <w:rPr>
          <w:rFonts w:asciiTheme="minorHAnsi" w:hAnsiTheme="minorHAnsi" w:cstheme="minorHAnsi"/>
        </w:rPr>
        <w:t xml:space="preserve">KPMG’s recommended next steps are to: </w:t>
      </w:r>
    </w:p>
    <w:p w14:paraId="514A6637" w14:textId="22C864AA" w:rsidR="00AE483F" w:rsidRPr="00E462B4" w:rsidRDefault="00AE483F" w:rsidP="00E462B4">
      <w:pPr>
        <w:pStyle w:val="ListParagraph"/>
        <w:numPr>
          <w:ilvl w:val="0"/>
          <w:numId w:val="2"/>
        </w:numPr>
        <w:spacing w:before="120" w:after="120"/>
        <w:rPr>
          <w:rFonts w:asciiTheme="minorHAnsi" w:eastAsiaTheme="minorHAnsi" w:hAnsiTheme="minorHAnsi" w:cstheme="minorHAnsi"/>
        </w:rPr>
      </w:pPr>
      <w:r w:rsidRPr="00E462B4">
        <w:rPr>
          <w:rFonts w:asciiTheme="minorHAnsi" w:eastAsiaTheme="minorHAnsi" w:hAnsiTheme="minorHAnsi" w:cstheme="minorHAnsi"/>
        </w:rPr>
        <w:t>Seek broader stakeholder feedback on the policy options to build consensus</w:t>
      </w:r>
      <w:r w:rsidR="00933939">
        <w:rPr>
          <w:rFonts w:asciiTheme="minorHAnsi" w:eastAsiaTheme="minorHAnsi" w:hAnsiTheme="minorHAnsi" w:cstheme="minorHAnsi"/>
        </w:rPr>
        <w:t>.</w:t>
      </w:r>
    </w:p>
    <w:p w14:paraId="2E401BC8" w14:textId="6EF70350" w:rsidR="00AE483F" w:rsidRPr="00E462B4" w:rsidRDefault="00AE483F" w:rsidP="00E462B4">
      <w:pPr>
        <w:pStyle w:val="ListParagraph"/>
        <w:numPr>
          <w:ilvl w:val="0"/>
          <w:numId w:val="2"/>
        </w:numPr>
        <w:spacing w:before="120" w:after="120"/>
        <w:rPr>
          <w:rFonts w:asciiTheme="minorHAnsi" w:eastAsiaTheme="minorHAnsi" w:hAnsiTheme="minorHAnsi" w:cstheme="minorHAnsi"/>
        </w:rPr>
      </w:pPr>
      <w:r w:rsidRPr="00E462B4">
        <w:rPr>
          <w:rFonts w:asciiTheme="minorHAnsi" w:eastAsiaTheme="minorHAnsi" w:hAnsiTheme="minorHAnsi" w:cstheme="minorHAnsi"/>
        </w:rPr>
        <w:t xml:space="preserve">Refine the policy options and implementation plan by seeking specialist advice on legal and industrial </w:t>
      </w:r>
      <w:proofErr w:type="gramStart"/>
      <w:r w:rsidRPr="00E462B4">
        <w:rPr>
          <w:rFonts w:asciiTheme="minorHAnsi" w:eastAsiaTheme="minorHAnsi" w:hAnsiTheme="minorHAnsi" w:cstheme="minorHAnsi"/>
        </w:rPr>
        <w:t>relations impacts, and</w:t>
      </w:r>
      <w:proofErr w:type="gramEnd"/>
      <w:r w:rsidRPr="00E462B4">
        <w:rPr>
          <w:rFonts w:asciiTheme="minorHAnsi" w:eastAsiaTheme="minorHAnsi" w:hAnsiTheme="minorHAnsi" w:cstheme="minorHAnsi"/>
        </w:rPr>
        <w:t xml:space="preserve"> considering the outcomes of the ongoing evaluation of the place-based Single Employer Model trials.</w:t>
      </w:r>
    </w:p>
    <w:p w14:paraId="6A945D6C" w14:textId="75BFF6CB" w:rsidR="00AE483F" w:rsidRPr="00E462B4" w:rsidRDefault="00AE483F" w:rsidP="00E462B4">
      <w:pPr>
        <w:spacing w:before="120" w:after="120"/>
        <w:rPr>
          <w:rFonts w:asciiTheme="minorHAnsi" w:hAnsiTheme="minorHAnsi" w:cstheme="minorHAnsi"/>
        </w:rPr>
      </w:pPr>
      <w:r w:rsidRPr="00E462B4">
        <w:rPr>
          <w:rFonts w:asciiTheme="minorHAnsi" w:hAnsiTheme="minorHAnsi" w:cstheme="minorHAnsi"/>
        </w:rPr>
        <w:t xml:space="preserve">The </w:t>
      </w:r>
      <w:r w:rsidR="004E38FB">
        <w:rPr>
          <w:rFonts w:asciiTheme="minorHAnsi" w:hAnsiTheme="minorHAnsi" w:cstheme="minorHAnsi"/>
        </w:rPr>
        <w:t xml:space="preserve">recommended </w:t>
      </w:r>
      <w:r w:rsidRPr="00E462B4">
        <w:rPr>
          <w:rFonts w:asciiTheme="minorHAnsi" w:hAnsiTheme="minorHAnsi" w:cstheme="minorHAnsi"/>
        </w:rPr>
        <w:t>pathway is:</w:t>
      </w:r>
    </w:p>
    <w:p w14:paraId="5330A00A" w14:textId="4E9068B1" w:rsidR="00AE483F" w:rsidRPr="00E462B4" w:rsidRDefault="00AE483F" w:rsidP="00E462B4">
      <w:pPr>
        <w:pStyle w:val="ListParagraph"/>
        <w:numPr>
          <w:ilvl w:val="0"/>
          <w:numId w:val="3"/>
        </w:numPr>
        <w:spacing w:before="120" w:after="120"/>
        <w:rPr>
          <w:rFonts w:asciiTheme="minorHAnsi" w:hAnsiTheme="minorHAnsi" w:cstheme="minorHAnsi"/>
        </w:rPr>
      </w:pPr>
      <w:r w:rsidRPr="00E462B4">
        <w:rPr>
          <w:rFonts w:asciiTheme="minorHAnsi" w:hAnsiTheme="minorHAnsi" w:cstheme="minorHAnsi"/>
        </w:rPr>
        <w:t xml:space="preserve">Stage 1: Introduce an incentive payment and paid parental leave support as a short-term measure, to make an immediate positive impact on the sector. </w:t>
      </w:r>
    </w:p>
    <w:p w14:paraId="0B7885EA" w14:textId="5E250CE3" w:rsidR="00AE483F" w:rsidRPr="00E462B4" w:rsidRDefault="00AE483F" w:rsidP="00E462B4">
      <w:pPr>
        <w:pStyle w:val="ListParagraph"/>
        <w:numPr>
          <w:ilvl w:val="0"/>
          <w:numId w:val="3"/>
        </w:numPr>
        <w:spacing w:before="120" w:after="120"/>
        <w:rPr>
          <w:rFonts w:asciiTheme="minorHAnsi" w:eastAsiaTheme="minorHAnsi" w:hAnsiTheme="minorHAnsi" w:cstheme="minorHAnsi"/>
        </w:rPr>
      </w:pPr>
      <w:r w:rsidRPr="00E462B4">
        <w:rPr>
          <w:rFonts w:asciiTheme="minorHAnsi" w:hAnsiTheme="minorHAnsi" w:cstheme="minorHAnsi"/>
        </w:rPr>
        <w:t>Stage 2: A national Single Employer Model is proposed over the longer term to resolve employment</w:t>
      </w:r>
      <w:r w:rsidRPr="00E462B4">
        <w:rPr>
          <w:rFonts w:asciiTheme="minorHAnsi" w:eastAsiaTheme="minorHAnsi" w:hAnsiTheme="minorHAnsi" w:cstheme="minorHAnsi"/>
        </w:rPr>
        <w:t xml:space="preserve"> issues in GP training more holistically. </w:t>
      </w:r>
    </w:p>
    <w:p w14:paraId="1779BBD6" w14:textId="6A5AE56E" w:rsidR="00E462B4" w:rsidRPr="00E462B4" w:rsidRDefault="00E462B4" w:rsidP="00E462B4">
      <w:pPr>
        <w:spacing w:before="120" w:after="120"/>
        <w:rPr>
          <w:rFonts w:asciiTheme="minorHAnsi" w:hAnsiTheme="minorHAnsi" w:cstheme="minorHAnsi"/>
        </w:rPr>
      </w:pPr>
      <w:r w:rsidRPr="00E462B4">
        <w:rPr>
          <w:rFonts w:asciiTheme="minorHAnsi" w:hAnsiTheme="minorHAnsi" w:cstheme="minorHAnsi"/>
        </w:rPr>
        <w:t>The independent study consulted widely with representative groups to ensure feedback from across the sector was captured.</w:t>
      </w:r>
    </w:p>
    <w:p w14:paraId="7C766858" w14:textId="77777777" w:rsidR="004E38FB" w:rsidRDefault="00E462B4" w:rsidP="00E462B4">
      <w:pPr>
        <w:spacing w:before="120" w:after="120"/>
        <w:rPr>
          <w:rFonts w:asciiTheme="minorHAnsi" w:hAnsiTheme="minorHAnsi" w:cstheme="minorHAnsi"/>
        </w:rPr>
      </w:pPr>
      <w:r w:rsidRPr="00E462B4">
        <w:rPr>
          <w:rFonts w:asciiTheme="minorHAnsi" w:hAnsiTheme="minorHAnsi" w:cstheme="minorHAnsi"/>
        </w:rPr>
        <w:t xml:space="preserve">The Final Report was provided to Government in </w:t>
      </w:r>
      <w:r w:rsidR="004E38FB">
        <w:rPr>
          <w:rFonts w:asciiTheme="minorHAnsi" w:hAnsiTheme="minorHAnsi" w:cstheme="minorHAnsi"/>
        </w:rPr>
        <w:t>late</w:t>
      </w:r>
      <w:r w:rsidRPr="00E462B4">
        <w:rPr>
          <w:rFonts w:asciiTheme="minorHAnsi" w:hAnsiTheme="minorHAnsi" w:cstheme="minorHAnsi"/>
        </w:rPr>
        <w:t xml:space="preserve"> 2023. Its findings will be considered in consultation with key sector stakeholders, in recognition that the recommendations have implications for a wide range of participants in GP training and the communities in which GPs work.</w:t>
      </w:r>
      <w:r w:rsidR="00647CDF">
        <w:rPr>
          <w:rFonts w:asciiTheme="minorHAnsi" w:hAnsiTheme="minorHAnsi" w:cstheme="minorHAnsi"/>
        </w:rPr>
        <w:t xml:space="preserve"> </w:t>
      </w:r>
    </w:p>
    <w:p w14:paraId="76AC6732" w14:textId="0A6B727B" w:rsidR="00E462B4" w:rsidRPr="00E462B4" w:rsidRDefault="00E462B4" w:rsidP="00E462B4">
      <w:pPr>
        <w:spacing w:before="120" w:after="120"/>
        <w:rPr>
          <w:rFonts w:asciiTheme="minorHAnsi" w:hAnsiTheme="minorHAnsi" w:cstheme="minorHAnsi"/>
        </w:rPr>
      </w:pPr>
      <w:r w:rsidRPr="00E462B4">
        <w:rPr>
          <w:rFonts w:asciiTheme="minorHAnsi" w:hAnsiTheme="minorHAnsi" w:cstheme="minorHAnsi"/>
        </w:rPr>
        <w:t xml:space="preserve">The Final Report and recommendations are available at </w:t>
      </w:r>
      <w:hyperlink r:id="rId11" w:history="1">
        <w:r w:rsidR="0043020A" w:rsidRPr="008C4CAB">
          <w:rPr>
            <w:rStyle w:val="Hyperlink"/>
            <w:rFonts w:asciiTheme="minorHAnsi" w:hAnsiTheme="minorHAnsi" w:cstheme="minorHAnsi"/>
          </w:rPr>
          <w:t>https://www.health.gov.au/resources/publications/employee-entitlement-portability-for-gp-registrars-final-report</w:t>
        </w:r>
      </w:hyperlink>
      <w:r w:rsidR="0043020A">
        <w:rPr>
          <w:rFonts w:asciiTheme="minorHAnsi" w:hAnsiTheme="minorHAnsi" w:cstheme="minorHAnsi"/>
        </w:rPr>
        <w:t xml:space="preserve">. </w:t>
      </w:r>
    </w:p>
    <w:sectPr w:rsidR="00E462B4" w:rsidRPr="00E462B4" w:rsidSect="0096629A">
      <w:headerReference w:type="default" r:id="rId12"/>
      <w:headerReference w:type="first" r:id="rId13"/>
      <w:footerReference w:type="first" r:id="rId14"/>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CA24" w14:textId="77777777" w:rsidR="00D76C74" w:rsidRDefault="00D76C74">
      <w:r>
        <w:separator/>
      </w:r>
    </w:p>
  </w:endnote>
  <w:endnote w:type="continuationSeparator" w:id="0">
    <w:p w14:paraId="7C0B6420" w14:textId="77777777" w:rsidR="00D76C74" w:rsidRDefault="00D7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175C" w14:textId="77777777" w:rsidR="00D912DB" w:rsidRDefault="00D912DB" w:rsidP="0089317D">
    <w:pPr>
      <w:pStyle w:val="Footer"/>
      <w:jc w:val="center"/>
      <w:rPr>
        <w:noProof/>
        <w:position w:val="4"/>
        <w:sz w:val="18"/>
      </w:rPr>
    </w:pPr>
  </w:p>
  <w:p w14:paraId="108F0D06" w14:textId="76CF35D8" w:rsidR="00D912DB" w:rsidRPr="00CF3477" w:rsidRDefault="00112C73" w:rsidP="004557B9">
    <w:pPr>
      <w:pStyle w:val="Footer"/>
      <w:spacing w:line="360" w:lineRule="auto"/>
      <w:jc w:val="center"/>
      <w:rPr>
        <w:rFonts w:ascii="Arial" w:hAnsi="Arial" w:cs="Arial"/>
        <w:sz w:val="14"/>
        <w:szCs w:val="14"/>
      </w:rPr>
    </w:pPr>
    <w:r>
      <w:rPr>
        <w:rFonts w:ascii="Arial" w:hAnsi="Arial" w:cs="Arial"/>
        <w:sz w:val="14"/>
        <w:szCs w:val="14"/>
      </w:rPr>
      <w:t xml:space="preserve"> </w:t>
    </w:r>
    <w:r w:rsidR="00DB0AD2">
      <w:rPr>
        <w:rFonts w:ascii="Arial" w:hAnsi="Arial" w:cs="Arial"/>
        <w:sz w:val="14"/>
        <w:szCs w:val="14"/>
      </w:rPr>
      <w:t xml:space="preserve">  </w:t>
    </w:r>
    <w:r>
      <w:rPr>
        <w:rFonts w:ascii="Arial" w:hAnsi="Arial" w:cs="Arial"/>
        <w:sz w:val="14"/>
        <w:szCs w:val="14"/>
      </w:rPr>
      <w:t xml:space="preserve"> </w:t>
    </w:r>
    <w:r w:rsidR="00DD5414">
      <w:rPr>
        <w:rFonts w:ascii="Arial" w:hAnsi="Arial" w:cs="Arial"/>
        <w:sz w:val="14"/>
        <w:szCs w:val="14"/>
      </w:rPr>
      <w:t xml:space="preserve"> </w:t>
    </w:r>
    <w:r w:rsidR="00DD5414">
      <w:rPr>
        <w:rFonts w:ascii="Arial" w:hAnsi="Arial" w:cs="Arial"/>
        <w:sz w:val="14"/>
        <w:szCs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E0E5" w14:textId="77777777" w:rsidR="00D76C74" w:rsidRDefault="00D76C74">
      <w:r>
        <w:separator/>
      </w:r>
    </w:p>
  </w:footnote>
  <w:footnote w:type="continuationSeparator" w:id="0">
    <w:p w14:paraId="227EBDD2" w14:textId="77777777" w:rsidR="00D76C74" w:rsidRDefault="00D7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472F" w14:textId="77777777" w:rsidR="00D912DB" w:rsidRDefault="00D912D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8450A">
      <w:rPr>
        <w:rStyle w:val="PageNumber"/>
        <w:noProof/>
        <w:sz w:val="20"/>
        <w:szCs w:val="20"/>
      </w:rPr>
      <w:t>2</w:t>
    </w:r>
    <w:r>
      <w:rPr>
        <w:rStyle w:val="PageNumber"/>
        <w:sz w:val="20"/>
        <w:szCs w:val="20"/>
      </w:rPr>
      <w:fldChar w:fldCharType="end"/>
    </w:r>
    <w:r>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BB9E" w14:textId="0CEB7890" w:rsidR="00393071" w:rsidRDefault="00393071" w:rsidP="00393071">
    <w:pPr>
      <w:pStyle w:val="Header"/>
      <w:jc w:val="center"/>
    </w:pPr>
    <w:r>
      <w:rPr>
        <w:noProof/>
        <w:sz w:val="28"/>
        <w:szCs w:val="28"/>
      </w:rPr>
      <w:drawing>
        <wp:inline distT="0" distB="0" distL="0" distR="0" wp14:anchorId="407CEFD3" wp14:editId="14093E62">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402B"/>
    <w:multiLevelType w:val="hybridMultilevel"/>
    <w:tmpl w:val="FE861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4E7C5E"/>
    <w:multiLevelType w:val="hybridMultilevel"/>
    <w:tmpl w:val="B5B0ABAC"/>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B977648"/>
    <w:multiLevelType w:val="hybridMultilevel"/>
    <w:tmpl w:val="0F907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671142">
    <w:abstractNumId w:val="1"/>
  </w:num>
  <w:num w:numId="2" w16cid:durableId="1426802681">
    <w:abstractNumId w:val="2"/>
  </w:num>
  <w:num w:numId="3" w16cid:durableId="107304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71"/>
    <w:rsid w:val="0000021D"/>
    <w:rsid w:val="00041E2E"/>
    <w:rsid w:val="000460C4"/>
    <w:rsid w:val="00047105"/>
    <w:rsid w:val="00055944"/>
    <w:rsid w:val="00063FB6"/>
    <w:rsid w:val="00072F0C"/>
    <w:rsid w:val="000906BD"/>
    <w:rsid w:val="000B478D"/>
    <w:rsid w:val="000E4D22"/>
    <w:rsid w:val="000F2591"/>
    <w:rsid w:val="001014B8"/>
    <w:rsid w:val="00112C73"/>
    <w:rsid w:val="001162DE"/>
    <w:rsid w:val="001305E2"/>
    <w:rsid w:val="001360C1"/>
    <w:rsid w:val="001572D2"/>
    <w:rsid w:val="00160564"/>
    <w:rsid w:val="0017608F"/>
    <w:rsid w:val="00182C46"/>
    <w:rsid w:val="00190EE6"/>
    <w:rsid w:val="0019136C"/>
    <w:rsid w:val="001D75A2"/>
    <w:rsid w:val="001E4026"/>
    <w:rsid w:val="001E4F10"/>
    <w:rsid w:val="001F0D48"/>
    <w:rsid w:val="00235958"/>
    <w:rsid w:val="002426B3"/>
    <w:rsid w:val="0024276B"/>
    <w:rsid w:val="00250594"/>
    <w:rsid w:val="00251E49"/>
    <w:rsid w:val="0026397D"/>
    <w:rsid w:val="00273053"/>
    <w:rsid w:val="002C537F"/>
    <w:rsid w:val="002D1A4C"/>
    <w:rsid w:val="002E45FF"/>
    <w:rsid w:val="002F3611"/>
    <w:rsid w:val="00300F73"/>
    <w:rsid w:val="00305883"/>
    <w:rsid w:val="003060D2"/>
    <w:rsid w:val="0030702A"/>
    <w:rsid w:val="00310CDA"/>
    <w:rsid w:val="00363CF2"/>
    <w:rsid w:val="00372506"/>
    <w:rsid w:val="00385578"/>
    <w:rsid w:val="00392EE4"/>
    <w:rsid w:val="00393071"/>
    <w:rsid w:val="003C1944"/>
    <w:rsid w:val="003C464D"/>
    <w:rsid w:val="004124E0"/>
    <w:rsid w:val="00413130"/>
    <w:rsid w:val="00420B2C"/>
    <w:rsid w:val="004227ED"/>
    <w:rsid w:val="0043020A"/>
    <w:rsid w:val="00430932"/>
    <w:rsid w:val="004352FF"/>
    <w:rsid w:val="0044416F"/>
    <w:rsid w:val="0044779A"/>
    <w:rsid w:val="004557B9"/>
    <w:rsid w:val="00461016"/>
    <w:rsid w:val="00465451"/>
    <w:rsid w:val="004701C4"/>
    <w:rsid w:val="004735A2"/>
    <w:rsid w:val="004776E8"/>
    <w:rsid w:val="0048137D"/>
    <w:rsid w:val="004864D9"/>
    <w:rsid w:val="004972B9"/>
    <w:rsid w:val="004A7774"/>
    <w:rsid w:val="004C0B1F"/>
    <w:rsid w:val="004C7B6B"/>
    <w:rsid w:val="004E33D9"/>
    <w:rsid w:val="004E38FB"/>
    <w:rsid w:val="004F3200"/>
    <w:rsid w:val="005025B0"/>
    <w:rsid w:val="005041DA"/>
    <w:rsid w:val="00516621"/>
    <w:rsid w:val="00531B2D"/>
    <w:rsid w:val="00536627"/>
    <w:rsid w:val="0054002A"/>
    <w:rsid w:val="005527BE"/>
    <w:rsid w:val="00552FCD"/>
    <w:rsid w:val="00556242"/>
    <w:rsid w:val="00562816"/>
    <w:rsid w:val="0057330E"/>
    <w:rsid w:val="0057442F"/>
    <w:rsid w:val="005D2DB1"/>
    <w:rsid w:val="005E3018"/>
    <w:rsid w:val="005E57FD"/>
    <w:rsid w:val="005F028C"/>
    <w:rsid w:val="005F2882"/>
    <w:rsid w:val="00631ADC"/>
    <w:rsid w:val="006344A2"/>
    <w:rsid w:val="0063526B"/>
    <w:rsid w:val="006353C6"/>
    <w:rsid w:val="00635412"/>
    <w:rsid w:val="00641F00"/>
    <w:rsid w:val="00647CDF"/>
    <w:rsid w:val="00650E1D"/>
    <w:rsid w:val="00654CE5"/>
    <w:rsid w:val="00676983"/>
    <w:rsid w:val="0068129F"/>
    <w:rsid w:val="00691B7D"/>
    <w:rsid w:val="006A3B8F"/>
    <w:rsid w:val="006B4D31"/>
    <w:rsid w:val="006E7D7A"/>
    <w:rsid w:val="006F025E"/>
    <w:rsid w:val="006F3DF8"/>
    <w:rsid w:val="007004A3"/>
    <w:rsid w:val="00701E4C"/>
    <w:rsid w:val="00706A24"/>
    <w:rsid w:val="007211BC"/>
    <w:rsid w:val="0072510E"/>
    <w:rsid w:val="00730354"/>
    <w:rsid w:val="00731FCD"/>
    <w:rsid w:val="007744F2"/>
    <w:rsid w:val="00775FE4"/>
    <w:rsid w:val="00782FCB"/>
    <w:rsid w:val="007A3D38"/>
    <w:rsid w:val="007A6745"/>
    <w:rsid w:val="007B0919"/>
    <w:rsid w:val="007B097B"/>
    <w:rsid w:val="007C616D"/>
    <w:rsid w:val="007C7AFD"/>
    <w:rsid w:val="007F3885"/>
    <w:rsid w:val="00820DF9"/>
    <w:rsid w:val="00822C1A"/>
    <w:rsid w:val="00834CB4"/>
    <w:rsid w:val="00845233"/>
    <w:rsid w:val="00855778"/>
    <w:rsid w:val="008621C3"/>
    <w:rsid w:val="0089317D"/>
    <w:rsid w:val="00893978"/>
    <w:rsid w:val="0089439E"/>
    <w:rsid w:val="00894F47"/>
    <w:rsid w:val="008A4ACD"/>
    <w:rsid w:val="008A79A4"/>
    <w:rsid w:val="008B0D7D"/>
    <w:rsid w:val="00910FFC"/>
    <w:rsid w:val="00911F6E"/>
    <w:rsid w:val="00912F75"/>
    <w:rsid w:val="00915116"/>
    <w:rsid w:val="0093202A"/>
    <w:rsid w:val="00933939"/>
    <w:rsid w:val="0093466D"/>
    <w:rsid w:val="00935E4C"/>
    <w:rsid w:val="00937489"/>
    <w:rsid w:val="009537B3"/>
    <w:rsid w:val="009539F4"/>
    <w:rsid w:val="00960916"/>
    <w:rsid w:val="0096146C"/>
    <w:rsid w:val="0096629A"/>
    <w:rsid w:val="00973568"/>
    <w:rsid w:val="009800E4"/>
    <w:rsid w:val="009A2CD9"/>
    <w:rsid w:val="009A7761"/>
    <w:rsid w:val="009C3F3F"/>
    <w:rsid w:val="009E3D9F"/>
    <w:rsid w:val="009F2C8F"/>
    <w:rsid w:val="009F4DAC"/>
    <w:rsid w:val="009F5453"/>
    <w:rsid w:val="00A07D4C"/>
    <w:rsid w:val="00A114A1"/>
    <w:rsid w:val="00A20BC6"/>
    <w:rsid w:val="00A235B4"/>
    <w:rsid w:val="00A241EB"/>
    <w:rsid w:val="00A309A6"/>
    <w:rsid w:val="00A53488"/>
    <w:rsid w:val="00A832DF"/>
    <w:rsid w:val="00A84ACC"/>
    <w:rsid w:val="00A932D3"/>
    <w:rsid w:val="00AB2279"/>
    <w:rsid w:val="00AC7598"/>
    <w:rsid w:val="00AD398E"/>
    <w:rsid w:val="00AD5262"/>
    <w:rsid w:val="00AD718D"/>
    <w:rsid w:val="00AE2684"/>
    <w:rsid w:val="00AE483F"/>
    <w:rsid w:val="00AF08B4"/>
    <w:rsid w:val="00B047E4"/>
    <w:rsid w:val="00B07DEA"/>
    <w:rsid w:val="00B14849"/>
    <w:rsid w:val="00B20688"/>
    <w:rsid w:val="00B21ED6"/>
    <w:rsid w:val="00B33270"/>
    <w:rsid w:val="00B33F57"/>
    <w:rsid w:val="00B372F0"/>
    <w:rsid w:val="00B51A40"/>
    <w:rsid w:val="00B53800"/>
    <w:rsid w:val="00B5725E"/>
    <w:rsid w:val="00B60BFA"/>
    <w:rsid w:val="00B61C58"/>
    <w:rsid w:val="00B7391A"/>
    <w:rsid w:val="00B84874"/>
    <w:rsid w:val="00B8737D"/>
    <w:rsid w:val="00BE388C"/>
    <w:rsid w:val="00BF7CB2"/>
    <w:rsid w:val="00C12EEB"/>
    <w:rsid w:val="00C153B7"/>
    <w:rsid w:val="00C21FDA"/>
    <w:rsid w:val="00C23A31"/>
    <w:rsid w:val="00C45D29"/>
    <w:rsid w:val="00C63FF6"/>
    <w:rsid w:val="00C67E28"/>
    <w:rsid w:val="00C8019D"/>
    <w:rsid w:val="00C853DD"/>
    <w:rsid w:val="00C91ACF"/>
    <w:rsid w:val="00CA627A"/>
    <w:rsid w:val="00CB6189"/>
    <w:rsid w:val="00CC0246"/>
    <w:rsid w:val="00CD5206"/>
    <w:rsid w:val="00CE4691"/>
    <w:rsid w:val="00CE4823"/>
    <w:rsid w:val="00CF3477"/>
    <w:rsid w:val="00D23FF4"/>
    <w:rsid w:val="00D451B8"/>
    <w:rsid w:val="00D67CDE"/>
    <w:rsid w:val="00D73387"/>
    <w:rsid w:val="00D76C74"/>
    <w:rsid w:val="00D8450A"/>
    <w:rsid w:val="00D912DB"/>
    <w:rsid w:val="00D91587"/>
    <w:rsid w:val="00DA0569"/>
    <w:rsid w:val="00DB0AD2"/>
    <w:rsid w:val="00DD5414"/>
    <w:rsid w:val="00DF116F"/>
    <w:rsid w:val="00E25AED"/>
    <w:rsid w:val="00E462B4"/>
    <w:rsid w:val="00E50657"/>
    <w:rsid w:val="00E5369D"/>
    <w:rsid w:val="00E5582E"/>
    <w:rsid w:val="00E579D8"/>
    <w:rsid w:val="00E645C6"/>
    <w:rsid w:val="00E6675A"/>
    <w:rsid w:val="00E873F1"/>
    <w:rsid w:val="00E90961"/>
    <w:rsid w:val="00EB0ED3"/>
    <w:rsid w:val="00EC415E"/>
    <w:rsid w:val="00EC4A7B"/>
    <w:rsid w:val="00ED7514"/>
    <w:rsid w:val="00EF14F5"/>
    <w:rsid w:val="00F00237"/>
    <w:rsid w:val="00F016A4"/>
    <w:rsid w:val="00F054E3"/>
    <w:rsid w:val="00F141C6"/>
    <w:rsid w:val="00F21E8A"/>
    <w:rsid w:val="00F35708"/>
    <w:rsid w:val="00F41061"/>
    <w:rsid w:val="00F54B4A"/>
    <w:rsid w:val="00F72B1B"/>
    <w:rsid w:val="00F97EC2"/>
    <w:rsid w:val="00FC3B9C"/>
    <w:rsid w:val="00FC639D"/>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49416"/>
  <w15:docId w15:val="{002C5FA8-C27F-488B-8AEA-007C6FB0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aliases w:val="Bullet Point,L,List Paragraph1,Recommendation,List Paragraph11,Bullet point,List Paragraph Number"/>
    <w:basedOn w:val="Normal"/>
    <w:link w:val="ListParagraphChar"/>
    <w:uiPriority w:val="34"/>
    <w:qFormat/>
    <w:rsid w:val="00AE483F"/>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Bullet Point Char,L Char,List Paragraph1 Char,Recommendation Char,List Paragraph11 Char,Bullet point Char,List Paragraph Number Char"/>
    <w:basedOn w:val="DefaultParagraphFont"/>
    <w:link w:val="ListParagraph"/>
    <w:uiPriority w:val="34"/>
    <w:locked/>
    <w:rsid w:val="00AE483F"/>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B84874"/>
    <w:rPr>
      <w:sz w:val="16"/>
      <w:szCs w:val="16"/>
    </w:rPr>
  </w:style>
  <w:style w:type="paragraph" w:styleId="CommentText">
    <w:name w:val="annotation text"/>
    <w:basedOn w:val="Normal"/>
    <w:link w:val="CommentTextChar"/>
    <w:uiPriority w:val="99"/>
    <w:unhideWhenUsed/>
    <w:rsid w:val="00B84874"/>
    <w:rPr>
      <w:sz w:val="20"/>
      <w:szCs w:val="20"/>
    </w:rPr>
  </w:style>
  <w:style w:type="character" w:customStyle="1" w:styleId="CommentTextChar">
    <w:name w:val="Comment Text Char"/>
    <w:basedOn w:val="DefaultParagraphFont"/>
    <w:link w:val="CommentText"/>
    <w:uiPriority w:val="99"/>
    <w:rsid w:val="00B84874"/>
    <w:rPr>
      <w:rFonts w:ascii="Book Antiqua" w:hAnsi="Book Antiqua"/>
    </w:rPr>
  </w:style>
  <w:style w:type="paragraph" w:styleId="CommentSubject">
    <w:name w:val="annotation subject"/>
    <w:basedOn w:val="CommentText"/>
    <w:next w:val="CommentText"/>
    <w:link w:val="CommentSubjectChar"/>
    <w:uiPriority w:val="99"/>
    <w:semiHidden/>
    <w:unhideWhenUsed/>
    <w:rsid w:val="00B84874"/>
    <w:rPr>
      <w:b/>
      <w:bCs/>
    </w:rPr>
  </w:style>
  <w:style w:type="character" w:customStyle="1" w:styleId="CommentSubjectChar">
    <w:name w:val="Comment Subject Char"/>
    <w:basedOn w:val="CommentTextChar"/>
    <w:link w:val="CommentSubject"/>
    <w:uiPriority w:val="99"/>
    <w:semiHidden/>
    <w:rsid w:val="00B84874"/>
    <w:rPr>
      <w:rFonts w:ascii="Book Antiqua" w:hAnsi="Book Antiqua"/>
      <w:b/>
      <w:bCs/>
    </w:rPr>
  </w:style>
  <w:style w:type="character" w:styleId="Hyperlink">
    <w:name w:val="Hyperlink"/>
    <w:basedOn w:val="DefaultParagraphFont"/>
    <w:uiPriority w:val="99"/>
    <w:unhideWhenUsed/>
    <w:rsid w:val="0043020A"/>
    <w:rPr>
      <w:color w:val="0000FF" w:themeColor="hyperlink"/>
      <w:u w:val="single"/>
    </w:rPr>
  </w:style>
  <w:style w:type="character" w:styleId="UnresolvedMention">
    <w:name w:val="Unresolved Mention"/>
    <w:basedOn w:val="DefaultParagraphFont"/>
    <w:uiPriority w:val="99"/>
    <w:semiHidden/>
    <w:unhideWhenUsed/>
    <w:rsid w:val="00430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employee-entitlement-portability-for-gp-registrars-final-repor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F4972E9B6D6C4D927D9F4C1A32F29B" ma:contentTypeVersion="" ma:contentTypeDescription="PDMS Document Site Content Type" ma:contentTypeScope="" ma:versionID="2e002ad3714f86ecfd06106c7180e728">
  <xsd:schema xmlns:xsd="http://www.w3.org/2001/XMLSchema" xmlns:xs="http://www.w3.org/2001/XMLSchema" xmlns:p="http://schemas.microsoft.com/office/2006/metadata/properties" xmlns:ns2="C5E6164A-E0BE-4ED7-A80F-3D83E19B4851" targetNamespace="http://schemas.microsoft.com/office/2006/metadata/properties" ma:root="true" ma:fieldsID="2211dc5c289b1947a968eb33efda8bb6" ns2:_="">
    <xsd:import namespace="C5E6164A-E0BE-4ED7-A80F-3D83E19B48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6164A-E0BE-4ED7-A80F-3D83E19B48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5E6164A-E0BE-4ED7-A80F-3D83E19B4851" xsi:nil="true"/>
  </documentManagement>
</p:properties>
</file>

<file path=customXml/itemProps1.xml><?xml version="1.0" encoding="utf-8"?>
<ds:datastoreItem xmlns:ds="http://schemas.openxmlformats.org/officeDocument/2006/customXml" ds:itemID="{3162F471-5BC7-4FD6-AD26-58168BEC17A0}">
  <ds:schemaRefs>
    <ds:schemaRef ds:uri="http://schemas.microsoft.com/sharepoint/v3/contenttype/forms"/>
  </ds:schemaRefs>
</ds:datastoreItem>
</file>

<file path=customXml/itemProps2.xml><?xml version="1.0" encoding="utf-8"?>
<ds:datastoreItem xmlns:ds="http://schemas.openxmlformats.org/officeDocument/2006/customXml" ds:itemID="{241DB3A5-5BE9-4459-884F-E3CA75022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6164A-E0BE-4ED7-A80F-3D83E19B4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customXml/itemProps4.xml><?xml version="1.0" encoding="utf-8"?>
<ds:datastoreItem xmlns:ds="http://schemas.openxmlformats.org/officeDocument/2006/customXml" ds:itemID="{F16D1F44-0C58-4ABD-A7EF-D3AEDA371BDA}">
  <ds:schemaRefs>
    <ds:schemaRef ds:uri="http://schemas.microsoft.com/office/2006/metadata/properties"/>
    <ds:schemaRef ds:uri="http://schemas.microsoft.com/office/infopath/2007/PartnerControls"/>
    <ds:schemaRef ds:uri="C5E6164A-E0BE-4ED7-A80F-3D83E19B4851"/>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Health Letterhead Templates</vt:lpstr>
    </vt:vector>
  </TitlesOfParts>
  <Company>Department of Health</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Final Report – KPMG Feasibility Study into employee entitlement portability for GP registrars</dc:title>
  <dc:subject>Health workforce</dc:subject>
  <cp:keywords>Workforce</cp:keywords>
  <cp:revision>9</cp:revision>
  <cp:lastPrinted>2007-10-31T23:22:00Z</cp:lastPrinted>
  <dcterms:created xsi:type="dcterms:W3CDTF">2024-01-08T00:20:00Z</dcterms:created>
  <dcterms:modified xsi:type="dcterms:W3CDTF">2024-06-27T04:56:00Z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 GPO Box 9848 Canberra ACT 2601</vt:lpwstr>
  </property>
  <property fmtid="{D5CDD505-2E9C-101B-9397-08002B2CF9AE}" pid="3" name="PhoneLabel">
    <vt:lpwstr/>
  </property>
  <property fmtid="{D5CDD505-2E9C-101B-9397-08002B2CF9AE}" pid="4" name="EmailLabel">
    <vt:lpwstr/>
  </property>
  <property fmtid="{D5CDD505-2E9C-101B-9397-08002B2CF9AE}" pid="5" name="Website">
    <vt:lpwstr>- www.health.gov.au</vt:lpwstr>
  </property>
  <property fmtid="{D5CDD505-2E9C-101B-9397-08002B2CF9AE}" pid="6" name="PhoneValue">
    <vt:lpwstr/>
  </property>
  <property fmtid="{D5CDD505-2E9C-101B-9397-08002B2CF9AE}" pid="7" name="EmailValue">
    <vt:lpwstr/>
  </property>
  <property fmtid="{D5CDD505-2E9C-101B-9397-08002B2CF9AE}" pid="8" name="ContentTypeId">
    <vt:lpwstr>0x010100266966F133664895A6EE3632470D45F500D0F4972E9B6D6C4D927D9F4C1A32F29B</vt:lpwstr>
  </property>
</Properties>
</file>