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53DA" w14:textId="465AE6AB" w:rsidR="00F331BC" w:rsidRDefault="00AD7A26" w:rsidP="00AD7A26">
      <w:pPr>
        <w:jc w:val="center"/>
        <w:rPr>
          <w:rFonts w:cs="Arial"/>
          <w:b/>
          <w:sz w:val="21"/>
          <w:szCs w:val="21"/>
        </w:rPr>
      </w:pPr>
      <w:r>
        <w:rPr>
          <w:noProof/>
          <w:sz w:val="28"/>
          <w:szCs w:val="28"/>
        </w:rPr>
        <w:drawing>
          <wp:inline distT="0" distB="0" distL="0" distR="0" wp14:anchorId="28500D95" wp14:editId="2225D057">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42AC8F4E" w14:textId="77777777" w:rsidR="00012163" w:rsidRDefault="00012163" w:rsidP="00012163">
      <w:pPr>
        <w:autoSpaceDE w:val="0"/>
        <w:autoSpaceDN w:val="0"/>
        <w:adjustRightInd w:val="0"/>
        <w:jc w:val="center"/>
        <w:rPr>
          <w:rFonts w:cs="Arial"/>
          <w:b/>
          <w:szCs w:val="22"/>
        </w:rPr>
      </w:pPr>
    </w:p>
    <w:p w14:paraId="7102814B" w14:textId="77777777" w:rsidR="00012163" w:rsidRPr="005C69F0" w:rsidRDefault="00012163" w:rsidP="00012163">
      <w:pPr>
        <w:autoSpaceDE w:val="0"/>
        <w:autoSpaceDN w:val="0"/>
        <w:adjustRightInd w:val="0"/>
        <w:jc w:val="center"/>
        <w:rPr>
          <w:rFonts w:cs="Arial"/>
          <w:b/>
          <w:szCs w:val="22"/>
        </w:rPr>
      </w:pPr>
      <w:r w:rsidRPr="005C69F0">
        <w:rPr>
          <w:rFonts w:cs="Arial"/>
          <w:b/>
          <w:szCs w:val="22"/>
        </w:rPr>
        <w:t>COMMONWEALTH OF AUSTRALIA</w:t>
      </w:r>
    </w:p>
    <w:p w14:paraId="082711E9" w14:textId="77777777" w:rsidR="00012163" w:rsidRPr="005C69F0" w:rsidRDefault="00012163" w:rsidP="00012163">
      <w:pPr>
        <w:autoSpaceDE w:val="0"/>
        <w:autoSpaceDN w:val="0"/>
        <w:adjustRightInd w:val="0"/>
        <w:jc w:val="center"/>
        <w:rPr>
          <w:rFonts w:cs="Arial"/>
          <w:b/>
          <w:szCs w:val="22"/>
        </w:rPr>
      </w:pPr>
    </w:p>
    <w:p w14:paraId="5DE6CE44" w14:textId="77777777" w:rsidR="00012163" w:rsidRPr="005C69F0" w:rsidRDefault="00012163" w:rsidP="00012163">
      <w:pPr>
        <w:autoSpaceDE w:val="0"/>
        <w:autoSpaceDN w:val="0"/>
        <w:adjustRightInd w:val="0"/>
        <w:jc w:val="center"/>
        <w:rPr>
          <w:rFonts w:cs="Arial"/>
          <w:b/>
          <w:szCs w:val="22"/>
        </w:rPr>
      </w:pPr>
      <w:r w:rsidRPr="005C69F0">
        <w:rPr>
          <w:rFonts w:cs="Arial"/>
          <w:b/>
          <w:szCs w:val="22"/>
        </w:rPr>
        <w:t>DEPARTMENT OF HEALTH</w:t>
      </w:r>
      <w:r>
        <w:rPr>
          <w:rFonts w:cs="Arial"/>
          <w:b/>
          <w:szCs w:val="22"/>
        </w:rPr>
        <w:t xml:space="preserve"> AND AGED CARE</w:t>
      </w:r>
    </w:p>
    <w:p w14:paraId="7A83F080" w14:textId="77777777" w:rsidR="00012163" w:rsidRPr="005C69F0" w:rsidRDefault="00012163" w:rsidP="00012163">
      <w:pPr>
        <w:autoSpaceDE w:val="0"/>
        <w:autoSpaceDN w:val="0"/>
        <w:adjustRightInd w:val="0"/>
        <w:jc w:val="center"/>
        <w:rPr>
          <w:rFonts w:cs="Arial"/>
          <w:b/>
          <w:szCs w:val="22"/>
        </w:rPr>
      </w:pPr>
    </w:p>
    <w:p w14:paraId="173FD161" w14:textId="22FB4C02" w:rsidR="00012163" w:rsidRDefault="00012163" w:rsidP="003279B3">
      <w:pPr>
        <w:autoSpaceDE w:val="0"/>
        <w:autoSpaceDN w:val="0"/>
        <w:adjustRightInd w:val="0"/>
        <w:jc w:val="center"/>
        <w:rPr>
          <w:rFonts w:cs="Arial"/>
          <w:b/>
          <w:szCs w:val="22"/>
        </w:rPr>
      </w:pPr>
      <w:r w:rsidRPr="005C69F0">
        <w:rPr>
          <w:rFonts w:cs="Arial"/>
          <w:b/>
          <w:szCs w:val="22"/>
        </w:rPr>
        <w:t>PUBLIC INTEREST DISCLOSURE ACT 2013</w:t>
      </w:r>
    </w:p>
    <w:p w14:paraId="628053D5" w14:textId="77777777" w:rsidR="003279B3" w:rsidRDefault="003279B3" w:rsidP="003279B3">
      <w:pPr>
        <w:autoSpaceDE w:val="0"/>
        <w:autoSpaceDN w:val="0"/>
        <w:adjustRightInd w:val="0"/>
        <w:jc w:val="center"/>
        <w:rPr>
          <w:rFonts w:cs="Arial"/>
          <w:b/>
          <w:szCs w:val="22"/>
        </w:rPr>
      </w:pPr>
    </w:p>
    <w:p w14:paraId="157F94D9" w14:textId="7017F78A" w:rsidR="003279B3" w:rsidRPr="005C69F0" w:rsidRDefault="003279B3" w:rsidP="003279B3">
      <w:pPr>
        <w:autoSpaceDE w:val="0"/>
        <w:autoSpaceDN w:val="0"/>
        <w:adjustRightInd w:val="0"/>
        <w:jc w:val="center"/>
        <w:rPr>
          <w:rFonts w:cs="Arial"/>
          <w:b/>
          <w:szCs w:val="22"/>
        </w:rPr>
      </w:pPr>
      <w:r>
        <w:rPr>
          <w:rFonts w:cs="Arial"/>
          <w:b/>
          <w:szCs w:val="22"/>
        </w:rPr>
        <w:t>PROCEDURES</w:t>
      </w:r>
    </w:p>
    <w:p w14:paraId="065028AB" w14:textId="77777777" w:rsidR="00012163" w:rsidRPr="005C69F0" w:rsidRDefault="00012163" w:rsidP="00012163">
      <w:pPr>
        <w:autoSpaceDE w:val="0"/>
        <w:autoSpaceDN w:val="0"/>
        <w:adjustRightInd w:val="0"/>
        <w:jc w:val="center"/>
        <w:rPr>
          <w:rFonts w:cs="Arial"/>
          <w:b/>
          <w:szCs w:val="22"/>
        </w:rPr>
      </w:pPr>
    </w:p>
    <w:p w14:paraId="4C34E4F6" w14:textId="55121E60" w:rsidR="00012163" w:rsidRPr="005C69F0" w:rsidRDefault="00012163" w:rsidP="00012163">
      <w:pPr>
        <w:autoSpaceDE w:val="0"/>
        <w:autoSpaceDN w:val="0"/>
        <w:adjustRightInd w:val="0"/>
        <w:rPr>
          <w:rFonts w:cs="Arial"/>
          <w:szCs w:val="22"/>
        </w:rPr>
      </w:pPr>
      <w:r w:rsidRPr="005C69F0">
        <w:rPr>
          <w:rFonts w:cs="Arial"/>
          <w:szCs w:val="22"/>
        </w:rPr>
        <w:t xml:space="preserve">I, </w:t>
      </w:r>
      <w:r>
        <w:rPr>
          <w:rFonts w:cs="Arial"/>
          <w:szCs w:val="22"/>
        </w:rPr>
        <w:t>Blair Comley PSM,</w:t>
      </w:r>
      <w:r w:rsidRPr="00B0406F">
        <w:rPr>
          <w:rFonts w:cs="Arial"/>
          <w:szCs w:val="22"/>
        </w:rPr>
        <w:t xml:space="preserve"> </w:t>
      </w:r>
      <w:r>
        <w:rPr>
          <w:rFonts w:cs="Arial"/>
          <w:szCs w:val="22"/>
        </w:rPr>
        <w:t>Secretary</w:t>
      </w:r>
      <w:r w:rsidRPr="005C69F0">
        <w:rPr>
          <w:rFonts w:cs="Arial"/>
          <w:szCs w:val="22"/>
        </w:rPr>
        <w:t xml:space="preserve"> of the Department of Health</w:t>
      </w:r>
      <w:r>
        <w:rPr>
          <w:rFonts w:cs="Arial"/>
          <w:szCs w:val="22"/>
        </w:rPr>
        <w:t xml:space="preserve"> and Aged Care (</w:t>
      </w:r>
      <w:r>
        <w:rPr>
          <w:rFonts w:cs="Arial"/>
          <w:b/>
          <w:bCs/>
          <w:szCs w:val="22"/>
        </w:rPr>
        <w:t>Department</w:t>
      </w:r>
      <w:r>
        <w:rPr>
          <w:rFonts w:cs="Arial"/>
          <w:szCs w:val="22"/>
        </w:rPr>
        <w:t>)</w:t>
      </w:r>
      <w:r w:rsidRPr="005C69F0">
        <w:rPr>
          <w:rFonts w:cs="Arial"/>
          <w:szCs w:val="22"/>
        </w:rPr>
        <w:t xml:space="preserve">, acting </w:t>
      </w:r>
      <w:r>
        <w:rPr>
          <w:rFonts w:cs="Arial"/>
          <w:szCs w:val="22"/>
        </w:rPr>
        <w:t xml:space="preserve">as the Principal Officer </w:t>
      </w:r>
      <w:r w:rsidRPr="005C69F0">
        <w:rPr>
          <w:rFonts w:cs="Arial"/>
          <w:szCs w:val="22"/>
        </w:rPr>
        <w:t xml:space="preserve">under </w:t>
      </w:r>
      <w:r w:rsidR="00626440">
        <w:rPr>
          <w:rFonts w:cs="Arial"/>
          <w:szCs w:val="22"/>
        </w:rPr>
        <w:t>sub</w:t>
      </w:r>
      <w:r w:rsidRPr="005C69F0">
        <w:rPr>
          <w:rFonts w:cs="Arial"/>
          <w:szCs w:val="22"/>
        </w:rPr>
        <w:t xml:space="preserve">section </w:t>
      </w:r>
      <w:r w:rsidR="00626440">
        <w:rPr>
          <w:rFonts w:cs="Arial"/>
          <w:szCs w:val="22"/>
        </w:rPr>
        <w:t>59(3)</w:t>
      </w:r>
      <w:r w:rsidRPr="005C69F0">
        <w:rPr>
          <w:rFonts w:cs="Arial"/>
          <w:szCs w:val="22"/>
        </w:rPr>
        <w:t xml:space="preserve"> of the </w:t>
      </w:r>
      <w:r w:rsidRPr="005C69F0">
        <w:rPr>
          <w:rFonts w:cs="Arial"/>
          <w:i/>
          <w:szCs w:val="22"/>
        </w:rPr>
        <w:t>Public Interest Disclosure Act 2013</w:t>
      </w:r>
      <w:r w:rsidRPr="005C69F0">
        <w:rPr>
          <w:rFonts w:cs="Arial"/>
          <w:szCs w:val="22"/>
        </w:rPr>
        <w:t xml:space="preserve"> </w:t>
      </w:r>
      <w:r w:rsidR="00626440">
        <w:rPr>
          <w:rFonts w:cs="Arial"/>
          <w:szCs w:val="22"/>
        </w:rPr>
        <w:t xml:space="preserve">(Cth) </w:t>
      </w:r>
      <w:r w:rsidRPr="005C69F0">
        <w:rPr>
          <w:rFonts w:cs="Arial"/>
          <w:szCs w:val="22"/>
        </w:rPr>
        <w:t>(</w:t>
      </w:r>
      <w:r w:rsidRPr="00E10C39">
        <w:rPr>
          <w:rFonts w:cs="Arial"/>
          <w:b/>
          <w:bCs/>
          <w:szCs w:val="22"/>
        </w:rPr>
        <w:t xml:space="preserve">the </w:t>
      </w:r>
      <w:r w:rsidR="00626440">
        <w:rPr>
          <w:rFonts w:cs="Arial"/>
          <w:b/>
          <w:bCs/>
          <w:szCs w:val="22"/>
        </w:rPr>
        <w:t xml:space="preserve">PID </w:t>
      </w:r>
      <w:r w:rsidRPr="00E10C39">
        <w:rPr>
          <w:rFonts w:cs="Arial"/>
          <w:b/>
          <w:bCs/>
          <w:szCs w:val="22"/>
        </w:rPr>
        <w:t>Act</w:t>
      </w:r>
      <w:r w:rsidRPr="005C69F0">
        <w:rPr>
          <w:rFonts w:cs="Arial"/>
          <w:szCs w:val="22"/>
        </w:rPr>
        <w:t>)</w:t>
      </w:r>
      <w:r w:rsidR="00582DB8">
        <w:rPr>
          <w:rFonts w:cs="Arial"/>
          <w:szCs w:val="22"/>
        </w:rPr>
        <w:t xml:space="preserve">: </w:t>
      </w:r>
    </w:p>
    <w:p w14:paraId="24409E17" w14:textId="77777777" w:rsidR="00012163" w:rsidRPr="005C69F0" w:rsidRDefault="00012163" w:rsidP="00012163">
      <w:pPr>
        <w:autoSpaceDE w:val="0"/>
        <w:autoSpaceDN w:val="0"/>
        <w:adjustRightInd w:val="0"/>
        <w:rPr>
          <w:rFonts w:cs="Arial"/>
          <w:szCs w:val="22"/>
        </w:rPr>
      </w:pPr>
    </w:p>
    <w:p w14:paraId="0EC2079B" w14:textId="301BBB8A" w:rsidR="00372825" w:rsidRPr="00372825" w:rsidRDefault="00012163" w:rsidP="00372825">
      <w:pPr>
        <w:pStyle w:val="ListParagraph"/>
        <w:numPr>
          <w:ilvl w:val="0"/>
          <w:numId w:val="41"/>
        </w:numPr>
        <w:autoSpaceDE w:val="0"/>
        <w:autoSpaceDN w:val="0"/>
        <w:adjustRightInd w:val="0"/>
        <w:rPr>
          <w:rFonts w:cs="Arial"/>
          <w:szCs w:val="22"/>
        </w:rPr>
      </w:pPr>
      <w:r w:rsidRPr="00372825">
        <w:rPr>
          <w:rFonts w:cs="Arial"/>
          <w:szCs w:val="22"/>
        </w:rPr>
        <w:t xml:space="preserve">REVOKE all previous </w:t>
      </w:r>
      <w:r w:rsidR="00582DB8" w:rsidRPr="00372825">
        <w:rPr>
          <w:rFonts w:cs="Arial"/>
          <w:szCs w:val="22"/>
        </w:rPr>
        <w:t xml:space="preserve">procedures </w:t>
      </w:r>
      <w:r w:rsidR="00EF12E4">
        <w:rPr>
          <w:rFonts w:cs="Arial"/>
          <w:szCs w:val="22"/>
        </w:rPr>
        <w:t xml:space="preserve">of the Department of Health and Aged Care </w:t>
      </w:r>
      <w:r w:rsidR="00BA6FF2" w:rsidRPr="00372825">
        <w:rPr>
          <w:rFonts w:cs="Arial"/>
          <w:szCs w:val="22"/>
        </w:rPr>
        <w:t xml:space="preserve">made by instrument in writing </w:t>
      </w:r>
      <w:r w:rsidRPr="00372825">
        <w:rPr>
          <w:rFonts w:cs="Arial"/>
          <w:szCs w:val="22"/>
        </w:rPr>
        <w:t xml:space="preserve">under </w:t>
      </w:r>
      <w:r w:rsidR="00EF12E4">
        <w:rPr>
          <w:rFonts w:cs="Arial"/>
          <w:szCs w:val="22"/>
        </w:rPr>
        <w:t>sub</w:t>
      </w:r>
      <w:r w:rsidRPr="00372825">
        <w:rPr>
          <w:rFonts w:cs="Arial"/>
          <w:szCs w:val="22"/>
        </w:rPr>
        <w:t xml:space="preserve">section </w:t>
      </w:r>
      <w:r w:rsidR="00D2424D" w:rsidRPr="00372825">
        <w:rPr>
          <w:rFonts w:cs="Arial"/>
          <w:szCs w:val="22"/>
        </w:rPr>
        <w:t>59(3)</w:t>
      </w:r>
      <w:r w:rsidRPr="00372825">
        <w:rPr>
          <w:rFonts w:cs="Arial"/>
          <w:szCs w:val="22"/>
        </w:rPr>
        <w:t xml:space="preserve"> of the</w:t>
      </w:r>
      <w:r w:rsidR="00D2424D" w:rsidRPr="00372825">
        <w:rPr>
          <w:rFonts w:cs="Arial"/>
          <w:szCs w:val="22"/>
        </w:rPr>
        <w:t xml:space="preserve"> PID </w:t>
      </w:r>
      <w:r w:rsidRPr="00372825">
        <w:rPr>
          <w:rFonts w:cs="Arial"/>
          <w:szCs w:val="22"/>
        </w:rPr>
        <w:t xml:space="preserve">Act; and  </w:t>
      </w:r>
    </w:p>
    <w:p w14:paraId="1C4701B0" w14:textId="77777777" w:rsidR="00372825" w:rsidRPr="00372825" w:rsidRDefault="00372825" w:rsidP="00372825">
      <w:pPr>
        <w:pStyle w:val="ListParagraph"/>
        <w:numPr>
          <w:ilvl w:val="0"/>
          <w:numId w:val="0"/>
        </w:numPr>
        <w:autoSpaceDE w:val="0"/>
        <w:autoSpaceDN w:val="0"/>
        <w:adjustRightInd w:val="0"/>
        <w:ind w:left="1080"/>
        <w:rPr>
          <w:rFonts w:cs="Arial"/>
          <w:szCs w:val="22"/>
        </w:rPr>
      </w:pPr>
    </w:p>
    <w:p w14:paraId="6FFF4EBB" w14:textId="011B8B42" w:rsidR="00012163" w:rsidRPr="009A1688" w:rsidRDefault="00372825" w:rsidP="009A1688">
      <w:pPr>
        <w:pStyle w:val="ListParagraph"/>
        <w:numPr>
          <w:ilvl w:val="0"/>
          <w:numId w:val="41"/>
        </w:numPr>
        <w:autoSpaceDE w:val="0"/>
        <w:autoSpaceDN w:val="0"/>
        <w:adjustRightInd w:val="0"/>
        <w:rPr>
          <w:rFonts w:cs="Arial"/>
          <w:szCs w:val="22"/>
        </w:rPr>
      </w:pPr>
      <w:r w:rsidRPr="009A1688">
        <w:rPr>
          <w:rFonts w:cs="Arial"/>
          <w:szCs w:val="22"/>
        </w:rPr>
        <w:t>ESTABLISH</w:t>
      </w:r>
      <w:r w:rsidR="00012163" w:rsidRPr="009A1688">
        <w:rPr>
          <w:rFonts w:cs="Arial"/>
          <w:szCs w:val="22"/>
        </w:rPr>
        <w:t xml:space="preserve"> the</w:t>
      </w:r>
      <w:r w:rsidR="00252073" w:rsidRPr="009A1688">
        <w:rPr>
          <w:rFonts w:cs="Arial"/>
          <w:szCs w:val="22"/>
        </w:rPr>
        <w:t>se procedures</w:t>
      </w:r>
      <w:r w:rsidR="00EF12E4" w:rsidRPr="009A1688">
        <w:rPr>
          <w:rFonts w:cs="Arial"/>
          <w:szCs w:val="22"/>
        </w:rPr>
        <w:t xml:space="preserve"> under subsection 59(3) of the PID Act. </w:t>
      </w:r>
    </w:p>
    <w:p w14:paraId="39760E9E" w14:textId="77777777" w:rsidR="009A1688" w:rsidRDefault="009A1688" w:rsidP="009A1688">
      <w:pPr>
        <w:rPr>
          <w:rFonts w:cs="Arial"/>
          <w:szCs w:val="22"/>
        </w:rPr>
      </w:pPr>
    </w:p>
    <w:p w14:paraId="713566F8" w14:textId="186B6AC8" w:rsidR="00F331BC" w:rsidRDefault="007976A5" w:rsidP="0075107C">
      <w:pPr>
        <w:rPr>
          <w:rFonts w:cs="Arial"/>
          <w:b/>
          <w:sz w:val="21"/>
          <w:szCs w:val="21"/>
        </w:rPr>
      </w:pPr>
      <w:r>
        <w:rPr>
          <w:rFonts w:cs="Arial"/>
          <w:szCs w:val="22"/>
        </w:rPr>
        <w:t>Th</w:t>
      </w:r>
      <w:r w:rsidR="0096146A">
        <w:rPr>
          <w:rFonts w:cs="Arial"/>
          <w:szCs w:val="22"/>
        </w:rPr>
        <w:t xml:space="preserve">ese procedures take effect </w:t>
      </w:r>
      <w:r w:rsidR="00B676FF">
        <w:rPr>
          <w:rFonts w:cs="Arial"/>
          <w:szCs w:val="22"/>
        </w:rPr>
        <w:t xml:space="preserve">upon signature. </w:t>
      </w:r>
    </w:p>
    <w:p w14:paraId="06DB6821" w14:textId="77777777" w:rsidR="002D11A4" w:rsidRDefault="002D11A4" w:rsidP="0075107C">
      <w:pPr>
        <w:rPr>
          <w:rFonts w:cs="Arial"/>
          <w:sz w:val="21"/>
          <w:szCs w:val="21"/>
        </w:rPr>
      </w:pPr>
    </w:p>
    <w:p w14:paraId="084C27AA" w14:textId="77777777" w:rsidR="00037E13" w:rsidRDefault="00037E13" w:rsidP="0075107C">
      <w:pPr>
        <w:rPr>
          <w:rFonts w:cs="Arial"/>
          <w:sz w:val="21"/>
          <w:szCs w:val="21"/>
        </w:rPr>
      </w:pPr>
    </w:p>
    <w:p w14:paraId="76187FE9" w14:textId="77777777" w:rsidR="00037E13" w:rsidRDefault="00037E13" w:rsidP="0075107C">
      <w:pPr>
        <w:rPr>
          <w:rFonts w:cs="Arial"/>
          <w:sz w:val="21"/>
          <w:szCs w:val="21"/>
        </w:rPr>
      </w:pPr>
    </w:p>
    <w:p w14:paraId="3F58FD63" w14:textId="4EF9A9FF" w:rsidR="002D11A4" w:rsidRDefault="00A95E74" w:rsidP="0075107C">
      <w:pPr>
        <w:rPr>
          <w:rFonts w:cs="Arial"/>
          <w:sz w:val="21"/>
          <w:szCs w:val="21"/>
        </w:rPr>
      </w:pPr>
      <w:r>
        <w:rPr>
          <w:rFonts w:cs="Arial"/>
          <w:sz w:val="21"/>
          <w:szCs w:val="21"/>
        </w:rPr>
        <w:t>16 May 2024</w:t>
      </w:r>
    </w:p>
    <w:p w14:paraId="74E42546" w14:textId="77777777" w:rsidR="002D11A4" w:rsidRDefault="002D11A4" w:rsidP="0075107C">
      <w:pPr>
        <w:rPr>
          <w:rFonts w:cs="Arial"/>
          <w:sz w:val="21"/>
          <w:szCs w:val="21"/>
        </w:rPr>
      </w:pPr>
    </w:p>
    <w:p w14:paraId="5FED1E68" w14:textId="77777777" w:rsidR="002D11A4" w:rsidRDefault="002D11A4" w:rsidP="0075107C">
      <w:pPr>
        <w:rPr>
          <w:rFonts w:cs="Arial"/>
          <w:sz w:val="21"/>
          <w:szCs w:val="21"/>
        </w:rPr>
      </w:pPr>
    </w:p>
    <w:p w14:paraId="55DFD962" w14:textId="77777777" w:rsidR="002D11A4" w:rsidRDefault="002D11A4" w:rsidP="0075107C">
      <w:pPr>
        <w:rPr>
          <w:rFonts w:cs="Arial"/>
          <w:sz w:val="21"/>
          <w:szCs w:val="21"/>
        </w:rPr>
      </w:pPr>
    </w:p>
    <w:p w14:paraId="02A84822" w14:textId="3A95A58D" w:rsidR="0075107C" w:rsidRPr="00713025" w:rsidRDefault="00EB2DAC" w:rsidP="0075107C">
      <w:pPr>
        <w:rPr>
          <w:rFonts w:cs="Arial"/>
          <w:sz w:val="21"/>
          <w:szCs w:val="21"/>
        </w:rPr>
      </w:pPr>
      <w:r w:rsidRPr="00713025">
        <w:rPr>
          <w:rFonts w:cs="Arial"/>
          <w:sz w:val="21"/>
          <w:szCs w:val="21"/>
        </w:rPr>
        <w:t>B</w:t>
      </w:r>
      <w:r w:rsidR="00657916">
        <w:rPr>
          <w:rFonts w:cs="Arial"/>
          <w:sz w:val="21"/>
          <w:szCs w:val="21"/>
        </w:rPr>
        <w:t>LAIR</w:t>
      </w:r>
      <w:r w:rsidRPr="00713025">
        <w:rPr>
          <w:rFonts w:cs="Arial"/>
          <w:sz w:val="21"/>
          <w:szCs w:val="21"/>
        </w:rPr>
        <w:t xml:space="preserve"> C</w:t>
      </w:r>
      <w:r w:rsidR="00657916">
        <w:rPr>
          <w:rFonts w:cs="Arial"/>
          <w:sz w:val="21"/>
          <w:szCs w:val="21"/>
        </w:rPr>
        <w:t>OMLEY PSM</w:t>
      </w:r>
    </w:p>
    <w:p w14:paraId="1ACD9AB3" w14:textId="6F20EC8E" w:rsidR="0075107C" w:rsidRPr="00713025" w:rsidRDefault="00D14109" w:rsidP="0075107C">
      <w:pPr>
        <w:spacing w:after="600"/>
        <w:rPr>
          <w:rFonts w:cs="Arial"/>
          <w:sz w:val="21"/>
          <w:szCs w:val="21"/>
        </w:rPr>
      </w:pPr>
      <w:r>
        <w:rPr>
          <w:rFonts w:cs="Arial"/>
          <w:sz w:val="21"/>
          <w:szCs w:val="21"/>
        </w:rPr>
        <w:t>Department of Health and Aged Care</w:t>
      </w:r>
      <w:r>
        <w:rPr>
          <w:rFonts w:cs="Arial"/>
          <w:sz w:val="21"/>
          <w:szCs w:val="21"/>
        </w:rPr>
        <w:br/>
      </w:r>
      <w:r w:rsidR="0075107C" w:rsidRPr="00713025">
        <w:rPr>
          <w:rFonts w:cs="Arial"/>
          <w:sz w:val="21"/>
          <w:szCs w:val="21"/>
        </w:rPr>
        <w:t>Secretary</w:t>
      </w:r>
    </w:p>
    <w:p w14:paraId="16BA201F" w14:textId="77777777" w:rsidR="006C2FAC" w:rsidRDefault="006C2FAC" w:rsidP="0075107C">
      <w:pPr>
        <w:rPr>
          <w:rFonts w:cs="Arial"/>
          <w:sz w:val="21"/>
          <w:szCs w:val="21"/>
        </w:rPr>
      </w:pPr>
    </w:p>
    <w:p w14:paraId="10FC4254" w14:textId="77777777" w:rsidR="006C2FAC" w:rsidRDefault="006C2FAC" w:rsidP="0075107C">
      <w:pPr>
        <w:rPr>
          <w:rFonts w:cs="Arial"/>
          <w:sz w:val="21"/>
          <w:szCs w:val="21"/>
        </w:rPr>
      </w:pPr>
    </w:p>
    <w:p w14:paraId="32D9A46E" w14:textId="688BF31D" w:rsidR="002D11A4" w:rsidRDefault="002D11A4" w:rsidP="0075107C">
      <w:pPr>
        <w:pageBreakBefore/>
        <w:rPr>
          <w:rFonts w:cs="Arial"/>
          <w:sz w:val="21"/>
          <w:szCs w:val="21"/>
        </w:rPr>
      </w:pPr>
    </w:p>
    <w:p w14:paraId="7CC74C7B" w14:textId="77777777" w:rsidR="00E46FC3" w:rsidRPr="00E46FC3" w:rsidRDefault="00E46FC3" w:rsidP="00E46FC3">
      <w:pPr>
        <w:rPr>
          <w:rFonts w:cs="Arial"/>
          <w:sz w:val="21"/>
          <w:szCs w:val="21"/>
        </w:rPr>
      </w:pPr>
    </w:p>
    <w:p w14:paraId="6DE0CB17" w14:textId="77777777" w:rsidR="00E46FC3" w:rsidRPr="00E46FC3" w:rsidRDefault="00E46FC3" w:rsidP="00E46FC3">
      <w:pPr>
        <w:rPr>
          <w:rFonts w:cs="Arial"/>
          <w:sz w:val="21"/>
          <w:szCs w:val="21"/>
        </w:rPr>
      </w:pPr>
    </w:p>
    <w:p w14:paraId="108E7653" w14:textId="77777777" w:rsidR="00E46FC3" w:rsidRPr="00E46FC3" w:rsidRDefault="00E46FC3" w:rsidP="00E46FC3">
      <w:pPr>
        <w:rPr>
          <w:rFonts w:cs="Arial"/>
          <w:sz w:val="21"/>
          <w:szCs w:val="21"/>
        </w:rPr>
      </w:pPr>
    </w:p>
    <w:p w14:paraId="65B36C2F" w14:textId="77777777" w:rsidR="00E46FC3" w:rsidRPr="00E46FC3" w:rsidRDefault="00E46FC3" w:rsidP="00E46FC3">
      <w:pPr>
        <w:rPr>
          <w:rFonts w:cs="Arial"/>
          <w:sz w:val="21"/>
          <w:szCs w:val="21"/>
        </w:rPr>
      </w:pPr>
    </w:p>
    <w:p w14:paraId="4CD74068" w14:textId="77777777" w:rsidR="00E46FC3" w:rsidRPr="00E46FC3" w:rsidRDefault="00E46FC3" w:rsidP="00E46FC3">
      <w:pPr>
        <w:rPr>
          <w:rFonts w:cs="Arial"/>
          <w:sz w:val="21"/>
          <w:szCs w:val="21"/>
        </w:rPr>
      </w:pPr>
    </w:p>
    <w:p w14:paraId="2F33B5E8" w14:textId="77777777" w:rsidR="00E46FC3" w:rsidRPr="00E46FC3" w:rsidRDefault="00E46FC3" w:rsidP="00E46FC3">
      <w:pPr>
        <w:rPr>
          <w:rFonts w:cs="Arial"/>
          <w:sz w:val="21"/>
          <w:szCs w:val="21"/>
        </w:rPr>
      </w:pPr>
    </w:p>
    <w:p w14:paraId="501267B7" w14:textId="77777777" w:rsidR="00E46FC3" w:rsidRDefault="00E46FC3" w:rsidP="00E46FC3">
      <w:pPr>
        <w:rPr>
          <w:rFonts w:cs="Arial"/>
          <w:sz w:val="21"/>
          <w:szCs w:val="21"/>
        </w:rPr>
      </w:pPr>
    </w:p>
    <w:p w14:paraId="6BCA6F1D" w14:textId="77777777" w:rsidR="00E46FC3" w:rsidRDefault="00E46FC3" w:rsidP="00E46FC3">
      <w:pPr>
        <w:pStyle w:val="Title"/>
        <w:jc w:val="center"/>
      </w:pPr>
      <w:r>
        <w:t>Public Interest Disclosure</w:t>
      </w:r>
    </w:p>
    <w:p w14:paraId="50158DB1" w14:textId="77777777" w:rsidR="00E46FC3" w:rsidRDefault="00E46FC3" w:rsidP="00E46FC3">
      <w:pPr>
        <w:pStyle w:val="Title"/>
        <w:jc w:val="center"/>
      </w:pPr>
      <w:r>
        <w:t>Procedures</w:t>
      </w:r>
    </w:p>
    <w:p w14:paraId="40B3676D" w14:textId="77777777" w:rsidR="00E46FC3" w:rsidRDefault="00E46FC3" w:rsidP="00E46FC3">
      <w:pPr>
        <w:rPr>
          <w:rFonts w:cs="Arial"/>
          <w:sz w:val="21"/>
          <w:szCs w:val="21"/>
        </w:rPr>
      </w:pPr>
    </w:p>
    <w:p w14:paraId="1CE11BD4" w14:textId="77777777" w:rsidR="00E46FC3" w:rsidRDefault="00E46FC3" w:rsidP="00E46FC3">
      <w:pPr>
        <w:rPr>
          <w:rFonts w:cs="Arial"/>
          <w:b/>
          <w:color w:val="3F4A75"/>
          <w:sz w:val="32"/>
          <w:szCs w:val="32"/>
        </w:rPr>
      </w:pPr>
    </w:p>
    <w:p w14:paraId="12DE8BF7" w14:textId="2F3845F9" w:rsidR="00E46FC3" w:rsidRPr="00713025" w:rsidRDefault="00E46FC3" w:rsidP="00E46FC3">
      <w:pPr>
        <w:rPr>
          <w:rFonts w:cs="Arial"/>
          <w:b/>
          <w:color w:val="3F4A75"/>
          <w:sz w:val="32"/>
          <w:szCs w:val="32"/>
        </w:rPr>
      </w:pPr>
      <w:r w:rsidRPr="00713025">
        <w:rPr>
          <w:rFonts w:cs="Arial"/>
          <w:b/>
          <w:color w:val="3F4A75"/>
          <w:sz w:val="32"/>
          <w:szCs w:val="32"/>
        </w:rPr>
        <w:t>Procedures for facilitating and dealing with Public Interest Disclosures relating to the Department of Health and Aged Care</w:t>
      </w:r>
    </w:p>
    <w:p w14:paraId="4E37CF4F" w14:textId="4D19081A" w:rsidR="00E46FC3" w:rsidRPr="00E46FC3" w:rsidRDefault="00902742" w:rsidP="00902742">
      <w:pPr>
        <w:spacing w:before="0" w:after="0"/>
        <w:rPr>
          <w:rFonts w:cs="Arial"/>
          <w:sz w:val="21"/>
          <w:szCs w:val="21"/>
        </w:rPr>
      </w:pPr>
      <w:r>
        <w:rPr>
          <w:rFonts w:cs="Arial"/>
          <w:sz w:val="21"/>
          <w:szCs w:val="21"/>
        </w:rPr>
        <w:br w:type="page"/>
      </w:r>
    </w:p>
    <w:sdt>
      <w:sdtPr>
        <w:id w:val="806830583"/>
        <w:docPartObj>
          <w:docPartGallery w:val="Table of Contents"/>
          <w:docPartUnique/>
        </w:docPartObj>
      </w:sdtPr>
      <w:sdtEndPr/>
      <w:sdtContent>
        <w:p w14:paraId="0B9033FE" w14:textId="42CC4E03" w:rsidR="00456458" w:rsidRPr="00713025" w:rsidRDefault="00831112" w:rsidP="0075107C">
          <w:pPr>
            <w:pageBreakBefore/>
            <w:rPr>
              <w:rStyle w:val="Heading2Char"/>
            </w:rPr>
          </w:pPr>
          <w:r w:rsidRPr="00713025">
            <w:rPr>
              <w:rStyle w:val="Heading2Char"/>
            </w:rPr>
            <w:t>Table of Contents</w:t>
          </w:r>
        </w:p>
        <w:p w14:paraId="5685043D" w14:textId="49B0F1CC" w:rsidR="007136C4" w:rsidRDefault="00456458" w:rsidP="001D1440">
          <w:pPr>
            <w:pStyle w:val="TOC1"/>
            <w:rPr>
              <w:rFonts w:asciiTheme="minorHAnsi" w:eastAsiaTheme="minorEastAsia" w:hAnsiTheme="minorHAnsi" w:cstheme="minorBidi"/>
              <w:szCs w:val="22"/>
              <w:lang w:eastAsia="en-AU"/>
            </w:rPr>
          </w:pPr>
          <w:r w:rsidRPr="00713025">
            <w:fldChar w:fldCharType="begin"/>
          </w:r>
          <w:r w:rsidRPr="00713025">
            <w:instrText xml:space="preserve"> TOC \o "1-3" \h \z \u </w:instrText>
          </w:r>
          <w:r w:rsidRPr="00713025">
            <w:fldChar w:fldCharType="separate"/>
          </w:r>
          <w:hyperlink w:anchor="_Toc150789920" w:history="1">
            <w:r w:rsidR="007136C4" w:rsidRPr="004F5568">
              <w:rPr>
                <w:rStyle w:val="Hyperlink"/>
              </w:rPr>
              <w:t>1.</w:t>
            </w:r>
            <w:r w:rsidR="007136C4">
              <w:rPr>
                <w:rFonts w:asciiTheme="minorHAnsi" w:eastAsiaTheme="minorEastAsia" w:hAnsiTheme="minorHAnsi" w:cstheme="minorBidi"/>
                <w:szCs w:val="22"/>
                <w:lang w:eastAsia="en-AU"/>
              </w:rPr>
              <w:tab/>
            </w:r>
            <w:r w:rsidR="007136C4" w:rsidRPr="004F5568">
              <w:rPr>
                <w:rStyle w:val="Hyperlink"/>
              </w:rPr>
              <w:t>INTRODUCTION</w:t>
            </w:r>
            <w:r w:rsidR="007136C4">
              <w:rPr>
                <w:webHidden/>
              </w:rPr>
              <w:tab/>
            </w:r>
            <w:r w:rsidR="007136C4">
              <w:rPr>
                <w:webHidden/>
              </w:rPr>
              <w:fldChar w:fldCharType="begin"/>
            </w:r>
            <w:r w:rsidR="007136C4">
              <w:rPr>
                <w:webHidden/>
              </w:rPr>
              <w:instrText xml:space="preserve"> PAGEREF _Toc150789920 \h </w:instrText>
            </w:r>
            <w:r w:rsidR="007136C4">
              <w:rPr>
                <w:webHidden/>
              </w:rPr>
            </w:r>
            <w:r w:rsidR="007136C4">
              <w:rPr>
                <w:webHidden/>
              </w:rPr>
              <w:fldChar w:fldCharType="separate"/>
            </w:r>
            <w:r w:rsidR="007136C4">
              <w:rPr>
                <w:webHidden/>
              </w:rPr>
              <w:t>1</w:t>
            </w:r>
            <w:r w:rsidR="007136C4">
              <w:rPr>
                <w:webHidden/>
              </w:rPr>
              <w:fldChar w:fldCharType="end"/>
            </w:r>
          </w:hyperlink>
        </w:p>
        <w:p w14:paraId="48007AFE" w14:textId="2D8C9499" w:rsidR="007136C4" w:rsidRDefault="00C80698">
          <w:pPr>
            <w:pStyle w:val="TOC2"/>
            <w:rPr>
              <w:rFonts w:asciiTheme="minorHAnsi" w:eastAsiaTheme="minorEastAsia" w:hAnsiTheme="minorHAnsi" w:cstheme="minorBidi"/>
              <w:noProof/>
              <w:szCs w:val="22"/>
              <w:lang w:eastAsia="en-AU"/>
            </w:rPr>
          </w:pPr>
          <w:hyperlink w:anchor="_Toc150789921" w:history="1">
            <w:r w:rsidR="007136C4" w:rsidRPr="004F5568">
              <w:rPr>
                <w:rStyle w:val="Hyperlink"/>
                <w:rFonts w:eastAsia="Arial"/>
                <w:noProof/>
              </w:rPr>
              <w:t>Purpose</w:t>
            </w:r>
            <w:r w:rsidR="007136C4">
              <w:rPr>
                <w:noProof/>
                <w:webHidden/>
              </w:rPr>
              <w:tab/>
            </w:r>
            <w:r w:rsidR="007136C4">
              <w:rPr>
                <w:noProof/>
                <w:webHidden/>
              </w:rPr>
              <w:fldChar w:fldCharType="begin"/>
            </w:r>
            <w:r w:rsidR="007136C4">
              <w:rPr>
                <w:noProof/>
                <w:webHidden/>
              </w:rPr>
              <w:instrText xml:space="preserve"> PAGEREF _Toc150789921 \h </w:instrText>
            </w:r>
            <w:r w:rsidR="007136C4">
              <w:rPr>
                <w:noProof/>
                <w:webHidden/>
              </w:rPr>
            </w:r>
            <w:r w:rsidR="007136C4">
              <w:rPr>
                <w:noProof/>
                <w:webHidden/>
              </w:rPr>
              <w:fldChar w:fldCharType="separate"/>
            </w:r>
            <w:r w:rsidR="007136C4">
              <w:rPr>
                <w:noProof/>
                <w:webHidden/>
              </w:rPr>
              <w:t>1</w:t>
            </w:r>
            <w:r w:rsidR="007136C4">
              <w:rPr>
                <w:noProof/>
                <w:webHidden/>
              </w:rPr>
              <w:fldChar w:fldCharType="end"/>
            </w:r>
          </w:hyperlink>
        </w:p>
        <w:p w14:paraId="557B2C27" w14:textId="43940550" w:rsidR="007136C4" w:rsidRDefault="00C80698">
          <w:pPr>
            <w:pStyle w:val="TOC2"/>
            <w:rPr>
              <w:rFonts w:asciiTheme="minorHAnsi" w:eastAsiaTheme="minorEastAsia" w:hAnsiTheme="minorHAnsi" w:cstheme="minorBidi"/>
              <w:noProof/>
              <w:szCs w:val="22"/>
              <w:lang w:eastAsia="en-AU"/>
            </w:rPr>
          </w:pPr>
          <w:hyperlink w:anchor="_Toc150789922" w:history="1">
            <w:r w:rsidR="007136C4" w:rsidRPr="004F5568">
              <w:rPr>
                <w:rStyle w:val="Hyperlink"/>
                <w:rFonts w:eastAsia="Arial"/>
                <w:noProof/>
              </w:rPr>
              <w:t>Who to contact if you need help?</w:t>
            </w:r>
            <w:r w:rsidR="007136C4">
              <w:rPr>
                <w:noProof/>
                <w:webHidden/>
              </w:rPr>
              <w:tab/>
            </w:r>
            <w:r w:rsidR="007136C4">
              <w:rPr>
                <w:noProof/>
                <w:webHidden/>
              </w:rPr>
              <w:fldChar w:fldCharType="begin"/>
            </w:r>
            <w:r w:rsidR="007136C4">
              <w:rPr>
                <w:noProof/>
                <w:webHidden/>
              </w:rPr>
              <w:instrText xml:space="preserve"> PAGEREF _Toc150789922 \h </w:instrText>
            </w:r>
            <w:r w:rsidR="007136C4">
              <w:rPr>
                <w:noProof/>
                <w:webHidden/>
              </w:rPr>
            </w:r>
            <w:r w:rsidR="007136C4">
              <w:rPr>
                <w:noProof/>
                <w:webHidden/>
              </w:rPr>
              <w:fldChar w:fldCharType="separate"/>
            </w:r>
            <w:r w:rsidR="007136C4">
              <w:rPr>
                <w:noProof/>
                <w:webHidden/>
              </w:rPr>
              <w:t>1</w:t>
            </w:r>
            <w:r w:rsidR="007136C4">
              <w:rPr>
                <w:noProof/>
                <w:webHidden/>
              </w:rPr>
              <w:fldChar w:fldCharType="end"/>
            </w:r>
          </w:hyperlink>
        </w:p>
        <w:p w14:paraId="7159B1C0" w14:textId="25E42668" w:rsidR="007136C4" w:rsidRDefault="00C80698">
          <w:pPr>
            <w:pStyle w:val="TOC2"/>
            <w:rPr>
              <w:rFonts w:asciiTheme="minorHAnsi" w:eastAsiaTheme="minorEastAsia" w:hAnsiTheme="minorHAnsi" w:cstheme="minorBidi"/>
              <w:noProof/>
              <w:szCs w:val="22"/>
              <w:lang w:eastAsia="en-AU"/>
            </w:rPr>
          </w:pPr>
          <w:hyperlink w:anchor="_Toc150789923" w:history="1">
            <w:r w:rsidR="007136C4" w:rsidRPr="004F5568">
              <w:rPr>
                <w:rStyle w:val="Hyperlink"/>
                <w:rFonts w:eastAsia="Arial"/>
                <w:noProof/>
              </w:rPr>
              <w:t>What is a public interest disclosure?</w:t>
            </w:r>
            <w:r w:rsidR="007136C4">
              <w:rPr>
                <w:noProof/>
                <w:webHidden/>
              </w:rPr>
              <w:tab/>
            </w:r>
            <w:r w:rsidR="007136C4">
              <w:rPr>
                <w:noProof/>
                <w:webHidden/>
              </w:rPr>
              <w:fldChar w:fldCharType="begin"/>
            </w:r>
            <w:r w:rsidR="007136C4">
              <w:rPr>
                <w:noProof/>
                <w:webHidden/>
              </w:rPr>
              <w:instrText xml:space="preserve"> PAGEREF _Toc150789923 \h </w:instrText>
            </w:r>
            <w:r w:rsidR="007136C4">
              <w:rPr>
                <w:noProof/>
                <w:webHidden/>
              </w:rPr>
            </w:r>
            <w:r w:rsidR="007136C4">
              <w:rPr>
                <w:noProof/>
                <w:webHidden/>
              </w:rPr>
              <w:fldChar w:fldCharType="separate"/>
            </w:r>
            <w:r w:rsidR="007136C4">
              <w:rPr>
                <w:noProof/>
                <w:webHidden/>
              </w:rPr>
              <w:t>1</w:t>
            </w:r>
            <w:r w:rsidR="007136C4">
              <w:rPr>
                <w:noProof/>
                <w:webHidden/>
              </w:rPr>
              <w:fldChar w:fldCharType="end"/>
            </w:r>
          </w:hyperlink>
        </w:p>
        <w:p w14:paraId="19050DEF" w14:textId="53A68F70" w:rsidR="007136C4" w:rsidRDefault="00C80698">
          <w:pPr>
            <w:pStyle w:val="TOC2"/>
            <w:rPr>
              <w:rFonts w:asciiTheme="minorHAnsi" w:eastAsiaTheme="minorEastAsia" w:hAnsiTheme="minorHAnsi" w:cstheme="minorBidi"/>
              <w:noProof/>
              <w:szCs w:val="22"/>
              <w:lang w:eastAsia="en-AU"/>
            </w:rPr>
          </w:pPr>
          <w:hyperlink w:anchor="_Toc150789924" w:history="1">
            <w:r w:rsidR="007136C4" w:rsidRPr="004F5568">
              <w:rPr>
                <w:rStyle w:val="Hyperlink"/>
                <w:rFonts w:eastAsia="Arial"/>
                <w:noProof/>
              </w:rPr>
              <w:t>Who is a public official?</w:t>
            </w:r>
            <w:r w:rsidR="007136C4">
              <w:rPr>
                <w:noProof/>
                <w:webHidden/>
              </w:rPr>
              <w:tab/>
            </w:r>
            <w:r w:rsidR="007136C4">
              <w:rPr>
                <w:noProof/>
                <w:webHidden/>
              </w:rPr>
              <w:fldChar w:fldCharType="begin"/>
            </w:r>
            <w:r w:rsidR="007136C4">
              <w:rPr>
                <w:noProof/>
                <w:webHidden/>
              </w:rPr>
              <w:instrText xml:space="preserve"> PAGEREF _Toc150789924 \h </w:instrText>
            </w:r>
            <w:r w:rsidR="007136C4">
              <w:rPr>
                <w:noProof/>
                <w:webHidden/>
              </w:rPr>
            </w:r>
            <w:r w:rsidR="007136C4">
              <w:rPr>
                <w:noProof/>
                <w:webHidden/>
              </w:rPr>
              <w:fldChar w:fldCharType="separate"/>
            </w:r>
            <w:r w:rsidR="007136C4">
              <w:rPr>
                <w:noProof/>
                <w:webHidden/>
              </w:rPr>
              <w:t>2</w:t>
            </w:r>
            <w:r w:rsidR="007136C4">
              <w:rPr>
                <w:noProof/>
                <w:webHidden/>
              </w:rPr>
              <w:fldChar w:fldCharType="end"/>
            </w:r>
          </w:hyperlink>
        </w:p>
        <w:p w14:paraId="71F454F9" w14:textId="4D7FB0F7" w:rsidR="007136C4" w:rsidRDefault="00C80698">
          <w:pPr>
            <w:pStyle w:val="TOC2"/>
            <w:rPr>
              <w:rFonts w:asciiTheme="minorHAnsi" w:eastAsiaTheme="minorEastAsia" w:hAnsiTheme="minorHAnsi" w:cstheme="minorBidi"/>
              <w:noProof/>
              <w:szCs w:val="22"/>
              <w:lang w:eastAsia="en-AU"/>
            </w:rPr>
          </w:pPr>
          <w:hyperlink w:anchor="_Toc150789925" w:history="1">
            <w:r w:rsidR="007136C4" w:rsidRPr="004F5568">
              <w:rPr>
                <w:rStyle w:val="Hyperlink"/>
                <w:noProof/>
              </w:rPr>
              <w:t xml:space="preserve">Who are the department's </w:t>
            </w:r>
            <w:r w:rsidR="00FC496C">
              <w:rPr>
                <w:rStyle w:val="Hyperlink"/>
                <w:noProof/>
              </w:rPr>
              <w:t>A</w:t>
            </w:r>
            <w:r w:rsidR="007136C4" w:rsidRPr="004F5568">
              <w:rPr>
                <w:rStyle w:val="Hyperlink"/>
                <w:noProof/>
              </w:rPr>
              <w:t xml:space="preserve">uthorised </w:t>
            </w:r>
            <w:r w:rsidR="00FC496C">
              <w:rPr>
                <w:rStyle w:val="Hyperlink"/>
                <w:noProof/>
              </w:rPr>
              <w:t>O</w:t>
            </w:r>
            <w:r w:rsidR="007136C4" w:rsidRPr="004F5568">
              <w:rPr>
                <w:rStyle w:val="Hyperlink"/>
                <w:noProof/>
              </w:rPr>
              <w:t>fficers?</w:t>
            </w:r>
            <w:r w:rsidR="007136C4">
              <w:rPr>
                <w:noProof/>
                <w:webHidden/>
              </w:rPr>
              <w:tab/>
            </w:r>
            <w:r w:rsidR="007136C4">
              <w:rPr>
                <w:noProof/>
                <w:webHidden/>
              </w:rPr>
              <w:fldChar w:fldCharType="begin"/>
            </w:r>
            <w:r w:rsidR="007136C4">
              <w:rPr>
                <w:noProof/>
                <w:webHidden/>
              </w:rPr>
              <w:instrText xml:space="preserve"> PAGEREF _Toc150789925 \h </w:instrText>
            </w:r>
            <w:r w:rsidR="007136C4">
              <w:rPr>
                <w:noProof/>
                <w:webHidden/>
              </w:rPr>
            </w:r>
            <w:r w:rsidR="007136C4">
              <w:rPr>
                <w:noProof/>
                <w:webHidden/>
              </w:rPr>
              <w:fldChar w:fldCharType="separate"/>
            </w:r>
            <w:r w:rsidR="007136C4">
              <w:rPr>
                <w:noProof/>
                <w:webHidden/>
              </w:rPr>
              <w:t>3</w:t>
            </w:r>
            <w:r w:rsidR="007136C4">
              <w:rPr>
                <w:noProof/>
                <w:webHidden/>
              </w:rPr>
              <w:fldChar w:fldCharType="end"/>
            </w:r>
          </w:hyperlink>
        </w:p>
        <w:p w14:paraId="456CDBC7" w14:textId="7A99E34A" w:rsidR="007136C4" w:rsidRDefault="00C80698">
          <w:pPr>
            <w:pStyle w:val="TOC2"/>
            <w:rPr>
              <w:rFonts w:asciiTheme="minorHAnsi" w:eastAsiaTheme="minorEastAsia" w:hAnsiTheme="minorHAnsi" w:cstheme="minorBidi"/>
              <w:noProof/>
              <w:szCs w:val="22"/>
              <w:lang w:eastAsia="en-AU"/>
            </w:rPr>
          </w:pPr>
          <w:hyperlink w:anchor="_Toc150789926" w:history="1">
            <w:r w:rsidR="007136C4" w:rsidRPr="004F5568">
              <w:rPr>
                <w:rStyle w:val="Hyperlink"/>
                <w:rFonts w:eastAsia="Arial"/>
                <w:noProof/>
              </w:rPr>
              <w:t>What is disclosable conduct?</w:t>
            </w:r>
            <w:r w:rsidR="007136C4">
              <w:rPr>
                <w:noProof/>
                <w:webHidden/>
              </w:rPr>
              <w:tab/>
            </w:r>
            <w:r w:rsidR="007136C4">
              <w:rPr>
                <w:noProof/>
                <w:webHidden/>
              </w:rPr>
              <w:fldChar w:fldCharType="begin"/>
            </w:r>
            <w:r w:rsidR="007136C4">
              <w:rPr>
                <w:noProof/>
                <w:webHidden/>
              </w:rPr>
              <w:instrText xml:space="preserve"> PAGEREF _Toc150789926 \h </w:instrText>
            </w:r>
            <w:r w:rsidR="007136C4">
              <w:rPr>
                <w:noProof/>
                <w:webHidden/>
              </w:rPr>
            </w:r>
            <w:r w:rsidR="007136C4">
              <w:rPr>
                <w:noProof/>
                <w:webHidden/>
              </w:rPr>
              <w:fldChar w:fldCharType="separate"/>
            </w:r>
            <w:r w:rsidR="007136C4">
              <w:rPr>
                <w:noProof/>
                <w:webHidden/>
              </w:rPr>
              <w:t>3</w:t>
            </w:r>
            <w:r w:rsidR="007136C4">
              <w:rPr>
                <w:noProof/>
                <w:webHidden/>
              </w:rPr>
              <w:fldChar w:fldCharType="end"/>
            </w:r>
          </w:hyperlink>
        </w:p>
        <w:p w14:paraId="7C383CED" w14:textId="24674A6E" w:rsidR="007136C4" w:rsidRDefault="00C80698">
          <w:pPr>
            <w:pStyle w:val="TOC2"/>
            <w:rPr>
              <w:rFonts w:asciiTheme="minorHAnsi" w:eastAsiaTheme="minorEastAsia" w:hAnsiTheme="minorHAnsi" w:cstheme="minorBidi"/>
              <w:noProof/>
              <w:szCs w:val="22"/>
              <w:lang w:eastAsia="en-AU"/>
            </w:rPr>
          </w:pPr>
          <w:hyperlink w:anchor="_Toc150789927" w:history="1">
            <w:r w:rsidR="007136C4" w:rsidRPr="004F5568">
              <w:rPr>
                <w:rStyle w:val="Hyperlink"/>
                <w:noProof/>
              </w:rPr>
              <w:t>What is not disclosable conduct?</w:t>
            </w:r>
            <w:r w:rsidR="007136C4">
              <w:rPr>
                <w:noProof/>
                <w:webHidden/>
              </w:rPr>
              <w:tab/>
            </w:r>
            <w:r w:rsidR="007136C4">
              <w:rPr>
                <w:noProof/>
                <w:webHidden/>
              </w:rPr>
              <w:fldChar w:fldCharType="begin"/>
            </w:r>
            <w:r w:rsidR="007136C4">
              <w:rPr>
                <w:noProof/>
                <w:webHidden/>
              </w:rPr>
              <w:instrText xml:space="preserve"> PAGEREF _Toc150789927 \h </w:instrText>
            </w:r>
            <w:r w:rsidR="007136C4">
              <w:rPr>
                <w:noProof/>
                <w:webHidden/>
              </w:rPr>
            </w:r>
            <w:r w:rsidR="007136C4">
              <w:rPr>
                <w:noProof/>
                <w:webHidden/>
              </w:rPr>
              <w:fldChar w:fldCharType="separate"/>
            </w:r>
            <w:r w:rsidR="007136C4">
              <w:rPr>
                <w:noProof/>
                <w:webHidden/>
              </w:rPr>
              <w:t>4</w:t>
            </w:r>
            <w:r w:rsidR="007136C4">
              <w:rPr>
                <w:noProof/>
                <w:webHidden/>
              </w:rPr>
              <w:fldChar w:fldCharType="end"/>
            </w:r>
          </w:hyperlink>
        </w:p>
        <w:p w14:paraId="148655EC" w14:textId="4AA93258" w:rsidR="007136C4" w:rsidRDefault="00C80698" w:rsidP="001D1440">
          <w:pPr>
            <w:pStyle w:val="TOC1"/>
            <w:rPr>
              <w:rFonts w:asciiTheme="minorHAnsi" w:eastAsiaTheme="minorEastAsia" w:hAnsiTheme="minorHAnsi" w:cstheme="minorBidi"/>
              <w:szCs w:val="22"/>
              <w:lang w:eastAsia="en-AU"/>
            </w:rPr>
          </w:pPr>
          <w:hyperlink w:anchor="_Toc150789928" w:history="1">
            <w:r w:rsidR="007136C4" w:rsidRPr="004F5568">
              <w:rPr>
                <w:rStyle w:val="Hyperlink"/>
              </w:rPr>
              <w:t>2.</w:t>
            </w:r>
            <w:r w:rsidR="007136C4">
              <w:rPr>
                <w:rFonts w:asciiTheme="minorHAnsi" w:eastAsiaTheme="minorEastAsia" w:hAnsiTheme="minorHAnsi" w:cstheme="minorBidi"/>
                <w:szCs w:val="22"/>
                <w:lang w:eastAsia="en-AU"/>
              </w:rPr>
              <w:tab/>
            </w:r>
            <w:r w:rsidR="007136C4" w:rsidRPr="004F5568">
              <w:rPr>
                <w:rStyle w:val="Hyperlink"/>
              </w:rPr>
              <w:t>MAKING A PUBLIC INTEREST DISCLOSURE</w:t>
            </w:r>
            <w:r w:rsidR="007136C4">
              <w:rPr>
                <w:webHidden/>
              </w:rPr>
              <w:tab/>
            </w:r>
            <w:r w:rsidR="007136C4">
              <w:rPr>
                <w:webHidden/>
              </w:rPr>
              <w:fldChar w:fldCharType="begin"/>
            </w:r>
            <w:r w:rsidR="007136C4">
              <w:rPr>
                <w:webHidden/>
              </w:rPr>
              <w:instrText xml:space="preserve"> PAGEREF _Toc150789928 \h </w:instrText>
            </w:r>
            <w:r w:rsidR="007136C4">
              <w:rPr>
                <w:webHidden/>
              </w:rPr>
            </w:r>
            <w:r w:rsidR="007136C4">
              <w:rPr>
                <w:webHidden/>
              </w:rPr>
              <w:fldChar w:fldCharType="separate"/>
            </w:r>
            <w:r w:rsidR="007136C4">
              <w:rPr>
                <w:webHidden/>
              </w:rPr>
              <w:t>6</w:t>
            </w:r>
            <w:r w:rsidR="007136C4">
              <w:rPr>
                <w:webHidden/>
              </w:rPr>
              <w:fldChar w:fldCharType="end"/>
            </w:r>
          </w:hyperlink>
        </w:p>
        <w:p w14:paraId="009B0219" w14:textId="4BE326F1" w:rsidR="007136C4" w:rsidRDefault="00C80698">
          <w:pPr>
            <w:pStyle w:val="TOC2"/>
            <w:rPr>
              <w:rFonts w:asciiTheme="minorHAnsi" w:eastAsiaTheme="minorEastAsia" w:hAnsiTheme="minorHAnsi" w:cstheme="minorBidi"/>
              <w:noProof/>
              <w:szCs w:val="22"/>
              <w:lang w:eastAsia="en-AU"/>
            </w:rPr>
          </w:pPr>
          <w:hyperlink w:anchor="_Toc150789929" w:history="1">
            <w:r w:rsidR="007136C4" w:rsidRPr="004F5568">
              <w:rPr>
                <w:rStyle w:val="Hyperlink"/>
                <w:rFonts w:eastAsia="Arial"/>
                <w:noProof/>
              </w:rPr>
              <w:t>Making an internal disclosure to the department</w:t>
            </w:r>
            <w:r w:rsidR="007136C4">
              <w:rPr>
                <w:noProof/>
                <w:webHidden/>
              </w:rPr>
              <w:tab/>
            </w:r>
            <w:r w:rsidR="007136C4">
              <w:rPr>
                <w:noProof/>
                <w:webHidden/>
              </w:rPr>
              <w:fldChar w:fldCharType="begin"/>
            </w:r>
            <w:r w:rsidR="007136C4">
              <w:rPr>
                <w:noProof/>
                <w:webHidden/>
              </w:rPr>
              <w:instrText xml:space="preserve"> PAGEREF _Toc150789929 \h </w:instrText>
            </w:r>
            <w:r w:rsidR="007136C4">
              <w:rPr>
                <w:noProof/>
                <w:webHidden/>
              </w:rPr>
            </w:r>
            <w:r w:rsidR="007136C4">
              <w:rPr>
                <w:noProof/>
                <w:webHidden/>
              </w:rPr>
              <w:fldChar w:fldCharType="separate"/>
            </w:r>
            <w:r w:rsidR="007136C4">
              <w:rPr>
                <w:noProof/>
                <w:webHidden/>
              </w:rPr>
              <w:t>6</w:t>
            </w:r>
            <w:r w:rsidR="007136C4">
              <w:rPr>
                <w:noProof/>
                <w:webHidden/>
              </w:rPr>
              <w:fldChar w:fldCharType="end"/>
            </w:r>
          </w:hyperlink>
        </w:p>
        <w:p w14:paraId="55AC37DF" w14:textId="7B2E2EFF" w:rsidR="007136C4" w:rsidRDefault="00C80698">
          <w:pPr>
            <w:pStyle w:val="TOC2"/>
            <w:rPr>
              <w:rFonts w:asciiTheme="minorHAnsi" w:eastAsiaTheme="minorEastAsia" w:hAnsiTheme="minorHAnsi" w:cstheme="minorBidi"/>
              <w:noProof/>
              <w:szCs w:val="22"/>
              <w:lang w:eastAsia="en-AU"/>
            </w:rPr>
          </w:pPr>
          <w:hyperlink w:anchor="_Toc150789930" w:history="1">
            <w:r w:rsidR="007136C4" w:rsidRPr="004F5568">
              <w:rPr>
                <w:rStyle w:val="Hyperlink"/>
                <w:rFonts w:eastAsia="Arial"/>
                <w:noProof/>
              </w:rPr>
              <w:t>Anonymity</w:t>
            </w:r>
            <w:r w:rsidR="007136C4">
              <w:rPr>
                <w:noProof/>
                <w:webHidden/>
              </w:rPr>
              <w:tab/>
            </w:r>
            <w:r w:rsidR="007136C4">
              <w:rPr>
                <w:noProof/>
                <w:webHidden/>
              </w:rPr>
              <w:fldChar w:fldCharType="begin"/>
            </w:r>
            <w:r w:rsidR="007136C4">
              <w:rPr>
                <w:noProof/>
                <w:webHidden/>
              </w:rPr>
              <w:instrText xml:space="preserve"> PAGEREF _Toc150789930 \h </w:instrText>
            </w:r>
            <w:r w:rsidR="007136C4">
              <w:rPr>
                <w:noProof/>
                <w:webHidden/>
              </w:rPr>
            </w:r>
            <w:r w:rsidR="007136C4">
              <w:rPr>
                <w:noProof/>
                <w:webHidden/>
              </w:rPr>
              <w:fldChar w:fldCharType="separate"/>
            </w:r>
            <w:r w:rsidR="007136C4">
              <w:rPr>
                <w:noProof/>
                <w:webHidden/>
              </w:rPr>
              <w:t>7</w:t>
            </w:r>
            <w:r w:rsidR="007136C4">
              <w:rPr>
                <w:noProof/>
                <w:webHidden/>
              </w:rPr>
              <w:fldChar w:fldCharType="end"/>
            </w:r>
          </w:hyperlink>
        </w:p>
        <w:p w14:paraId="4AE84818" w14:textId="03CA1C8F" w:rsidR="007136C4" w:rsidRDefault="00C80698">
          <w:pPr>
            <w:pStyle w:val="TOC2"/>
            <w:rPr>
              <w:rFonts w:asciiTheme="minorHAnsi" w:eastAsiaTheme="minorEastAsia" w:hAnsiTheme="minorHAnsi" w:cstheme="minorBidi"/>
              <w:noProof/>
              <w:szCs w:val="22"/>
              <w:lang w:eastAsia="en-AU"/>
            </w:rPr>
          </w:pPr>
          <w:hyperlink w:anchor="_Toc150789931" w:history="1">
            <w:r w:rsidR="007136C4" w:rsidRPr="004F5568">
              <w:rPr>
                <w:rStyle w:val="Hyperlink"/>
                <w:rFonts w:eastAsia="Arial"/>
                <w:noProof/>
              </w:rPr>
              <w:t>Assistance with making a disclosure to the department</w:t>
            </w:r>
            <w:r w:rsidR="007136C4">
              <w:rPr>
                <w:noProof/>
                <w:webHidden/>
              </w:rPr>
              <w:tab/>
            </w:r>
            <w:r w:rsidR="007136C4">
              <w:rPr>
                <w:noProof/>
                <w:webHidden/>
              </w:rPr>
              <w:fldChar w:fldCharType="begin"/>
            </w:r>
            <w:r w:rsidR="007136C4">
              <w:rPr>
                <w:noProof/>
                <w:webHidden/>
              </w:rPr>
              <w:instrText xml:space="preserve"> PAGEREF _Toc150789931 \h </w:instrText>
            </w:r>
            <w:r w:rsidR="007136C4">
              <w:rPr>
                <w:noProof/>
                <w:webHidden/>
              </w:rPr>
            </w:r>
            <w:r w:rsidR="007136C4">
              <w:rPr>
                <w:noProof/>
                <w:webHidden/>
              </w:rPr>
              <w:fldChar w:fldCharType="separate"/>
            </w:r>
            <w:r w:rsidR="007136C4">
              <w:rPr>
                <w:noProof/>
                <w:webHidden/>
              </w:rPr>
              <w:t>8</w:t>
            </w:r>
            <w:r w:rsidR="007136C4">
              <w:rPr>
                <w:noProof/>
                <w:webHidden/>
              </w:rPr>
              <w:fldChar w:fldCharType="end"/>
            </w:r>
          </w:hyperlink>
        </w:p>
        <w:p w14:paraId="4C229D1B" w14:textId="7EB0F36A" w:rsidR="007136C4" w:rsidRDefault="00C80698">
          <w:pPr>
            <w:pStyle w:val="TOC2"/>
            <w:rPr>
              <w:rFonts w:asciiTheme="minorHAnsi" w:eastAsiaTheme="minorEastAsia" w:hAnsiTheme="minorHAnsi" w:cstheme="minorBidi"/>
              <w:noProof/>
              <w:szCs w:val="22"/>
              <w:lang w:eastAsia="en-AU"/>
            </w:rPr>
          </w:pPr>
          <w:hyperlink w:anchor="_Toc150789932" w:history="1">
            <w:r w:rsidR="007136C4" w:rsidRPr="004F5568">
              <w:rPr>
                <w:rStyle w:val="Hyperlink"/>
                <w:rFonts w:eastAsia="Arial"/>
                <w:noProof/>
              </w:rPr>
              <w:t>Other types of public interest disclosures</w:t>
            </w:r>
            <w:r w:rsidR="007136C4">
              <w:rPr>
                <w:noProof/>
                <w:webHidden/>
              </w:rPr>
              <w:tab/>
            </w:r>
            <w:r w:rsidR="007136C4">
              <w:rPr>
                <w:noProof/>
                <w:webHidden/>
              </w:rPr>
              <w:fldChar w:fldCharType="begin"/>
            </w:r>
            <w:r w:rsidR="007136C4">
              <w:rPr>
                <w:noProof/>
                <w:webHidden/>
              </w:rPr>
              <w:instrText xml:space="preserve"> PAGEREF _Toc150789932 \h </w:instrText>
            </w:r>
            <w:r w:rsidR="007136C4">
              <w:rPr>
                <w:noProof/>
                <w:webHidden/>
              </w:rPr>
            </w:r>
            <w:r w:rsidR="007136C4">
              <w:rPr>
                <w:noProof/>
                <w:webHidden/>
              </w:rPr>
              <w:fldChar w:fldCharType="separate"/>
            </w:r>
            <w:r w:rsidR="007136C4">
              <w:rPr>
                <w:noProof/>
                <w:webHidden/>
              </w:rPr>
              <w:t>8</w:t>
            </w:r>
            <w:r w:rsidR="007136C4">
              <w:rPr>
                <w:noProof/>
                <w:webHidden/>
              </w:rPr>
              <w:fldChar w:fldCharType="end"/>
            </w:r>
          </w:hyperlink>
        </w:p>
        <w:p w14:paraId="66F1ED39" w14:textId="2F368C4E" w:rsidR="007136C4" w:rsidRDefault="00C80698" w:rsidP="001D1440">
          <w:pPr>
            <w:pStyle w:val="TOC1"/>
            <w:rPr>
              <w:rFonts w:asciiTheme="minorHAnsi" w:eastAsiaTheme="minorEastAsia" w:hAnsiTheme="minorHAnsi" w:cstheme="minorBidi"/>
              <w:szCs w:val="22"/>
              <w:lang w:eastAsia="en-AU"/>
            </w:rPr>
          </w:pPr>
          <w:hyperlink w:anchor="_Toc150789933" w:history="1">
            <w:r w:rsidR="007136C4" w:rsidRPr="004F5568">
              <w:rPr>
                <w:rStyle w:val="Hyperlink"/>
              </w:rPr>
              <w:t>3.</w:t>
            </w:r>
            <w:r w:rsidR="007136C4">
              <w:rPr>
                <w:rFonts w:asciiTheme="minorHAnsi" w:eastAsiaTheme="minorEastAsia" w:hAnsiTheme="minorHAnsi" w:cstheme="minorBidi"/>
                <w:szCs w:val="22"/>
                <w:lang w:eastAsia="en-AU"/>
              </w:rPr>
              <w:tab/>
            </w:r>
            <w:r w:rsidR="007136C4" w:rsidRPr="004F5568">
              <w:rPr>
                <w:rStyle w:val="Hyperlink"/>
              </w:rPr>
              <w:t>SUPPORT, PROTECTED INFORMATION AND REPRISALS</w:t>
            </w:r>
            <w:r w:rsidR="007136C4">
              <w:rPr>
                <w:webHidden/>
              </w:rPr>
              <w:tab/>
            </w:r>
            <w:r w:rsidR="007136C4">
              <w:rPr>
                <w:webHidden/>
              </w:rPr>
              <w:fldChar w:fldCharType="begin"/>
            </w:r>
            <w:r w:rsidR="007136C4">
              <w:rPr>
                <w:webHidden/>
              </w:rPr>
              <w:instrText xml:space="preserve"> PAGEREF _Toc150789933 \h </w:instrText>
            </w:r>
            <w:r w:rsidR="007136C4">
              <w:rPr>
                <w:webHidden/>
              </w:rPr>
            </w:r>
            <w:r w:rsidR="007136C4">
              <w:rPr>
                <w:webHidden/>
              </w:rPr>
              <w:fldChar w:fldCharType="separate"/>
            </w:r>
            <w:r w:rsidR="007136C4">
              <w:rPr>
                <w:webHidden/>
              </w:rPr>
              <w:t>9</w:t>
            </w:r>
            <w:r w:rsidR="007136C4">
              <w:rPr>
                <w:webHidden/>
              </w:rPr>
              <w:fldChar w:fldCharType="end"/>
            </w:r>
          </w:hyperlink>
        </w:p>
        <w:p w14:paraId="6A268A6E" w14:textId="3BF79B2B" w:rsidR="007136C4" w:rsidRDefault="00C80698">
          <w:pPr>
            <w:pStyle w:val="TOC2"/>
            <w:rPr>
              <w:rFonts w:asciiTheme="minorHAnsi" w:eastAsiaTheme="minorEastAsia" w:hAnsiTheme="minorHAnsi" w:cstheme="minorBidi"/>
              <w:noProof/>
              <w:szCs w:val="22"/>
              <w:lang w:eastAsia="en-AU"/>
            </w:rPr>
          </w:pPr>
          <w:hyperlink w:anchor="_Toc150789934" w:history="1">
            <w:r w:rsidR="007136C4" w:rsidRPr="004F5568">
              <w:rPr>
                <w:rStyle w:val="Hyperlink"/>
                <w:rFonts w:eastAsia="Arial"/>
                <w:noProof/>
              </w:rPr>
              <w:t>Support for disclosers</w:t>
            </w:r>
            <w:r w:rsidR="007136C4">
              <w:rPr>
                <w:noProof/>
                <w:webHidden/>
              </w:rPr>
              <w:tab/>
            </w:r>
            <w:r w:rsidR="007136C4">
              <w:rPr>
                <w:noProof/>
                <w:webHidden/>
              </w:rPr>
              <w:fldChar w:fldCharType="begin"/>
            </w:r>
            <w:r w:rsidR="007136C4">
              <w:rPr>
                <w:noProof/>
                <w:webHidden/>
              </w:rPr>
              <w:instrText xml:space="preserve"> PAGEREF _Toc150789934 \h </w:instrText>
            </w:r>
            <w:r w:rsidR="007136C4">
              <w:rPr>
                <w:noProof/>
                <w:webHidden/>
              </w:rPr>
            </w:r>
            <w:r w:rsidR="007136C4">
              <w:rPr>
                <w:noProof/>
                <w:webHidden/>
              </w:rPr>
              <w:fldChar w:fldCharType="separate"/>
            </w:r>
            <w:r w:rsidR="007136C4">
              <w:rPr>
                <w:noProof/>
                <w:webHidden/>
              </w:rPr>
              <w:t>9</w:t>
            </w:r>
            <w:r w:rsidR="007136C4">
              <w:rPr>
                <w:noProof/>
                <w:webHidden/>
              </w:rPr>
              <w:fldChar w:fldCharType="end"/>
            </w:r>
          </w:hyperlink>
        </w:p>
        <w:p w14:paraId="63999F49" w14:textId="2FE47053" w:rsidR="007136C4" w:rsidRDefault="00C80698">
          <w:pPr>
            <w:pStyle w:val="TOC2"/>
            <w:rPr>
              <w:rFonts w:asciiTheme="minorHAnsi" w:eastAsiaTheme="minorEastAsia" w:hAnsiTheme="minorHAnsi" w:cstheme="minorBidi"/>
              <w:noProof/>
              <w:szCs w:val="22"/>
              <w:lang w:eastAsia="en-AU"/>
            </w:rPr>
          </w:pPr>
          <w:hyperlink w:anchor="_Toc150789935" w:history="1">
            <w:r w:rsidR="007136C4" w:rsidRPr="004F5568">
              <w:rPr>
                <w:rStyle w:val="Hyperlink"/>
                <w:rFonts w:eastAsiaTheme="minorHAnsi"/>
                <w:noProof/>
              </w:rPr>
              <w:t>Support for person against whom a disclosure has been made</w:t>
            </w:r>
            <w:r w:rsidR="007136C4">
              <w:rPr>
                <w:noProof/>
                <w:webHidden/>
              </w:rPr>
              <w:tab/>
            </w:r>
            <w:r w:rsidR="007136C4">
              <w:rPr>
                <w:noProof/>
                <w:webHidden/>
              </w:rPr>
              <w:fldChar w:fldCharType="begin"/>
            </w:r>
            <w:r w:rsidR="007136C4">
              <w:rPr>
                <w:noProof/>
                <w:webHidden/>
              </w:rPr>
              <w:instrText xml:space="preserve"> PAGEREF _Toc150789935 \h </w:instrText>
            </w:r>
            <w:r w:rsidR="007136C4">
              <w:rPr>
                <w:noProof/>
                <w:webHidden/>
              </w:rPr>
            </w:r>
            <w:r w:rsidR="007136C4">
              <w:rPr>
                <w:noProof/>
                <w:webHidden/>
              </w:rPr>
              <w:fldChar w:fldCharType="separate"/>
            </w:r>
            <w:r w:rsidR="007136C4">
              <w:rPr>
                <w:noProof/>
                <w:webHidden/>
              </w:rPr>
              <w:t>9</w:t>
            </w:r>
            <w:r w:rsidR="007136C4">
              <w:rPr>
                <w:noProof/>
                <w:webHidden/>
              </w:rPr>
              <w:fldChar w:fldCharType="end"/>
            </w:r>
          </w:hyperlink>
        </w:p>
        <w:p w14:paraId="1780A0FE" w14:textId="397BF03E" w:rsidR="007136C4" w:rsidRDefault="00C80698">
          <w:pPr>
            <w:pStyle w:val="TOC2"/>
            <w:rPr>
              <w:rFonts w:asciiTheme="minorHAnsi" w:eastAsiaTheme="minorEastAsia" w:hAnsiTheme="minorHAnsi" w:cstheme="minorBidi"/>
              <w:noProof/>
              <w:szCs w:val="22"/>
              <w:lang w:eastAsia="en-AU"/>
            </w:rPr>
          </w:pPr>
          <w:hyperlink w:anchor="_Toc150789936" w:history="1">
            <w:r w:rsidR="007136C4" w:rsidRPr="004F5568">
              <w:rPr>
                <w:rStyle w:val="Hyperlink"/>
                <w:rFonts w:eastAsia="Arial"/>
                <w:noProof/>
              </w:rPr>
              <w:t>Protection of information and confidentiality</w:t>
            </w:r>
            <w:r w:rsidR="007136C4">
              <w:rPr>
                <w:noProof/>
                <w:webHidden/>
              </w:rPr>
              <w:tab/>
            </w:r>
            <w:r w:rsidR="007136C4">
              <w:rPr>
                <w:noProof/>
                <w:webHidden/>
              </w:rPr>
              <w:fldChar w:fldCharType="begin"/>
            </w:r>
            <w:r w:rsidR="007136C4">
              <w:rPr>
                <w:noProof/>
                <w:webHidden/>
              </w:rPr>
              <w:instrText xml:space="preserve"> PAGEREF _Toc150789936 \h </w:instrText>
            </w:r>
            <w:r w:rsidR="007136C4">
              <w:rPr>
                <w:noProof/>
                <w:webHidden/>
              </w:rPr>
            </w:r>
            <w:r w:rsidR="007136C4">
              <w:rPr>
                <w:noProof/>
                <w:webHidden/>
              </w:rPr>
              <w:fldChar w:fldCharType="separate"/>
            </w:r>
            <w:r w:rsidR="007136C4">
              <w:rPr>
                <w:noProof/>
                <w:webHidden/>
              </w:rPr>
              <w:t>9</w:t>
            </w:r>
            <w:r w:rsidR="007136C4">
              <w:rPr>
                <w:noProof/>
                <w:webHidden/>
              </w:rPr>
              <w:fldChar w:fldCharType="end"/>
            </w:r>
          </w:hyperlink>
        </w:p>
        <w:p w14:paraId="3CACF236" w14:textId="323E3E89" w:rsidR="007136C4" w:rsidRDefault="00C80698">
          <w:pPr>
            <w:pStyle w:val="TOC2"/>
            <w:rPr>
              <w:rFonts w:asciiTheme="minorHAnsi" w:eastAsiaTheme="minorEastAsia" w:hAnsiTheme="minorHAnsi" w:cstheme="minorBidi"/>
              <w:noProof/>
              <w:szCs w:val="22"/>
              <w:lang w:eastAsia="en-AU"/>
            </w:rPr>
          </w:pPr>
          <w:hyperlink w:anchor="_Toc150789937" w:history="1">
            <w:r w:rsidR="007136C4" w:rsidRPr="004F5568">
              <w:rPr>
                <w:rStyle w:val="Hyperlink"/>
                <w:noProof/>
              </w:rPr>
              <w:t>Protected information</w:t>
            </w:r>
            <w:r w:rsidR="007136C4">
              <w:rPr>
                <w:noProof/>
                <w:webHidden/>
              </w:rPr>
              <w:tab/>
            </w:r>
            <w:r w:rsidR="007136C4">
              <w:rPr>
                <w:noProof/>
                <w:webHidden/>
              </w:rPr>
              <w:fldChar w:fldCharType="begin"/>
            </w:r>
            <w:r w:rsidR="007136C4">
              <w:rPr>
                <w:noProof/>
                <w:webHidden/>
              </w:rPr>
              <w:instrText xml:space="preserve"> PAGEREF _Toc150789937 \h </w:instrText>
            </w:r>
            <w:r w:rsidR="007136C4">
              <w:rPr>
                <w:noProof/>
                <w:webHidden/>
              </w:rPr>
            </w:r>
            <w:r w:rsidR="007136C4">
              <w:rPr>
                <w:noProof/>
                <w:webHidden/>
              </w:rPr>
              <w:fldChar w:fldCharType="separate"/>
            </w:r>
            <w:r w:rsidR="007136C4">
              <w:rPr>
                <w:noProof/>
                <w:webHidden/>
              </w:rPr>
              <w:t>10</w:t>
            </w:r>
            <w:r w:rsidR="007136C4">
              <w:rPr>
                <w:noProof/>
                <w:webHidden/>
              </w:rPr>
              <w:fldChar w:fldCharType="end"/>
            </w:r>
          </w:hyperlink>
        </w:p>
        <w:p w14:paraId="51D4D576" w14:textId="266F434A"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38" w:history="1">
            <w:r w:rsidR="007136C4" w:rsidRPr="004F5568">
              <w:rPr>
                <w:rStyle w:val="Hyperlink"/>
                <w:noProof/>
              </w:rPr>
              <w:t>Secrecy Provisions</w:t>
            </w:r>
            <w:r w:rsidR="007136C4">
              <w:rPr>
                <w:noProof/>
                <w:webHidden/>
              </w:rPr>
              <w:tab/>
            </w:r>
            <w:r w:rsidR="007136C4">
              <w:rPr>
                <w:noProof/>
                <w:webHidden/>
              </w:rPr>
              <w:fldChar w:fldCharType="begin"/>
            </w:r>
            <w:r w:rsidR="007136C4">
              <w:rPr>
                <w:noProof/>
                <w:webHidden/>
              </w:rPr>
              <w:instrText xml:space="preserve"> PAGEREF _Toc150789938 \h </w:instrText>
            </w:r>
            <w:r w:rsidR="007136C4">
              <w:rPr>
                <w:noProof/>
                <w:webHidden/>
              </w:rPr>
            </w:r>
            <w:r w:rsidR="007136C4">
              <w:rPr>
                <w:noProof/>
                <w:webHidden/>
              </w:rPr>
              <w:fldChar w:fldCharType="separate"/>
            </w:r>
            <w:r w:rsidR="007136C4">
              <w:rPr>
                <w:noProof/>
                <w:webHidden/>
              </w:rPr>
              <w:t>11</w:t>
            </w:r>
            <w:r w:rsidR="007136C4">
              <w:rPr>
                <w:noProof/>
                <w:webHidden/>
              </w:rPr>
              <w:fldChar w:fldCharType="end"/>
            </w:r>
          </w:hyperlink>
        </w:p>
        <w:p w14:paraId="6D0DF385" w14:textId="285A59C3" w:rsidR="007136C4" w:rsidRDefault="00C80698">
          <w:pPr>
            <w:pStyle w:val="TOC2"/>
            <w:rPr>
              <w:rFonts w:asciiTheme="minorHAnsi" w:eastAsiaTheme="minorEastAsia" w:hAnsiTheme="minorHAnsi" w:cstheme="minorBidi"/>
              <w:noProof/>
              <w:szCs w:val="22"/>
              <w:lang w:eastAsia="en-AU"/>
            </w:rPr>
          </w:pPr>
          <w:hyperlink w:anchor="_Toc150789939" w:history="1">
            <w:r w:rsidR="007136C4" w:rsidRPr="004F5568">
              <w:rPr>
                <w:rStyle w:val="Hyperlink"/>
                <w:rFonts w:eastAsia="Arial"/>
                <w:noProof/>
              </w:rPr>
              <w:t>Immunity from liability</w:t>
            </w:r>
            <w:r w:rsidR="007136C4">
              <w:rPr>
                <w:noProof/>
                <w:webHidden/>
              </w:rPr>
              <w:tab/>
            </w:r>
            <w:r w:rsidR="007136C4">
              <w:rPr>
                <w:noProof/>
                <w:webHidden/>
              </w:rPr>
              <w:fldChar w:fldCharType="begin"/>
            </w:r>
            <w:r w:rsidR="007136C4">
              <w:rPr>
                <w:noProof/>
                <w:webHidden/>
              </w:rPr>
              <w:instrText xml:space="preserve"> PAGEREF _Toc150789939 \h </w:instrText>
            </w:r>
            <w:r w:rsidR="007136C4">
              <w:rPr>
                <w:noProof/>
                <w:webHidden/>
              </w:rPr>
            </w:r>
            <w:r w:rsidR="007136C4">
              <w:rPr>
                <w:noProof/>
                <w:webHidden/>
              </w:rPr>
              <w:fldChar w:fldCharType="separate"/>
            </w:r>
            <w:r w:rsidR="007136C4">
              <w:rPr>
                <w:noProof/>
                <w:webHidden/>
              </w:rPr>
              <w:t>11</w:t>
            </w:r>
            <w:r w:rsidR="007136C4">
              <w:rPr>
                <w:noProof/>
                <w:webHidden/>
              </w:rPr>
              <w:fldChar w:fldCharType="end"/>
            </w:r>
          </w:hyperlink>
        </w:p>
        <w:p w14:paraId="4B44257C" w14:textId="701863A0" w:rsidR="007136C4" w:rsidRDefault="00C80698">
          <w:pPr>
            <w:pStyle w:val="TOC2"/>
            <w:rPr>
              <w:rFonts w:asciiTheme="minorHAnsi" w:eastAsiaTheme="minorEastAsia" w:hAnsiTheme="minorHAnsi" w:cstheme="minorBidi"/>
              <w:noProof/>
              <w:szCs w:val="22"/>
              <w:lang w:eastAsia="en-AU"/>
            </w:rPr>
          </w:pPr>
          <w:hyperlink w:anchor="_Toc150789940" w:history="1">
            <w:r w:rsidR="007136C4" w:rsidRPr="004F5568">
              <w:rPr>
                <w:rStyle w:val="Hyperlink"/>
                <w:rFonts w:eastAsia="Arial"/>
                <w:noProof/>
              </w:rPr>
              <w:t>Protection against reprisal action</w:t>
            </w:r>
            <w:r w:rsidR="007136C4">
              <w:rPr>
                <w:noProof/>
                <w:webHidden/>
              </w:rPr>
              <w:tab/>
            </w:r>
            <w:r w:rsidR="007136C4">
              <w:rPr>
                <w:noProof/>
                <w:webHidden/>
              </w:rPr>
              <w:fldChar w:fldCharType="begin"/>
            </w:r>
            <w:r w:rsidR="007136C4">
              <w:rPr>
                <w:noProof/>
                <w:webHidden/>
              </w:rPr>
              <w:instrText xml:space="preserve"> PAGEREF _Toc150789940 \h </w:instrText>
            </w:r>
            <w:r w:rsidR="007136C4">
              <w:rPr>
                <w:noProof/>
                <w:webHidden/>
              </w:rPr>
            </w:r>
            <w:r w:rsidR="007136C4">
              <w:rPr>
                <w:noProof/>
                <w:webHidden/>
              </w:rPr>
              <w:fldChar w:fldCharType="separate"/>
            </w:r>
            <w:r w:rsidR="007136C4">
              <w:rPr>
                <w:noProof/>
                <w:webHidden/>
              </w:rPr>
              <w:t>12</w:t>
            </w:r>
            <w:r w:rsidR="007136C4">
              <w:rPr>
                <w:noProof/>
                <w:webHidden/>
              </w:rPr>
              <w:fldChar w:fldCharType="end"/>
            </w:r>
          </w:hyperlink>
        </w:p>
        <w:p w14:paraId="105EDCBE" w14:textId="5B93FE65"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41" w:history="1">
            <w:r w:rsidR="007136C4" w:rsidRPr="004F5568">
              <w:rPr>
                <w:rStyle w:val="Hyperlink"/>
                <w:rFonts w:eastAsia="Arial"/>
                <w:noProof/>
              </w:rPr>
              <w:t>What is a reprisal?</w:t>
            </w:r>
            <w:r w:rsidR="007136C4">
              <w:rPr>
                <w:noProof/>
                <w:webHidden/>
              </w:rPr>
              <w:tab/>
            </w:r>
            <w:r w:rsidR="007136C4">
              <w:rPr>
                <w:noProof/>
                <w:webHidden/>
              </w:rPr>
              <w:fldChar w:fldCharType="begin"/>
            </w:r>
            <w:r w:rsidR="007136C4">
              <w:rPr>
                <w:noProof/>
                <w:webHidden/>
              </w:rPr>
              <w:instrText xml:space="preserve"> PAGEREF _Toc150789941 \h </w:instrText>
            </w:r>
            <w:r w:rsidR="007136C4">
              <w:rPr>
                <w:noProof/>
                <w:webHidden/>
              </w:rPr>
            </w:r>
            <w:r w:rsidR="007136C4">
              <w:rPr>
                <w:noProof/>
                <w:webHidden/>
              </w:rPr>
              <w:fldChar w:fldCharType="separate"/>
            </w:r>
            <w:r w:rsidR="007136C4">
              <w:rPr>
                <w:noProof/>
                <w:webHidden/>
              </w:rPr>
              <w:t>12</w:t>
            </w:r>
            <w:r w:rsidR="007136C4">
              <w:rPr>
                <w:noProof/>
                <w:webHidden/>
              </w:rPr>
              <w:fldChar w:fldCharType="end"/>
            </w:r>
          </w:hyperlink>
        </w:p>
        <w:p w14:paraId="22471E92" w14:textId="11ADF197"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42" w:history="1">
            <w:r w:rsidR="007136C4" w:rsidRPr="004F5568">
              <w:rPr>
                <w:rStyle w:val="Hyperlink"/>
                <w:rFonts w:eastAsia="Arial"/>
                <w:noProof/>
              </w:rPr>
              <w:t>What is not a reprisal?</w:t>
            </w:r>
            <w:r w:rsidR="007136C4">
              <w:rPr>
                <w:noProof/>
                <w:webHidden/>
              </w:rPr>
              <w:tab/>
            </w:r>
            <w:r w:rsidR="007136C4">
              <w:rPr>
                <w:noProof/>
                <w:webHidden/>
              </w:rPr>
              <w:fldChar w:fldCharType="begin"/>
            </w:r>
            <w:r w:rsidR="007136C4">
              <w:rPr>
                <w:noProof/>
                <w:webHidden/>
              </w:rPr>
              <w:instrText xml:space="preserve"> PAGEREF _Toc150789942 \h </w:instrText>
            </w:r>
            <w:r w:rsidR="007136C4">
              <w:rPr>
                <w:noProof/>
                <w:webHidden/>
              </w:rPr>
            </w:r>
            <w:r w:rsidR="007136C4">
              <w:rPr>
                <w:noProof/>
                <w:webHidden/>
              </w:rPr>
              <w:fldChar w:fldCharType="separate"/>
            </w:r>
            <w:r w:rsidR="007136C4">
              <w:rPr>
                <w:noProof/>
                <w:webHidden/>
              </w:rPr>
              <w:t>13</w:t>
            </w:r>
            <w:r w:rsidR="007136C4">
              <w:rPr>
                <w:noProof/>
                <w:webHidden/>
              </w:rPr>
              <w:fldChar w:fldCharType="end"/>
            </w:r>
          </w:hyperlink>
        </w:p>
        <w:p w14:paraId="1D6C8DB3" w14:textId="1BD64C2F"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43" w:history="1">
            <w:r w:rsidR="007136C4" w:rsidRPr="004F5568">
              <w:rPr>
                <w:rStyle w:val="Hyperlink"/>
                <w:rFonts w:eastAsia="Arial"/>
                <w:noProof/>
              </w:rPr>
              <w:t>Managing the risk of reprisal</w:t>
            </w:r>
            <w:r w:rsidR="007136C4">
              <w:rPr>
                <w:noProof/>
                <w:webHidden/>
              </w:rPr>
              <w:tab/>
            </w:r>
            <w:r w:rsidR="007136C4">
              <w:rPr>
                <w:noProof/>
                <w:webHidden/>
              </w:rPr>
              <w:fldChar w:fldCharType="begin"/>
            </w:r>
            <w:r w:rsidR="007136C4">
              <w:rPr>
                <w:noProof/>
                <w:webHidden/>
              </w:rPr>
              <w:instrText xml:space="preserve"> PAGEREF _Toc150789943 \h </w:instrText>
            </w:r>
            <w:r w:rsidR="007136C4">
              <w:rPr>
                <w:noProof/>
                <w:webHidden/>
              </w:rPr>
            </w:r>
            <w:r w:rsidR="007136C4">
              <w:rPr>
                <w:noProof/>
                <w:webHidden/>
              </w:rPr>
              <w:fldChar w:fldCharType="separate"/>
            </w:r>
            <w:r w:rsidR="007136C4">
              <w:rPr>
                <w:noProof/>
                <w:webHidden/>
              </w:rPr>
              <w:t>13</w:t>
            </w:r>
            <w:r w:rsidR="007136C4">
              <w:rPr>
                <w:noProof/>
                <w:webHidden/>
              </w:rPr>
              <w:fldChar w:fldCharType="end"/>
            </w:r>
          </w:hyperlink>
        </w:p>
        <w:p w14:paraId="6884CA84" w14:textId="06DD365D" w:rsidR="007136C4" w:rsidRDefault="00C80698">
          <w:pPr>
            <w:pStyle w:val="TOC2"/>
            <w:rPr>
              <w:rFonts w:asciiTheme="minorHAnsi" w:eastAsiaTheme="minorEastAsia" w:hAnsiTheme="minorHAnsi" w:cstheme="minorBidi"/>
              <w:noProof/>
              <w:szCs w:val="22"/>
              <w:lang w:eastAsia="en-AU"/>
            </w:rPr>
          </w:pPr>
          <w:hyperlink w:anchor="_Toc150789944" w:history="1">
            <w:r w:rsidR="007136C4" w:rsidRPr="004F5568">
              <w:rPr>
                <w:rStyle w:val="Hyperlink"/>
                <w:rFonts w:eastAsia="Arial"/>
                <w:noProof/>
              </w:rPr>
              <w:t>Role of Reprisal Manager</w:t>
            </w:r>
            <w:r w:rsidR="007136C4">
              <w:rPr>
                <w:noProof/>
                <w:webHidden/>
              </w:rPr>
              <w:tab/>
            </w:r>
            <w:r w:rsidR="007136C4">
              <w:rPr>
                <w:noProof/>
                <w:webHidden/>
              </w:rPr>
              <w:fldChar w:fldCharType="begin"/>
            </w:r>
            <w:r w:rsidR="007136C4">
              <w:rPr>
                <w:noProof/>
                <w:webHidden/>
              </w:rPr>
              <w:instrText xml:space="preserve"> PAGEREF _Toc150789944 \h </w:instrText>
            </w:r>
            <w:r w:rsidR="007136C4">
              <w:rPr>
                <w:noProof/>
                <w:webHidden/>
              </w:rPr>
            </w:r>
            <w:r w:rsidR="007136C4">
              <w:rPr>
                <w:noProof/>
                <w:webHidden/>
              </w:rPr>
              <w:fldChar w:fldCharType="separate"/>
            </w:r>
            <w:r w:rsidR="007136C4">
              <w:rPr>
                <w:noProof/>
                <w:webHidden/>
              </w:rPr>
              <w:t>13</w:t>
            </w:r>
            <w:r w:rsidR="007136C4">
              <w:rPr>
                <w:noProof/>
                <w:webHidden/>
              </w:rPr>
              <w:fldChar w:fldCharType="end"/>
            </w:r>
          </w:hyperlink>
        </w:p>
        <w:p w14:paraId="495A1686" w14:textId="161E2342" w:rsidR="007136C4" w:rsidRDefault="00C80698" w:rsidP="001D1440">
          <w:pPr>
            <w:pStyle w:val="TOC1"/>
            <w:rPr>
              <w:rFonts w:asciiTheme="minorHAnsi" w:eastAsiaTheme="minorEastAsia" w:hAnsiTheme="minorHAnsi" w:cstheme="minorBidi"/>
              <w:szCs w:val="22"/>
              <w:lang w:eastAsia="en-AU"/>
            </w:rPr>
          </w:pPr>
          <w:hyperlink w:anchor="_Toc150789945" w:history="1">
            <w:r w:rsidR="007136C4" w:rsidRPr="004F5568">
              <w:rPr>
                <w:rStyle w:val="Hyperlink"/>
              </w:rPr>
              <w:t>4.</w:t>
            </w:r>
            <w:r w:rsidR="007136C4">
              <w:rPr>
                <w:rFonts w:asciiTheme="minorHAnsi" w:eastAsiaTheme="minorEastAsia" w:hAnsiTheme="minorHAnsi" w:cstheme="minorBidi"/>
                <w:szCs w:val="22"/>
                <w:lang w:eastAsia="en-AU"/>
              </w:rPr>
              <w:tab/>
            </w:r>
            <w:r w:rsidR="007136C4" w:rsidRPr="004F5568">
              <w:rPr>
                <w:rStyle w:val="Hyperlink"/>
              </w:rPr>
              <w:t>MANDATORY REFERRAL TO THE NATIONAL ANTI-CORRUPTION COMMISSIONER</w:t>
            </w:r>
            <w:r w:rsidR="007136C4">
              <w:rPr>
                <w:webHidden/>
              </w:rPr>
              <w:tab/>
            </w:r>
            <w:r w:rsidR="007136C4">
              <w:rPr>
                <w:webHidden/>
              </w:rPr>
              <w:fldChar w:fldCharType="begin"/>
            </w:r>
            <w:r w:rsidR="007136C4">
              <w:rPr>
                <w:webHidden/>
              </w:rPr>
              <w:instrText xml:space="preserve"> PAGEREF _Toc150789945 \h </w:instrText>
            </w:r>
            <w:r w:rsidR="007136C4">
              <w:rPr>
                <w:webHidden/>
              </w:rPr>
            </w:r>
            <w:r w:rsidR="007136C4">
              <w:rPr>
                <w:webHidden/>
              </w:rPr>
              <w:fldChar w:fldCharType="separate"/>
            </w:r>
            <w:r w:rsidR="007136C4">
              <w:rPr>
                <w:webHidden/>
              </w:rPr>
              <w:t>14</w:t>
            </w:r>
            <w:r w:rsidR="007136C4">
              <w:rPr>
                <w:webHidden/>
              </w:rPr>
              <w:fldChar w:fldCharType="end"/>
            </w:r>
          </w:hyperlink>
        </w:p>
        <w:p w14:paraId="201EF417" w14:textId="5299A5D2" w:rsidR="007136C4" w:rsidRDefault="00C80698">
          <w:pPr>
            <w:pStyle w:val="TOC2"/>
            <w:rPr>
              <w:rFonts w:asciiTheme="minorHAnsi" w:eastAsiaTheme="minorEastAsia" w:hAnsiTheme="minorHAnsi" w:cstheme="minorBidi"/>
              <w:noProof/>
              <w:szCs w:val="22"/>
              <w:lang w:eastAsia="en-AU"/>
            </w:rPr>
          </w:pPr>
          <w:hyperlink w:anchor="_Toc150789946" w:history="1">
            <w:r w:rsidR="007136C4" w:rsidRPr="004F5568">
              <w:rPr>
                <w:rStyle w:val="Hyperlink"/>
                <w:rFonts w:eastAsia="Arial"/>
                <w:noProof/>
              </w:rPr>
              <w:t>When to refer a PID to the NACC</w:t>
            </w:r>
            <w:r w:rsidR="007136C4">
              <w:rPr>
                <w:noProof/>
                <w:webHidden/>
              </w:rPr>
              <w:tab/>
            </w:r>
            <w:r w:rsidR="007136C4">
              <w:rPr>
                <w:noProof/>
                <w:webHidden/>
              </w:rPr>
              <w:fldChar w:fldCharType="begin"/>
            </w:r>
            <w:r w:rsidR="007136C4">
              <w:rPr>
                <w:noProof/>
                <w:webHidden/>
              </w:rPr>
              <w:instrText xml:space="preserve"> PAGEREF _Toc150789946 \h </w:instrText>
            </w:r>
            <w:r w:rsidR="007136C4">
              <w:rPr>
                <w:noProof/>
                <w:webHidden/>
              </w:rPr>
            </w:r>
            <w:r w:rsidR="007136C4">
              <w:rPr>
                <w:noProof/>
                <w:webHidden/>
              </w:rPr>
              <w:fldChar w:fldCharType="separate"/>
            </w:r>
            <w:r w:rsidR="007136C4">
              <w:rPr>
                <w:noProof/>
                <w:webHidden/>
              </w:rPr>
              <w:t>14</w:t>
            </w:r>
            <w:r w:rsidR="007136C4">
              <w:rPr>
                <w:noProof/>
                <w:webHidden/>
              </w:rPr>
              <w:fldChar w:fldCharType="end"/>
            </w:r>
          </w:hyperlink>
        </w:p>
        <w:p w14:paraId="5E86CEED" w14:textId="59313D2F"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47" w:history="1">
            <w:r w:rsidR="007136C4" w:rsidRPr="004F5568">
              <w:rPr>
                <w:rStyle w:val="Hyperlink"/>
                <w:noProof/>
              </w:rPr>
              <w:t>What is corrupt conduct?</w:t>
            </w:r>
            <w:r w:rsidR="007136C4">
              <w:rPr>
                <w:noProof/>
                <w:webHidden/>
              </w:rPr>
              <w:tab/>
            </w:r>
            <w:r w:rsidR="007136C4">
              <w:rPr>
                <w:noProof/>
                <w:webHidden/>
              </w:rPr>
              <w:fldChar w:fldCharType="begin"/>
            </w:r>
            <w:r w:rsidR="007136C4">
              <w:rPr>
                <w:noProof/>
                <w:webHidden/>
              </w:rPr>
              <w:instrText xml:space="preserve"> PAGEREF _Toc150789947 \h </w:instrText>
            </w:r>
            <w:r w:rsidR="007136C4">
              <w:rPr>
                <w:noProof/>
                <w:webHidden/>
              </w:rPr>
            </w:r>
            <w:r w:rsidR="007136C4">
              <w:rPr>
                <w:noProof/>
                <w:webHidden/>
              </w:rPr>
              <w:fldChar w:fldCharType="separate"/>
            </w:r>
            <w:r w:rsidR="007136C4">
              <w:rPr>
                <w:noProof/>
                <w:webHidden/>
              </w:rPr>
              <w:t>14</w:t>
            </w:r>
            <w:r w:rsidR="007136C4">
              <w:rPr>
                <w:noProof/>
                <w:webHidden/>
              </w:rPr>
              <w:fldChar w:fldCharType="end"/>
            </w:r>
          </w:hyperlink>
        </w:p>
        <w:p w14:paraId="74BD3941" w14:textId="60768F5A"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48" w:history="1">
            <w:r w:rsidR="007136C4" w:rsidRPr="004F5568">
              <w:rPr>
                <w:rStyle w:val="Hyperlink"/>
                <w:noProof/>
              </w:rPr>
              <w:t>When is corrupt conduct ‘serious or systemic’</w:t>
            </w:r>
            <w:r w:rsidR="007136C4">
              <w:rPr>
                <w:noProof/>
                <w:webHidden/>
              </w:rPr>
              <w:tab/>
            </w:r>
            <w:r w:rsidR="007136C4">
              <w:rPr>
                <w:noProof/>
                <w:webHidden/>
              </w:rPr>
              <w:fldChar w:fldCharType="begin"/>
            </w:r>
            <w:r w:rsidR="007136C4">
              <w:rPr>
                <w:noProof/>
                <w:webHidden/>
              </w:rPr>
              <w:instrText xml:space="preserve"> PAGEREF _Toc150789948 \h </w:instrText>
            </w:r>
            <w:r w:rsidR="007136C4">
              <w:rPr>
                <w:noProof/>
                <w:webHidden/>
              </w:rPr>
            </w:r>
            <w:r w:rsidR="007136C4">
              <w:rPr>
                <w:noProof/>
                <w:webHidden/>
              </w:rPr>
              <w:fldChar w:fldCharType="separate"/>
            </w:r>
            <w:r w:rsidR="007136C4">
              <w:rPr>
                <w:noProof/>
                <w:webHidden/>
              </w:rPr>
              <w:t>15</w:t>
            </w:r>
            <w:r w:rsidR="007136C4">
              <w:rPr>
                <w:noProof/>
                <w:webHidden/>
              </w:rPr>
              <w:fldChar w:fldCharType="end"/>
            </w:r>
          </w:hyperlink>
        </w:p>
        <w:p w14:paraId="1A4A66AE" w14:textId="210AF429"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49" w:history="1">
            <w:r w:rsidR="007136C4" w:rsidRPr="004F5568">
              <w:rPr>
                <w:rStyle w:val="Hyperlink"/>
                <w:noProof/>
              </w:rPr>
              <w:t>Timing and information requirements</w:t>
            </w:r>
            <w:r w:rsidR="007136C4">
              <w:rPr>
                <w:noProof/>
                <w:webHidden/>
              </w:rPr>
              <w:tab/>
            </w:r>
            <w:r w:rsidR="007136C4">
              <w:rPr>
                <w:noProof/>
                <w:webHidden/>
              </w:rPr>
              <w:fldChar w:fldCharType="begin"/>
            </w:r>
            <w:r w:rsidR="007136C4">
              <w:rPr>
                <w:noProof/>
                <w:webHidden/>
              </w:rPr>
              <w:instrText xml:space="preserve"> PAGEREF _Toc150789949 \h </w:instrText>
            </w:r>
            <w:r w:rsidR="007136C4">
              <w:rPr>
                <w:noProof/>
                <w:webHidden/>
              </w:rPr>
            </w:r>
            <w:r w:rsidR="007136C4">
              <w:rPr>
                <w:noProof/>
                <w:webHidden/>
              </w:rPr>
              <w:fldChar w:fldCharType="separate"/>
            </w:r>
            <w:r w:rsidR="007136C4">
              <w:rPr>
                <w:noProof/>
                <w:webHidden/>
              </w:rPr>
              <w:t>15</w:t>
            </w:r>
            <w:r w:rsidR="007136C4">
              <w:rPr>
                <w:noProof/>
                <w:webHidden/>
              </w:rPr>
              <w:fldChar w:fldCharType="end"/>
            </w:r>
          </w:hyperlink>
        </w:p>
        <w:p w14:paraId="3351E2A0" w14:textId="7AF47DF1" w:rsidR="007136C4" w:rsidRDefault="00C80698">
          <w:pPr>
            <w:pStyle w:val="TOC2"/>
            <w:rPr>
              <w:rFonts w:asciiTheme="minorHAnsi" w:eastAsiaTheme="minorEastAsia" w:hAnsiTheme="minorHAnsi" w:cstheme="minorBidi"/>
              <w:noProof/>
              <w:szCs w:val="22"/>
              <w:lang w:eastAsia="en-AU"/>
            </w:rPr>
          </w:pPr>
          <w:hyperlink w:anchor="_Toc150789950" w:history="1">
            <w:r w:rsidR="007136C4" w:rsidRPr="004F5568">
              <w:rPr>
                <w:rStyle w:val="Hyperlink"/>
                <w:noProof/>
                <w:lang w:eastAsia="en-AU"/>
              </w:rPr>
              <w:t>Stop action directions</w:t>
            </w:r>
            <w:r w:rsidR="007136C4">
              <w:rPr>
                <w:noProof/>
                <w:webHidden/>
              </w:rPr>
              <w:tab/>
            </w:r>
            <w:r w:rsidR="007136C4">
              <w:rPr>
                <w:noProof/>
                <w:webHidden/>
              </w:rPr>
              <w:fldChar w:fldCharType="begin"/>
            </w:r>
            <w:r w:rsidR="007136C4">
              <w:rPr>
                <w:noProof/>
                <w:webHidden/>
              </w:rPr>
              <w:instrText xml:space="preserve"> PAGEREF _Toc150789950 \h </w:instrText>
            </w:r>
            <w:r w:rsidR="007136C4">
              <w:rPr>
                <w:noProof/>
                <w:webHidden/>
              </w:rPr>
            </w:r>
            <w:r w:rsidR="007136C4">
              <w:rPr>
                <w:noProof/>
                <w:webHidden/>
              </w:rPr>
              <w:fldChar w:fldCharType="separate"/>
            </w:r>
            <w:r w:rsidR="007136C4">
              <w:rPr>
                <w:noProof/>
                <w:webHidden/>
              </w:rPr>
              <w:t>15</w:t>
            </w:r>
            <w:r w:rsidR="007136C4">
              <w:rPr>
                <w:noProof/>
                <w:webHidden/>
              </w:rPr>
              <w:fldChar w:fldCharType="end"/>
            </w:r>
          </w:hyperlink>
        </w:p>
        <w:p w14:paraId="676FDD8D" w14:textId="4E08E772" w:rsidR="007136C4" w:rsidRDefault="00C80698" w:rsidP="001D1440">
          <w:pPr>
            <w:pStyle w:val="TOC1"/>
            <w:rPr>
              <w:rFonts w:asciiTheme="minorHAnsi" w:eastAsiaTheme="minorEastAsia" w:hAnsiTheme="minorHAnsi" w:cstheme="minorBidi"/>
              <w:szCs w:val="22"/>
              <w:lang w:eastAsia="en-AU"/>
            </w:rPr>
          </w:pPr>
          <w:hyperlink w:anchor="_Toc150789951" w:history="1">
            <w:r w:rsidR="007136C4" w:rsidRPr="004F5568">
              <w:rPr>
                <w:rStyle w:val="Hyperlink"/>
              </w:rPr>
              <w:t>5.</w:t>
            </w:r>
            <w:r w:rsidR="007136C4">
              <w:rPr>
                <w:rFonts w:asciiTheme="minorHAnsi" w:eastAsiaTheme="minorEastAsia" w:hAnsiTheme="minorHAnsi" w:cstheme="minorBidi"/>
                <w:szCs w:val="22"/>
                <w:lang w:eastAsia="en-AU"/>
              </w:rPr>
              <w:tab/>
            </w:r>
            <w:r w:rsidR="007136C4" w:rsidRPr="004F5568">
              <w:rPr>
                <w:rStyle w:val="Hyperlink"/>
              </w:rPr>
              <w:t>PROCEDURES FOR MANAGERS AND SUPERVISORS</w:t>
            </w:r>
            <w:r w:rsidR="007136C4">
              <w:rPr>
                <w:webHidden/>
              </w:rPr>
              <w:tab/>
            </w:r>
            <w:r w:rsidR="007136C4">
              <w:rPr>
                <w:webHidden/>
              </w:rPr>
              <w:fldChar w:fldCharType="begin"/>
            </w:r>
            <w:r w:rsidR="007136C4">
              <w:rPr>
                <w:webHidden/>
              </w:rPr>
              <w:instrText xml:space="preserve"> PAGEREF _Toc150789951 \h </w:instrText>
            </w:r>
            <w:r w:rsidR="007136C4">
              <w:rPr>
                <w:webHidden/>
              </w:rPr>
            </w:r>
            <w:r w:rsidR="007136C4">
              <w:rPr>
                <w:webHidden/>
              </w:rPr>
              <w:fldChar w:fldCharType="separate"/>
            </w:r>
            <w:r w:rsidR="007136C4">
              <w:rPr>
                <w:webHidden/>
              </w:rPr>
              <w:t>17</w:t>
            </w:r>
            <w:r w:rsidR="007136C4">
              <w:rPr>
                <w:webHidden/>
              </w:rPr>
              <w:fldChar w:fldCharType="end"/>
            </w:r>
          </w:hyperlink>
        </w:p>
        <w:p w14:paraId="49936AB9" w14:textId="0B2AA363" w:rsidR="007136C4" w:rsidRDefault="00C80698">
          <w:pPr>
            <w:pStyle w:val="TOC2"/>
            <w:rPr>
              <w:rFonts w:asciiTheme="minorHAnsi" w:eastAsiaTheme="minorEastAsia" w:hAnsiTheme="minorHAnsi" w:cstheme="minorBidi"/>
              <w:noProof/>
              <w:szCs w:val="22"/>
              <w:lang w:eastAsia="en-AU"/>
            </w:rPr>
          </w:pPr>
          <w:hyperlink w:anchor="_Toc150789952" w:history="1">
            <w:r w:rsidR="007136C4" w:rsidRPr="004F5568">
              <w:rPr>
                <w:rStyle w:val="Hyperlink"/>
                <w:rFonts w:eastAsia="Arial"/>
                <w:noProof/>
              </w:rPr>
              <w:t>Role of Managers and Supervisors</w:t>
            </w:r>
            <w:r w:rsidR="007136C4">
              <w:rPr>
                <w:noProof/>
                <w:webHidden/>
              </w:rPr>
              <w:tab/>
            </w:r>
            <w:r w:rsidR="007136C4">
              <w:rPr>
                <w:noProof/>
                <w:webHidden/>
              </w:rPr>
              <w:fldChar w:fldCharType="begin"/>
            </w:r>
            <w:r w:rsidR="007136C4">
              <w:rPr>
                <w:noProof/>
                <w:webHidden/>
              </w:rPr>
              <w:instrText xml:space="preserve"> PAGEREF _Toc150789952 \h </w:instrText>
            </w:r>
            <w:r w:rsidR="007136C4">
              <w:rPr>
                <w:noProof/>
                <w:webHidden/>
              </w:rPr>
            </w:r>
            <w:r w:rsidR="007136C4">
              <w:rPr>
                <w:noProof/>
                <w:webHidden/>
              </w:rPr>
              <w:fldChar w:fldCharType="separate"/>
            </w:r>
            <w:r w:rsidR="007136C4">
              <w:rPr>
                <w:noProof/>
                <w:webHidden/>
              </w:rPr>
              <w:t>17</w:t>
            </w:r>
            <w:r w:rsidR="007136C4">
              <w:rPr>
                <w:noProof/>
                <w:webHidden/>
              </w:rPr>
              <w:fldChar w:fldCharType="end"/>
            </w:r>
          </w:hyperlink>
        </w:p>
        <w:p w14:paraId="377228C1" w14:textId="193BDBF9" w:rsidR="007136C4" w:rsidRDefault="00C80698" w:rsidP="001D1440">
          <w:pPr>
            <w:pStyle w:val="TOC1"/>
            <w:rPr>
              <w:rFonts w:asciiTheme="minorHAnsi" w:eastAsiaTheme="minorEastAsia" w:hAnsiTheme="minorHAnsi" w:cstheme="minorBidi"/>
              <w:szCs w:val="22"/>
              <w:lang w:eastAsia="en-AU"/>
            </w:rPr>
          </w:pPr>
          <w:hyperlink w:anchor="_Toc150789953" w:history="1">
            <w:r w:rsidR="007136C4" w:rsidRPr="004F5568">
              <w:rPr>
                <w:rStyle w:val="Hyperlink"/>
              </w:rPr>
              <w:t>6.</w:t>
            </w:r>
            <w:r w:rsidR="007136C4">
              <w:rPr>
                <w:rFonts w:asciiTheme="minorHAnsi" w:eastAsiaTheme="minorEastAsia" w:hAnsiTheme="minorHAnsi" w:cstheme="minorBidi"/>
                <w:szCs w:val="22"/>
                <w:lang w:eastAsia="en-AU"/>
              </w:rPr>
              <w:tab/>
            </w:r>
            <w:r w:rsidR="007136C4" w:rsidRPr="004F5568">
              <w:rPr>
                <w:rStyle w:val="Hyperlink"/>
              </w:rPr>
              <w:t>PROCEDURES FOR AUTHORISED OFFICERS</w:t>
            </w:r>
            <w:r w:rsidR="007136C4">
              <w:rPr>
                <w:webHidden/>
              </w:rPr>
              <w:tab/>
            </w:r>
            <w:r w:rsidR="007136C4">
              <w:rPr>
                <w:webHidden/>
              </w:rPr>
              <w:fldChar w:fldCharType="begin"/>
            </w:r>
            <w:r w:rsidR="007136C4">
              <w:rPr>
                <w:webHidden/>
              </w:rPr>
              <w:instrText xml:space="preserve"> PAGEREF _Toc150789953 \h </w:instrText>
            </w:r>
            <w:r w:rsidR="007136C4">
              <w:rPr>
                <w:webHidden/>
              </w:rPr>
            </w:r>
            <w:r w:rsidR="007136C4">
              <w:rPr>
                <w:webHidden/>
              </w:rPr>
              <w:fldChar w:fldCharType="separate"/>
            </w:r>
            <w:r w:rsidR="007136C4">
              <w:rPr>
                <w:webHidden/>
              </w:rPr>
              <w:t>19</w:t>
            </w:r>
            <w:r w:rsidR="007136C4">
              <w:rPr>
                <w:webHidden/>
              </w:rPr>
              <w:fldChar w:fldCharType="end"/>
            </w:r>
          </w:hyperlink>
        </w:p>
        <w:p w14:paraId="31923D05" w14:textId="61AAA6CC" w:rsidR="007136C4" w:rsidRDefault="00C80698">
          <w:pPr>
            <w:pStyle w:val="TOC2"/>
            <w:rPr>
              <w:rFonts w:asciiTheme="minorHAnsi" w:eastAsiaTheme="minorEastAsia" w:hAnsiTheme="minorHAnsi" w:cstheme="minorBidi"/>
              <w:noProof/>
              <w:szCs w:val="22"/>
              <w:lang w:eastAsia="en-AU"/>
            </w:rPr>
          </w:pPr>
          <w:hyperlink w:anchor="_Toc150789954" w:history="1">
            <w:r w:rsidR="007136C4" w:rsidRPr="004F5568">
              <w:rPr>
                <w:rStyle w:val="Hyperlink"/>
                <w:rFonts w:eastAsiaTheme="minorHAnsi"/>
                <w:noProof/>
              </w:rPr>
              <w:t>Authorised Officer must advise disclosers and potential disclosers about the PID Act</w:t>
            </w:r>
            <w:r w:rsidR="007136C4">
              <w:rPr>
                <w:noProof/>
                <w:webHidden/>
              </w:rPr>
              <w:tab/>
            </w:r>
            <w:r w:rsidR="007136C4">
              <w:rPr>
                <w:noProof/>
                <w:webHidden/>
              </w:rPr>
              <w:fldChar w:fldCharType="begin"/>
            </w:r>
            <w:r w:rsidR="007136C4">
              <w:rPr>
                <w:noProof/>
                <w:webHidden/>
              </w:rPr>
              <w:instrText xml:space="preserve"> PAGEREF _Toc150789954 \h </w:instrText>
            </w:r>
            <w:r w:rsidR="007136C4">
              <w:rPr>
                <w:noProof/>
                <w:webHidden/>
              </w:rPr>
            </w:r>
            <w:r w:rsidR="007136C4">
              <w:rPr>
                <w:noProof/>
                <w:webHidden/>
              </w:rPr>
              <w:fldChar w:fldCharType="separate"/>
            </w:r>
            <w:r w:rsidR="007136C4">
              <w:rPr>
                <w:noProof/>
                <w:webHidden/>
              </w:rPr>
              <w:t>19</w:t>
            </w:r>
            <w:r w:rsidR="007136C4">
              <w:rPr>
                <w:noProof/>
                <w:webHidden/>
              </w:rPr>
              <w:fldChar w:fldCharType="end"/>
            </w:r>
          </w:hyperlink>
        </w:p>
        <w:p w14:paraId="523BB88A" w14:textId="45E57CF4" w:rsidR="007136C4" w:rsidRDefault="00C80698">
          <w:pPr>
            <w:pStyle w:val="TOC2"/>
            <w:rPr>
              <w:rFonts w:asciiTheme="minorHAnsi" w:eastAsiaTheme="minorEastAsia" w:hAnsiTheme="minorHAnsi" w:cstheme="minorBidi"/>
              <w:noProof/>
              <w:szCs w:val="22"/>
              <w:lang w:eastAsia="en-AU"/>
            </w:rPr>
          </w:pPr>
          <w:hyperlink w:anchor="_Toc150789955" w:history="1">
            <w:r w:rsidR="007136C4" w:rsidRPr="004F5568">
              <w:rPr>
                <w:rStyle w:val="Hyperlink"/>
                <w:rFonts w:eastAsiaTheme="minorHAnsi"/>
                <w:noProof/>
              </w:rPr>
              <w:t>Receipt of disclosure from discloser</w:t>
            </w:r>
            <w:r w:rsidR="007136C4">
              <w:rPr>
                <w:noProof/>
                <w:webHidden/>
              </w:rPr>
              <w:tab/>
            </w:r>
            <w:r w:rsidR="007136C4">
              <w:rPr>
                <w:noProof/>
                <w:webHidden/>
              </w:rPr>
              <w:fldChar w:fldCharType="begin"/>
            </w:r>
            <w:r w:rsidR="007136C4">
              <w:rPr>
                <w:noProof/>
                <w:webHidden/>
              </w:rPr>
              <w:instrText xml:space="preserve"> PAGEREF _Toc150789955 \h </w:instrText>
            </w:r>
            <w:r w:rsidR="007136C4">
              <w:rPr>
                <w:noProof/>
                <w:webHidden/>
              </w:rPr>
            </w:r>
            <w:r w:rsidR="007136C4">
              <w:rPr>
                <w:noProof/>
                <w:webHidden/>
              </w:rPr>
              <w:fldChar w:fldCharType="separate"/>
            </w:r>
            <w:r w:rsidR="007136C4">
              <w:rPr>
                <w:noProof/>
                <w:webHidden/>
              </w:rPr>
              <w:t>20</w:t>
            </w:r>
            <w:r w:rsidR="007136C4">
              <w:rPr>
                <w:noProof/>
                <w:webHidden/>
              </w:rPr>
              <w:fldChar w:fldCharType="end"/>
            </w:r>
          </w:hyperlink>
        </w:p>
        <w:p w14:paraId="58236A29" w14:textId="0DF595B2" w:rsidR="007136C4" w:rsidRDefault="00C80698">
          <w:pPr>
            <w:pStyle w:val="TOC2"/>
            <w:rPr>
              <w:rFonts w:asciiTheme="minorHAnsi" w:eastAsiaTheme="minorEastAsia" w:hAnsiTheme="minorHAnsi" w:cstheme="minorBidi"/>
              <w:noProof/>
              <w:szCs w:val="22"/>
              <w:lang w:eastAsia="en-AU"/>
            </w:rPr>
          </w:pPr>
          <w:hyperlink w:anchor="_Toc150789956" w:history="1">
            <w:r w:rsidR="007136C4" w:rsidRPr="004F5568">
              <w:rPr>
                <w:rStyle w:val="Hyperlink"/>
                <w:rFonts w:eastAsiaTheme="minorHAnsi"/>
                <w:noProof/>
              </w:rPr>
              <w:t>Initial consideration and allocation</w:t>
            </w:r>
            <w:r w:rsidR="007136C4">
              <w:rPr>
                <w:noProof/>
                <w:webHidden/>
              </w:rPr>
              <w:tab/>
            </w:r>
            <w:r w:rsidR="007136C4">
              <w:rPr>
                <w:noProof/>
                <w:webHidden/>
              </w:rPr>
              <w:fldChar w:fldCharType="begin"/>
            </w:r>
            <w:r w:rsidR="007136C4">
              <w:rPr>
                <w:noProof/>
                <w:webHidden/>
              </w:rPr>
              <w:instrText xml:space="preserve"> PAGEREF _Toc150789956 \h </w:instrText>
            </w:r>
            <w:r w:rsidR="007136C4">
              <w:rPr>
                <w:noProof/>
                <w:webHidden/>
              </w:rPr>
            </w:r>
            <w:r w:rsidR="007136C4">
              <w:rPr>
                <w:noProof/>
                <w:webHidden/>
              </w:rPr>
              <w:fldChar w:fldCharType="separate"/>
            </w:r>
            <w:r w:rsidR="007136C4">
              <w:rPr>
                <w:noProof/>
                <w:webHidden/>
              </w:rPr>
              <w:t>20</w:t>
            </w:r>
            <w:r w:rsidR="007136C4">
              <w:rPr>
                <w:noProof/>
                <w:webHidden/>
              </w:rPr>
              <w:fldChar w:fldCharType="end"/>
            </w:r>
          </w:hyperlink>
        </w:p>
        <w:p w14:paraId="61AC938A" w14:textId="5CC2F957" w:rsidR="007136C4" w:rsidRDefault="00C80698">
          <w:pPr>
            <w:pStyle w:val="TOC2"/>
            <w:rPr>
              <w:rFonts w:asciiTheme="minorHAnsi" w:eastAsiaTheme="minorEastAsia" w:hAnsiTheme="minorHAnsi" w:cstheme="minorBidi"/>
              <w:noProof/>
              <w:szCs w:val="22"/>
              <w:lang w:eastAsia="en-AU"/>
            </w:rPr>
          </w:pPr>
          <w:hyperlink w:anchor="_Toc150789957" w:history="1">
            <w:r w:rsidR="007136C4" w:rsidRPr="004F5568">
              <w:rPr>
                <w:rStyle w:val="Hyperlink"/>
                <w:rFonts w:eastAsia="Arial"/>
                <w:noProof/>
              </w:rPr>
              <w:t>Deciding to allocate a disclosure</w:t>
            </w:r>
            <w:r w:rsidR="007136C4">
              <w:rPr>
                <w:noProof/>
                <w:webHidden/>
              </w:rPr>
              <w:tab/>
            </w:r>
            <w:r w:rsidR="007136C4">
              <w:rPr>
                <w:noProof/>
                <w:webHidden/>
              </w:rPr>
              <w:fldChar w:fldCharType="begin"/>
            </w:r>
            <w:r w:rsidR="007136C4">
              <w:rPr>
                <w:noProof/>
                <w:webHidden/>
              </w:rPr>
              <w:instrText xml:space="preserve"> PAGEREF _Toc150789957 \h </w:instrText>
            </w:r>
            <w:r w:rsidR="007136C4">
              <w:rPr>
                <w:noProof/>
                <w:webHidden/>
              </w:rPr>
            </w:r>
            <w:r w:rsidR="007136C4">
              <w:rPr>
                <w:noProof/>
                <w:webHidden/>
              </w:rPr>
              <w:fldChar w:fldCharType="separate"/>
            </w:r>
            <w:r w:rsidR="007136C4">
              <w:rPr>
                <w:noProof/>
                <w:webHidden/>
              </w:rPr>
              <w:t>21</w:t>
            </w:r>
            <w:r w:rsidR="007136C4">
              <w:rPr>
                <w:noProof/>
                <w:webHidden/>
              </w:rPr>
              <w:fldChar w:fldCharType="end"/>
            </w:r>
          </w:hyperlink>
        </w:p>
        <w:p w14:paraId="34A4FD82" w14:textId="1A89135D"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58" w:history="1">
            <w:r w:rsidR="007136C4" w:rsidRPr="004F5568">
              <w:rPr>
                <w:rStyle w:val="Hyperlink"/>
                <w:rFonts w:eastAsia="Arial"/>
                <w:noProof/>
              </w:rPr>
              <w:t>Requesting consent from discloser</w:t>
            </w:r>
            <w:r w:rsidR="007136C4">
              <w:rPr>
                <w:noProof/>
                <w:webHidden/>
              </w:rPr>
              <w:tab/>
            </w:r>
            <w:r w:rsidR="007136C4">
              <w:rPr>
                <w:noProof/>
                <w:webHidden/>
              </w:rPr>
              <w:fldChar w:fldCharType="begin"/>
            </w:r>
            <w:r w:rsidR="007136C4">
              <w:rPr>
                <w:noProof/>
                <w:webHidden/>
              </w:rPr>
              <w:instrText xml:space="preserve"> PAGEREF _Toc150789958 \h </w:instrText>
            </w:r>
            <w:r w:rsidR="007136C4">
              <w:rPr>
                <w:noProof/>
                <w:webHidden/>
              </w:rPr>
            </w:r>
            <w:r w:rsidR="007136C4">
              <w:rPr>
                <w:noProof/>
                <w:webHidden/>
              </w:rPr>
              <w:fldChar w:fldCharType="separate"/>
            </w:r>
            <w:r w:rsidR="007136C4">
              <w:rPr>
                <w:noProof/>
                <w:webHidden/>
              </w:rPr>
              <w:t>22</w:t>
            </w:r>
            <w:r w:rsidR="007136C4">
              <w:rPr>
                <w:noProof/>
                <w:webHidden/>
              </w:rPr>
              <w:fldChar w:fldCharType="end"/>
            </w:r>
          </w:hyperlink>
        </w:p>
        <w:p w14:paraId="389E3F0A" w14:textId="3FD47C4A"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59" w:history="1">
            <w:r w:rsidR="007136C4" w:rsidRPr="004F5568">
              <w:rPr>
                <w:rStyle w:val="Hyperlink"/>
                <w:rFonts w:eastAsia="Arial"/>
                <w:noProof/>
              </w:rPr>
              <w:t>Informing relevant persons of allocation</w:t>
            </w:r>
            <w:r w:rsidR="007136C4">
              <w:rPr>
                <w:noProof/>
                <w:webHidden/>
              </w:rPr>
              <w:tab/>
            </w:r>
            <w:r w:rsidR="007136C4">
              <w:rPr>
                <w:noProof/>
                <w:webHidden/>
              </w:rPr>
              <w:fldChar w:fldCharType="begin"/>
            </w:r>
            <w:r w:rsidR="007136C4">
              <w:rPr>
                <w:noProof/>
                <w:webHidden/>
              </w:rPr>
              <w:instrText xml:space="preserve"> PAGEREF _Toc150789959 \h </w:instrText>
            </w:r>
            <w:r w:rsidR="007136C4">
              <w:rPr>
                <w:noProof/>
                <w:webHidden/>
              </w:rPr>
            </w:r>
            <w:r w:rsidR="007136C4">
              <w:rPr>
                <w:noProof/>
                <w:webHidden/>
              </w:rPr>
              <w:fldChar w:fldCharType="separate"/>
            </w:r>
            <w:r w:rsidR="007136C4">
              <w:rPr>
                <w:noProof/>
                <w:webHidden/>
              </w:rPr>
              <w:t>22</w:t>
            </w:r>
            <w:r w:rsidR="007136C4">
              <w:rPr>
                <w:noProof/>
                <w:webHidden/>
              </w:rPr>
              <w:fldChar w:fldCharType="end"/>
            </w:r>
          </w:hyperlink>
        </w:p>
        <w:p w14:paraId="29E5422B" w14:textId="717FAB10"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60" w:history="1">
            <w:r w:rsidR="007136C4" w:rsidRPr="004F5568">
              <w:rPr>
                <w:rStyle w:val="Hyperlink"/>
                <w:rFonts w:eastAsiaTheme="minorHAnsi"/>
                <w:noProof/>
              </w:rPr>
              <w:t>Record of allocating the handling of a disclosure</w:t>
            </w:r>
            <w:r w:rsidR="007136C4">
              <w:rPr>
                <w:noProof/>
                <w:webHidden/>
              </w:rPr>
              <w:tab/>
            </w:r>
            <w:r w:rsidR="007136C4">
              <w:rPr>
                <w:noProof/>
                <w:webHidden/>
              </w:rPr>
              <w:fldChar w:fldCharType="begin"/>
            </w:r>
            <w:r w:rsidR="007136C4">
              <w:rPr>
                <w:noProof/>
                <w:webHidden/>
              </w:rPr>
              <w:instrText xml:space="preserve"> PAGEREF _Toc150789960 \h </w:instrText>
            </w:r>
            <w:r w:rsidR="007136C4">
              <w:rPr>
                <w:noProof/>
                <w:webHidden/>
              </w:rPr>
            </w:r>
            <w:r w:rsidR="007136C4">
              <w:rPr>
                <w:noProof/>
                <w:webHidden/>
              </w:rPr>
              <w:fldChar w:fldCharType="separate"/>
            </w:r>
            <w:r w:rsidR="007136C4">
              <w:rPr>
                <w:noProof/>
                <w:webHidden/>
              </w:rPr>
              <w:t>22</w:t>
            </w:r>
            <w:r w:rsidR="007136C4">
              <w:rPr>
                <w:noProof/>
                <w:webHidden/>
              </w:rPr>
              <w:fldChar w:fldCharType="end"/>
            </w:r>
          </w:hyperlink>
        </w:p>
        <w:p w14:paraId="5B2835CC" w14:textId="3DE50BBA" w:rsidR="007136C4" w:rsidRDefault="00C80698">
          <w:pPr>
            <w:pStyle w:val="TOC2"/>
            <w:rPr>
              <w:rFonts w:asciiTheme="minorHAnsi" w:eastAsiaTheme="minorEastAsia" w:hAnsiTheme="minorHAnsi" w:cstheme="minorBidi"/>
              <w:noProof/>
              <w:szCs w:val="22"/>
              <w:lang w:eastAsia="en-AU"/>
            </w:rPr>
          </w:pPr>
          <w:hyperlink w:anchor="_Toc150789961" w:history="1">
            <w:r w:rsidR="007136C4" w:rsidRPr="004F5568">
              <w:rPr>
                <w:rStyle w:val="Hyperlink"/>
                <w:rFonts w:eastAsia="Arial"/>
                <w:noProof/>
              </w:rPr>
              <w:t>Reprisal risk assessment</w:t>
            </w:r>
            <w:r w:rsidR="007136C4">
              <w:rPr>
                <w:noProof/>
                <w:webHidden/>
              </w:rPr>
              <w:tab/>
            </w:r>
            <w:r w:rsidR="007136C4">
              <w:rPr>
                <w:noProof/>
                <w:webHidden/>
              </w:rPr>
              <w:fldChar w:fldCharType="begin"/>
            </w:r>
            <w:r w:rsidR="007136C4">
              <w:rPr>
                <w:noProof/>
                <w:webHidden/>
              </w:rPr>
              <w:instrText xml:space="preserve"> PAGEREF _Toc150789961 \h </w:instrText>
            </w:r>
            <w:r w:rsidR="007136C4">
              <w:rPr>
                <w:noProof/>
                <w:webHidden/>
              </w:rPr>
            </w:r>
            <w:r w:rsidR="007136C4">
              <w:rPr>
                <w:noProof/>
                <w:webHidden/>
              </w:rPr>
              <w:fldChar w:fldCharType="separate"/>
            </w:r>
            <w:r w:rsidR="007136C4">
              <w:rPr>
                <w:noProof/>
                <w:webHidden/>
              </w:rPr>
              <w:t>23</w:t>
            </w:r>
            <w:r w:rsidR="007136C4">
              <w:rPr>
                <w:noProof/>
                <w:webHidden/>
              </w:rPr>
              <w:fldChar w:fldCharType="end"/>
            </w:r>
          </w:hyperlink>
        </w:p>
        <w:p w14:paraId="30A4CC92" w14:textId="7A980ADF"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62" w:history="1">
            <w:r w:rsidR="007136C4" w:rsidRPr="004F5568">
              <w:rPr>
                <w:rStyle w:val="Hyperlink"/>
                <w:rFonts w:eastAsiaTheme="minorHAnsi"/>
                <w:noProof/>
              </w:rPr>
              <w:t>Conducting a risk assessment</w:t>
            </w:r>
            <w:r w:rsidR="007136C4">
              <w:rPr>
                <w:noProof/>
                <w:webHidden/>
              </w:rPr>
              <w:tab/>
            </w:r>
            <w:r w:rsidR="007136C4">
              <w:rPr>
                <w:noProof/>
                <w:webHidden/>
              </w:rPr>
              <w:fldChar w:fldCharType="begin"/>
            </w:r>
            <w:r w:rsidR="007136C4">
              <w:rPr>
                <w:noProof/>
                <w:webHidden/>
              </w:rPr>
              <w:instrText xml:space="preserve"> PAGEREF _Toc150789962 \h </w:instrText>
            </w:r>
            <w:r w:rsidR="007136C4">
              <w:rPr>
                <w:noProof/>
                <w:webHidden/>
              </w:rPr>
            </w:r>
            <w:r w:rsidR="007136C4">
              <w:rPr>
                <w:noProof/>
                <w:webHidden/>
              </w:rPr>
              <w:fldChar w:fldCharType="separate"/>
            </w:r>
            <w:r w:rsidR="007136C4">
              <w:rPr>
                <w:noProof/>
                <w:webHidden/>
              </w:rPr>
              <w:t>23</w:t>
            </w:r>
            <w:r w:rsidR="007136C4">
              <w:rPr>
                <w:noProof/>
                <w:webHidden/>
              </w:rPr>
              <w:fldChar w:fldCharType="end"/>
            </w:r>
          </w:hyperlink>
        </w:p>
        <w:p w14:paraId="3D48C160" w14:textId="7BED1BD2"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63" w:history="1">
            <w:r w:rsidR="007136C4" w:rsidRPr="004F5568">
              <w:rPr>
                <w:rStyle w:val="Hyperlink"/>
                <w:rFonts w:eastAsiaTheme="minorHAnsi"/>
                <w:noProof/>
              </w:rPr>
              <w:t>Developing a risk mitigation plan</w:t>
            </w:r>
            <w:r w:rsidR="007136C4">
              <w:rPr>
                <w:noProof/>
                <w:webHidden/>
              </w:rPr>
              <w:tab/>
            </w:r>
            <w:r w:rsidR="007136C4">
              <w:rPr>
                <w:noProof/>
                <w:webHidden/>
              </w:rPr>
              <w:fldChar w:fldCharType="begin"/>
            </w:r>
            <w:r w:rsidR="007136C4">
              <w:rPr>
                <w:noProof/>
                <w:webHidden/>
              </w:rPr>
              <w:instrText xml:space="preserve"> PAGEREF _Toc150789963 \h </w:instrText>
            </w:r>
            <w:r w:rsidR="007136C4">
              <w:rPr>
                <w:noProof/>
                <w:webHidden/>
              </w:rPr>
            </w:r>
            <w:r w:rsidR="007136C4">
              <w:rPr>
                <w:noProof/>
                <w:webHidden/>
              </w:rPr>
              <w:fldChar w:fldCharType="separate"/>
            </w:r>
            <w:r w:rsidR="007136C4">
              <w:rPr>
                <w:noProof/>
                <w:webHidden/>
              </w:rPr>
              <w:t>24</w:t>
            </w:r>
            <w:r w:rsidR="007136C4">
              <w:rPr>
                <w:noProof/>
                <w:webHidden/>
              </w:rPr>
              <w:fldChar w:fldCharType="end"/>
            </w:r>
          </w:hyperlink>
        </w:p>
        <w:p w14:paraId="2B2F4C87" w14:textId="46345A76"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64" w:history="1">
            <w:r w:rsidR="007136C4" w:rsidRPr="004F5568">
              <w:rPr>
                <w:rStyle w:val="Hyperlink"/>
                <w:rFonts w:eastAsiaTheme="minorHAnsi"/>
                <w:noProof/>
              </w:rPr>
              <w:t>Monitoring and reviewing risks</w:t>
            </w:r>
            <w:r w:rsidR="007136C4">
              <w:rPr>
                <w:noProof/>
                <w:webHidden/>
              </w:rPr>
              <w:tab/>
            </w:r>
            <w:r w:rsidR="007136C4">
              <w:rPr>
                <w:noProof/>
                <w:webHidden/>
              </w:rPr>
              <w:fldChar w:fldCharType="begin"/>
            </w:r>
            <w:r w:rsidR="007136C4">
              <w:rPr>
                <w:noProof/>
                <w:webHidden/>
              </w:rPr>
              <w:instrText xml:space="preserve"> PAGEREF _Toc150789964 \h </w:instrText>
            </w:r>
            <w:r w:rsidR="007136C4">
              <w:rPr>
                <w:noProof/>
                <w:webHidden/>
              </w:rPr>
            </w:r>
            <w:r w:rsidR="007136C4">
              <w:rPr>
                <w:noProof/>
                <w:webHidden/>
              </w:rPr>
              <w:fldChar w:fldCharType="separate"/>
            </w:r>
            <w:r w:rsidR="007136C4">
              <w:rPr>
                <w:noProof/>
                <w:webHidden/>
              </w:rPr>
              <w:t>24</w:t>
            </w:r>
            <w:r w:rsidR="007136C4">
              <w:rPr>
                <w:noProof/>
                <w:webHidden/>
              </w:rPr>
              <w:fldChar w:fldCharType="end"/>
            </w:r>
          </w:hyperlink>
        </w:p>
        <w:p w14:paraId="5097A9EA" w14:textId="234E7DDD" w:rsidR="007136C4" w:rsidRDefault="00C80698" w:rsidP="001D1440">
          <w:pPr>
            <w:pStyle w:val="TOC1"/>
            <w:rPr>
              <w:rFonts w:asciiTheme="minorHAnsi" w:eastAsiaTheme="minorEastAsia" w:hAnsiTheme="minorHAnsi" w:cstheme="minorBidi"/>
              <w:szCs w:val="22"/>
              <w:lang w:eastAsia="en-AU"/>
            </w:rPr>
          </w:pPr>
          <w:hyperlink w:anchor="_Toc150789965" w:history="1">
            <w:r w:rsidR="007136C4" w:rsidRPr="004F5568">
              <w:rPr>
                <w:rStyle w:val="Hyperlink"/>
              </w:rPr>
              <w:t>7.</w:t>
            </w:r>
            <w:r w:rsidR="007136C4">
              <w:rPr>
                <w:rFonts w:asciiTheme="minorHAnsi" w:eastAsiaTheme="minorEastAsia" w:hAnsiTheme="minorHAnsi" w:cstheme="minorBidi"/>
                <w:szCs w:val="22"/>
                <w:lang w:eastAsia="en-AU"/>
              </w:rPr>
              <w:tab/>
            </w:r>
            <w:r w:rsidR="007136C4" w:rsidRPr="004F5568">
              <w:rPr>
                <w:rStyle w:val="Hyperlink"/>
              </w:rPr>
              <w:t>PROCEDURES FOR THE PRINCIPAL OFFICER (AND DELEGATES)</w:t>
            </w:r>
            <w:r w:rsidR="007136C4">
              <w:rPr>
                <w:webHidden/>
              </w:rPr>
              <w:tab/>
            </w:r>
            <w:r w:rsidR="007136C4">
              <w:rPr>
                <w:webHidden/>
              </w:rPr>
              <w:fldChar w:fldCharType="begin"/>
            </w:r>
            <w:r w:rsidR="007136C4">
              <w:rPr>
                <w:webHidden/>
              </w:rPr>
              <w:instrText xml:space="preserve"> PAGEREF _Toc150789965 \h </w:instrText>
            </w:r>
            <w:r w:rsidR="007136C4">
              <w:rPr>
                <w:webHidden/>
              </w:rPr>
            </w:r>
            <w:r w:rsidR="007136C4">
              <w:rPr>
                <w:webHidden/>
              </w:rPr>
              <w:fldChar w:fldCharType="separate"/>
            </w:r>
            <w:r w:rsidR="007136C4">
              <w:rPr>
                <w:webHidden/>
              </w:rPr>
              <w:t>25</w:t>
            </w:r>
            <w:r w:rsidR="007136C4">
              <w:rPr>
                <w:webHidden/>
              </w:rPr>
              <w:fldChar w:fldCharType="end"/>
            </w:r>
          </w:hyperlink>
        </w:p>
        <w:p w14:paraId="655E4BCC" w14:textId="0E856950" w:rsidR="007136C4" w:rsidRDefault="00C80698">
          <w:pPr>
            <w:pStyle w:val="TOC2"/>
            <w:rPr>
              <w:rFonts w:asciiTheme="minorHAnsi" w:eastAsiaTheme="minorEastAsia" w:hAnsiTheme="minorHAnsi" w:cstheme="minorBidi"/>
              <w:noProof/>
              <w:szCs w:val="22"/>
              <w:lang w:eastAsia="en-AU"/>
            </w:rPr>
          </w:pPr>
          <w:hyperlink w:anchor="_Toc150789966" w:history="1">
            <w:r w:rsidR="007136C4" w:rsidRPr="004F5568">
              <w:rPr>
                <w:rStyle w:val="Hyperlink"/>
                <w:rFonts w:eastAsia="Arial"/>
                <w:noProof/>
              </w:rPr>
              <w:t>Deciding whether or not to investigate</w:t>
            </w:r>
            <w:r w:rsidR="007136C4">
              <w:rPr>
                <w:noProof/>
                <w:webHidden/>
              </w:rPr>
              <w:tab/>
            </w:r>
            <w:r w:rsidR="007136C4">
              <w:rPr>
                <w:noProof/>
                <w:webHidden/>
              </w:rPr>
              <w:fldChar w:fldCharType="begin"/>
            </w:r>
            <w:r w:rsidR="007136C4">
              <w:rPr>
                <w:noProof/>
                <w:webHidden/>
              </w:rPr>
              <w:instrText xml:space="preserve"> PAGEREF _Toc150789966 \h </w:instrText>
            </w:r>
            <w:r w:rsidR="007136C4">
              <w:rPr>
                <w:noProof/>
                <w:webHidden/>
              </w:rPr>
            </w:r>
            <w:r w:rsidR="007136C4">
              <w:rPr>
                <w:noProof/>
                <w:webHidden/>
              </w:rPr>
              <w:fldChar w:fldCharType="separate"/>
            </w:r>
            <w:r w:rsidR="007136C4">
              <w:rPr>
                <w:noProof/>
                <w:webHidden/>
              </w:rPr>
              <w:t>25</w:t>
            </w:r>
            <w:r w:rsidR="007136C4">
              <w:rPr>
                <w:noProof/>
                <w:webHidden/>
              </w:rPr>
              <w:fldChar w:fldCharType="end"/>
            </w:r>
          </w:hyperlink>
        </w:p>
        <w:p w14:paraId="6D8ED07C" w14:textId="1263C6D1" w:rsidR="007136C4" w:rsidRDefault="00C80698">
          <w:pPr>
            <w:pStyle w:val="TOC2"/>
            <w:rPr>
              <w:rFonts w:asciiTheme="minorHAnsi" w:eastAsiaTheme="minorEastAsia" w:hAnsiTheme="minorHAnsi" w:cstheme="minorBidi"/>
              <w:noProof/>
              <w:szCs w:val="22"/>
              <w:lang w:eastAsia="en-AU"/>
            </w:rPr>
          </w:pPr>
          <w:hyperlink w:anchor="_Toc150789967" w:history="1">
            <w:r w:rsidR="007136C4" w:rsidRPr="004F5568">
              <w:rPr>
                <w:rStyle w:val="Hyperlink"/>
                <w:rFonts w:eastAsia="Arial"/>
                <w:noProof/>
              </w:rPr>
              <w:t>Notifying the discloser and the Ombudsman</w:t>
            </w:r>
            <w:r w:rsidR="007136C4">
              <w:rPr>
                <w:noProof/>
                <w:webHidden/>
              </w:rPr>
              <w:tab/>
            </w:r>
            <w:r w:rsidR="007136C4">
              <w:rPr>
                <w:noProof/>
                <w:webHidden/>
              </w:rPr>
              <w:fldChar w:fldCharType="begin"/>
            </w:r>
            <w:r w:rsidR="007136C4">
              <w:rPr>
                <w:noProof/>
                <w:webHidden/>
              </w:rPr>
              <w:instrText xml:space="preserve"> PAGEREF _Toc150789967 \h </w:instrText>
            </w:r>
            <w:r w:rsidR="007136C4">
              <w:rPr>
                <w:noProof/>
                <w:webHidden/>
              </w:rPr>
            </w:r>
            <w:r w:rsidR="007136C4">
              <w:rPr>
                <w:noProof/>
                <w:webHidden/>
              </w:rPr>
              <w:fldChar w:fldCharType="separate"/>
            </w:r>
            <w:r w:rsidR="007136C4">
              <w:rPr>
                <w:noProof/>
                <w:webHidden/>
              </w:rPr>
              <w:t>26</w:t>
            </w:r>
            <w:r w:rsidR="007136C4">
              <w:rPr>
                <w:noProof/>
                <w:webHidden/>
              </w:rPr>
              <w:fldChar w:fldCharType="end"/>
            </w:r>
          </w:hyperlink>
        </w:p>
        <w:p w14:paraId="1AE11D29" w14:textId="66178FAA"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68" w:history="1">
            <w:r w:rsidR="007136C4" w:rsidRPr="004F5568">
              <w:rPr>
                <w:rStyle w:val="Hyperlink"/>
                <w:rFonts w:eastAsiaTheme="minorHAnsi"/>
                <w:noProof/>
              </w:rPr>
              <w:t>Decision not to investigate</w:t>
            </w:r>
            <w:r w:rsidR="007136C4">
              <w:rPr>
                <w:noProof/>
                <w:webHidden/>
              </w:rPr>
              <w:tab/>
            </w:r>
            <w:r w:rsidR="007136C4">
              <w:rPr>
                <w:noProof/>
                <w:webHidden/>
              </w:rPr>
              <w:fldChar w:fldCharType="begin"/>
            </w:r>
            <w:r w:rsidR="007136C4">
              <w:rPr>
                <w:noProof/>
                <w:webHidden/>
              </w:rPr>
              <w:instrText xml:space="preserve"> PAGEREF _Toc150789968 \h </w:instrText>
            </w:r>
            <w:r w:rsidR="007136C4">
              <w:rPr>
                <w:noProof/>
                <w:webHidden/>
              </w:rPr>
            </w:r>
            <w:r w:rsidR="007136C4">
              <w:rPr>
                <w:noProof/>
                <w:webHidden/>
              </w:rPr>
              <w:fldChar w:fldCharType="separate"/>
            </w:r>
            <w:r w:rsidR="007136C4">
              <w:rPr>
                <w:noProof/>
                <w:webHidden/>
              </w:rPr>
              <w:t>26</w:t>
            </w:r>
            <w:r w:rsidR="007136C4">
              <w:rPr>
                <w:noProof/>
                <w:webHidden/>
              </w:rPr>
              <w:fldChar w:fldCharType="end"/>
            </w:r>
          </w:hyperlink>
        </w:p>
        <w:p w14:paraId="492867F7" w14:textId="464BE695"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69" w:history="1">
            <w:r w:rsidR="007136C4" w:rsidRPr="004F5568">
              <w:rPr>
                <w:rStyle w:val="Hyperlink"/>
                <w:rFonts w:eastAsiaTheme="minorHAnsi"/>
                <w:noProof/>
              </w:rPr>
              <w:t>Where the disclosure is to be investigated</w:t>
            </w:r>
            <w:r w:rsidR="007136C4">
              <w:rPr>
                <w:noProof/>
                <w:webHidden/>
              </w:rPr>
              <w:tab/>
            </w:r>
            <w:r w:rsidR="007136C4">
              <w:rPr>
                <w:noProof/>
                <w:webHidden/>
              </w:rPr>
              <w:fldChar w:fldCharType="begin"/>
            </w:r>
            <w:r w:rsidR="007136C4">
              <w:rPr>
                <w:noProof/>
                <w:webHidden/>
              </w:rPr>
              <w:instrText xml:space="preserve"> PAGEREF _Toc150789969 \h </w:instrText>
            </w:r>
            <w:r w:rsidR="007136C4">
              <w:rPr>
                <w:noProof/>
                <w:webHidden/>
              </w:rPr>
            </w:r>
            <w:r w:rsidR="007136C4">
              <w:rPr>
                <w:noProof/>
                <w:webHidden/>
              </w:rPr>
              <w:fldChar w:fldCharType="separate"/>
            </w:r>
            <w:r w:rsidR="007136C4">
              <w:rPr>
                <w:noProof/>
                <w:webHidden/>
              </w:rPr>
              <w:t>27</w:t>
            </w:r>
            <w:r w:rsidR="007136C4">
              <w:rPr>
                <w:noProof/>
                <w:webHidden/>
              </w:rPr>
              <w:fldChar w:fldCharType="end"/>
            </w:r>
          </w:hyperlink>
        </w:p>
        <w:p w14:paraId="2E293FCE" w14:textId="7A8B383F"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70" w:history="1">
            <w:r w:rsidR="007136C4" w:rsidRPr="004F5568">
              <w:rPr>
                <w:rStyle w:val="Hyperlink"/>
                <w:rFonts w:eastAsiaTheme="minorHAnsi"/>
                <w:noProof/>
              </w:rPr>
              <w:t>Stop action direction from the NACC</w:t>
            </w:r>
            <w:r w:rsidR="007136C4">
              <w:rPr>
                <w:noProof/>
                <w:webHidden/>
              </w:rPr>
              <w:tab/>
            </w:r>
            <w:r w:rsidR="007136C4">
              <w:rPr>
                <w:noProof/>
                <w:webHidden/>
              </w:rPr>
              <w:fldChar w:fldCharType="begin"/>
            </w:r>
            <w:r w:rsidR="007136C4">
              <w:rPr>
                <w:noProof/>
                <w:webHidden/>
              </w:rPr>
              <w:instrText xml:space="preserve"> PAGEREF _Toc150789970 \h </w:instrText>
            </w:r>
            <w:r w:rsidR="007136C4">
              <w:rPr>
                <w:noProof/>
                <w:webHidden/>
              </w:rPr>
            </w:r>
            <w:r w:rsidR="007136C4">
              <w:rPr>
                <w:noProof/>
                <w:webHidden/>
              </w:rPr>
              <w:fldChar w:fldCharType="separate"/>
            </w:r>
            <w:r w:rsidR="007136C4">
              <w:rPr>
                <w:noProof/>
                <w:webHidden/>
              </w:rPr>
              <w:t>27</w:t>
            </w:r>
            <w:r w:rsidR="007136C4">
              <w:rPr>
                <w:noProof/>
                <w:webHidden/>
              </w:rPr>
              <w:fldChar w:fldCharType="end"/>
            </w:r>
          </w:hyperlink>
        </w:p>
        <w:p w14:paraId="7F8189D7" w14:textId="76BA01E9" w:rsidR="007136C4" w:rsidRDefault="00C80698">
          <w:pPr>
            <w:pStyle w:val="TOC2"/>
            <w:rPr>
              <w:rFonts w:asciiTheme="minorHAnsi" w:eastAsiaTheme="minorEastAsia" w:hAnsiTheme="minorHAnsi" w:cstheme="minorBidi"/>
              <w:noProof/>
              <w:szCs w:val="22"/>
              <w:lang w:eastAsia="en-AU"/>
            </w:rPr>
          </w:pPr>
          <w:hyperlink w:anchor="_Toc150789971" w:history="1">
            <w:r w:rsidR="007136C4" w:rsidRPr="004F5568">
              <w:rPr>
                <w:rStyle w:val="Hyperlink"/>
                <w:rFonts w:eastAsia="Arial"/>
                <w:noProof/>
              </w:rPr>
              <w:t>Conducting the investigation</w:t>
            </w:r>
            <w:r w:rsidR="007136C4">
              <w:rPr>
                <w:noProof/>
                <w:webHidden/>
              </w:rPr>
              <w:tab/>
            </w:r>
            <w:r w:rsidR="007136C4">
              <w:rPr>
                <w:noProof/>
                <w:webHidden/>
              </w:rPr>
              <w:fldChar w:fldCharType="begin"/>
            </w:r>
            <w:r w:rsidR="007136C4">
              <w:rPr>
                <w:noProof/>
                <w:webHidden/>
              </w:rPr>
              <w:instrText xml:space="preserve"> PAGEREF _Toc150789971 \h </w:instrText>
            </w:r>
            <w:r w:rsidR="007136C4">
              <w:rPr>
                <w:noProof/>
                <w:webHidden/>
              </w:rPr>
            </w:r>
            <w:r w:rsidR="007136C4">
              <w:rPr>
                <w:noProof/>
                <w:webHidden/>
              </w:rPr>
              <w:fldChar w:fldCharType="separate"/>
            </w:r>
            <w:r w:rsidR="007136C4">
              <w:rPr>
                <w:noProof/>
                <w:webHidden/>
              </w:rPr>
              <w:t>27</w:t>
            </w:r>
            <w:r w:rsidR="007136C4">
              <w:rPr>
                <w:noProof/>
                <w:webHidden/>
              </w:rPr>
              <w:fldChar w:fldCharType="end"/>
            </w:r>
          </w:hyperlink>
        </w:p>
        <w:p w14:paraId="2791EC4D" w14:textId="091BDA48"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72" w:history="1">
            <w:r w:rsidR="007136C4" w:rsidRPr="004F5568">
              <w:rPr>
                <w:rStyle w:val="Hyperlink"/>
                <w:rFonts w:eastAsia="Arial"/>
                <w:noProof/>
              </w:rPr>
              <w:t>Provision of APP 5 Notice to the discloser</w:t>
            </w:r>
            <w:r w:rsidR="007136C4">
              <w:rPr>
                <w:noProof/>
                <w:webHidden/>
              </w:rPr>
              <w:tab/>
            </w:r>
            <w:r w:rsidR="007136C4">
              <w:rPr>
                <w:noProof/>
                <w:webHidden/>
              </w:rPr>
              <w:fldChar w:fldCharType="begin"/>
            </w:r>
            <w:r w:rsidR="007136C4">
              <w:rPr>
                <w:noProof/>
                <w:webHidden/>
              </w:rPr>
              <w:instrText xml:space="preserve"> PAGEREF _Toc150789972 \h </w:instrText>
            </w:r>
            <w:r w:rsidR="007136C4">
              <w:rPr>
                <w:noProof/>
                <w:webHidden/>
              </w:rPr>
            </w:r>
            <w:r w:rsidR="007136C4">
              <w:rPr>
                <w:noProof/>
                <w:webHidden/>
              </w:rPr>
              <w:fldChar w:fldCharType="separate"/>
            </w:r>
            <w:r w:rsidR="007136C4">
              <w:rPr>
                <w:noProof/>
                <w:webHidden/>
              </w:rPr>
              <w:t>28</w:t>
            </w:r>
            <w:r w:rsidR="007136C4">
              <w:rPr>
                <w:noProof/>
                <w:webHidden/>
              </w:rPr>
              <w:fldChar w:fldCharType="end"/>
            </w:r>
          </w:hyperlink>
        </w:p>
        <w:p w14:paraId="24230EBB" w14:textId="5D8A03CF"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73" w:history="1">
            <w:r w:rsidR="007136C4" w:rsidRPr="004F5568">
              <w:rPr>
                <w:rStyle w:val="Hyperlink"/>
                <w:rFonts w:eastAsia="Arial"/>
                <w:noProof/>
              </w:rPr>
              <w:t>General principles</w:t>
            </w:r>
            <w:r w:rsidR="007136C4">
              <w:rPr>
                <w:noProof/>
                <w:webHidden/>
              </w:rPr>
              <w:tab/>
            </w:r>
            <w:r w:rsidR="007136C4">
              <w:rPr>
                <w:noProof/>
                <w:webHidden/>
              </w:rPr>
              <w:fldChar w:fldCharType="begin"/>
            </w:r>
            <w:r w:rsidR="007136C4">
              <w:rPr>
                <w:noProof/>
                <w:webHidden/>
              </w:rPr>
              <w:instrText xml:space="preserve"> PAGEREF _Toc150789973 \h </w:instrText>
            </w:r>
            <w:r w:rsidR="007136C4">
              <w:rPr>
                <w:noProof/>
                <w:webHidden/>
              </w:rPr>
            </w:r>
            <w:r w:rsidR="007136C4">
              <w:rPr>
                <w:noProof/>
                <w:webHidden/>
              </w:rPr>
              <w:fldChar w:fldCharType="separate"/>
            </w:r>
            <w:r w:rsidR="007136C4">
              <w:rPr>
                <w:noProof/>
                <w:webHidden/>
              </w:rPr>
              <w:t>28</w:t>
            </w:r>
            <w:r w:rsidR="007136C4">
              <w:rPr>
                <w:noProof/>
                <w:webHidden/>
              </w:rPr>
              <w:fldChar w:fldCharType="end"/>
            </w:r>
          </w:hyperlink>
        </w:p>
        <w:p w14:paraId="6FF8DDB8" w14:textId="2C3C2971"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74" w:history="1">
            <w:r w:rsidR="007136C4" w:rsidRPr="004F5568">
              <w:rPr>
                <w:rStyle w:val="Hyperlink"/>
                <w:noProof/>
              </w:rPr>
              <w:t>Additional procedures required in particular circumstances</w:t>
            </w:r>
            <w:r w:rsidR="007136C4">
              <w:rPr>
                <w:noProof/>
                <w:webHidden/>
              </w:rPr>
              <w:tab/>
            </w:r>
            <w:r w:rsidR="007136C4">
              <w:rPr>
                <w:noProof/>
                <w:webHidden/>
              </w:rPr>
              <w:fldChar w:fldCharType="begin"/>
            </w:r>
            <w:r w:rsidR="007136C4">
              <w:rPr>
                <w:noProof/>
                <w:webHidden/>
              </w:rPr>
              <w:instrText xml:space="preserve"> PAGEREF _Toc150789974 \h </w:instrText>
            </w:r>
            <w:r w:rsidR="007136C4">
              <w:rPr>
                <w:noProof/>
                <w:webHidden/>
              </w:rPr>
            </w:r>
            <w:r w:rsidR="007136C4">
              <w:rPr>
                <w:noProof/>
                <w:webHidden/>
              </w:rPr>
              <w:fldChar w:fldCharType="separate"/>
            </w:r>
            <w:r w:rsidR="007136C4">
              <w:rPr>
                <w:noProof/>
                <w:webHidden/>
              </w:rPr>
              <w:t>28</w:t>
            </w:r>
            <w:r w:rsidR="007136C4">
              <w:rPr>
                <w:noProof/>
                <w:webHidden/>
              </w:rPr>
              <w:fldChar w:fldCharType="end"/>
            </w:r>
          </w:hyperlink>
        </w:p>
        <w:p w14:paraId="395EC81E" w14:textId="23B2335C"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75" w:history="1">
            <w:r w:rsidR="007136C4" w:rsidRPr="004F5568">
              <w:rPr>
                <w:rStyle w:val="Hyperlink"/>
                <w:rFonts w:eastAsiaTheme="minorHAnsi"/>
                <w:noProof/>
              </w:rPr>
              <w:t>Interviewing witnesses</w:t>
            </w:r>
            <w:r w:rsidR="007136C4">
              <w:rPr>
                <w:noProof/>
                <w:webHidden/>
              </w:rPr>
              <w:tab/>
            </w:r>
            <w:r w:rsidR="007136C4">
              <w:rPr>
                <w:noProof/>
                <w:webHidden/>
              </w:rPr>
              <w:fldChar w:fldCharType="begin"/>
            </w:r>
            <w:r w:rsidR="007136C4">
              <w:rPr>
                <w:noProof/>
                <w:webHidden/>
              </w:rPr>
              <w:instrText xml:space="preserve"> PAGEREF _Toc150789975 \h </w:instrText>
            </w:r>
            <w:r w:rsidR="007136C4">
              <w:rPr>
                <w:noProof/>
                <w:webHidden/>
              </w:rPr>
            </w:r>
            <w:r w:rsidR="007136C4">
              <w:rPr>
                <w:noProof/>
                <w:webHidden/>
              </w:rPr>
              <w:fldChar w:fldCharType="separate"/>
            </w:r>
            <w:r w:rsidR="007136C4">
              <w:rPr>
                <w:noProof/>
                <w:webHidden/>
              </w:rPr>
              <w:t>29</w:t>
            </w:r>
            <w:r w:rsidR="007136C4">
              <w:rPr>
                <w:noProof/>
                <w:webHidden/>
              </w:rPr>
              <w:fldChar w:fldCharType="end"/>
            </w:r>
          </w:hyperlink>
        </w:p>
        <w:p w14:paraId="042FEC83" w14:textId="3C3609C6"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76" w:history="1">
            <w:r w:rsidR="007136C4" w:rsidRPr="004F5568">
              <w:rPr>
                <w:rStyle w:val="Hyperlink"/>
                <w:rFonts w:eastAsia="Arial"/>
                <w:noProof/>
              </w:rPr>
              <w:t>Procedural fairness</w:t>
            </w:r>
            <w:r w:rsidR="007136C4">
              <w:rPr>
                <w:noProof/>
                <w:webHidden/>
              </w:rPr>
              <w:tab/>
            </w:r>
            <w:r w:rsidR="007136C4">
              <w:rPr>
                <w:noProof/>
                <w:webHidden/>
              </w:rPr>
              <w:fldChar w:fldCharType="begin"/>
            </w:r>
            <w:r w:rsidR="007136C4">
              <w:rPr>
                <w:noProof/>
                <w:webHidden/>
              </w:rPr>
              <w:instrText xml:space="preserve"> PAGEREF _Toc150789976 \h </w:instrText>
            </w:r>
            <w:r w:rsidR="007136C4">
              <w:rPr>
                <w:noProof/>
                <w:webHidden/>
              </w:rPr>
            </w:r>
            <w:r w:rsidR="007136C4">
              <w:rPr>
                <w:noProof/>
                <w:webHidden/>
              </w:rPr>
              <w:fldChar w:fldCharType="separate"/>
            </w:r>
            <w:r w:rsidR="007136C4">
              <w:rPr>
                <w:noProof/>
                <w:webHidden/>
              </w:rPr>
              <w:t>29</w:t>
            </w:r>
            <w:r w:rsidR="007136C4">
              <w:rPr>
                <w:noProof/>
                <w:webHidden/>
              </w:rPr>
              <w:fldChar w:fldCharType="end"/>
            </w:r>
          </w:hyperlink>
        </w:p>
        <w:p w14:paraId="3D910740" w14:textId="3A5711FD"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77" w:history="1">
            <w:r w:rsidR="007136C4" w:rsidRPr="004F5568">
              <w:rPr>
                <w:rStyle w:val="Hyperlink"/>
                <w:rFonts w:eastAsia="Arial"/>
                <w:noProof/>
              </w:rPr>
              <w:t>Timeframe for completion of an investigation</w:t>
            </w:r>
            <w:r w:rsidR="007136C4">
              <w:rPr>
                <w:noProof/>
                <w:webHidden/>
              </w:rPr>
              <w:tab/>
            </w:r>
            <w:r w:rsidR="007136C4">
              <w:rPr>
                <w:noProof/>
                <w:webHidden/>
              </w:rPr>
              <w:fldChar w:fldCharType="begin"/>
            </w:r>
            <w:r w:rsidR="007136C4">
              <w:rPr>
                <w:noProof/>
                <w:webHidden/>
              </w:rPr>
              <w:instrText xml:space="preserve"> PAGEREF _Toc150789977 \h </w:instrText>
            </w:r>
            <w:r w:rsidR="007136C4">
              <w:rPr>
                <w:noProof/>
                <w:webHidden/>
              </w:rPr>
            </w:r>
            <w:r w:rsidR="007136C4">
              <w:rPr>
                <w:noProof/>
                <w:webHidden/>
              </w:rPr>
              <w:fldChar w:fldCharType="separate"/>
            </w:r>
            <w:r w:rsidR="007136C4">
              <w:rPr>
                <w:noProof/>
                <w:webHidden/>
              </w:rPr>
              <w:t>29</w:t>
            </w:r>
            <w:r w:rsidR="007136C4">
              <w:rPr>
                <w:noProof/>
                <w:webHidden/>
              </w:rPr>
              <w:fldChar w:fldCharType="end"/>
            </w:r>
          </w:hyperlink>
        </w:p>
        <w:p w14:paraId="7FCFFBC9" w14:textId="1E18FEC1"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78" w:history="1">
            <w:r w:rsidR="007136C4" w:rsidRPr="004F5568">
              <w:rPr>
                <w:rStyle w:val="Hyperlink"/>
                <w:rFonts w:eastAsia="Arial"/>
                <w:noProof/>
              </w:rPr>
              <w:t>Privacy of witnesses</w:t>
            </w:r>
            <w:r w:rsidR="007136C4">
              <w:rPr>
                <w:noProof/>
                <w:webHidden/>
              </w:rPr>
              <w:tab/>
            </w:r>
            <w:r w:rsidR="007136C4">
              <w:rPr>
                <w:noProof/>
                <w:webHidden/>
              </w:rPr>
              <w:fldChar w:fldCharType="begin"/>
            </w:r>
            <w:r w:rsidR="007136C4">
              <w:rPr>
                <w:noProof/>
                <w:webHidden/>
              </w:rPr>
              <w:instrText xml:space="preserve"> PAGEREF _Toc150789978 \h </w:instrText>
            </w:r>
            <w:r w:rsidR="007136C4">
              <w:rPr>
                <w:noProof/>
                <w:webHidden/>
              </w:rPr>
            </w:r>
            <w:r w:rsidR="007136C4">
              <w:rPr>
                <w:noProof/>
                <w:webHidden/>
              </w:rPr>
              <w:fldChar w:fldCharType="separate"/>
            </w:r>
            <w:r w:rsidR="007136C4">
              <w:rPr>
                <w:noProof/>
                <w:webHidden/>
              </w:rPr>
              <w:t>30</w:t>
            </w:r>
            <w:r w:rsidR="007136C4">
              <w:rPr>
                <w:noProof/>
                <w:webHidden/>
              </w:rPr>
              <w:fldChar w:fldCharType="end"/>
            </w:r>
          </w:hyperlink>
        </w:p>
        <w:p w14:paraId="68FB508B" w14:textId="33E3A61B"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79" w:history="1">
            <w:r w:rsidR="007136C4" w:rsidRPr="004F5568">
              <w:rPr>
                <w:rStyle w:val="Hyperlink"/>
                <w:rFonts w:eastAsia="Arial"/>
                <w:noProof/>
              </w:rPr>
              <w:t>Accuracy of personal information</w:t>
            </w:r>
            <w:r w:rsidR="007136C4">
              <w:rPr>
                <w:noProof/>
                <w:webHidden/>
              </w:rPr>
              <w:tab/>
            </w:r>
            <w:r w:rsidR="007136C4">
              <w:rPr>
                <w:noProof/>
                <w:webHidden/>
              </w:rPr>
              <w:fldChar w:fldCharType="begin"/>
            </w:r>
            <w:r w:rsidR="007136C4">
              <w:rPr>
                <w:noProof/>
                <w:webHidden/>
              </w:rPr>
              <w:instrText xml:space="preserve"> PAGEREF _Toc150789979 \h </w:instrText>
            </w:r>
            <w:r w:rsidR="007136C4">
              <w:rPr>
                <w:noProof/>
                <w:webHidden/>
              </w:rPr>
            </w:r>
            <w:r w:rsidR="007136C4">
              <w:rPr>
                <w:noProof/>
                <w:webHidden/>
              </w:rPr>
              <w:fldChar w:fldCharType="separate"/>
            </w:r>
            <w:r w:rsidR="007136C4">
              <w:rPr>
                <w:noProof/>
                <w:webHidden/>
              </w:rPr>
              <w:t>30</w:t>
            </w:r>
            <w:r w:rsidR="007136C4">
              <w:rPr>
                <w:noProof/>
                <w:webHidden/>
              </w:rPr>
              <w:fldChar w:fldCharType="end"/>
            </w:r>
          </w:hyperlink>
        </w:p>
        <w:p w14:paraId="0C4DCE86" w14:textId="7F89306E" w:rsidR="007136C4" w:rsidRDefault="00C80698">
          <w:pPr>
            <w:pStyle w:val="TOC3"/>
            <w:tabs>
              <w:tab w:val="right" w:leader="dot" w:pos="9060"/>
            </w:tabs>
            <w:rPr>
              <w:rFonts w:asciiTheme="minorHAnsi" w:eastAsiaTheme="minorEastAsia" w:hAnsiTheme="minorHAnsi" w:cstheme="minorBidi"/>
              <w:noProof/>
              <w:szCs w:val="22"/>
              <w:lang w:eastAsia="en-AU"/>
            </w:rPr>
          </w:pPr>
          <w:hyperlink w:anchor="_Toc150789980" w:history="1">
            <w:r w:rsidR="007136C4" w:rsidRPr="004F5568">
              <w:rPr>
                <w:rStyle w:val="Hyperlink"/>
                <w:rFonts w:eastAsia="Arial"/>
                <w:noProof/>
              </w:rPr>
              <w:t>Correction of personal information</w:t>
            </w:r>
            <w:r w:rsidR="007136C4">
              <w:rPr>
                <w:noProof/>
                <w:webHidden/>
              </w:rPr>
              <w:tab/>
            </w:r>
            <w:r w:rsidR="007136C4">
              <w:rPr>
                <w:noProof/>
                <w:webHidden/>
              </w:rPr>
              <w:fldChar w:fldCharType="begin"/>
            </w:r>
            <w:r w:rsidR="007136C4">
              <w:rPr>
                <w:noProof/>
                <w:webHidden/>
              </w:rPr>
              <w:instrText xml:space="preserve"> PAGEREF _Toc150789980 \h </w:instrText>
            </w:r>
            <w:r w:rsidR="007136C4">
              <w:rPr>
                <w:noProof/>
                <w:webHidden/>
              </w:rPr>
            </w:r>
            <w:r w:rsidR="007136C4">
              <w:rPr>
                <w:noProof/>
                <w:webHidden/>
              </w:rPr>
              <w:fldChar w:fldCharType="separate"/>
            </w:r>
            <w:r w:rsidR="007136C4">
              <w:rPr>
                <w:noProof/>
                <w:webHidden/>
              </w:rPr>
              <w:t>30</w:t>
            </w:r>
            <w:r w:rsidR="007136C4">
              <w:rPr>
                <w:noProof/>
                <w:webHidden/>
              </w:rPr>
              <w:fldChar w:fldCharType="end"/>
            </w:r>
          </w:hyperlink>
        </w:p>
        <w:p w14:paraId="1FF89EFB" w14:textId="5290BFD7" w:rsidR="007136C4" w:rsidRDefault="00C80698">
          <w:pPr>
            <w:pStyle w:val="TOC2"/>
            <w:rPr>
              <w:rFonts w:asciiTheme="minorHAnsi" w:eastAsiaTheme="minorEastAsia" w:hAnsiTheme="minorHAnsi" w:cstheme="minorBidi"/>
              <w:noProof/>
              <w:szCs w:val="22"/>
              <w:lang w:eastAsia="en-AU"/>
            </w:rPr>
          </w:pPr>
          <w:hyperlink w:anchor="_Toc150789981" w:history="1">
            <w:r w:rsidR="007136C4" w:rsidRPr="004F5568">
              <w:rPr>
                <w:rStyle w:val="Hyperlink"/>
                <w:rFonts w:eastAsia="Arial"/>
                <w:noProof/>
              </w:rPr>
              <w:t>Report of investigation</w:t>
            </w:r>
            <w:r w:rsidR="007136C4">
              <w:rPr>
                <w:noProof/>
                <w:webHidden/>
              </w:rPr>
              <w:tab/>
            </w:r>
            <w:r w:rsidR="007136C4">
              <w:rPr>
                <w:noProof/>
                <w:webHidden/>
              </w:rPr>
              <w:fldChar w:fldCharType="begin"/>
            </w:r>
            <w:r w:rsidR="007136C4">
              <w:rPr>
                <w:noProof/>
                <w:webHidden/>
              </w:rPr>
              <w:instrText xml:space="preserve"> PAGEREF _Toc150789981 \h </w:instrText>
            </w:r>
            <w:r w:rsidR="007136C4">
              <w:rPr>
                <w:noProof/>
                <w:webHidden/>
              </w:rPr>
            </w:r>
            <w:r w:rsidR="007136C4">
              <w:rPr>
                <w:noProof/>
                <w:webHidden/>
              </w:rPr>
              <w:fldChar w:fldCharType="separate"/>
            </w:r>
            <w:r w:rsidR="007136C4">
              <w:rPr>
                <w:noProof/>
                <w:webHidden/>
              </w:rPr>
              <w:t>31</w:t>
            </w:r>
            <w:r w:rsidR="007136C4">
              <w:rPr>
                <w:noProof/>
                <w:webHidden/>
              </w:rPr>
              <w:fldChar w:fldCharType="end"/>
            </w:r>
          </w:hyperlink>
        </w:p>
        <w:p w14:paraId="1FF7D4C8" w14:textId="05E9307A" w:rsidR="007136C4" w:rsidRDefault="00C80698" w:rsidP="001D1440">
          <w:pPr>
            <w:pStyle w:val="TOC1"/>
            <w:rPr>
              <w:rFonts w:asciiTheme="minorHAnsi" w:eastAsiaTheme="minorEastAsia" w:hAnsiTheme="minorHAnsi" w:cstheme="minorBidi"/>
              <w:szCs w:val="22"/>
              <w:lang w:eastAsia="en-AU"/>
            </w:rPr>
          </w:pPr>
          <w:hyperlink w:anchor="_Toc150789982" w:history="1">
            <w:r w:rsidR="007136C4" w:rsidRPr="004F5568">
              <w:rPr>
                <w:rStyle w:val="Hyperlink"/>
              </w:rPr>
              <w:t>8.</w:t>
            </w:r>
            <w:r w:rsidR="007136C4">
              <w:rPr>
                <w:rFonts w:asciiTheme="minorHAnsi" w:eastAsiaTheme="minorEastAsia" w:hAnsiTheme="minorHAnsi" w:cstheme="minorBidi"/>
                <w:szCs w:val="22"/>
                <w:lang w:eastAsia="en-AU"/>
              </w:rPr>
              <w:tab/>
            </w:r>
            <w:r w:rsidR="007136C4" w:rsidRPr="004F5568">
              <w:rPr>
                <w:rStyle w:val="Hyperlink"/>
              </w:rPr>
              <w:t>RECORDS MANAGEMENT, MONITORING AND EVALUATION</w:t>
            </w:r>
            <w:r w:rsidR="007136C4">
              <w:rPr>
                <w:webHidden/>
              </w:rPr>
              <w:tab/>
            </w:r>
            <w:r w:rsidR="007136C4">
              <w:rPr>
                <w:webHidden/>
              </w:rPr>
              <w:fldChar w:fldCharType="begin"/>
            </w:r>
            <w:r w:rsidR="007136C4">
              <w:rPr>
                <w:webHidden/>
              </w:rPr>
              <w:instrText xml:space="preserve"> PAGEREF _Toc150789982 \h </w:instrText>
            </w:r>
            <w:r w:rsidR="007136C4">
              <w:rPr>
                <w:webHidden/>
              </w:rPr>
            </w:r>
            <w:r w:rsidR="007136C4">
              <w:rPr>
                <w:webHidden/>
              </w:rPr>
              <w:fldChar w:fldCharType="separate"/>
            </w:r>
            <w:r w:rsidR="007136C4">
              <w:rPr>
                <w:webHidden/>
              </w:rPr>
              <w:t>33</w:t>
            </w:r>
            <w:r w:rsidR="007136C4">
              <w:rPr>
                <w:webHidden/>
              </w:rPr>
              <w:fldChar w:fldCharType="end"/>
            </w:r>
          </w:hyperlink>
        </w:p>
        <w:p w14:paraId="01AACF15" w14:textId="2FBA3CF6" w:rsidR="007136C4" w:rsidRDefault="00C80698">
          <w:pPr>
            <w:pStyle w:val="TOC2"/>
            <w:rPr>
              <w:rFonts w:asciiTheme="minorHAnsi" w:eastAsiaTheme="minorEastAsia" w:hAnsiTheme="minorHAnsi" w:cstheme="minorBidi"/>
              <w:noProof/>
              <w:szCs w:val="22"/>
              <w:lang w:eastAsia="en-AU"/>
            </w:rPr>
          </w:pPr>
          <w:hyperlink w:anchor="_Toc150789983" w:history="1">
            <w:r w:rsidR="007136C4" w:rsidRPr="004F5568">
              <w:rPr>
                <w:rStyle w:val="Hyperlink"/>
                <w:rFonts w:eastAsia="Arial"/>
                <w:noProof/>
              </w:rPr>
              <w:t>Records management</w:t>
            </w:r>
            <w:r w:rsidR="007136C4">
              <w:rPr>
                <w:noProof/>
                <w:webHidden/>
              </w:rPr>
              <w:tab/>
            </w:r>
            <w:r w:rsidR="007136C4">
              <w:rPr>
                <w:noProof/>
                <w:webHidden/>
              </w:rPr>
              <w:fldChar w:fldCharType="begin"/>
            </w:r>
            <w:r w:rsidR="007136C4">
              <w:rPr>
                <w:noProof/>
                <w:webHidden/>
              </w:rPr>
              <w:instrText xml:space="preserve"> PAGEREF _Toc150789983 \h </w:instrText>
            </w:r>
            <w:r w:rsidR="007136C4">
              <w:rPr>
                <w:noProof/>
                <w:webHidden/>
              </w:rPr>
            </w:r>
            <w:r w:rsidR="007136C4">
              <w:rPr>
                <w:noProof/>
                <w:webHidden/>
              </w:rPr>
              <w:fldChar w:fldCharType="separate"/>
            </w:r>
            <w:r w:rsidR="007136C4">
              <w:rPr>
                <w:noProof/>
                <w:webHidden/>
              </w:rPr>
              <w:t>33</w:t>
            </w:r>
            <w:r w:rsidR="007136C4">
              <w:rPr>
                <w:noProof/>
                <w:webHidden/>
              </w:rPr>
              <w:fldChar w:fldCharType="end"/>
            </w:r>
          </w:hyperlink>
        </w:p>
        <w:p w14:paraId="10D7049D" w14:textId="38475A0D" w:rsidR="007136C4" w:rsidRDefault="00C80698">
          <w:pPr>
            <w:pStyle w:val="TOC2"/>
            <w:rPr>
              <w:rFonts w:asciiTheme="minorHAnsi" w:eastAsiaTheme="minorEastAsia" w:hAnsiTheme="minorHAnsi" w:cstheme="minorBidi"/>
              <w:noProof/>
              <w:szCs w:val="22"/>
              <w:lang w:eastAsia="en-AU"/>
            </w:rPr>
          </w:pPr>
          <w:hyperlink w:anchor="_Toc150789984" w:history="1">
            <w:r w:rsidR="007136C4" w:rsidRPr="004F5568">
              <w:rPr>
                <w:rStyle w:val="Hyperlink"/>
                <w:noProof/>
              </w:rPr>
              <w:t>Monitoring and Evaluation</w:t>
            </w:r>
            <w:r w:rsidR="007136C4">
              <w:rPr>
                <w:noProof/>
                <w:webHidden/>
              </w:rPr>
              <w:tab/>
            </w:r>
            <w:r w:rsidR="007136C4">
              <w:rPr>
                <w:noProof/>
                <w:webHidden/>
              </w:rPr>
              <w:fldChar w:fldCharType="begin"/>
            </w:r>
            <w:r w:rsidR="007136C4">
              <w:rPr>
                <w:noProof/>
                <w:webHidden/>
              </w:rPr>
              <w:instrText xml:space="preserve"> PAGEREF _Toc150789984 \h </w:instrText>
            </w:r>
            <w:r w:rsidR="007136C4">
              <w:rPr>
                <w:noProof/>
                <w:webHidden/>
              </w:rPr>
            </w:r>
            <w:r w:rsidR="007136C4">
              <w:rPr>
                <w:noProof/>
                <w:webHidden/>
              </w:rPr>
              <w:fldChar w:fldCharType="separate"/>
            </w:r>
            <w:r w:rsidR="007136C4">
              <w:rPr>
                <w:noProof/>
                <w:webHidden/>
              </w:rPr>
              <w:t>33</w:t>
            </w:r>
            <w:r w:rsidR="007136C4">
              <w:rPr>
                <w:noProof/>
                <w:webHidden/>
              </w:rPr>
              <w:fldChar w:fldCharType="end"/>
            </w:r>
          </w:hyperlink>
        </w:p>
        <w:p w14:paraId="23D8C66B" w14:textId="4F7C64B2" w:rsidR="007136C4" w:rsidRDefault="00C80698">
          <w:pPr>
            <w:pStyle w:val="TOC2"/>
            <w:rPr>
              <w:rFonts w:asciiTheme="minorHAnsi" w:eastAsiaTheme="minorEastAsia" w:hAnsiTheme="minorHAnsi" w:cstheme="minorBidi"/>
              <w:noProof/>
              <w:szCs w:val="22"/>
              <w:lang w:eastAsia="en-AU"/>
            </w:rPr>
          </w:pPr>
          <w:hyperlink w:anchor="_Toc150789985" w:history="1">
            <w:r w:rsidR="007136C4" w:rsidRPr="004F5568">
              <w:rPr>
                <w:rStyle w:val="Hyperlink"/>
                <w:rFonts w:eastAsia="Arial"/>
                <w:noProof/>
              </w:rPr>
              <w:t>Information and assistance to the Ombudsman</w:t>
            </w:r>
            <w:r w:rsidR="007136C4">
              <w:rPr>
                <w:noProof/>
                <w:webHidden/>
              </w:rPr>
              <w:tab/>
            </w:r>
            <w:r w:rsidR="007136C4">
              <w:rPr>
                <w:noProof/>
                <w:webHidden/>
              </w:rPr>
              <w:fldChar w:fldCharType="begin"/>
            </w:r>
            <w:r w:rsidR="007136C4">
              <w:rPr>
                <w:noProof/>
                <w:webHidden/>
              </w:rPr>
              <w:instrText xml:space="preserve"> PAGEREF _Toc150789985 \h </w:instrText>
            </w:r>
            <w:r w:rsidR="007136C4">
              <w:rPr>
                <w:noProof/>
                <w:webHidden/>
              </w:rPr>
            </w:r>
            <w:r w:rsidR="007136C4">
              <w:rPr>
                <w:noProof/>
                <w:webHidden/>
              </w:rPr>
              <w:fldChar w:fldCharType="separate"/>
            </w:r>
            <w:r w:rsidR="007136C4">
              <w:rPr>
                <w:noProof/>
                <w:webHidden/>
              </w:rPr>
              <w:t>34</w:t>
            </w:r>
            <w:r w:rsidR="007136C4">
              <w:rPr>
                <w:noProof/>
                <w:webHidden/>
              </w:rPr>
              <w:fldChar w:fldCharType="end"/>
            </w:r>
          </w:hyperlink>
        </w:p>
        <w:p w14:paraId="4E40B702" w14:textId="6E5397F2" w:rsidR="007136C4" w:rsidRDefault="00C80698">
          <w:pPr>
            <w:pStyle w:val="TOC2"/>
            <w:rPr>
              <w:rFonts w:asciiTheme="minorHAnsi" w:eastAsiaTheme="minorEastAsia" w:hAnsiTheme="minorHAnsi" w:cstheme="minorBidi"/>
              <w:noProof/>
              <w:szCs w:val="22"/>
              <w:lang w:eastAsia="en-AU"/>
            </w:rPr>
          </w:pPr>
          <w:hyperlink w:anchor="_Toc150789986" w:history="1">
            <w:r w:rsidR="007136C4" w:rsidRPr="004F5568">
              <w:rPr>
                <w:rStyle w:val="Hyperlink"/>
                <w:noProof/>
                <w:lang w:val="en-US"/>
              </w:rPr>
              <w:t>Key Legislation and Policy</w:t>
            </w:r>
            <w:r w:rsidR="007136C4">
              <w:rPr>
                <w:noProof/>
                <w:webHidden/>
              </w:rPr>
              <w:tab/>
            </w:r>
            <w:r w:rsidR="007136C4">
              <w:rPr>
                <w:noProof/>
                <w:webHidden/>
              </w:rPr>
              <w:fldChar w:fldCharType="begin"/>
            </w:r>
            <w:r w:rsidR="007136C4">
              <w:rPr>
                <w:noProof/>
                <w:webHidden/>
              </w:rPr>
              <w:instrText xml:space="preserve"> PAGEREF _Toc150789986 \h </w:instrText>
            </w:r>
            <w:r w:rsidR="007136C4">
              <w:rPr>
                <w:noProof/>
                <w:webHidden/>
              </w:rPr>
            </w:r>
            <w:r w:rsidR="007136C4">
              <w:rPr>
                <w:noProof/>
                <w:webHidden/>
              </w:rPr>
              <w:fldChar w:fldCharType="separate"/>
            </w:r>
            <w:r w:rsidR="007136C4">
              <w:rPr>
                <w:noProof/>
                <w:webHidden/>
              </w:rPr>
              <w:t>35</w:t>
            </w:r>
            <w:r w:rsidR="007136C4">
              <w:rPr>
                <w:noProof/>
                <w:webHidden/>
              </w:rPr>
              <w:fldChar w:fldCharType="end"/>
            </w:r>
          </w:hyperlink>
        </w:p>
        <w:p w14:paraId="23B9B426" w14:textId="5A526E05" w:rsidR="007136C4" w:rsidRDefault="00C80698">
          <w:pPr>
            <w:pStyle w:val="TOC2"/>
            <w:rPr>
              <w:rFonts w:asciiTheme="minorHAnsi" w:eastAsiaTheme="minorEastAsia" w:hAnsiTheme="minorHAnsi" w:cstheme="minorBidi"/>
              <w:noProof/>
              <w:szCs w:val="22"/>
              <w:lang w:eastAsia="en-AU"/>
            </w:rPr>
          </w:pPr>
          <w:hyperlink w:anchor="_Toc150789987" w:history="1">
            <w:r w:rsidR="007136C4" w:rsidRPr="004F5568">
              <w:rPr>
                <w:rStyle w:val="Hyperlink"/>
                <w:noProof/>
                <w:lang w:val="en-US"/>
              </w:rPr>
              <w:t>PID Management Unit</w:t>
            </w:r>
            <w:r w:rsidR="007136C4">
              <w:rPr>
                <w:noProof/>
                <w:webHidden/>
              </w:rPr>
              <w:tab/>
            </w:r>
            <w:r w:rsidR="007136C4">
              <w:rPr>
                <w:noProof/>
                <w:webHidden/>
              </w:rPr>
              <w:fldChar w:fldCharType="begin"/>
            </w:r>
            <w:r w:rsidR="007136C4">
              <w:rPr>
                <w:noProof/>
                <w:webHidden/>
              </w:rPr>
              <w:instrText xml:space="preserve"> PAGEREF _Toc150789987 \h </w:instrText>
            </w:r>
            <w:r w:rsidR="007136C4">
              <w:rPr>
                <w:noProof/>
                <w:webHidden/>
              </w:rPr>
            </w:r>
            <w:r w:rsidR="007136C4">
              <w:rPr>
                <w:noProof/>
                <w:webHidden/>
              </w:rPr>
              <w:fldChar w:fldCharType="separate"/>
            </w:r>
            <w:r w:rsidR="007136C4">
              <w:rPr>
                <w:noProof/>
                <w:webHidden/>
              </w:rPr>
              <w:t>36</w:t>
            </w:r>
            <w:r w:rsidR="007136C4">
              <w:rPr>
                <w:noProof/>
                <w:webHidden/>
              </w:rPr>
              <w:fldChar w:fldCharType="end"/>
            </w:r>
          </w:hyperlink>
        </w:p>
        <w:p w14:paraId="2640E947" w14:textId="656E7F73" w:rsidR="007136C4" w:rsidRDefault="007136C4" w:rsidP="001D1440">
          <w:pPr>
            <w:pStyle w:val="TOC1"/>
            <w:rPr>
              <w:rFonts w:asciiTheme="minorHAnsi" w:eastAsiaTheme="minorEastAsia" w:hAnsiTheme="minorHAnsi" w:cstheme="minorBidi"/>
              <w:szCs w:val="22"/>
              <w:lang w:eastAsia="en-AU"/>
            </w:rPr>
          </w:pPr>
          <w:r w:rsidRPr="001D1440">
            <w:rPr>
              <w:lang w:val="en-US"/>
            </w:rPr>
            <w:t>Annex A – Secrecy Provisions</w:t>
          </w:r>
          <w:r>
            <w:rPr>
              <w:webHidden/>
            </w:rPr>
            <w:tab/>
          </w:r>
          <w:r>
            <w:rPr>
              <w:webHidden/>
            </w:rPr>
            <w:fldChar w:fldCharType="begin"/>
          </w:r>
          <w:r>
            <w:rPr>
              <w:webHidden/>
            </w:rPr>
            <w:instrText xml:space="preserve"> PAGEREF _Toc150789988 \h </w:instrText>
          </w:r>
          <w:r>
            <w:rPr>
              <w:webHidden/>
            </w:rPr>
          </w:r>
          <w:r>
            <w:rPr>
              <w:webHidden/>
            </w:rPr>
            <w:fldChar w:fldCharType="separate"/>
          </w:r>
          <w:r>
            <w:rPr>
              <w:webHidden/>
            </w:rPr>
            <w:t>1</w:t>
          </w:r>
          <w:r>
            <w:rPr>
              <w:webHidden/>
            </w:rPr>
            <w:fldChar w:fldCharType="end"/>
          </w:r>
          <w:r w:rsidR="001D1440">
            <w:t xml:space="preserve"> </w:t>
          </w:r>
        </w:p>
        <w:p w14:paraId="4FCAC00B" w14:textId="2342099C" w:rsidR="00CF14A6" w:rsidRPr="00713025" w:rsidRDefault="00456458" w:rsidP="00B72D86">
          <w:pPr>
            <w:sectPr w:rsidR="00CF14A6" w:rsidRPr="00713025" w:rsidSect="003F4892">
              <w:headerReference w:type="even" r:id="rId12"/>
              <w:headerReference w:type="default" r:id="rId13"/>
              <w:pgSz w:w="11906" w:h="16838"/>
              <w:pgMar w:top="1701" w:right="1418" w:bottom="1418" w:left="1418" w:header="709" w:footer="709" w:gutter="0"/>
              <w:pgNumType w:fmt="lowerRoman" w:start="1"/>
              <w:cols w:space="708"/>
              <w:docGrid w:linePitch="360"/>
            </w:sectPr>
          </w:pPr>
          <w:r w:rsidRPr="00713025">
            <w:fldChar w:fldCharType="end"/>
          </w:r>
        </w:p>
      </w:sdtContent>
    </w:sdt>
    <w:p w14:paraId="2C8C7723" w14:textId="1787950D" w:rsidR="00F02482" w:rsidRPr="00713025" w:rsidRDefault="00A212D0" w:rsidP="00385B04">
      <w:pPr>
        <w:pStyle w:val="Heading1"/>
        <w:numPr>
          <w:ilvl w:val="0"/>
          <w:numId w:val="36"/>
        </w:numPr>
        <w:ind w:left="567" w:hanging="567"/>
      </w:pPr>
      <w:bookmarkStart w:id="0" w:name="_Toc49525258"/>
      <w:bookmarkStart w:id="1" w:name="_Toc150789920"/>
      <w:r w:rsidRPr="00713025">
        <w:rPr>
          <w:rFonts w:eastAsia="Arial"/>
          <w:iCs/>
          <w:noProof/>
          <w:lang w:eastAsia="en-AU"/>
        </w:rPr>
        <w:lastRenderedPageBreak/>
        <w:drawing>
          <wp:anchor distT="0" distB="0" distL="114300" distR="114300" simplePos="0" relativeHeight="251658240" behindDoc="1" locked="0" layoutInCell="1" allowOverlap="1" wp14:anchorId="1907E0BE" wp14:editId="704D186E">
            <wp:simplePos x="0" y="0"/>
            <wp:positionH relativeFrom="column">
              <wp:posOffset>0</wp:posOffset>
            </wp:positionH>
            <wp:positionV relativeFrom="paragraph">
              <wp:posOffset>471170</wp:posOffset>
            </wp:positionV>
            <wp:extent cx="6426835" cy="126365"/>
            <wp:effectExtent l="0" t="0" r="0" b="6985"/>
            <wp:wrapTight wrapText="bothSides">
              <wp:wrapPolygon edited="0">
                <wp:start x="0" y="0"/>
                <wp:lineTo x="0" y="19538"/>
                <wp:lineTo x="21512" y="19538"/>
                <wp:lineTo x="21512" y="0"/>
                <wp:lineTo x="0" y="0"/>
              </wp:wrapPolygon>
            </wp:wrapTight>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2482" w:rsidRPr="00713025">
        <w:t>INTRODUCTION</w:t>
      </w:r>
      <w:bookmarkEnd w:id="0"/>
      <w:bookmarkEnd w:id="1"/>
    </w:p>
    <w:p w14:paraId="135E6ED1" w14:textId="5A78D850" w:rsidR="00F02482" w:rsidRPr="00713025" w:rsidRDefault="00F02482" w:rsidP="009A7552">
      <w:pPr>
        <w:pStyle w:val="Heading2"/>
        <w:rPr>
          <w:rFonts w:eastAsia="Arial"/>
        </w:rPr>
      </w:pPr>
      <w:bookmarkStart w:id="2" w:name="_Toc49525259"/>
      <w:bookmarkStart w:id="3" w:name="_Toc150789921"/>
      <w:r w:rsidRPr="00713025">
        <w:rPr>
          <w:rFonts w:eastAsia="Arial"/>
        </w:rPr>
        <w:t>Purpose</w:t>
      </w:r>
      <w:bookmarkEnd w:id="2"/>
      <w:bookmarkEnd w:id="3"/>
    </w:p>
    <w:p w14:paraId="04FE0462" w14:textId="3CCD0659" w:rsidR="00F02482" w:rsidRPr="00713025" w:rsidRDefault="00F02482" w:rsidP="00C848B0">
      <w:pPr>
        <w:pStyle w:val="Numberedlist"/>
        <w:numPr>
          <w:ilvl w:val="1"/>
          <w:numId w:val="11"/>
        </w:numPr>
      </w:pPr>
      <w:r w:rsidRPr="00713025">
        <w:t xml:space="preserve">The </w:t>
      </w:r>
      <w:r w:rsidRPr="00713025">
        <w:rPr>
          <w:rStyle w:val="Emphasis"/>
        </w:rPr>
        <w:t>Public Interest Disclosure Act 2013</w:t>
      </w:r>
      <w:r w:rsidR="009F3E27" w:rsidRPr="00713025">
        <w:rPr>
          <w:rStyle w:val="Emphasis"/>
        </w:rPr>
        <w:t xml:space="preserve"> </w:t>
      </w:r>
      <w:r w:rsidR="009F3E27" w:rsidRPr="00713025">
        <w:rPr>
          <w:rStyle w:val="Emphasis"/>
          <w:i w:val="0"/>
          <w:iCs w:val="0"/>
        </w:rPr>
        <w:t>(Cth)</w:t>
      </w:r>
      <w:r w:rsidRPr="00713025">
        <w:rPr>
          <w:i/>
          <w:iCs/>
        </w:rPr>
        <w:t xml:space="preserve"> </w:t>
      </w:r>
      <w:r w:rsidRPr="00713025">
        <w:t>(</w:t>
      </w:r>
      <w:r w:rsidR="008D01DC" w:rsidRPr="00713025">
        <w:rPr>
          <w:b/>
          <w:bCs/>
        </w:rPr>
        <w:t>PID</w:t>
      </w:r>
      <w:r w:rsidRPr="00713025">
        <w:rPr>
          <w:b/>
          <w:bCs/>
        </w:rPr>
        <w:t xml:space="preserve"> Act</w:t>
      </w:r>
      <w:r w:rsidR="004D02B2" w:rsidRPr="00713025">
        <w:t>)</w:t>
      </w:r>
      <w:r w:rsidRPr="00713025">
        <w:t xml:space="preserve"> promotes integrity and accountability in the Australian public sector by encouraging the disclosure of information about suspected wrongdoing, protecting people who make disclosures and requiring agencies to </w:t>
      </w:r>
      <w:proofErr w:type="gramStart"/>
      <w:r w:rsidRPr="00713025">
        <w:t>take action</w:t>
      </w:r>
      <w:proofErr w:type="gramEnd"/>
      <w:r w:rsidRPr="00713025">
        <w:t xml:space="preserve"> in relation to public i</w:t>
      </w:r>
      <w:r w:rsidR="00CB5BB6" w:rsidRPr="00713025">
        <w:t>nterest disclosures.</w:t>
      </w:r>
    </w:p>
    <w:p w14:paraId="45380ABC" w14:textId="01CBC463" w:rsidR="002F2EB7" w:rsidRPr="00713025" w:rsidRDefault="00F02482" w:rsidP="00C848B0">
      <w:pPr>
        <w:pStyle w:val="Numberedlist"/>
        <w:numPr>
          <w:ilvl w:val="1"/>
          <w:numId w:val="11"/>
        </w:numPr>
      </w:pPr>
      <w:r w:rsidRPr="00713025">
        <w:t xml:space="preserve">The </w:t>
      </w:r>
      <w:r w:rsidR="002F2EB7" w:rsidRPr="00713025">
        <w:t>objectives</w:t>
      </w:r>
      <w:r w:rsidRPr="00713025">
        <w:t xml:space="preserve"> of the </w:t>
      </w:r>
      <w:r w:rsidR="004F49D9" w:rsidRPr="00713025">
        <w:t xml:space="preserve">PID </w:t>
      </w:r>
      <w:r w:rsidRPr="00713025">
        <w:t>Act</w:t>
      </w:r>
      <w:r w:rsidR="002F2EB7" w:rsidRPr="00713025">
        <w:t xml:space="preserve"> are:</w:t>
      </w:r>
    </w:p>
    <w:p w14:paraId="4FE5B1B6" w14:textId="6AD1EAF3" w:rsidR="002F2EB7" w:rsidRPr="00713025" w:rsidRDefault="002F2EB7" w:rsidP="00E87DEA">
      <w:pPr>
        <w:pStyle w:val="Numberedlist"/>
        <w:numPr>
          <w:ilvl w:val="0"/>
          <w:numId w:val="12"/>
        </w:numPr>
        <w:spacing w:before="60" w:after="60"/>
        <w:ind w:left="1134" w:hanging="340"/>
      </w:pPr>
      <w:r w:rsidRPr="00713025">
        <w:t xml:space="preserve">to promote the integrity and accountability of the </w:t>
      </w:r>
      <w:r w:rsidR="00B7214F" w:rsidRPr="00713025">
        <w:t>Commonwealth public sector; and</w:t>
      </w:r>
    </w:p>
    <w:p w14:paraId="39DF6324" w14:textId="649E1651" w:rsidR="002F2EB7" w:rsidRPr="00713025" w:rsidRDefault="002F2EB7" w:rsidP="00E87DEA">
      <w:pPr>
        <w:pStyle w:val="Numberedlist"/>
        <w:numPr>
          <w:ilvl w:val="0"/>
          <w:numId w:val="12"/>
        </w:numPr>
        <w:spacing w:before="60" w:after="60"/>
        <w:ind w:left="1134" w:hanging="340"/>
      </w:pPr>
      <w:r w:rsidRPr="00713025">
        <w:t>to encourage and facilitate the making of public interest disclo</w:t>
      </w:r>
      <w:r w:rsidR="00B7214F" w:rsidRPr="00713025">
        <w:t>sures by public officials</w:t>
      </w:r>
      <w:r w:rsidR="00414D68" w:rsidRPr="00713025">
        <w:t xml:space="preserve"> and former public officials</w:t>
      </w:r>
      <w:r w:rsidR="00B7214F" w:rsidRPr="00713025">
        <w:t>; and</w:t>
      </w:r>
    </w:p>
    <w:p w14:paraId="49EB359E" w14:textId="5C05FAE5" w:rsidR="002F2EB7" w:rsidRPr="00713025" w:rsidRDefault="002F2EB7" w:rsidP="00E87DEA">
      <w:pPr>
        <w:pStyle w:val="Numberedlist"/>
        <w:numPr>
          <w:ilvl w:val="0"/>
          <w:numId w:val="12"/>
        </w:numPr>
        <w:spacing w:before="60" w:after="60"/>
        <w:ind w:left="1134" w:hanging="340"/>
      </w:pPr>
      <w:r w:rsidRPr="00713025">
        <w:t xml:space="preserve">to ensure that public officials </w:t>
      </w:r>
      <w:r w:rsidR="004A75A7" w:rsidRPr="00713025">
        <w:t xml:space="preserve">and former public officials </w:t>
      </w:r>
      <w:r w:rsidRPr="00713025">
        <w:t>who make public interest disclosures are supported and protected from adverse consequences r</w:t>
      </w:r>
      <w:r w:rsidR="00B7214F" w:rsidRPr="00713025">
        <w:t>elating to the disclosures; and</w:t>
      </w:r>
    </w:p>
    <w:p w14:paraId="5F74CA8F" w14:textId="67DF7D64" w:rsidR="002F2EB7" w:rsidRPr="00713025" w:rsidRDefault="002F2EB7" w:rsidP="00E87DEA">
      <w:pPr>
        <w:pStyle w:val="Numberedlist"/>
        <w:numPr>
          <w:ilvl w:val="0"/>
          <w:numId w:val="12"/>
        </w:numPr>
        <w:spacing w:before="60" w:after="60"/>
        <w:ind w:left="1134" w:hanging="340"/>
      </w:pPr>
      <w:r w:rsidRPr="00713025">
        <w:t>to ensure that disclosures by public officials are proper</w:t>
      </w:r>
      <w:r w:rsidR="00B7214F" w:rsidRPr="00713025">
        <w:t>ly investigated and dealt with.</w:t>
      </w:r>
    </w:p>
    <w:p w14:paraId="7FDB28D1" w14:textId="7BCE781D" w:rsidR="0067293F" w:rsidRPr="00713025" w:rsidRDefault="0067293F" w:rsidP="00C848B0">
      <w:pPr>
        <w:pStyle w:val="Numberedlist"/>
        <w:numPr>
          <w:ilvl w:val="1"/>
          <w:numId w:val="11"/>
        </w:numPr>
      </w:pPr>
      <w:r w:rsidRPr="00713025">
        <w:t>Officers with responsibilities under the PID Act (</w:t>
      </w:r>
      <w:r w:rsidRPr="00713025">
        <w:rPr>
          <w:b/>
          <w:bCs/>
        </w:rPr>
        <w:t>PID officers</w:t>
      </w:r>
      <w:r w:rsidRPr="00713025">
        <w:t xml:space="preserve">) also have obligations under the </w:t>
      </w:r>
      <w:r w:rsidRPr="00713025">
        <w:rPr>
          <w:i/>
          <w:iCs/>
        </w:rPr>
        <w:t>National Anti-Corruption Commission Act 2022</w:t>
      </w:r>
      <w:r w:rsidRPr="00713025">
        <w:t xml:space="preserve"> (</w:t>
      </w:r>
      <w:r w:rsidRPr="00713025">
        <w:rPr>
          <w:b/>
          <w:bCs/>
        </w:rPr>
        <w:t>NACC Act</w:t>
      </w:r>
      <w:r w:rsidRPr="00713025">
        <w:t xml:space="preserve">). They must refer certain issues to the </w:t>
      </w:r>
      <w:r w:rsidR="004D02B2" w:rsidRPr="00713025">
        <w:t>National Anti-Corruption Commission (</w:t>
      </w:r>
      <w:r w:rsidRPr="00713025">
        <w:rPr>
          <w:b/>
          <w:bCs/>
        </w:rPr>
        <w:t>NACC</w:t>
      </w:r>
      <w:r w:rsidR="004D02B2" w:rsidRPr="00713025">
        <w:t>)</w:t>
      </w:r>
      <w:r w:rsidRPr="00713025">
        <w:t xml:space="preserve"> so the Commissioner </w:t>
      </w:r>
      <w:r w:rsidR="004D02B2" w:rsidRPr="00713025">
        <w:t>of the NACC (</w:t>
      </w:r>
      <w:r w:rsidR="004D02B2" w:rsidRPr="00713025">
        <w:rPr>
          <w:b/>
          <w:bCs/>
        </w:rPr>
        <w:t>Commissioner</w:t>
      </w:r>
      <w:r w:rsidR="004D02B2" w:rsidRPr="00713025">
        <w:t xml:space="preserve">) </w:t>
      </w:r>
      <w:r w:rsidRPr="00713025">
        <w:t xml:space="preserve">can decide </w:t>
      </w:r>
      <w:proofErr w:type="gramStart"/>
      <w:r w:rsidRPr="00713025">
        <w:t>whether or not</w:t>
      </w:r>
      <w:proofErr w:type="gramEnd"/>
      <w:r w:rsidRPr="00713025">
        <w:t xml:space="preserve"> to investigate. These obligations are called mandatory referral obligations. They are separate from the ability to make voluntary referrals under the NACC Act.</w:t>
      </w:r>
    </w:p>
    <w:p w14:paraId="7EE34FC0" w14:textId="26B34A9D" w:rsidR="00F02482" w:rsidRPr="00713025" w:rsidRDefault="00F02482" w:rsidP="00C848B0">
      <w:pPr>
        <w:pStyle w:val="Numberedlist"/>
        <w:numPr>
          <w:ilvl w:val="1"/>
          <w:numId w:val="11"/>
        </w:numPr>
      </w:pPr>
      <w:r w:rsidRPr="00713025">
        <w:t>Section 59</w:t>
      </w:r>
      <w:r w:rsidR="00C82231" w:rsidRPr="00713025">
        <w:t>(3)</w:t>
      </w:r>
      <w:r w:rsidRPr="00713025">
        <w:t xml:space="preserve"> of the </w:t>
      </w:r>
      <w:r w:rsidR="007718CC" w:rsidRPr="00713025">
        <w:t xml:space="preserve">PID </w:t>
      </w:r>
      <w:r w:rsidRPr="00713025">
        <w:t xml:space="preserve">Act requires the Secretary (as a </w:t>
      </w:r>
      <w:r w:rsidR="00A54DF7">
        <w:t>p</w:t>
      </w:r>
      <w:r w:rsidRPr="00713025">
        <w:t xml:space="preserve">rincipal </w:t>
      </w:r>
      <w:r w:rsidR="00A54DF7">
        <w:t>o</w:t>
      </w:r>
      <w:r w:rsidRPr="00713025">
        <w:t xml:space="preserve">fficer under the </w:t>
      </w:r>
      <w:r w:rsidR="007718CC" w:rsidRPr="00713025">
        <w:t xml:space="preserve">PID </w:t>
      </w:r>
      <w:r w:rsidRPr="00713025">
        <w:t>Act) to establish</w:t>
      </w:r>
      <w:r w:rsidR="007718CC" w:rsidRPr="00713025">
        <w:t>, by instrument in writing,</w:t>
      </w:r>
      <w:r w:rsidRPr="00713025">
        <w:t xml:space="preserve"> procedures for facilitating and dealing with public interest disclosures relating to the department.</w:t>
      </w:r>
    </w:p>
    <w:p w14:paraId="21EEA66D" w14:textId="65DF62D4" w:rsidR="002F2EB7" w:rsidRPr="00713025" w:rsidRDefault="002F2EB7" w:rsidP="002F2EB7">
      <w:pPr>
        <w:pStyle w:val="Heading2"/>
        <w:rPr>
          <w:rFonts w:eastAsia="Arial"/>
        </w:rPr>
      </w:pPr>
      <w:bookmarkStart w:id="4" w:name="_Toc150789922"/>
      <w:bookmarkStart w:id="5" w:name="_Toc49525260"/>
      <w:r w:rsidRPr="00713025">
        <w:rPr>
          <w:rFonts w:eastAsia="Arial"/>
        </w:rPr>
        <w:t>Who to contact if you need help?</w:t>
      </w:r>
      <w:bookmarkEnd w:id="4"/>
    </w:p>
    <w:p w14:paraId="4C70164A" w14:textId="71FBFF6D" w:rsidR="002F2EB7" w:rsidRPr="005A61FA" w:rsidRDefault="002F2EB7" w:rsidP="005A61FA">
      <w:pPr>
        <w:pStyle w:val="Numberedlist"/>
        <w:numPr>
          <w:ilvl w:val="1"/>
          <w:numId w:val="11"/>
        </w:numPr>
        <w:rPr>
          <w:color w:val="0000FF" w:themeColor="hyperlink"/>
          <w:u w:val="single"/>
        </w:rPr>
      </w:pPr>
      <w:r w:rsidRPr="00713025">
        <w:t xml:space="preserve">The PID </w:t>
      </w:r>
      <w:r w:rsidR="00870095" w:rsidRPr="00713025">
        <w:t xml:space="preserve">Management </w:t>
      </w:r>
      <w:r w:rsidRPr="00713025">
        <w:t>Unit manages and maintains the department’s PID Framework</w:t>
      </w:r>
      <w:r w:rsidR="00FB48AE" w:rsidRPr="00713025">
        <w:t xml:space="preserve"> and will provide help and assistance with these procedures and public interest disclosures.</w:t>
      </w:r>
      <w:r w:rsidR="001F1E51" w:rsidRPr="00713025">
        <w:t xml:space="preserve"> The PID Management Unit can be contacted using the following email address: </w:t>
      </w:r>
      <w:hyperlink r:id="rId15" w:history="1">
        <w:r w:rsidRPr="00713025">
          <w:rPr>
            <w:rStyle w:val="Hyperlink"/>
          </w:rPr>
          <w:t>PIDCoordination@health.gov.au</w:t>
        </w:r>
      </w:hyperlink>
      <w:r w:rsidR="00DA76DC" w:rsidRPr="00713025">
        <w:rPr>
          <w:rStyle w:val="Hyperlink"/>
        </w:rPr>
        <w:t>.</w:t>
      </w:r>
      <w:r w:rsidR="00DA76DC" w:rsidRPr="00713025">
        <w:rPr>
          <w:rStyle w:val="Hyperlink"/>
          <w:u w:val="none"/>
        </w:rPr>
        <w:t xml:space="preserve"> </w:t>
      </w:r>
      <w:r w:rsidR="001F1E51" w:rsidRPr="00713025">
        <w:t xml:space="preserve">Further information about who to contact can be found in this guideline: </w:t>
      </w:r>
      <w:hyperlink r:id="rId16" w:history="1">
        <w:r w:rsidRPr="005A61FA">
          <w:rPr>
            <w:rStyle w:val="Hyperlink"/>
            <w:rFonts w:eastAsia="Arial"/>
          </w:rPr>
          <w:t>Public Intere</w:t>
        </w:r>
        <w:r w:rsidR="00F96081" w:rsidRPr="005A61FA">
          <w:rPr>
            <w:rStyle w:val="Hyperlink"/>
            <w:rFonts w:eastAsia="Arial"/>
          </w:rPr>
          <w:t>s</w:t>
        </w:r>
        <w:r w:rsidRPr="005A61FA">
          <w:rPr>
            <w:rStyle w:val="Hyperlink"/>
            <w:rFonts w:eastAsia="Arial"/>
          </w:rPr>
          <w:t>t Disclosures</w:t>
        </w:r>
      </w:hyperlink>
      <w:r w:rsidR="00A035E2" w:rsidRPr="005A61FA">
        <w:rPr>
          <w:rStyle w:val="Hyperlink"/>
          <w:rFonts w:eastAsia="Arial"/>
          <w:color w:val="auto"/>
          <w:u w:val="none"/>
        </w:rPr>
        <w:t>.</w:t>
      </w:r>
    </w:p>
    <w:p w14:paraId="71778011" w14:textId="13BF78F3" w:rsidR="00F02482" w:rsidRPr="00713025" w:rsidRDefault="00F02482" w:rsidP="00032EC3">
      <w:pPr>
        <w:pStyle w:val="Heading2"/>
        <w:rPr>
          <w:rFonts w:eastAsia="Arial"/>
        </w:rPr>
      </w:pPr>
      <w:bookmarkStart w:id="6" w:name="_Toc150789923"/>
      <w:r w:rsidRPr="00713025">
        <w:rPr>
          <w:rFonts w:eastAsia="Arial"/>
        </w:rPr>
        <w:t>What is a public interest disclosure?</w:t>
      </w:r>
      <w:bookmarkEnd w:id="5"/>
      <w:bookmarkEnd w:id="6"/>
    </w:p>
    <w:p w14:paraId="0F21B3E2" w14:textId="7DF961BF" w:rsidR="00F02482" w:rsidRPr="00713025" w:rsidRDefault="00F02482" w:rsidP="00C848B0">
      <w:pPr>
        <w:pStyle w:val="Numberedlist"/>
        <w:numPr>
          <w:ilvl w:val="1"/>
          <w:numId w:val="11"/>
        </w:numPr>
      </w:pPr>
      <w:bookmarkStart w:id="7" w:name="_Ref45554258"/>
      <w:r w:rsidRPr="00713025">
        <w:t xml:space="preserve">There are </w:t>
      </w:r>
      <w:r w:rsidR="004D5805" w:rsidRPr="00713025">
        <w:t xml:space="preserve">five </w:t>
      </w:r>
      <w:r w:rsidRPr="00713025">
        <w:t xml:space="preserve">different types of disclosures that constitute a 'public interest disclosure' </w:t>
      </w:r>
      <w:r w:rsidR="009F3E27" w:rsidRPr="00713025">
        <w:t>(</w:t>
      </w:r>
      <w:r w:rsidR="009F3E27" w:rsidRPr="00713025">
        <w:rPr>
          <w:b/>
          <w:bCs/>
        </w:rPr>
        <w:t>PID</w:t>
      </w:r>
      <w:r w:rsidR="009F3E27" w:rsidRPr="00713025">
        <w:t xml:space="preserve">) </w:t>
      </w:r>
      <w:r w:rsidRPr="00713025">
        <w:t xml:space="preserve">under the </w:t>
      </w:r>
      <w:r w:rsidR="003C25F9">
        <w:t xml:space="preserve">PID </w:t>
      </w:r>
      <w:r w:rsidRPr="00713025">
        <w:t>Act: an 'internal disclosure', an 'external disclosure', an 'emergency disclosure'</w:t>
      </w:r>
      <w:r w:rsidR="004D5805" w:rsidRPr="00713025">
        <w:t>,</w:t>
      </w:r>
      <w:r w:rsidRPr="00713025">
        <w:t xml:space="preserve"> a 'legal practitioner disclosure'</w:t>
      </w:r>
      <w:r w:rsidR="004D5805" w:rsidRPr="00713025">
        <w:t xml:space="preserve">, and </w:t>
      </w:r>
      <w:r w:rsidR="001F1E51" w:rsidRPr="00713025">
        <w:t xml:space="preserve">certain </w:t>
      </w:r>
      <w:r w:rsidR="004D02B2" w:rsidRPr="00713025">
        <w:t xml:space="preserve">NACC </w:t>
      </w:r>
      <w:r w:rsidR="004D5805" w:rsidRPr="00713025">
        <w:t>disclosure</w:t>
      </w:r>
      <w:r w:rsidR="001F1E51" w:rsidRPr="00713025">
        <w:t>s</w:t>
      </w:r>
      <w:r w:rsidR="004D5805" w:rsidRPr="00713025">
        <w:t>.</w:t>
      </w:r>
      <w:bookmarkEnd w:id="7"/>
    </w:p>
    <w:p w14:paraId="37973041" w14:textId="420A6B36" w:rsidR="00F02482" w:rsidRPr="00713025" w:rsidRDefault="00F02482" w:rsidP="00C848B0">
      <w:pPr>
        <w:pStyle w:val="Numberedlist"/>
        <w:numPr>
          <w:ilvl w:val="1"/>
          <w:numId w:val="11"/>
        </w:numPr>
      </w:pPr>
      <w:r w:rsidRPr="00713025">
        <w:t>Internal disclosures are the focus of these procedures.</w:t>
      </w:r>
    </w:p>
    <w:p w14:paraId="3E22F1F3" w14:textId="7A368180" w:rsidR="00F02482" w:rsidRPr="00713025" w:rsidRDefault="00F02482" w:rsidP="00C848B0">
      <w:pPr>
        <w:pStyle w:val="Numberedlist"/>
        <w:numPr>
          <w:ilvl w:val="1"/>
          <w:numId w:val="11"/>
        </w:numPr>
      </w:pPr>
      <w:r w:rsidRPr="00713025">
        <w:t xml:space="preserve">A disclosure will be an </w:t>
      </w:r>
      <w:r w:rsidRPr="00713025">
        <w:rPr>
          <w:rStyle w:val="Strong"/>
        </w:rPr>
        <w:t>internal disclosure</w:t>
      </w:r>
      <w:r w:rsidRPr="00713025">
        <w:t xml:space="preserve"> if it me</w:t>
      </w:r>
      <w:r w:rsidR="002010E0" w:rsidRPr="00713025">
        <w:t>ets the following requirements:</w:t>
      </w:r>
    </w:p>
    <w:p w14:paraId="5DA8C3ED" w14:textId="28F37ABB" w:rsidR="00F02482" w:rsidRPr="00713025" w:rsidRDefault="00F02482" w:rsidP="004D02B2">
      <w:pPr>
        <w:pStyle w:val="Numberedlist"/>
        <w:numPr>
          <w:ilvl w:val="0"/>
          <w:numId w:val="12"/>
        </w:numPr>
        <w:spacing w:before="60" w:after="60"/>
        <w:ind w:left="1134" w:hanging="340"/>
      </w:pPr>
      <w:r w:rsidRPr="00713025">
        <w:t>it is made by a 'public official' or a person wh</w:t>
      </w:r>
      <w:r w:rsidR="002010E0" w:rsidRPr="00713025">
        <w:t>o has been a 'public official</w:t>
      </w:r>
      <w:proofErr w:type="gramStart"/>
      <w:r w:rsidR="002010E0" w:rsidRPr="00713025">
        <w:t>';</w:t>
      </w:r>
      <w:proofErr w:type="gramEnd"/>
    </w:p>
    <w:p w14:paraId="2E715455" w14:textId="4C3D2855" w:rsidR="00F02482" w:rsidRPr="00713025" w:rsidRDefault="00F02482" w:rsidP="004D02B2">
      <w:pPr>
        <w:pStyle w:val="Numberedlist"/>
        <w:numPr>
          <w:ilvl w:val="0"/>
          <w:numId w:val="12"/>
        </w:numPr>
        <w:spacing w:before="60" w:after="60"/>
        <w:ind w:left="1134" w:hanging="340"/>
      </w:pPr>
      <w:r w:rsidRPr="00713025">
        <w:t xml:space="preserve">it is made to the discloser's supervisor or manager, or an </w:t>
      </w:r>
      <w:r w:rsidR="00E43B98" w:rsidRPr="00713025">
        <w:t>a</w:t>
      </w:r>
      <w:r w:rsidRPr="00713025">
        <w:t>uthorised</w:t>
      </w:r>
      <w:r w:rsidR="002010E0" w:rsidRPr="00713025">
        <w:t xml:space="preserve"> </w:t>
      </w:r>
      <w:r w:rsidR="00E43B98" w:rsidRPr="00713025">
        <w:t>o</w:t>
      </w:r>
      <w:r w:rsidR="002010E0" w:rsidRPr="00713025">
        <w:t xml:space="preserve">fficer of the </w:t>
      </w:r>
      <w:proofErr w:type="gramStart"/>
      <w:r w:rsidR="002010E0" w:rsidRPr="00713025">
        <w:t>department;</w:t>
      </w:r>
      <w:proofErr w:type="gramEnd"/>
      <w:r w:rsidR="002010E0" w:rsidRPr="00713025">
        <w:t xml:space="preserve"> </w:t>
      </w:r>
    </w:p>
    <w:p w14:paraId="0EE7E996" w14:textId="05652D85" w:rsidR="0058307E" w:rsidRPr="00713025" w:rsidRDefault="00F02482" w:rsidP="004D02B2">
      <w:pPr>
        <w:pStyle w:val="Numberedlist"/>
        <w:numPr>
          <w:ilvl w:val="0"/>
          <w:numId w:val="12"/>
        </w:numPr>
        <w:spacing w:before="60" w:after="60"/>
        <w:ind w:left="1134" w:hanging="340"/>
      </w:pPr>
      <w:r w:rsidRPr="00713025">
        <w:t xml:space="preserve">the information disclosed tends to show, or the discloser believes on reasonable grounds the information tends to show, one or more instances of 'disclosable </w:t>
      </w:r>
      <w:r w:rsidR="002010E0" w:rsidRPr="00713025">
        <w:t xml:space="preserve">conduct' as defined in the </w:t>
      </w:r>
      <w:r w:rsidR="003C25F9">
        <w:t xml:space="preserve">PID </w:t>
      </w:r>
      <w:r w:rsidR="002010E0" w:rsidRPr="00713025">
        <w:t>Act</w:t>
      </w:r>
      <w:r w:rsidR="0058307E" w:rsidRPr="00713025">
        <w:t>; and</w:t>
      </w:r>
    </w:p>
    <w:p w14:paraId="4CBD16AC" w14:textId="4C624F2A" w:rsidR="00F02482" w:rsidRPr="00713025" w:rsidRDefault="0058307E" w:rsidP="004D02B2">
      <w:pPr>
        <w:pStyle w:val="Numberedlist"/>
        <w:numPr>
          <w:ilvl w:val="0"/>
          <w:numId w:val="12"/>
        </w:numPr>
        <w:spacing w:before="60" w:after="60"/>
        <w:ind w:left="1134" w:hanging="340"/>
      </w:pPr>
      <w:r w:rsidRPr="00713025">
        <w:lastRenderedPageBreak/>
        <w:t xml:space="preserve">the disclosure is not made </w:t>
      </w:r>
      <w:proofErr w:type="gramStart"/>
      <w:r w:rsidRPr="00713025">
        <w:t>in the course of</w:t>
      </w:r>
      <w:proofErr w:type="gramEnd"/>
      <w:r w:rsidRPr="00713025">
        <w:t xml:space="preserve"> performing the discloser’s ordinary functions as a public official.</w:t>
      </w:r>
    </w:p>
    <w:p w14:paraId="137FD633" w14:textId="01F93055" w:rsidR="004D02B2" w:rsidRPr="00713025" w:rsidRDefault="004D02B2" w:rsidP="004D02B2">
      <w:pPr>
        <w:pStyle w:val="Numberedlist"/>
        <w:numPr>
          <w:ilvl w:val="1"/>
          <w:numId w:val="11"/>
        </w:numPr>
      </w:pPr>
      <w:r w:rsidRPr="00713025">
        <w:t xml:space="preserve">Under section 23 of the NACC Act, a person makes a </w:t>
      </w:r>
      <w:r w:rsidRPr="00713025">
        <w:rPr>
          <w:b/>
          <w:bCs/>
        </w:rPr>
        <w:t>NACC disclosure</w:t>
      </w:r>
      <w:r w:rsidRPr="00713025">
        <w:t xml:space="preserve"> if the person: </w:t>
      </w:r>
    </w:p>
    <w:p w14:paraId="2A490C6A" w14:textId="77777777" w:rsidR="004D02B2" w:rsidRPr="00713025" w:rsidRDefault="004D02B2" w:rsidP="004D02B2">
      <w:pPr>
        <w:pStyle w:val="Numberedlist"/>
        <w:numPr>
          <w:ilvl w:val="0"/>
          <w:numId w:val="12"/>
        </w:numPr>
        <w:spacing w:before="60" w:after="60"/>
        <w:ind w:left="1134" w:hanging="340"/>
      </w:pPr>
      <w:r w:rsidRPr="00713025">
        <w:t>refers, or provides other information about, a corruption issue to the Commissioner or the Inspector</w:t>
      </w:r>
      <w:r w:rsidRPr="000D5F05">
        <w:rPr>
          <w:rFonts w:ascii="Cambria Math" w:hAnsi="Cambria Math" w:cs="Cambria Math"/>
        </w:rPr>
        <w:t>‑</w:t>
      </w:r>
      <w:r w:rsidRPr="00713025">
        <w:t>General of Intelligence and Security (</w:t>
      </w:r>
      <w:r w:rsidRPr="0033742E">
        <w:rPr>
          <w:b/>
          <w:bCs/>
        </w:rPr>
        <w:t>IGIS</w:t>
      </w:r>
      <w:r w:rsidRPr="00713025">
        <w:t xml:space="preserve">) under Part 5 of the NACC </w:t>
      </w:r>
      <w:proofErr w:type="gramStart"/>
      <w:r w:rsidRPr="00713025">
        <w:t>Act;</w:t>
      </w:r>
      <w:proofErr w:type="gramEnd"/>
      <w:r w:rsidRPr="00713025">
        <w:t xml:space="preserve"> </w:t>
      </w:r>
    </w:p>
    <w:p w14:paraId="4F6E0697" w14:textId="77777777" w:rsidR="004D02B2" w:rsidRPr="00713025" w:rsidRDefault="004D02B2" w:rsidP="004D02B2">
      <w:pPr>
        <w:pStyle w:val="Numberedlist"/>
        <w:numPr>
          <w:ilvl w:val="0"/>
          <w:numId w:val="12"/>
        </w:numPr>
        <w:spacing w:before="60" w:after="60"/>
        <w:ind w:left="1134" w:hanging="340"/>
      </w:pPr>
      <w:r w:rsidRPr="00713025">
        <w:t>refers, or provides other information about, a NACC corruption issue to the Inspector under sections 202 or 203 of the NACC Act; or</w:t>
      </w:r>
    </w:p>
    <w:p w14:paraId="4AFF9EA7" w14:textId="393DD185" w:rsidR="004D02B2" w:rsidRPr="00713025" w:rsidRDefault="004D02B2" w:rsidP="004D02B2">
      <w:pPr>
        <w:pStyle w:val="Numberedlist"/>
        <w:numPr>
          <w:ilvl w:val="0"/>
          <w:numId w:val="12"/>
        </w:numPr>
        <w:spacing w:before="60" w:after="60"/>
        <w:ind w:left="1134" w:hanging="340"/>
      </w:pPr>
      <w:r w:rsidRPr="00713025">
        <w:t xml:space="preserve">gives evidence or information, or produces a document or a thing, to </w:t>
      </w:r>
      <w:r w:rsidR="005308ED">
        <w:t>the</w:t>
      </w:r>
      <w:r w:rsidR="00545D88">
        <w:t xml:space="preserve"> </w:t>
      </w:r>
      <w:r w:rsidRPr="00713025">
        <w:t xml:space="preserve">Commissioner, the IGIS or the Inspector in relation to a corruption issue, a NACC Act process, a NACC corruption </w:t>
      </w:r>
      <w:proofErr w:type="gramStart"/>
      <w:r w:rsidRPr="00713025">
        <w:t>issue</w:t>
      </w:r>
      <w:proofErr w:type="gramEnd"/>
      <w:r w:rsidRPr="00713025">
        <w:t xml:space="preserve"> or a complaint made in relation to NACC. </w:t>
      </w:r>
    </w:p>
    <w:p w14:paraId="4B7657AA" w14:textId="77777777" w:rsidR="004D02B2" w:rsidRPr="00713025" w:rsidRDefault="004D02B2" w:rsidP="004D02B2">
      <w:pPr>
        <w:pStyle w:val="Numberedlist"/>
        <w:numPr>
          <w:ilvl w:val="1"/>
          <w:numId w:val="11"/>
        </w:numPr>
      </w:pPr>
      <w:r w:rsidRPr="00713025">
        <w:t>In practice, a NACC disclosure may include:</w:t>
      </w:r>
    </w:p>
    <w:p w14:paraId="160DFD49" w14:textId="77777777" w:rsidR="004D02B2" w:rsidRPr="00713025" w:rsidRDefault="004D02B2" w:rsidP="004D02B2">
      <w:pPr>
        <w:pStyle w:val="Numberedlist"/>
        <w:numPr>
          <w:ilvl w:val="0"/>
          <w:numId w:val="12"/>
        </w:numPr>
        <w:spacing w:before="60" w:after="60"/>
        <w:ind w:left="1134" w:hanging="340"/>
      </w:pPr>
      <w:r w:rsidRPr="00713025">
        <w:t xml:space="preserve">a person who voluntarily refers a corruption issue to the Commissioner under section 32 of the NACC Act, regardless of whether the person is a public </w:t>
      </w:r>
      <w:proofErr w:type="gramStart"/>
      <w:r w:rsidRPr="00713025">
        <w:t>official;</w:t>
      </w:r>
      <w:proofErr w:type="gramEnd"/>
    </w:p>
    <w:p w14:paraId="31BA9BE8" w14:textId="77777777" w:rsidR="004D02B2" w:rsidRPr="00713025" w:rsidRDefault="004D02B2" w:rsidP="004D02B2">
      <w:pPr>
        <w:pStyle w:val="Numberedlist"/>
        <w:numPr>
          <w:ilvl w:val="0"/>
          <w:numId w:val="12"/>
        </w:numPr>
        <w:spacing w:before="60" w:after="60"/>
        <w:ind w:left="1134" w:hanging="340"/>
      </w:pPr>
      <w:r w:rsidRPr="00713025">
        <w:t xml:space="preserve">agency heads who refer corruption issues to the Commissioner or the IGIS under sections 33 or 34 of the NACC </w:t>
      </w:r>
      <w:proofErr w:type="gramStart"/>
      <w:r w:rsidRPr="00713025">
        <w:t>Act;</w:t>
      </w:r>
      <w:proofErr w:type="gramEnd"/>
    </w:p>
    <w:p w14:paraId="5EFBEA92" w14:textId="77777777" w:rsidR="004D02B2" w:rsidRPr="00713025" w:rsidRDefault="004D02B2" w:rsidP="004D02B2">
      <w:pPr>
        <w:pStyle w:val="Numberedlist"/>
        <w:numPr>
          <w:ilvl w:val="0"/>
          <w:numId w:val="12"/>
        </w:numPr>
        <w:spacing w:before="60" w:after="60"/>
        <w:ind w:left="1134" w:hanging="340"/>
      </w:pPr>
      <w:r w:rsidRPr="00713025">
        <w:t xml:space="preserve">staff members with functions under the PID Act who refer corruption issues to the Commissioner under section 35 of the NACC </w:t>
      </w:r>
      <w:proofErr w:type="gramStart"/>
      <w:r w:rsidRPr="00713025">
        <w:t>Act;</w:t>
      </w:r>
      <w:proofErr w:type="gramEnd"/>
    </w:p>
    <w:p w14:paraId="0162D456" w14:textId="77777777" w:rsidR="004D02B2" w:rsidRPr="00713025" w:rsidRDefault="004D02B2" w:rsidP="004D02B2">
      <w:pPr>
        <w:pStyle w:val="Numberedlist"/>
        <w:numPr>
          <w:ilvl w:val="0"/>
          <w:numId w:val="12"/>
        </w:numPr>
        <w:spacing w:before="60" w:after="60"/>
        <w:ind w:left="1134" w:hanging="340"/>
      </w:pPr>
      <w:r w:rsidRPr="00713025">
        <w:t>persons who provide evidence to the Commissioner during a corruption investigation or public inquiry, whether voluntarily or in response to a notice to produce or a summons; and</w:t>
      </w:r>
    </w:p>
    <w:p w14:paraId="47788CEE" w14:textId="77777777" w:rsidR="004D02B2" w:rsidRPr="00713025" w:rsidRDefault="004D02B2" w:rsidP="004D02B2">
      <w:pPr>
        <w:pStyle w:val="Numberedlist"/>
        <w:numPr>
          <w:ilvl w:val="0"/>
          <w:numId w:val="12"/>
        </w:numPr>
        <w:spacing w:before="60" w:after="60"/>
        <w:ind w:left="1134" w:hanging="340"/>
      </w:pPr>
      <w:r w:rsidRPr="00713025">
        <w:t>persons who make equivalent referrals, make complaints, or provide equivalent evidence to the Inspector in relation to NACC corruption issues, NACC corruption investigations or NACC complaint investigations.</w:t>
      </w:r>
    </w:p>
    <w:p w14:paraId="426BCEED" w14:textId="77777777" w:rsidR="004D02B2" w:rsidRPr="00713025" w:rsidRDefault="004D02B2" w:rsidP="004D02B2">
      <w:pPr>
        <w:pStyle w:val="Numberedlist"/>
        <w:numPr>
          <w:ilvl w:val="1"/>
          <w:numId w:val="11"/>
        </w:numPr>
      </w:pPr>
      <w:r w:rsidRPr="00713025">
        <w:t xml:space="preserve">A NACC disclosure will also be a PID in certain circumstances. Section 26(1A) of the PID Act provides that a disclosure of information is also PID if: </w:t>
      </w:r>
    </w:p>
    <w:p w14:paraId="3CEE2840" w14:textId="77777777" w:rsidR="004D02B2" w:rsidRPr="00713025" w:rsidRDefault="004D02B2" w:rsidP="004D02B2">
      <w:pPr>
        <w:pStyle w:val="Numberedlist"/>
        <w:numPr>
          <w:ilvl w:val="0"/>
          <w:numId w:val="12"/>
        </w:numPr>
        <w:spacing w:before="60" w:after="60"/>
        <w:ind w:left="1134" w:hanging="340"/>
      </w:pPr>
      <w:r w:rsidRPr="00713025">
        <w:t>the disclosure is made by a person who is, or has been, a public official; and</w:t>
      </w:r>
    </w:p>
    <w:p w14:paraId="178AE409" w14:textId="77777777" w:rsidR="004D02B2" w:rsidRPr="00713025" w:rsidRDefault="004D02B2" w:rsidP="004D02B2">
      <w:pPr>
        <w:pStyle w:val="Numberedlist"/>
        <w:numPr>
          <w:ilvl w:val="0"/>
          <w:numId w:val="12"/>
        </w:numPr>
        <w:spacing w:before="60" w:after="60"/>
        <w:ind w:left="1134" w:hanging="340"/>
      </w:pPr>
      <w:r w:rsidRPr="00713025">
        <w:t>the information tends to show, or the discloser believes on reasonable grounds that the information tends to show, one or more instances of disclosable conduct; and</w:t>
      </w:r>
    </w:p>
    <w:p w14:paraId="2CD1A00A" w14:textId="7E037534" w:rsidR="004D02B2" w:rsidRPr="00713025" w:rsidRDefault="004D02B2" w:rsidP="004D02B2">
      <w:pPr>
        <w:pStyle w:val="Numberedlist"/>
        <w:numPr>
          <w:ilvl w:val="0"/>
          <w:numId w:val="12"/>
        </w:numPr>
        <w:spacing w:before="60" w:after="60"/>
        <w:ind w:left="1134" w:hanging="340"/>
      </w:pPr>
      <w:r w:rsidRPr="00713025">
        <w:t>the disclosure is a NACC disclosure.</w:t>
      </w:r>
    </w:p>
    <w:p w14:paraId="0D1B9D81" w14:textId="77777777" w:rsidR="00F02482" w:rsidRPr="00713025" w:rsidRDefault="00F02482" w:rsidP="00032EC3">
      <w:pPr>
        <w:pStyle w:val="Heading2"/>
        <w:rPr>
          <w:rFonts w:eastAsia="Arial"/>
        </w:rPr>
      </w:pPr>
      <w:bookmarkStart w:id="8" w:name="_Toc49525261"/>
      <w:bookmarkStart w:id="9" w:name="_Toc150789924"/>
      <w:r w:rsidRPr="00713025">
        <w:rPr>
          <w:rFonts w:eastAsia="Arial"/>
        </w:rPr>
        <w:t>Who is a public official?</w:t>
      </w:r>
      <w:bookmarkEnd w:id="8"/>
      <w:bookmarkEnd w:id="9"/>
    </w:p>
    <w:p w14:paraId="63D9DA63" w14:textId="184BC5C5" w:rsidR="00115073" w:rsidRPr="00713025" w:rsidRDefault="00115073" w:rsidP="00C848B0">
      <w:pPr>
        <w:pStyle w:val="Numberedlist"/>
        <w:numPr>
          <w:ilvl w:val="1"/>
          <w:numId w:val="11"/>
        </w:numPr>
      </w:pPr>
      <w:bookmarkStart w:id="10" w:name="_Toc49525262"/>
      <w:r w:rsidRPr="00713025">
        <w:t>The</w:t>
      </w:r>
      <w:r w:rsidRPr="00713025">
        <w:rPr>
          <w:rFonts w:eastAsiaTheme="minorHAnsi"/>
          <w:color w:val="000000"/>
        </w:rPr>
        <w:t xml:space="preserve"> term 'public official' is defined in section 69 of the </w:t>
      </w:r>
      <w:r w:rsidR="001F1E51" w:rsidRPr="00713025">
        <w:rPr>
          <w:rFonts w:eastAsiaTheme="minorHAnsi"/>
          <w:color w:val="000000"/>
        </w:rPr>
        <w:t xml:space="preserve">PID </w:t>
      </w:r>
      <w:r w:rsidRPr="00713025">
        <w:rPr>
          <w:rFonts w:eastAsiaTheme="minorHAnsi"/>
          <w:color w:val="000000"/>
        </w:rPr>
        <w:t xml:space="preserve">Act. The term includes, for example, a Commonwealth public servant, an individual who is a contracted service provider for a Commonwealth contract, and an officer or employee of a Commonwealth contracted service provider.  Accordingly, </w:t>
      </w:r>
      <w:r w:rsidRPr="00713025">
        <w:t>the people who can make an 'internal disclosure' relating to the department include:</w:t>
      </w:r>
    </w:p>
    <w:p w14:paraId="379C0253" w14:textId="77777777" w:rsidR="00115073" w:rsidRPr="00713025" w:rsidRDefault="00115073" w:rsidP="000D5F05">
      <w:pPr>
        <w:pStyle w:val="Numberedlist"/>
        <w:numPr>
          <w:ilvl w:val="0"/>
          <w:numId w:val="12"/>
        </w:numPr>
        <w:spacing w:before="60" w:after="60"/>
        <w:ind w:left="1134" w:hanging="340"/>
      </w:pPr>
      <w:r w:rsidRPr="00713025">
        <w:t>employees of the department and former employees of the department; and</w:t>
      </w:r>
    </w:p>
    <w:p w14:paraId="7711F561" w14:textId="13C238B5" w:rsidR="00115073" w:rsidRPr="00713025" w:rsidRDefault="00115073" w:rsidP="000D5F05">
      <w:pPr>
        <w:pStyle w:val="Numberedlist"/>
        <w:numPr>
          <w:ilvl w:val="0"/>
          <w:numId w:val="12"/>
        </w:numPr>
        <w:spacing w:before="60" w:after="60"/>
        <w:ind w:left="1134" w:hanging="340"/>
      </w:pPr>
      <w:r w:rsidRPr="00713025">
        <w:t>contracted service providers and their employees who provide, or who have provided, services to the department under a contract</w:t>
      </w:r>
      <w:r w:rsidR="00B7214F" w:rsidRPr="00713025">
        <w:t xml:space="preserve"> with the department.</w:t>
      </w:r>
    </w:p>
    <w:p w14:paraId="06FF722B" w14:textId="463905C5" w:rsidR="00115073" w:rsidRPr="00713025" w:rsidRDefault="00115073" w:rsidP="00C848B0">
      <w:pPr>
        <w:pStyle w:val="Numberedlist"/>
        <w:numPr>
          <w:ilvl w:val="1"/>
          <w:numId w:val="11"/>
        </w:numPr>
        <w:rPr>
          <w:rFonts w:eastAsiaTheme="minorHAnsi"/>
        </w:rPr>
      </w:pPr>
      <w:r w:rsidRPr="00713025">
        <w:t xml:space="preserve">Generally, the fact that a person or organisation receives financial assistance from the Commonwealth pursuant to a grant arrangement will not make the person or a staff member of the organisation a 'public official' for the purposes of the </w:t>
      </w:r>
      <w:r w:rsidR="003C25F9">
        <w:t xml:space="preserve">PID </w:t>
      </w:r>
      <w:r w:rsidRPr="00713025">
        <w:t>Act.</w:t>
      </w:r>
    </w:p>
    <w:p w14:paraId="10CB8CB4" w14:textId="787157E0" w:rsidR="00115073" w:rsidRPr="00713025" w:rsidRDefault="00115073" w:rsidP="00C848B0">
      <w:pPr>
        <w:pStyle w:val="Numberedlist"/>
        <w:numPr>
          <w:ilvl w:val="1"/>
          <w:numId w:val="11"/>
        </w:numPr>
      </w:pPr>
      <w:r w:rsidRPr="00713025">
        <w:t>A</w:t>
      </w:r>
      <w:r w:rsidRPr="00713025">
        <w:rPr>
          <w:rFonts w:eastAsiaTheme="minorHAnsi"/>
          <w:color w:val="000000"/>
        </w:rPr>
        <w:t xml:space="preserve">n </w:t>
      </w:r>
      <w:r w:rsidR="009C6855" w:rsidRPr="00713025">
        <w:rPr>
          <w:rFonts w:eastAsiaTheme="minorHAnsi"/>
          <w:color w:val="000000"/>
        </w:rPr>
        <w:t>a</w:t>
      </w:r>
      <w:r w:rsidRPr="00713025">
        <w:rPr>
          <w:rFonts w:eastAsiaTheme="minorHAnsi"/>
          <w:color w:val="000000"/>
        </w:rPr>
        <w:t xml:space="preserve">uthorised </w:t>
      </w:r>
      <w:r w:rsidR="009C6855" w:rsidRPr="00713025">
        <w:rPr>
          <w:rFonts w:eastAsiaTheme="minorHAnsi"/>
          <w:color w:val="000000"/>
        </w:rPr>
        <w:t>o</w:t>
      </w:r>
      <w:r w:rsidRPr="00713025">
        <w:rPr>
          <w:rFonts w:eastAsiaTheme="minorHAnsi"/>
          <w:color w:val="000000"/>
        </w:rPr>
        <w:t xml:space="preserve">fficer can also determine, pursuant to section 70 of the </w:t>
      </w:r>
      <w:r w:rsidR="009C6855" w:rsidRPr="00713025">
        <w:rPr>
          <w:rFonts w:eastAsiaTheme="minorHAnsi"/>
          <w:color w:val="000000"/>
        </w:rPr>
        <w:t xml:space="preserve">PID </w:t>
      </w:r>
      <w:r w:rsidRPr="00713025">
        <w:rPr>
          <w:rFonts w:eastAsiaTheme="minorHAnsi"/>
          <w:color w:val="000000"/>
        </w:rPr>
        <w:t xml:space="preserve">Act, that an individual is deemed to be a public official for the purposes of the </w:t>
      </w:r>
      <w:r w:rsidR="009C6855" w:rsidRPr="00713025">
        <w:rPr>
          <w:rFonts w:eastAsiaTheme="minorHAnsi"/>
          <w:color w:val="000000"/>
        </w:rPr>
        <w:t xml:space="preserve">PID </w:t>
      </w:r>
      <w:r w:rsidRPr="00713025">
        <w:rPr>
          <w:rFonts w:eastAsiaTheme="minorHAnsi"/>
          <w:color w:val="000000"/>
        </w:rPr>
        <w:t xml:space="preserve">Act if they reasonably believe the individual has information that concerns disclosable conduct and the </w:t>
      </w:r>
      <w:r w:rsidRPr="00713025">
        <w:t>individual</w:t>
      </w:r>
      <w:r w:rsidRPr="00713025">
        <w:rPr>
          <w:rFonts w:eastAsiaTheme="minorHAnsi"/>
          <w:color w:val="000000"/>
        </w:rPr>
        <w:t xml:space="preserve"> has disclosed, or proposes to disclose, the information to an </w:t>
      </w:r>
      <w:r w:rsidR="00CE0BCB" w:rsidRPr="00713025">
        <w:rPr>
          <w:rFonts w:eastAsiaTheme="minorHAnsi"/>
          <w:color w:val="000000"/>
        </w:rPr>
        <w:t>a</w:t>
      </w:r>
      <w:r w:rsidRPr="00713025">
        <w:rPr>
          <w:rFonts w:eastAsiaTheme="minorHAnsi"/>
          <w:color w:val="000000"/>
        </w:rPr>
        <w:t xml:space="preserve">uthorised </w:t>
      </w:r>
      <w:r w:rsidR="00CE0BCB" w:rsidRPr="00713025">
        <w:rPr>
          <w:rFonts w:eastAsiaTheme="minorHAnsi"/>
          <w:color w:val="000000"/>
        </w:rPr>
        <w:lastRenderedPageBreak/>
        <w:t>o</w:t>
      </w:r>
      <w:r w:rsidRPr="00713025">
        <w:rPr>
          <w:rFonts w:eastAsiaTheme="minorHAnsi"/>
          <w:color w:val="000000"/>
        </w:rPr>
        <w:t xml:space="preserve">fficer.  If a person who is not, and has not been, a 'public official' wishes to make a disclosure relating to the department under the </w:t>
      </w:r>
      <w:r w:rsidR="009C6855" w:rsidRPr="00713025">
        <w:rPr>
          <w:rFonts w:eastAsiaTheme="minorHAnsi"/>
          <w:color w:val="000000"/>
        </w:rPr>
        <w:t xml:space="preserve">PID </w:t>
      </w:r>
      <w:r w:rsidRPr="00713025">
        <w:rPr>
          <w:rFonts w:eastAsiaTheme="minorHAnsi"/>
          <w:color w:val="000000"/>
        </w:rPr>
        <w:t xml:space="preserve">Act, they should contact an </w:t>
      </w:r>
      <w:r w:rsidR="00FC1149" w:rsidRPr="00713025">
        <w:rPr>
          <w:rFonts w:eastAsiaTheme="minorHAnsi"/>
          <w:color w:val="000000"/>
        </w:rPr>
        <w:t>a</w:t>
      </w:r>
      <w:r w:rsidRPr="00713025">
        <w:rPr>
          <w:rFonts w:eastAsiaTheme="minorHAnsi"/>
          <w:color w:val="000000"/>
        </w:rPr>
        <w:t xml:space="preserve">uthorised </w:t>
      </w:r>
      <w:r w:rsidR="00FC1149" w:rsidRPr="00713025">
        <w:rPr>
          <w:rFonts w:eastAsiaTheme="minorHAnsi"/>
          <w:color w:val="000000"/>
        </w:rPr>
        <w:t>o</w:t>
      </w:r>
      <w:r w:rsidRPr="00713025">
        <w:rPr>
          <w:rFonts w:eastAsiaTheme="minorHAnsi"/>
          <w:color w:val="000000"/>
        </w:rPr>
        <w:t xml:space="preserve">fficer of the department to request that the </w:t>
      </w:r>
      <w:r w:rsidR="00FC1149" w:rsidRPr="00713025">
        <w:rPr>
          <w:rFonts w:eastAsiaTheme="minorHAnsi"/>
          <w:color w:val="000000"/>
        </w:rPr>
        <w:t>a</w:t>
      </w:r>
      <w:r w:rsidRPr="00713025">
        <w:rPr>
          <w:rFonts w:eastAsiaTheme="minorHAnsi"/>
          <w:color w:val="000000"/>
        </w:rPr>
        <w:t xml:space="preserve">uthorised </w:t>
      </w:r>
      <w:r w:rsidR="00FC1149" w:rsidRPr="00713025">
        <w:rPr>
          <w:rFonts w:eastAsiaTheme="minorHAnsi"/>
          <w:color w:val="000000"/>
        </w:rPr>
        <w:t>o</w:t>
      </w:r>
      <w:r w:rsidRPr="00713025">
        <w:rPr>
          <w:rFonts w:eastAsiaTheme="minorHAnsi"/>
          <w:color w:val="000000"/>
        </w:rPr>
        <w:t xml:space="preserve">fficer consider </w:t>
      </w:r>
      <w:proofErr w:type="gramStart"/>
      <w:r w:rsidRPr="00713025">
        <w:rPr>
          <w:rFonts w:eastAsiaTheme="minorHAnsi"/>
          <w:color w:val="000000"/>
        </w:rPr>
        <w:t>making a determination</w:t>
      </w:r>
      <w:proofErr w:type="gramEnd"/>
      <w:r w:rsidRPr="00713025">
        <w:rPr>
          <w:rFonts w:eastAsiaTheme="minorHAnsi"/>
          <w:color w:val="000000"/>
        </w:rPr>
        <w:t xml:space="preserve"> under section 70 of the </w:t>
      </w:r>
      <w:r w:rsidR="00FC1149" w:rsidRPr="00713025">
        <w:rPr>
          <w:rFonts w:eastAsiaTheme="minorHAnsi"/>
          <w:color w:val="000000"/>
        </w:rPr>
        <w:t xml:space="preserve">PID </w:t>
      </w:r>
      <w:r w:rsidRPr="00713025">
        <w:rPr>
          <w:rFonts w:eastAsiaTheme="minorHAnsi"/>
          <w:color w:val="000000"/>
        </w:rPr>
        <w:t>Act.</w:t>
      </w:r>
    </w:p>
    <w:p w14:paraId="6BE187E4" w14:textId="2D64F7AA" w:rsidR="00115073" w:rsidRPr="00713025" w:rsidRDefault="00115073" w:rsidP="00C848B0">
      <w:pPr>
        <w:pStyle w:val="Numberedlist"/>
        <w:numPr>
          <w:ilvl w:val="1"/>
          <w:numId w:val="11"/>
        </w:numPr>
      </w:pPr>
      <w:r w:rsidRPr="00713025">
        <w:t xml:space="preserve">Where the discloser requests the </w:t>
      </w:r>
      <w:r w:rsidR="00FC1149" w:rsidRPr="00713025">
        <w:t>a</w:t>
      </w:r>
      <w:r w:rsidRPr="00713025">
        <w:t xml:space="preserve">uthorised </w:t>
      </w:r>
      <w:r w:rsidR="00FC1149" w:rsidRPr="00713025">
        <w:t>o</w:t>
      </w:r>
      <w:r w:rsidRPr="00713025">
        <w:t xml:space="preserve">fficer to make this determination, the </w:t>
      </w:r>
      <w:r w:rsidR="00FC1149" w:rsidRPr="00713025">
        <w:t>a</w:t>
      </w:r>
      <w:r w:rsidRPr="00713025">
        <w:t xml:space="preserve">uthorised </w:t>
      </w:r>
      <w:r w:rsidR="00FC1149" w:rsidRPr="00713025">
        <w:t>o</w:t>
      </w:r>
      <w:r w:rsidRPr="00713025">
        <w:t xml:space="preserve">fficer must </w:t>
      </w:r>
      <w:proofErr w:type="gramStart"/>
      <w:r w:rsidRPr="00713025">
        <w:t>make a decision</w:t>
      </w:r>
      <w:proofErr w:type="gramEnd"/>
      <w:r w:rsidRPr="00713025">
        <w:t xml:space="preserve"> on this request and must inform the discloser accordingly</w:t>
      </w:r>
      <w:r w:rsidR="00FC1149" w:rsidRPr="00713025">
        <w:t>. If</w:t>
      </w:r>
      <w:r w:rsidRPr="00713025">
        <w:t xml:space="preserve"> the </w:t>
      </w:r>
      <w:r w:rsidR="00FC1149" w:rsidRPr="00713025">
        <w:t>a</w:t>
      </w:r>
      <w:r w:rsidRPr="00713025">
        <w:t xml:space="preserve">uthorised </w:t>
      </w:r>
      <w:r w:rsidR="00FC1149" w:rsidRPr="00713025">
        <w:t>o</w:t>
      </w:r>
      <w:r w:rsidRPr="00713025">
        <w:t xml:space="preserve">fficer’s decision is to decline the request to </w:t>
      </w:r>
      <w:proofErr w:type="gramStart"/>
      <w:r w:rsidRPr="00713025">
        <w:t>make a determination</w:t>
      </w:r>
      <w:proofErr w:type="gramEnd"/>
      <w:r w:rsidRPr="00713025">
        <w:t xml:space="preserve"> under section 70, they must also give the discloser the</w:t>
      </w:r>
      <w:r w:rsidR="00B7214F" w:rsidRPr="00713025">
        <w:t xml:space="preserve"> reason(s) for their decision.</w:t>
      </w:r>
    </w:p>
    <w:p w14:paraId="123E3B75" w14:textId="52EA56F4" w:rsidR="00F02482" w:rsidRPr="00713025" w:rsidRDefault="00F02482" w:rsidP="00115073">
      <w:pPr>
        <w:pStyle w:val="Heading2"/>
      </w:pPr>
      <w:bookmarkStart w:id="11" w:name="_Toc150789925"/>
      <w:r w:rsidRPr="00713025">
        <w:t xml:space="preserve">Who are the department's </w:t>
      </w:r>
      <w:r w:rsidR="00CE0BCB" w:rsidRPr="00713025">
        <w:t>a</w:t>
      </w:r>
      <w:r w:rsidRPr="00713025">
        <w:t xml:space="preserve">uthorised </w:t>
      </w:r>
      <w:r w:rsidR="00CE0BCB" w:rsidRPr="00713025">
        <w:t>o</w:t>
      </w:r>
      <w:r w:rsidRPr="00713025">
        <w:t>fficers?</w:t>
      </w:r>
      <w:bookmarkEnd w:id="10"/>
      <w:bookmarkEnd w:id="11"/>
    </w:p>
    <w:p w14:paraId="5ECF91E1" w14:textId="261A2FDA" w:rsidR="00115073" w:rsidRPr="00713025" w:rsidRDefault="00115073" w:rsidP="00826191">
      <w:pPr>
        <w:pStyle w:val="Numberedlist"/>
        <w:numPr>
          <w:ilvl w:val="1"/>
          <w:numId w:val="11"/>
        </w:numPr>
        <w:rPr>
          <w:color w:val="000000"/>
        </w:rPr>
      </w:pPr>
      <w:bookmarkStart w:id="12" w:name="_Toc49525263"/>
      <w:r w:rsidRPr="00713025">
        <w:rPr>
          <w:color w:val="000000" w:themeColor="text1"/>
        </w:rPr>
        <w:t xml:space="preserve">The </w:t>
      </w:r>
      <w:r w:rsidRPr="00713025">
        <w:t>following</w:t>
      </w:r>
      <w:r w:rsidRPr="00713025">
        <w:rPr>
          <w:color w:val="000000" w:themeColor="text1"/>
        </w:rPr>
        <w:t xml:space="preserve"> people are </w:t>
      </w:r>
      <w:r w:rsidR="00FC1149" w:rsidRPr="00713025">
        <w:rPr>
          <w:color w:val="000000" w:themeColor="text1"/>
        </w:rPr>
        <w:t>a</w:t>
      </w:r>
      <w:r w:rsidRPr="00713025">
        <w:rPr>
          <w:color w:val="000000" w:themeColor="text1"/>
        </w:rPr>
        <w:t xml:space="preserve">uthorised </w:t>
      </w:r>
      <w:r w:rsidR="00FC1149" w:rsidRPr="00713025">
        <w:rPr>
          <w:color w:val="000000" w:themeColor="text1"/>
        </w:rPr>
        <w:t>o</w:t>
      </w:r>
      <w:r w:rsidRPr="00713025">
        <w:rPr>
          <w:color w:val="000000" w:themeColor="text1"/>
        </w:rPr>
        <w:t>fficers of the department:</w:t>
      </w:r>
    </w:p>
    <w:p w14:paraId="5C1C562E" w14:textId="0B7795B1" w:rsidR="00115073" w:rsidRPr="00713025" w:rsidRDefault="00115073" w:rsidP="00385B04">
      <w:pPr>
        <w:pStyle w:val="ListParagraph"/>
        <w:numPr>
          <w:ilvl w:val="0"/>
          <w:numId w:val="13"/>
        </w:numPr>
        <w:spacing w:before="60" w:after="60"/>
        <w:ind w:left="1134" w:hanging="340"/>
        <w:rPr>
          <w:rFonts w:cs="Arial"/>
          <w:color w:val="000000"/>
          <w:sz w:val="21"/>
          <w:szCs w:val="21"/>
        </w:rPr>
      </w:pPr>
      <w:r w:rsidRPr="00713025">
        <w:rPr>
          <w:rFonts w:cs="Arial"/>
          <w:color w:val="000000" w:themeColor="text1"/>
          <w:sz w:val="21"/>
          <w:szCs w:val="21"/>
        </w:rPr>
        <w:t>the Secretary; and</w:t>
      </w:r>
    </w:p>
    <w:p w14:paraId="4622FCB3" w14:textId="6081BBD1" w:rsidR="00115073" w:rsidRPr="00713025" w:rsidRDefault="00115073" w:rsidP="00385B04">
      <w:pPr>
        <w:pStyle w:val="ListParagraph"/>
        <w:numPr>
          <w:ilvl w:val="0"/>
          <w:numId w:val="13"/>
        </w:numPr>
        <w:spacing w:before="60" w:after="60"/>
        <w:ind w:left="1134" w:hanging="340"/>
        <w:rPr>
          <w:rFonts w:cs="Arial"/>
          <w:color w:val="000000"/>
          <w:sz w:val="21"/>
          <w:szCs w:val="21"/>
        </w:rPr>
      </w:pPr>
      <w:r w:rsidRPr="00713025">
        <w:rPr>
          <w:rFonts w:cs="Arial"/>
          <w:color w:val="000000" w:themeColor="text1"/>
          <w:sz w:val="21"/>
          <w:szCs w:val="21"/>
        </w:rPr>
        <w:t xml:space="preserve">any departmental officer appointed in writing by the Secretary (as the </w:t>
      </w:r>
      <w:r w:rsidR="00A26198">
        <w:rPr>
          <w:rFonts w:cs="Arial"/>
          <w:color w:val="000000" w:themeColor="text1"/>
          <w:sz w:val="21"/>
          <w:szCs w:val="21"/>
        </w:rPr>
        <w:t>p</w:t>
      </w:r>
      <w:r w:rsidRPr="00713025">
        <w:rPr>
          <w:rFonts w:cs="Arial"/>
          <w:color w:val="000000" w:themeColor="text1"/>
          <w:sz w:val="21"/>
          <w:szCs w:val="21"/>
        </w:rPr>
        <w:t xml:space="preserve">rincipal </w:t>
      </w:r>
      <w:r w:rsidR="00A26198">
        <w:rPr>
          <w:rFonts w:cs="Arial"/>
          <w:color w:val="000000" w:themeColor="text1"/>
          <w:sz w:val="21"/>
          <w:szCs w:val="21"/>
        </w:rPr>
        <w:t>o</w:t>
      </w:r>
      <w:r w:rsidRPr="00713025">
        <w:rPr>
          <w:rFonts w:cs="Arial"/>
          <w:color w:val="000000" w:themeColor="text1"/>
          <w:sz w:val="21"/>
          <w:szCs w:val="21"/>
        </w:rPr>
        <w:t xml:space="preserve">fficer of the department) as an </w:t>
      </w:r>
      <w:r w:rsidR="00FC1149" w:rsidRPr="00713025">
        <w:rPr>
          <w:rFonts w:cs="Arial"/>
          <w:color w:val="000000" w:themeColor="text1"/>
          <w:sz w:val="21"/>
          <w:szCs w:val="21"/>
        </w:rPr>
        <w:t>a</w:t>
      </w:r>
      <w:r w:rsidRPr="00713025">
        <w:rPr>
          <w:rFonts w:cs="Arial"/>
          <w:color w:val="000000" w:themeColor="text1"/>
          <w:sz w:val="21"/>
          <w:szCs w:val="21"/>
        </w:rPr>
        <w:t xml:space="preserve">uthorised </w:t>
      </w:r>
      <w:r w:rsidR="00FC1149" w:rsidRPr="00713025">
        <w:rPr>
          <w:rFonts w:cs="Arial"/>
          <w:color w:val="000000" w:themeColor="text1"/>
          <w:sz w:val="21"/>
          <w:szCs w:val="21"/>
        </w:rPr>
        <w:t>o</w:t>
      </w:r>
      <w:r w:rsidRPr="00713025">
        <w:rPr>
          <w:rFonts w:cs="Arial"/>
          <w:color w:val="000000" w:themeColor="text1"/>
          <w:sz w:val="21"/>
          <w:szCs w:val="21"/>
        </w:rPr>
        <w:t>ffic</w:t>
      </w:r>
      <w:r w:rsidR="00B7214F" w:rsidRPr="00713025">
        <w:rPr>
          <w:rFonts w:cs="Arial"/>
          <w:color w:val="000000" w:themeColor="text1"/>
          <w:sz w:val="21"/>
          <w:szCs w:val="21"/>
        </w:rPr>
        <w:t xml:space="preserve">er for the purposes of the </w:t>
      </w:r>
      <w:r w:rsidR="00FC1149" w:rsidRPr="00713025">
        <w:rPr>
          <w:rFonts w:cs="Arial"/>
          <w:color w:val="000000" w:themeColor="text1"/>
          <w:sz w:val="21"/>
          <w:szCs w:val="21"/>
        </w:rPr>
        <w:t xml:space="preserve">PID </w:t>
      </w:r>
      <w:r w:rsidR="00B7214F" w:rsidRPr="00713025">
        <w:rPr>
          <w:rFonts w:cs="Arial"/>
          <w:color w:val="000000" w:themeColor="text1"/>
          <w:sz w:val="21"/>
          <w:szCs w:val="21"/>
        </w:rPr>
        <w:t>Act.</w:t>
      </w:r>
    </w:p>
    <w:p w14:paraId="47453EA3" w14:textId="55BBA55D" w:rsidR="00115073" w:rsidRPr="00713025" w:rsidRDefault="00115073" w:rsidP="00CD0B6F">
      <w:pPr>
        <w:pStyle w:val="Numberedlist"/>
        <w:numPr>
          <w:ilvl w:val="1"/>
          <w:numId w:val="11"/>
        </w:numPr>
        <w:rPr>
          <w:color w:val="000000"/>
        </w:rPr>
      </w:pPr>
      <w:r w:rsidRPr="00713025">
        <w:rPr>
          <w:color w:val="000000" w:themeColor="text1"/>
        </w:rPr>
        <w:t xml:space="preserve">A </w:t>
      </w:r>
      <w:r w:rsidRPr="00713025">
        <w:t>list</w:t>
      </w:r>
      <w:r w:rsidRPr="00713025">
        <w:rPr>
          <w:color w:val="000000" w:themeColor="text1"/>
        </w:rPr>
        <w:t xml:space="preserve"> of </w:t>
      </w:r>
      <w:r w:rsidR="006140CE" w:rsidRPr="00713025">
        <w:rPr>
          <w:color w:val="000000" w:themeColor="text1"/>
        </w:rPr>
        <w:t>a</w:t>
      </w:r>
      <w:r w:rsidRPr="00713025">
        <w:rPr>
          <w:color w:val="000000" w:themeColor="text1"/>
        </w:rPr>
        <w:t xml:space="preserve">uthorised </w:t>
      </w:r>
      <w:r w:rsidR="006140CE" w:rsidRPr="00713025">
        <w:rPr>
          <w:color w:val="000000" w:themeColor="text1"/>
        </w:rPr>
        <w:t>o</w:t>
      </w:r>
      <w:r w:rsidRPr="00713025">
        <w:rPr>
          <w:color w:val="000000" w:themeColor="text1"/>
        </w:rPr>
        <w:t>fficers appointed by the Secretary can be found:</w:t>
      </w:r>
    </w:p>
    <w:p w14:paraId="4680C45D" w14:textId="04EA0B57" w:rsidR="00115073" w:rsidRPr="00712326" w:rsidRDefault="00115073" w:rsidP="00385B04">
      <w:pPr>
        <w:pStyle w:val="ListParagraph"/>
        <w:numPr>
          <w:ilvl w:val="0"/>
          <w:numId w:val="13"/>
        </w:numPr>
        <w:spacing w:before="60" w:after="60"/>
        <w:ind w:left="1134" w:hanging="340"/>
        <w:rPr>
          <w:rFonts w:cs="Arial"/>
          <w:color w:val="000000" w:themeColor="text1"/>
          <w:sz w:val="21"/>
          <w:szCs w:val="21"/>
        </w:rPr>
      </w:pPr>
      <w:r w:rsidRPr="00D05031">
        <w:rPr>
          <w:rFonts w:cs="Arial"/>
          <w:sz w:val="21"/>
          <w:szCs w:val="21"/>
        </w:rPr>
        <w:t>on the department’s external facing Internet site:</w:t>
      </w:r>
      <w:r w:rsidR="00F96081" w:rsidRPr="00713025">
        <w:t xml:space="preserve"> </w:t>
      </w:r>
      <w:hyperlink r:id="rId17" w:history="1">
        <w:r w:rsidR="00506A0C" w:rsidRPr="00317617">
          <w:rPr>
            <w:rStyle w:val="Hyperlink"/>
            <w:rFonts w:cs="Arial"/>
            <w:sz w:val="21"/>
            <w:szCs w:val="21"/>
          </w:rPr>
          <w:t>https://www.health.gov.au/resources/publications/public-interest-disclosure-scheme-department-of-health-and-aged-care-authorised-officers</w:t>
        </w:r>
      </w:hyperlink>
      <w:r w:rsidRPr="00712326">
        <w:rPr>
          <w:rFonts w:cs="Arial"/>
          <w:color w:val="000000" w:themeColor="text1"/>
          <w:sz w:val="21"/>
          <w:szCs w:val="21"/>
        </w:rPr>
        <w:br/>
      </w:r>
    </w:p>
    <w:p w14:paraId="54F9F2C2" w14:textId="2436B715" w:rsidR="00115073" w:rsidRPr="00713025" w:rsidRDefault="00115073" w:rsidP="00385B04">
      <w:pPr>
        <w:pStyle w:val="ListParagraph"/>
        <w:numPr>
          <w:ilvl w:val="0"/>
          <w:numId w:val="13"/>
        </w:numPr>
        <w:spacing w:before="60" w:after="60"/>
        <w:ind w:left="1134" w:hanging="340"/>
        <w:rPr>
          <w:rFonts w:cs="Arial"/>
          <w:color w:val="000000" w:themeColor="text1"/>
          <w:sz w:val="21"/>
          <w:szCs w:val="21"/>
        </w:rPr>
      </w:pPr>
      <w:r w:rsidRPr="00713025">
        <w:rPr>
          <w:rFonts w:cs="Arial"/>
          <w:color w:val="000000" w:themeColor="text1"/>
          <w:sz w:val="21"/>
          <w:szCs w:val="21"/>
        </w:rPr>
        <w:t xml:space="preserve">on the department’s Intranet site: </w:t>
      </w:r>
      <w:r w:rsidR="00437CA8" w:rsidRPr="00713025">
        <w:rPr>
          <w:sz w:val="21"/>
          <w:szCs w:val="21"/>
        </w:rPr>
        <w:t xml:space="preserve"> </w:t>
      </w:r>
      <w:hyperlink r:id="rId18" w:history="1">
        <w:r w:rsidR="00712326" w:rsidRPr="002F3FE9">
          <w:rPr>
            <w:rStyle w:val="Hyperlink"/>
            <w:rFonts w:cs="Arial"/>
            <w:sz w:val="21"/>
            <w:szCs w:val="21"/>
          </w:rPr>
          <w:t>https://healthgov.sharepoint.com/sites/PublicInterestDisclosures/SitePages/Department-of-Health-Authorised-Officers.aspx</w:t>
        </w:r>
      </w:hyperlink>
    </w:p>
    <w:p w14:paraId="6BF6B4FF" w14:textId="77777777" w:rsidR="00F02482" w:rsidRPr="00713025" w:rsidRDefault="00F02482" w:rsidP="00C11029">
      <w:pPr>
        <w:pStyle w:val="Heading2"/>
        <w:rPr>
          <w:rFonts w:eastAsia="Arial"/>
        </w:rPr>
      </w:pPr>
      <w:bookmarkStart w:id="13" w:name="_Toc150789926"/>
      <w:r w:rsidRPr="00713025">
        <w:rPr>
          <w:rFonts w:eastAsia="Arial"/>
        </w:rPr>
        <w:t>What is disclosable conduct?</w:t>
      </w:r>
      <w:bookmarkEnd w:id="12"/>
      <w:bookmarkEnd w:id="13"/>
    </w:p>
    <w:p w14:paraId="4694879E" w14:textId="729C9E58" w:rsidR="00F02482" w:rsidRPr="00713025" w:rsidRDefault="00F02482" w:rsidP="00CD0B6F">
      <w:pPr>
        <w:pStyle w:val="Numberedlist"/>
        <w:numPr>
          <w:ilvl w:val="1"/>
          <w:numId w:val="11"/>
        </w:numPr>
      </w:pPr>
      <w:r w:rsidRPr="00713025">
        <w:t xml:space="preserve">A full definition of disclosable conduct is set out in section 29 of the </w:t>
      </w:r>
      <w:r w:rsidR="00F8103C" w:rsidRPr="00713025">
        <w:t xml:space="preserve">PID </w:t>
      </w:r>
      <w:r w:rsidRPr="00713025">
        <w:t>Act.  That definition applies for the purposes of these p</w:t>
      </w:r>
      <w:r w:rsidR="00316C36" w:rsidRPr="00713025">
        <w:t>rocedures.</w:t>
      </w:r>
    </w:p>
    <w:p w14:paraId="4B23A1D2" w14:textId="40D2B2E8" w:rsidR="00F02482" w:rsidRPr="00713025" w:rsidRDefault="00F02482" w:rsidP="00CD0B6F">
      <w:pPr>
        <w:pStyle w:val="Numberedlist"/>
        <w:numPr>
          <w:ilvl w:val="1"/>
          <w:numId w:val="11"/>
        </w:numPr>
      </w:pPr>
      <w:r w:rsidRPr="00713025">
        <w:t>In summary, disclosable conduct is conduct:</w:t>
      </w:r>
    </w:p>
    <w:p w14:paraId="3103E4EF" w14:textId="77777777" w:rsidR="00F02482" w:rsidRPr="000D5F05" w:rsidRDefault="00F02482" w:rsidP="000D5F05">
      <w:pPr>
        <w:pStyle w:val="Numberedlist"/>
        <w:numPr>
          <w:ilvl w:val="0"/>
          <w:numId w:val="12"/>
        </w:numPr>
        <w:spacing w:before="60" w:after="60"/>
        <w:ind w:left="1134" w:hanging="340"/>
      </w:pPr>
      <w:r w:rsidRPr="000D5F05">
        <w:t>that is engaged in by:</w:t>
      </w:r>
    </w:p>
    <w:p w14:paraId="7D727106" w14:textId="731C7DCE" w:rsidR="00F02482" w:rsidRPr="00713025" w:rsidRDefault="00316C36" w:rsidP="00311C9F">
      <w:pPr>
        <w:pStyle w:val="ListBullet"/>
        <w:ind w:left="1548" w:hanging="357"/>
        <w:rPr>
          <w:szCs w:val="21"/>
        </w:rPr>
      </w:pPr>
      <w:r w:rsidRPr="00713025">
        <w:rPr>
          <w:szCs w:val="21"/>
        </w:rPr>
        <w:t>an agency; or</w:t>
      </w:r>
    </w:p>
    <w:p w14:paraId="2A66E8F8" w14:textId="77777777" w:rsidR="00F02482" w:rsidRPr="00713025" w:rsidRDefault="00F02482" w:rsidP="00311C9F">
      <w:pPr>
        <w:pStyle w:val="ListBullet"/>
        <w:ind w:left="1548" w:hanging="357"/>
        <w:rPr>
          <w:szCs w:val="21"/>
        </w:rPr>
      </w:pPr>
      <w:r w:rsidRPr="00713025">
        <w:rPr>
          <w:szCs w:val="21"/>
        </w:rPr>
        <w:t>a public official in connection with his or her position as a public official; or</w:t>
      </w:r>
    </w:p>
    <w:p w14:paraId="423B8004" w14:textId="38CDC13F" w:rsidR="00F02482" w:rsidRPr="00713025" w:rsidRDefault="00F02482" w:rsidP="00311C9F">
      <w:pPr>
        <w:pStyle w:val="ListBullet"/>
        <w:ind w:left="1548" w:hanging="357"/>
        <w:rPr>
          <w:szCs w:val="21"/>
        </w:rPr>
      </w:pPr>
      <w:r w:rsidRPr="00713025">
        <w:rPr>
          <w:szCs w:val="21"/>
        </w:rPr>
        <w:t xml:space="preserve">a contracted service provider for a Commonwealth contract, in connection with </w:t>
      </w:r>
      <w:proofErr w:type="gramStart"/>
      <w:r w:rsidRPr="00713025">
        <w:rPr>
          <w:szCs w:val="21"/>
        </w:rPr>
        <w:t>entering into</w:t>
      </w:r>
      <w:proofErr w:type="gramEnd"/>
      <w:r w:rsidRPr="00713025">
        <w:rPr>
          <w:szCs w:val="21"/>
        </w:rPr>
        <w:t>, or giving effect to, that contract; and</w:t>
      </w:r>
    </w:p>
    <w:p w14:paraId="5E387F6A" w14:textId="68BCA8F1" w:rsidR="00F02482" w:rsidRPr="000D5F05" w:rsidRDefault="00316C36" w:rsidP="000D5F05">
      <w:pPr>
        <w:pStyle w:val="Numberedlist"/>
        <w:numPr>
          <w:ilvl w:val="0"/>
          <w:numId w:val="12"/>
        </w:numPr>
        <w:spacing w:before="60" w:after="60"/>
        <w:ind w:left="1134" w:hanging="340"/>
      </w:pPr>
      <w:r w:rsidRPr="000D5F05">
        <w:t>is conduct that:</w:t>
      </w:r>
    </w:p>
    <w:p w14:paraId="387CEABD" w14:textId="7777777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t xml:space="preserve">contravenes a law of the Commonwealth, a </w:t>
      </w:r>
      <w:proofErr w:type="gramStart"/>
      <w:r w:rsidRPr="00713025">
        <w:rPr>
          <w:rFonts w:cs="Arial"/>
          <w:sz w:val="21"/>
          <w:szCs w:val="21"/>
        </w:rPr>
        <w:t>State</w:t>
      </w:r>
      <w:proofErr w:type="gramEnd"/>
      <w:r w:rsidRPr="00713025">
        <w:rPr>
          <w:rFonts w:cs="Arial"/>
          <w:sz w:val="21"/>
          <w:szCs w:val="21"/>
        </w:rPr>
        <w:t xml:space="preserve"> or a Territory, or</w:t>
      </w:r>
    </w:p>
    <w:p w14:paraId="2B461759" w14:textId="3CB0C34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t>occurs in a foreign country and contravenes a law in force in that country that applies to the agency</w:t>
      </w:r>
      <w:r w:rsidR="00EA332B" w:rsidRPr="00713025">
        <w:rPr>
          <w:rFonts w:cs="Arial"/>
          <w:sz w:val="21"/>
          <w:szCs w:val="21"/>
        </w:rPr>
        <w:t xml:space="preserve">, </w:t>
      </w:r>
      <w:r w:rsidRPr="00713025">
        <w:rPr>
          <w:rFonts w:cs="Arial"/>
          <w:sz w:val="21"/>
          <w:szCs w:val="21"/>
        </w:rPr>
        <w:t xml:space="preserve">public </w:t>
      </w:r>
      <w:proofErr w:type="gramStart"/>
      <w:r w:rsidRPr="00713025">
        <w:rPr>
          <w:rFonts w:cs="Arial"/>
          <w:sz w:val="21"/>
          <w:szCs w:val="21"/>
        </w:rPr>
        <w:t>official</w:t>
      </w:r>
      <w:proofErr w:type="gramEnd"/>
      <w:r w:rsidRPr="00713025">
        <w:rPr>
          <w:rFonts w:cs="Arial"/>
          <w:sz w:val="21"/>
          <w:szCs w:val="21"/>
        </w:rPr>
        <w:t xml:space="preserve"> </w:t>
      </w:r>
      <w:r w:rsidR="004425A7" w:rsidRPr="00713025">
        <w:rPr>
          <w:rFonts w:cs="Arial"/>
          <w:sz w:val="21"/>
          <w:szCs w:val="21"/>
        </w:rPr>
        <w:t xml:space="preserve">or contracted service provider </w:t>
      </w:r>
      <w:r w:rsidRPr="00713025">
        <w:rPr>
          <w:rFonts w:cs="Arial"/>
          <w:sz w:val="21"/>
          <w:szCs w:val="21"/>
        </w:rPr>
        <w:t>and that corresponds to a law in force in the Australian Capital Territory, or</w:t>
      </w:r>
    </w:p>
    <w:p w14:paraId="3AFA7E22" w14:textId="7777777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t>perverts, or attempts to pervert, the course of justice or involves corruption of any other kind, or</w:t>
      </w:r>
    </w:p>
    <w:p w14:paraId="36C5BF29" w14:textId="7777777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t>constitutes maladministration, including conduct that:</w:t>
      </w:r>
    </w:p>
    <w:p w14:paraId="5B435572" w14:textId="77777777" w:rsidR="00F02482" w:rsidRPr="00713025" w:rsidRDefault="00F02482" w:rsidP="001601FC">
      <w:pPr>
        <w:pStyle w:val="ListParagraph"/>
        <w:numPr>
          <w:ilvl w:val="1"/>
          <w:numId w:val="6"/>
        </w:numPr>
        <w:spacing w:after="120"/>
        <w:ind w:left="1985" w:hanging="284"/>
        <w:rPr>
          <w:rFonts w:cs="Arial"/>
          <w:sz w:val="21"/>
          <w:szCs w:val="21"/>
        </w:rPr>
      </w:pPr>
      <w:r w:rsidRPr="00713025">
        <w:rPr>
          <w:rFonts w:cs="Arial"/>
          <w:sz w:val="21"/>
          <w:szCs w:val="21"/>
        </w:rPr>
        <w:t xml:space="preserve">is based on improper </w:t>
      </w:r>
      <w:proofErr w:type="gramStart"/>
      <w:r w:rsidRPr="00713025">
        <w:rPr>
          <w:rFonts w:cs="Arial"/>
          <w:sz w:val="21"/>
          <w:szCs w:val="21"/>
        </w:rPr>
        <w:t>motives</w:t>
      </w:r>
      <w:proofErr w:type="gramEnd"/>
    </w:p>
    <w:p w14:paraId="4131D02E" w14:textId="77777777" w:rsidR="00F02482" w:rsidRPr="00713025" w:rsidRDefault="00F02482" w:rsidP="001601FC">
      <w:pPr>
        <w:pStyle w:val="ListParagraph"/>
        <w:numPr>
          <w:ilvl w:val="1"/>
          <w:numId w:val="6"/>
        </w:numPr>
        <w:spacing w:after="120"/>
        <w:ind w:left="1985" w:hanging="284"/>
        <w:rPr>
          <w:rFonts w:cs="Arial"/>
          <w:sz w:val="21"/>
          <w:szCs w:val="21"/>
        </w:rPr>
      </w:pPr>
      <w:r w:rsidRPr="00713025">
        <w:rPr>
          <w:rFonts w:cs="Arial"/>
          <w:sz w:val="21"/>
          <w:szCs w:val="21"/>
        </w:rPr>
        <w:t xml:space="preserve">is unreasonable, </w:t>
      </w:r>
      <w:proofErr w:type="gramStart"/>
      <w:r w:rsidRPr="00713025">
        <w:rPr>
          <w:rFonts w:cs="Arial"/>
          <w:sz w:val="21"/>
          <w:szCs w:val="21"/>
        </w:rPr>
        <w:t>unjust</w:t>
      </w:r>
      <w:proofErr w:type="gramEnd"/>
      <w:r w:rsidRPr="00713025">
        <w:rPr>
          <w:rFonts w:cs="Arial"/>
          <w:sz w:val="21"/>
          <w:szCs w:val="21"/>
        </w:rPr>
        <w:t xml:space="preserve"> or oppressive, or</w:t>
      </w:r>
    </w:p>
    <w:p w14:paraId="2F0C3F6A" w14:textId="77777777" w:rsidR="00F02482" w:rsidRPr="00713025" w:rsidRDefault="00F02482" w:rsidP="001601FC">
      <w:pPr>
        <w:pStyle w:val="ListParagraph"/>
        <w:numPr>
          <w:ilvl w:val="1"/>
          <w:numId w:val="6"/>
        </w:numPr>
        <w:spacing w:after="120"/>
        <w:ind w:left="1985" w:hanging="284"/>
        <w:rPr>
          <w:rFonts w:cs="Arial"/>
          <w:sz w:val="21"/>
          <w:szCs w:val="21"/>
        </w:rPr>
      </w:pPr>
      <w:r w:rsidRPr="00713025">
        <w:rPr>
          <w:rFonts w:cs="Arial"/>
          <w:sz w:val="21"/>
          <w:szCs w:val="21"/>
        </w:rPr>
        <w:t>is negligent, or</w:t>
      </w:r>
    </w:p>
    <w:p w14:paraId="03E9A306" w14:textId="7777777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t>is an abuse of public trust, or</w:t>
      </w:r>
    </w:p>
    <w:p w14:paraId="351FC4AB" w14:textId="7777777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lastRenderedPageBreak/>
        <w:t xml:space="preserve">is fabrication, falsification, </w:t>
      </w:r>
      <w:proofErr w:type="gramStart"/>
      <w:r w:rsidRPr="00713025">
        <w:rPr>
          <w:rFonts w:cs="Arial"/>
          <w:sz w:val="21"/>
          <w:szCs w:val="21"/>
        </w:rPr>
        <w:t>plagiarism</w:t>
      </w:r>
      <w:proofErr w:type="gramEnd"/>
      <w:r w:rsidRPr="00713025">
        <w:rPr>
          <w:rFonts w:cs="Arial"/>
          <w:sz w:val="21"/>
          <w:szCs w:val="21"/>
        </w:rPr>
        <w:t xml:space="preserve"> or deception in relation to scientific research, or misconduct in relation to scientific analysis, evaluation or advice, or</w:t>
      </w:r>
    </w:p>
    <w:p w14:paraId="1EC8A366" w14:textId="7777777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t>results in the wastage of public money or public property or of the money or property of a prescribed authority, or</w:t>
      </w:r>
    </w:p>
    <w:p w14:paraId="12313A47" w14:textId="7777777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t>unreasonably results in a danger to the health and safety of a person or unreasonably results in or increases the risk of a danger to the health and safety of a person, or results in a danger to the environment or results in or increases the risk of a danger to the environment, or</w:t>
      </w:r>
    </w:p>
    <w:p w14:paraId="05956E71" w14:textId="7777777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t>is prescribed by the PID Rules, or</w:t>
      </w:r>
    </w:p>
    <w:p w14:paraId="50BAA4D0" w14:textId="77777777" w:rsidR="00F02482" w:rsidRPr="00713025" w:rsidRDefault="00F02482" w:rsidP="001601FC">
      <w:pPr>
        <w:pStyle w:val="ListParagraph"/>
        <w:numPr>
          <w:ilvl w:val="0"/>
          <w:numId w:val="6"/>
        </w:numPr>
        <w:spacing w:after="120"/>
        <w:ind w:left="1418" w:hanging="284"/>
        <w:rPr>
          <w:rFonts w:cs="Arial"/>
          <w:sz w:val="21"/>
          <w:szCs w:val="21"/>
        </w:rPr>
      </w:pPr>
      <w:r w:rsidRPr="00713025">
        <w:rPr>
          <w:rFonts w:cs="Arial"/>
          <w:sz w:val="21"/>
          <w:szCs w:val="21"/>
        </w:rPr>
        <w:t>is conduct engaged in by a public official that:</w:t>
      </w:r>
    </w:p>
    <w:p w14:paraId="15031BF4" w14:textId="77777777" w:rsidR="00B2001E" w:rsidRDefault="00F02482" w:rsidP="00B2001E">
      <w:pPr>
        <w:pStyle w:val="ListParagraph"/>
        <w:numPr>
          <w:ilvl w:val="1"/>
          <w:numId w:val="6"/>
        </w:numPr>
        <w:spacing w:after="120"/>
        <w:ind w:left="1985" w:hanging="284"/>
        <w:rPr>
          <w:rFonts w:cs="Arial"/>
          <w:sz w:val="21"/>
          <w:szCs w:val="21"/>
        </w:rPr>
      </w:pPr>
      <w:r w:rsidRPr="00713025">
        <w:rPr>
          <w:rFonts w:cs="Arial"/>
          <w:sz w:val="21"/>
          <w:szCs w:val="21"/>
        </w:rPr>
        <w:t>involves abuse of the</w:t>
      </w:r>
      <w:r w:rsidR="00316C36" w:rsidRPr="00713025">
        <w:rPr>
          <w:rFonts w:cs="Arial"/>
          <w:sz w:val="21"/>
          <w:szCs w:val="21"/>
        </w:rPr>
        <w:t xml:space="preserve"> public official’s position, or</w:t>
      </w:r>
    </w:p>
    <w:p w14:paraId="4459DE8B" w14:textId="4A03F60D" w:rsidR="00CD0B6F" w:rsidRPr="00B2001E" w:rsidRDefault="00F02482" w:rsidP="00B2001E">
      <w:pPr>
        <w:pStyle w:val="ListParagraph"/>
        <w:numPr>
          <w:ilvl w:val="1"/>
          <w:numId w:val="6"/>
        </w:numPr>
        <w:spacing w:after="120"/>
        <w:ind w:left="1985" w:hanging="284"/>
        <w:rPr>
          <w:rFonts w:cs="Arial"/>
          <w:sz w:val="21"/>
          <w:szCs w:val="21"/>
        </w:rPr>
      </w:pPr>
      <w:r w:rsidRPr="00B2001E">
        <w:rPr>
          <w:rFonts w:cs="Arial"/>
          <w:sz w:val="21"/>
          <w:szCs w:val="21"/>
        </w:rPr>
        <w:t>could, if proved, give reasonable grounds for disciplinary actio</w:t>
      </w:r>
      <w:r w:rsidR="00316C36" w:rsidRPr="00B2001E">
        <w:rPr>
          <w:rFonts w:cs="Arial"/>
          <w:sz w:val="21"/>
          <w:szCs w:val="21"/>
        </w:rPr>
        <w:t xml:space="preserve">n </w:t>
      </w:r>
      <w:r w:rsidR="006A5CB0" w:rsidRPr="00B2001E">
        <w:rPr>
          <w:rFonts w:cs="Arial"/>
          <w:sz w:val="21"/>
          <w:szCs w:val="21"/>
        </w:rPr>
        <w:t xml:space="preserve">resulting in the termination </w:t>
      </w:r>
      <w:r w:rsidR="00665D36" w:rsidRPr="00B2001E">
        <w:rPr>
          <w:rFonts w:cs="Arial"/>
          <w:sz w:val="21"/>
          <w:szCs w:val="21"/>
        </w:rPr>
        <w:t xml:space="preserve">of the official’s engagement or appointment. </w:t>
      </w:r>
    </w:p>
    <w:p w14:paraId="62CAD86D" w14:textId="5A2440E2" w:rsidR="00DA0CC7" w:rsidRPr="00713025" w:rsidRDefault="00DA0CC7" w:rsidP="00CD0B6F">
      <w:pPr>
        <w:pStyle w:val="Numberedlist"/>
        <w:numPr>
          <w:ilvl w:val="1"/>
          <w:numId w:val="11"/>
        </w:numPr>
      </w:pPr>
      <w:r w:rsidRPr="00713025">
        <w:t xml:space="preserve">If a disclosure includes information that tends to show (or that may tend to show) disclosable conduct, the disclosure is not prevented from being a public interest disclosure only because: </w:t>
      </w:r>
    </w:p>
    <w:p w14:paraId="39622F84" w14:textId="73D106BA" w:rsidR="00DA0CC7" w:rsidRPr="00713025" w:rsidRDefault="00DA0CC7" w:rsidP="00385B04">
      <w:pPr>
        <w:pStyle w:val="ListParagraph"/>
        <w:numPr>
          <w:ilvl w:val="0"/>
          <w:numId w:val="27"/>
        </w:numPr>
        <w:spacing w:after="120"/>
        <w:rPr>
          <w:rFonts w:cs="Arial"/>
          <w:sz w:val="21"/>
          <w:szCs w:val="21"/>
        </w:rPr>
      </w:pPr>
      <w:r w:rsidRPr="00713025">
        <w:rPr>
          <w:rFonts w:cs="Arial"/>
          <w:sz w:val="21"/>
          <w:szCs w:val="21"/>
        </w:rPr>
        <w:t xml:space="preserve">the disclosure includes other information, and </w:t>
      </w:r>
    </w:p>
    <w:p w14:paraId="06C5BDA3" w14:textId="628BFEC5" w:rsidR="00DA0CC7" w:rsidRPr="00713025" w:rsidRDefault="00DA0CC7" w:rsidP="00385B04">
      <w:pPr>
        <w:pStyle w:val="ListParagraph"/>
        <w:numPr>
          <w:ilvl w:val="0"/>
          <w:numId w:val="27"/>
        </w:numPr>
        <w:spacing w:after="120"/>
        <w:ind w:left="1418" w:hanging="284"/>
        <w:rPr>
          <w:rFonts w:cs="Arial"/>
          <w:sz w:val="21"/>
          <w:szCs w:val="21"/>
        </w:rPr>
      </w:pPr>
      <w:r w:rsidRPr="00713025">
        <w:rPr>
          <w:rFonts w:cs="Arial"/>
          <w:sz w:val="21"/>
          <w:szCs w:val="21"/>
        </w:rPr>
        <w:t>the other information tends to show (or may tend to show) personal work-related conduct.</w:t>
      </w:r>
    </w:p>
    <w:p w14:paraId="6BFF6031" w14:textId="60FDA64B" w:rsidR="0024283F" w:rsidRPr="00713025" w:rsidRDefault="0024283F" w:rsidP="00CD0B6F">
      <w:pPr>
        <w:pStyle w:val="Numberedlist"/>
        <w:numPr>
          <w:ilvl w:val="1"/>
          <w:numId w:val="11"/>
        </w:numPr>
      </w:pPr>
      <w:r w:rsidRPr="00713025">
        <w:t xml:space="preserve">It does not matter whether the disclosable conduct occurred before or after 15 January 2014 (which is the date of the commencement of section 29 of the </w:t>
      </w:r>
      <w:r w:rsidR="003C25F9">
        <w:t xml:space="preserve">PID </w:t>
      </w:r>
      <w:r w:rsidRPr="00713025">
        <w:t>Act).</w:t>
      </w:r>
    </w:p>
    <w:p w14:paraId="5567B6C2" w14:textId="67976075" w:rsidR="00F02482" w:rsidRPr="00713025" w:rsidRDefault="00F02482" w:rsidP="00CD0B6F">
      <w:pPr>
        <w:pStyle w:val="Numberedlist"/>
        <w:numPr>
          <w:ilvl w:val="1"/>
          <w:numId w:val="11"/>
        </w:numPr>
      </w:pPr>
      <w:r w:rsidRPr="00713025">
        <w:t>It does not matter whether the public official</w:t>
      </w:r>
      <w:r w:rsidR="00F95E35" w:rsidRPr="00713025">
        <w:t xml:space="preserve"> </w:t>
      </w:r>
      <w:r w:rsidRPr="00713025">
        <w:t xml:space="preserve">who carried out the alleged conduct has ceased to be a public official since the time the conduct is alleged to have occurred, but it is necessary that they carried out the conduct in connection with their </w:t>
      </w:r>
      <w:r w:rsidR="007731CC" w:rsidRPr="00713025">
        <w:t>position as a public official.</w:t>
      </w:r>
    </w:p>
    <w:p w14:paraId="1F8BB00B" w14:textId="6362F135" w:rsidR="00F02482" w:rsidRPr="00713025" w:rsidRDefault="00F02482" w:rsidP="00C11029">
      <w:pPr>
        <w:pStyle w:val="Heading2"/>
      </w:pPr>
      <w:bookmarkStart w:id="14" w:name="_Toc150789927"/>
      <w:r w:rsidRPr="00713025">
        <w:t>What is not disclosable conduct?</w:t>
      </w:r>
      <w:bookmarkEnd w:id="14"/>
    </w:p>
    <w:p w14:paraId="1ECA62F8" w14:textId="250E32DB" w:rsidR="00B7214F" w:rsidRPr="00713025" w:rsidRDefault="00B7214F" w:rsidP="00CD0B6F">
      <w:pPr>
        <w:pStyle w:val="Numberedlist"/>
        <w:numPr>
          <w:ilvl w:val="1"/>
          <w:numId w:val="11"/>
        </w:numPr>
      </w:pPr>
      <w:r w:rsidRPr="00713025">
        <w:t xml:space="preserve">As set out in section 31 of the </w:t>
      </w:r>
      <w:r w:rsidR="003C25F9">
        <w:t xml:space="preserve">PID </w:t>
      </w:r>
      <w:r w:rsidRPr="00713025">
        <w:t>Act, conduct is not 'disclosable conduct' if it relates only to a disagreement with:</w:t>
      </w:r>
    </w:p>
    <w:p w14:paraId="554382CF" w14:textId="77777777" w:rsidR="00B7214F" w:rsidRPr="000D5F05" w:rsidRDefault="00B7214F" w:rsidP="000D5F05">
      <w:pPr>
        <w:pStyle w:val="Numberedlist"/>
        <w:numPr>
          <w:ilvl w:val="0"/>
          <w:numId w:val="12"/>
        </w:numPr>
        <w:spacing w:before="60" w:after="60"/>
        <w:ind w:left="1134" w:hanging="340"/>
      </w:pPr>
      <w:r w:rsidRPr="000D5F05">
        <w:t>a policy or proposed policy of the Commonwealth Government; or</w:t>
      </w:r>
    </w:p>
    <w:p w14:paraId="19FE1A51" w14:textId="77777777" w:rsidR="00B7214F" w:rsidRPr="000D5F05" w:rsidRDefault="00B7214F" w:rsidP="000D5F05">
      <w:pPr>
        <w:pStyle w:val="Numberedlist"/>
        <w:numPr>
          <w:ilvl w:val="0"/>
          <w:numId w:val="12"/>
        </w:numPr>
        <w:spacing w:before="60" w:after="60"/>
        <w:ind w:left="1134" w:hanging="340"/>
      </w:pPr>
      <w:r w:rsidRPr="000D5F05">
        <w:t>action that has, or is being, or is proposed to be, taken by a Minister, the Speaker of the House of Representatives, or the President of the Senate; or</w:t>
      </w:r>
    </w:p>
    <w:p w14:paraId="4444441B" w14:textId="004004B6" w:rsidR="00B7214F" w:rsidRPr="000D5F05" w:rsidRDefault="00B7214F" w:rsidP="000D5F05">
      <w:pPr>
        <w:pStyle w:val="Numberedlist"/>
        <w:numPr>
          <w:ilvl w:val="0"/>
          <w:numId w:val="12"/>
        </w:numPr>
        <w:spacing w:before="60" w:after="60"/>
        <w:ind w:left="1134" w:hanging="340"/>
      </w:pPr>
      <w:r w:rsidRPr="000D5F05">
        <w:t>amounts, purposes or priorities of expenditure or proposed expenditure relating to such a policy or proposed policy, or such action or proposed action.</w:t>
      </w:r>
    </w:p>
    <w:p w14:paraId="33017649" w14:textId="221AB00F" w:rsidR="00A01D9F" w:rsidRPr="00713025" w:rsidRDefault="00A01D9F" w:rsidP="00A23A1B">
      <w:pPr>
        <w:pStyle w:val="Heading4"/>
      </w:pPr>
      <w:r w:rsidRPr="00713025">
        <w:t>Personal work-related conduct</w:t>
      </w:r>
    </w:p>
    <w:p w14:paraId="24BB6C37" w14:textId="1075EAD6" w:rsidR="00A4146D" w:rsidRPr="00713025" w:rsidRDefault="00CE0BCB" w:rsidP="00CD0B6F">
      <w:pPr>
        <w:pStyle w:val="Numberedlist"/>
        <w:numPr>
          <w:ilvl w:val="1"/>
          <w:numId w:val="11"/>
        </w:numPr>
        <w:rPr>
          <w:color w:val="000000" w:themeColor="text1"/>
        </w:rPr>
      </w:pPr>
      <w:r w:rsidRPr="00713025">
        <w:rPr>
          <w:color w:val="000000" w:themeColor="text1"/>
        </w:rPr>
        <w:t>'</w:t>
      </w:r>
      <w:r w:rsidR="00BA177B" w:rsidRPr="00713025">
        <w:rPr>
          <w:color w:val="000000" w:themeColor="text1"/>
        </w:rPr>
        <w:t>Personal work-related conduct</w:t>
      </w:r>
      <w:r w:rsidRPr="00713025">
        <w:rPr>
          <w:color w:val="000000" w:themeColor="text1"/>
        </w:rPr>
        <w:t>’</w:t>
      </w:r>
      <w:r w:rsidR="00A4146D" w:rsidRPr="00713025">
        <w:rPr>
          <w:color w:val="000000" w:themeColor="text1"/>
        </w:rPr>
        <w:t xml:space="preserve"> </w:t>
      </w:r>
      <w:r w:rsidRPr="00713025">
        <w:rPr>
          <w:color w:val="000000" w:themeColor="text1"/>
        </w:rPr>
        <w:t xml:space="preserve">is </w:t>
      </w:r>
      <w:r w:rsidR="00CD0B6F" w:rsidRPr="00713025">
        <w:rPr>
          <w:color w:val="000000" w:themeColor="text1"/>
        </w:rPr>
        <w:t>defined in section</w:t>
      </w:r>
      <w:r w:rsidR="00A4146D" w:rsidRPr="00713025">
        <w:rPr>
          <w:color w:val="000000" w:themeColor="text1"/>
        </w:rPr>
        <w:t xml:space="preserve"> 29 of the</w:t>
      </w:r>
      <w:r w:rsidR="003C25F9">
        <w:rPr>
          <w:color w:val="000000" w:themeColor="text1"/>
        </w:rPr>
        <w:t xml:space="preserve"> PID</w:t>
      </w:r>
      <w:r w:rsidR="00A4146D" w:rsidRPr="00713025">
        <w:rPr>
          <w:color w:val="000000" w:themeColor="text1"/>
        </w:rPr>
        <w:t xml:space="preserve"> Act</w:t>
      </w:r>
      <w:r w:rsidR="00CD0B6F" w:rsidRPr="00713025">
        <w:rPr>
          <w:color w:val="000000" w:themeColor="text1"/>
        </w:rPr>
        <w:t xml:space="preserve"> as</w:t>
      </w:r>
      <w:r w:rsidR="00A4146D" w:rsidRPr="00713025">
        <w:rPr>
          <w:color w:val="000000" w:themeColor="text1"/>
        </w:rPr>
        <w:t xml:space="preserve"> conduct (by act or omission) </w:t>
      </w:r>
      <w:r w:rsidR="00A4146D" w:rsidRPr="00713025">
        <w:t xml:space="preserve">which is engaged in by a public official (the </w:t>
      </w:r>
      <w:r w:rsidR="00A4146D" w:rsidRPr="00713025">
        <w:rPr>
          <w:b/>
          <w:bCs/>
          <w:i/>
          <w:iCs/>
        </w:rPr>
        <w:t>first official</w:t>
      </w:r>
      <w:r w:rsidR="00A4146D" w:rsidRPr="00713025">
        <w:t xml:space="preserve">) in relation to another public official (the </w:t>
      </w:r>
      <w:r w:rsidR="00A4146D" w:rsidRPr="00713025">
        <w:rPr>
          <w:b/>
          <w:bCs/>
          <w:i/>
          <w:iCs/>
        </w:rPr>
        <w:t>second official</w:t>
      </w:r>
      <w:r w:rsidR="00A4146D" w:rsidRPr="00713025">
        <w:t>), which has</w:t>
      </w:r>
      <w:r w:rsidRPr="00713025">
        <w:t>, or would tend to have,</w:t>
      </w:r>
      <w:r w:rsidR="00A4146D" w:rsidRPr="00713025">
        <w:t xml:space="preserve"> personal implications for the second official and occurs in relation to: </w:t>
      </w:r>
    </w:p>
    <w:p w14:paraId="45333A32" w14:textId="77777777" w:rsidR="00A4146D" w:rsidRPr="00713025" w:rsidRDefault="00A4146D" w:rsidP="00385B04">
      <w:pPr>
        <w:pStyle w:val="ListParagraph"/>
        <w:numPr>
          <w:ilvl w:val="0"/>
          <w:numId w:val="30"/>
        </w:numPr>
        <w:spacing w:after="120"/>
        <w:ind w:left="1418" w:hanging="284"/>
        <w:rPr>
          <w:sz w:val="21"/>
          <w:szCs w:val="21"/>
        </w:rPr>
      </w:pPr>
      <w:r w:rsidRPr="00713025">
        <w:rPr>
          <w:sz w:val="21"/>
          <w:szCs w:val="21"/>
        </w:rPr>
        <w:t xml:space="preserve">The second official’s </w:t>
      </w:r>
      <w:r w:rsidRPr="00713025">
        <w:rPr>
          <w:rFonts w:cs="Arial"/>
          <w:sz w:val="21"/>
          <w:szCs w:val="21"/>
        </w:rPr>
        <w:t>engagement</w:t>
      </w:r>
      <w:r w:rsidRPr="00713025">
        <w:rPr>
          <w:sz w:val="21"/>
          <w:szCs w:val="21"/>
        </w:rPr>
        <w:t xml:space="preserve"> or appointment as a public official; and/or</w:t>
      </w:r>
    </w:p>
    <w:p w14:paraId="594C5D30" w14:textId="4D6D1E52" w:rsidR="00A4146D" w:rsidRPr="00713025" w:rsidRDefault="00A4146D" w:rsidP="00385B04">
      <w:pPr>
        <w:pStyle w:val="ListParagraph"/>
        <w:numPr>
          <w:ilvl w:val="0"/>
          <w:numId w:val="30"/>
        </w:numPr>
        <w:spacing w:after="120"/>
        <w:ind w:left="1418" w:hanging="284"/>
        <w:rPr>
          <w:sz w:val="21"/>
          <w:szCs w:val="21"/>
        </w:rPr>
      </w:pPr>
      <w:r w:rsidRPr="00713025">
        <w:rPr>
          <w:sz w:val="21"/>
          <w:szCs w:val="21"/>
        </w:rPr>
        <w:t xml:space="preserve">The second official’s employment, or exercise of functions and powers as a public </w:t>
      </w:r>
      <w:proofErr w:type="gramStart"/>
      <w:r w:rsidRPr="00713025">
        <w:rPr>
          <w:sz w:val="21"/>
          <w:szCs w:val="21"/>
        </w:rPr>
        <w:t>official;</w:t>
      </w:r>
      <w:proofErr w:type="gramEnd"/>
      <w:r w:rsidRPr="00713025">
        <w:rPr>
          <w:sz w:val="21"/>
          <w:szCs w:val="21"/>
        </w:rPr>
        <w:t xml:space="preserve"> </w:t>
      </w:r>
    </w:p>
    <w:p w14:paraId="6E311B02" w14:textId="3859CE7A" w:rsidR="00051C2A" w:rsidRPr="00713025" w:rsidRDefault="00051C2A" w:rsidP="00385B04">
      <w:pPr>
        <w:pStyle w:val="ListParagraph"/>
        <w:numPr>
          <w:ilvl w:val="1"/>
          <w:numId w:val="28"/>
        </w:numPr>
        <w:spacing w:before="60" w:after="60"/>
        <w:rPr>
          <w:sz w:val="21"/>
          <w:szCs w:val="21"/>
        </w:rPr>
      </w:pPr>
      <w:r w:rsidRPr="00713025">
        <w:rPr>
          <w:sz w:val="21"/>
          <w:szCs w:val="21"/>
        </w:rPr>
        <w:t>Personal work-related conduct could include</w:t>
      </w:r>
      <w:r w:rsidR="00C3792B">
        <w:rPr>
          <w:sz w:val="21"/>
          <w:szCs w:val="21"/>
        </w:rPr>
        <w:t>:</w:t>
      </w:r>
    </w:p>
    <w:p w14:paraId="4FCCC95B" w14:textId="77777777" w:rsidR="00A4146D" w:rsidRPr="000D5F05" w:rsidRDefault="00A4146D" w:rsidP="000D5F05">
      <w:pPr>
        <w:pStyle w:val="Numberedlist"/>
        <w:numPr>
          <w:ilvl w:val="0"/>
          <w:numId w:val="12"/>
        </w:numPr>
        <w:spacing w:before="60" w:after="60"/>
        <w:ind w:left="1134" w:hanging="340"/>
      </w:pPr>
      <w:r w:rsidRPr="000D5F05">
        <w:t>conduct relating to an interpersonal conflict between the first official and the second official (including, but not limited to, bullying or harassment</w:t>
      </w:r>
      <w:proofErr w:type="gramStart"/>
      <w:r w:rsidRPr="000D5F05">
        <w:t>);</w:t>
      </w:r>
      <w:proofErr w:type="gramEnd"/>
    </w:p>
    <w:p w14:paraId="7E5582F1" w14:textId="77777777" w:rsidR="00A4146D" w:rsidRPr="000D5F05" w:rsidRDefault="00A4146D" w:rsidP="000D5F05">
      <w:pPr>
        <w:pStyle w:val="Numberedlist"/>
        <w:numPr>
          <w:ilvl w:val="0"/>
          <w:numId w:val="12"/>
        </w:numPr>
        <w:spacing w:before="60" w:after="60"/>
        <w:ind w:left="1134" w:hanging="340"/>
      </w:pPr>
      <w:r w:rsidRPr="000D5F05">
        <w:lastRenderedPageBreak/>
        <w:t xml:space="preserve">conduct relating to the transfer or promotion of the second </w:t>
      </w:r>
      <w:proofErr w:type="gramStart"/>
      <w:r w:rsidRPr="000D5F05">
        <w:t>official;</w:t>
      </w:r>
      <w:proofErr w:type="gramEnd"/>
    </w:p>
    <w:p w14:paraId="318D646B" w14:textId="77777777" w:rsidR="00A4146D" w:rsidRPr="000D5F05" w:rsidRDefault="00A4146D" w:rsidP="000D5F05">
      <w:pPr>
        <w:pStyle w:val="Numberedlist"/>
        <w:numPr>
          <w:ilvl w:val="0"/>
          <w:numId w:val="12"/>
        </w:numPr>
        <w:spacing w:before="60" w:after="60"/>
        <w:ind w:left="1134" w:hanging="340"/>
      </w:pPr>
      <w:r w:rsidRPr="000D5F05">
        <w:t xml:space="preserve">conduct relating to the terms and conditions of engagement or appointment of the second </w:t>
      </w:r>
      <w:proofErr w:type="gramStart"/>
      <w:r w:rsidRPr="000D5F05">
        <w:t>official;</w:t>
      </w:r>
      <w:proofErr w:type="gramEnd"/>
    </w:p>
    <w:p w14:paraId="185222EF" w14:textId="77777777" w:rsidR="00A4146D" w:rsidRPr="000D5F05" w:rsidRDefault="00A4146D" w:rsidP="000D5F05">
      <w:pPr>
        <w:pStyle w:val="Numberedlist"/>
        <w:numPr>
          <w:ilvl w:val="0"/>
          <w:numId w:val="12"/>
        </w:numPr>
        <w:spacing w:before="60" w:after="60"/>
        <w:ind w:left="1134" w:hanging="340"/>
      </w:pPr>
      <w:r w:rsidRPr="000D5F05">
        <w:t xml:space="preserve">disciplinary action taken in relation to the second </w:t>
      </w:r>
      <w:proofErr w:type="gramStart"/>
      <w:r w:rsidRPr="000D5F05">
        <w:t>official;</w:t>
      </w:r>
      <w:proofErr w:type="gramEnd"/>
    </w:p>
    <w:p w14:paraId="2212D7EF" w14:textId="77777777" w:rsidR="00A4146D" w:rsidRPr="000D5F05" w:rsidRDefault="00A4146D" w:rsidP="000D5F05">
      <w:pPr>
        <w:pStyle w:val="Numberedlist"/>
        <w:numPr>
          <w:ilvl w:val="0"/>
          <w:numId w:val="12"/>
        </w:numPr>
        <w:spacing w:before="60" w:after="60"/>
        <w:ind w:left="1134" w:hanging="340"/>
      </w:pPr>
      <w:r w:rsidRPr="000D5F05">
        <w:t>the suspension or termination of the second official’s employment or appointment as a public official; and</w:t>
      </w:r>
    </w:p>
    <w:p w14:paraId="47F2ACA3" w14:textId="30515FA0" w:rsidR="00A4146D" w:rsidRPr="000D5F05" w:rsidRDefault="00A4146D" w:rsidP="000D5F05">
      <w:pPr>
        <w:pStyle w:val="Numberedlist"/>
        <w:numPr>
          <w:ilvl w:val="0"/>
          <w:numId w:val="12"/>
        </w:numPr>
        <w:spacing w:before="60" w:after="60"/>
        <w:ind w:left="1134" w:hanging="340"/>
      </w:pPr>
      <w:r w:rsidRPr="000D5F05">
        <w:t>conduct in relation to which the second official is, or would have been, entitled to review under section 33 of the Public Service Act 1999 or under any comparable review process that forms, or formed, part of the second official’s terms or conditions of engagement or appointment.</w:t>
      </w:r>
    </w:p>
    <w:p w14:paraId="2D433092" w14:textId="746C63F5" w:rsidR="00A01D9F" w:rsidRPr="00713025" w:rsidRDefault="00A01D9F" w:rsidP="00A01D9F">
      <w:pPr>
        <w:pStyle w:val="Numberedlist"/>
        <w:numPr>
          <w:ilvl w:val="1"/>
          <w:numId w:val="11"/>
        </w:numPr>
        <w:rPr>
          <w:color w:val="000000" w:themeColor="text1"/>
        </w:rPr>
      </w:pPr>
      <w:r w:rsidRPr="00713025">
        <w:rPr>
          <w:color w:val="000000" w:themeColor="text1"/>
        </w:rPr>
        <w:t>Personal work-related conduct is not disclosable conduct unless the conduct</w:t>
      </w:r>
      <w:r w:rsidR="00CE0BCB" w:rsidRPr="00713025">
        <w:rPr>
          <w:color w:val="000000" w:themeColor="text1"/>
        </w:rPr>
        <w:t xml:space="preserve"> </w:t>
      </w:r>
      <w:r w:rsidRPr="00713025">
        <w:rPr>
          <w:color w:val="000000" w:themeColor="text1"/>
        </w:rPr>
        <w:t>would constitute taking a reprisal against another person, or an offence under section 19, or</w:t>
      </w:r>
    </w:p>
    <w:p w14:paraId="05AB2C3B" w14:textId="77777777" w:rsidR="00A01D9F" w:rsidRPr="000D5F05" w:rsidRDefault="00A01D9F" w:rsidP="000D5F05">
      <w:pPr>
        <w:pStyle w:val="Numberedlist"/>
        <w:numPr>
          <w:ilvl w:val="0"/>
          <w:numId w:val="12"/>
        </w:numPr>
        <w:spacing w:before="60" w:after="60"/>
        <w:ind w:left="1134" w:hanging="340"/>
      </w:pPr>
      <w:r w:rsidRPr="000D5F05">
        <w:t xml:space="preserve">is of such a significant nature that it would undermine public confidence in an agency, or </w:t>
      </w:r>
    </w:p>
    <w:p w14:paraId="12CC8916" w14:textId="77777777" w:rsidR="00A01D9F" w:rsidRPr="000D5F05" w:rsidRDefault="00A01D9F" w:rsidP="000D5F05">
      <w:pPr>
        <w:pStyle w:val="Numberedlist"/>
        <w:numPr>
          <w:ilvl w:val="0"/>
          <w:numId w:val="12"/>
        </w:numPr>
        <w:spacing w:before="60" w:after="60"/>
        <w:ind w:left="1134" w:hanging="340"/>
      </w:pPr>
      <w:r w:rsidRPr="000D5F05">
        <w:t xml:space="preserve">has other significant implications for an agency (or agencies). </w:t>
      </w:r>
    </w:p>
    <w:p w14:paraId="34812FBA" w14:textId="77777777" w:rsidR="00A4146D" w:rsidRPr="00713025" w:rsidRDefault="00A4146D" w:rsidP="00A01D9F">
      <w:pPr>
        <w:pStyle w:val="ListParagraph"/>
        <w:numPr>
          <w:ilvl w:val="0"/>
          <w:numId w:val="0"/>
        </w:numPr>
        <w:spacing w:before="60" w:after="60"/>
        <w:ind w:left="576"/>
        <w:rPr>
          <w:rFonts w:cs="Arial"/>
          <w:color w:val="000000" w:themeColor="text1"/>
          <w:sz w:val="21"/>
          <w:szCs w:val="21"/>
        </w:rPr>
      </w:pPr>
    </w:p>
    <w:p w14:paraId="63905C3C" w14:textId="77777777" w:rsidR="00D96D22" w:rsidRPr="00713025" w:rsidRDefault="00D96D22" w:rsidP="006F124F">
      <w:pPr>
        <w:keepNext/>
        <w:jc w:val="both"/>
      </w:pPr>
    </w:p>
    <w:p w14:paraId="19B8ADCE" w14:textId="588ABA97" w:rsidR="00F02482" w:rsidRPr="00713025" w:rsidRDefault="00A212D0" w:rsidP="00385B04">
      <w:pPr>
        <w:pStyle w:val="Heading1"/>
        <w:pageBreakBefore/>
        <w:numPr>
          <w:ilvl w:val="0"/>
          <w:numId w:val="36"/>
        </w:numPr>
        <w:ind w:left="567" w:hanging="567"/>
      </w:pPr>
      <w:bookmarkStart w:id="15" w:name="_Toc150789928"/>
      <w:r w:rsidRPr="00713025">
        <w:rPr>
          <w:noProof/>
          <w:lang w:eastAsia="en-AU"/>
        </w:rPr>
        <w:lastRenderedPageBreak/>
        <w:drawing>
          <wp:anchor distT="0" distB="0" distL="114300" distR="114300" simplePos="0" relativeHeight="251658241" behindDoc="1" locked="0" layoutInCell="1" allowOverlap="1" wp14:anchorId="5F3E2936" wp14:editId="58AF2C38">
            <wp:simplePos x="0" y="0"/>
            <wp:positionH relativeFrom="column">
              <wp:posOffset>7620</wp:posOffset>
            </wp:positionH>
            <wp:positionV relativeFrom="paragraph">
              <wp:posOffset>401320</wp:posOffset>
            </wp:positionV>
            <wp:extent cx="6426835" cy="126365"/>
            <wp:effectExtent l="0" t="0" r="0" b="6985"/>
            <wp:wrapTight wrapText="bothSides">
              <wp:wrapPolygon edited="0">
                <wp:start x="0" y="0"/>
                <wp:lineTo x="0" y="19538"/>
                <wp:lineTo x="21512" y="19538"/>
                <wp:lineTo x="21512" y="0"/>
                <wp:lineTo x="0" y="0"/>
              </wp:wrapPolygon>
            </wp:wrapTight>
            <wp:docPr id="164" name="Picture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3025">
        <w:t>MAKING A PUBLIC INTEREST DISCLOSURE</w:t>
      </w:r>
      <w:bookmarkEnd w:id="15"/>
    </w:p>
    <w:p w14:paraId="14EF6FF6" w14:textId="341B8C8F" w:rsidR="00F352B6" w:rsidRPr="00713025" w:rsidRDefault="00F02482" w:rsidP="009A7552">
      <w:pPr>
        <w:pStyle w:val="Heading2"/>
      </w:pPr>
      <w:bookmarkStart w:id="16" w:name="_Toc49525266"/>
      <w:bookmarkStart w:id="17" w:name="_Toc150789929"/>
      <w:r w:rsidRPr="00713025">
        <w:rPr>
          <w:rFonts w:eastAsia="Arial"/>
        </w:rPr>
        <w:t>Making an internal disclosure to the department</w:t>
      </w:r>
      <w:bookmarkEnd w:id="16"/>
      <w:bookmarkEnd w:id="17"/>
    </w:p>
    <w:p w14:paraId="51222624" w14:textId="69D2261A" w:rsidR="00B7214F" w:rsidRPr="00713025" w:rsidRDefault="00B7214F" w:rsidP="00385B04">
      <w:pPr>
        <w:pStyle w:val="ListParagraph"/>
        <w:numPr>
          <w:ilvl w:val="1"/>
          <w:numId w:val="32"/>
        </w:numPr>
        <w:rPr>
          <w:rFonts w:cs="Arial"/>
          <w:color w:val="000000" w:themeColor="text1"/>
          <w:sz w:val="21"/>
          <w:szCs w:val="21"/>
        </w:rPr>
      </w:pPr>
      <w:bookmarkStart w:id="18" w:name="_Toc49525267"/>
      <w:r w:rsidRPr="00713025">
        <w:rPr>
          <w:rFonts w:cs="Arial"/>
          <w:color w:val="000000" w:themeColor="text1"/>
          <w:sz w:val="21"/>
          <w:szCs w:val="21"/>
        </w:rPr>
        <w:t>A public interest disclosure relating to the department may be made orally or in writing.</w:t>
      </w:r>
      <w:r w:rsidR="00A01D9F" w:rsidRPr="00713025">
        <w:rPr>
          <w:rFonts w:cs="Arial"/>
          <w:color w:val="000000" w:themeColor="text1"/>
          <w:sz w:val="21"/>
          <w:szCs w:val="21"/>
        </w:rPr>
        <w:t xml:space="preserve"> If a disclosure is made in writing, for example by email, the subject line should </w:t>
      </w:r>
      <w:proofErr w:type="gramStart"/>
      <w:r w:rsidR="00A01D9F" w:rsidRPr="00713025">
        <w:rPr>
          <w:rFonts w:cs="Arial"/>
          <w:color w:val="000000" w:themeColor="text1"/>
          <w:sz w:val="21"/>
          <w:szCs w:val="21"/>
        </w:rPr>
        <w:t>make reference</w:t>
      </w:r>
      <w:proofErr w:type="gramEnd"/>
      <w:r w:rsidR="00A01D9F" w:rsidRPr="00713025">
        <w:rPr>
          <w:rFonts w:cs="Arial"/>
          <w:color w:val="000000" w:themeColor="text1"/>
          <w:sz w:val="21"/>
          <w:szCs w:val="21"/>
        </w:rPr>
        <w:t xml:space="preserve"> to it being a PID.</w:t>
      </w:r>
    </w:p>
    <w:p w14:paraId="261E0C9F" w14:textId="2488BB4B" w:rsidR="00B7214F" w:rsidRPr="00713025" w:rsidRDefault="00B7214F" w:rsidP="00385B04">
      <w:pPr>
        <w:pStyle w:val="ListParagraph"/>
        <w:numPr>
          <w:ilvl w:val="1"/>
          <w:numId w:val="32"/>
        </w:numPr>
        <w:ind w:left="567" w:hanging="567"/>
        <w:rPr>
          <w:rFonts w:cs="Arial"/>
          <w:color w:val="000000"/>
          <w:sz w:val="21"/>
          <w:szCs w:val="21"/>
        </w:rPr>
      </w:pPr>
      <w:r w:rsidRPr="00713025">
        <w:rPr>
          <w:rFonts w:cs="Arial"/>
          <w:color w:val="000000" w:themeColor="text1"/>
          <w:sz w:val="21"/>
          <w:szCs w:val="21"/>
        </w:rPr>
        <w:t xml:space="preserve">Employees in the department may make a disclosure of disclosable conduct to their manager or their supervisor, or to an </w:t>
      </w:r>
      <w:r w:rsidR="00A01D9F" w:rsidRPr="00713025">
        <w:rPr>
          <w:rFonts w:cs="Arial"/>
          <w:color w:val="000000" w:themeColor="text1"/>
          <w:sz w:val="21"/>
          <w:szCs w:val="21"/>
        </w:rPr>
        <w:t>a</w:t>
      </w:r>
      <w:r w:rsidRPr="00713025">
        <w:rPr>
          <w:rFonts w:cs="Arial"/>
          <w:color w:val="000000" w:themeColor="text1"/>
          <w:sz w:val="21"/>
          <w:szCs w:val="21"/>
        </w:rPr>
        <w:t xml:space="preserve">uthorised </w:t>
      </w:r>
      <w:r w:rsidR="00A01D9F" w:rsidRPr="00713025">
        <w:rPr>
          <w:rFonts w:cs="Arial"/>
          <w:color w:val="000000" w:themeColor="text1"/>
          <w:sz w:val="21"/>
          <w:szCs w:val="21"/>
        </w:rPr>
        <w:t>o</w:t>
      </w:r>
      <w:r w:rsidRPr="00713025">
        <w:rPr>
          <w:rFonts w:cs="Arial"/>
          <w:color w:val="000000" w:themeColor="text1"/>
          <w:sz w:val="21"/>
          <w:szCs w:val="21"/>
        </w:rPr>
        <w:t xml:space="preserve">fficer, or in certain circumstances, to the Commonwealth </w:t>
      </w:r>
      <w:r w:rsidRPr="00713025">
        <w:rPr>
          <w:rFonts w:cs="Arial"/>
          <w:sz w:val="21"/>
          <w:szCs w:val="21"/>
        </w:rPr>
        <w:t>Ombudsman</w:t>
      </w:r>
      <w:r w:rsidR="00385B04">
        <w:rPr>
          <w:rFonts w:cs="Arial"/>
          <w:sz w:val="21"/>
          <w:szCs w:val="21"/>
        </w:rPr>
        <w:t xml:space="preserve"> (</w:t>
      </w:r>
      <w:r w:rsidR="00385B04">
        <w:rPr>
          <w:rFonts w:cs="Arial"/>
          <w:b/>
          <w:bCs/>
          <w:sz w:val="21"/>
          <w:szCs w:val="21"/>
        </w:rPr>
        <w:t>Ombudsman</w:t>
      </w:r>
      <w:r w:rsidR="00385B04">
        <w:rPr>
          <w:rFonts w:cs="Arial"/>
          <w:sz w:val="21"/>
          <w:szCs w:val="21"/>
        </w:rPr>
        <w:t>)</w:t>
      </w:r>
      <w:r w:rsidRPr="00713025">
        <w:rPr>
          <w:rFonts w:cs="Arial"/>
          <w:color w:val="000000" w:themeColor="text1"/>
          <w:sz w:val="21"/>
          <w:szCs w:val="21"/>
        </w:rPr>
        <w:t>.</w:t>
      </w:r>
    </w:p>
    <w:p w14:paraId="69D6E58F" w14:textId="12A15609" w:rsidR="00B7214F" w:rsidRPr="00713025" w:rsidRDefault="00B7214F" w:rsidP="00385B04">
      <w:pPr>
        <w:pStyle w:val="ListParagraph"/>
        <w:numPr>
          <w:ilvl w:val="1"/>
          <w:numId w:val="32"/>
        </w:numPr>
        <w:ind w:left="567" w:hanging="567"/>
        <w:rPr>
          <w:rFonts w:cs="Arial"/>
          <w:color w:val="000000"/>
          <w:sz w:val="21"/>
          <w:szCs w:val="21"/>
        </w:rPr>
      </w:pPr>
      <w:r w:rsidRPr="00713025">
        <w:rPr>
          <w:rFonts w:cs="Arial"/>
          <w:color w:val="000000" w:themeColor="text1"/>
          <w:sz w:val="21"/>
          <w:szCs w:val="21"/>
        </w:rPr>
        <w:t xml:space="preserve">Department employees are encouraged to make public interest disclosures to an </w:t>
      </w:r>
      <w:r w:rsidR="00A01D9F" w:rsidRPr="00713025">
        <w:rPr>
          <w:rFonts w:cs="Arial"/>
          <w:color w:val="000000" w:themeColor="text1"/>
          <w:sz w:val="21"/>
          <w:szCs w:val="21"/>
        </w:rPr>
        <w:t>a</w:t>
      </w:r>
      <w:r w:rsidRPr="00713025">
        <w:rPr>
          <w:rFonts w:cs="Arial"/>
          <w:color w:val="000000" w:themeColor="text1"/>
          <w:sz w:val="21"/>
          <w:szCs w:val="21"/>
        </w:rPr>
        <w:t xml:space="preserve">uthorised </w:t>
      </w:r>
      <w:r w:rsidR="00A01D9F" w:rsidRPr="00713025">
        <w:rPr>
          <w:rFonts w:cs="Arial"/>
          <w:color w:val="000000" w:themeColor="text1"/>
          <w:sz w:val="21"/>
          <w:szCs w:val="21"/>
        </w:rPr>
        <w:t>o</w:t>
      </w:r>
      <w:r w:rsidRPr="00713025">
        <w:rPr>
          <w:rFonts w:cs="Arial"/>
          <w:color w:val="000000" w:themeColor="text1"/>
          <w:sz w:val="21"/>
          <w:szCs w:val="21"/>
        </w:rPr>
        <w:t>fficer in the first instance, rather than a supervisor or manager.</w:t>
      </w:r>
    </w:p>
    <w:p w14:paraId="743188D2" w14:textId="2F3DEA11" w:rsidR="00B7214F" w:rsidRPr="00713025" w:rsidRDefault="00B7214F" w:rsidP="00385B04">
      <w:pPr>
        <w:pStyle w:val="ListParagraph"/>
        <w:numPr>
          <w:ilvl w:val="1"/>
          <w:numId w:val="32"/>
        </w:numPr>
        <w:ind w:left="567" w:hanging="567"/>
        <w:rPr>
          <w:rFonts w:cs="Arial"/>
          <w:color w:val="000000"/>
          <w:sz w:val="21"/>
          <w:szCs w:val="21"/>
        </w:rPr>
      </w:pPr>
      <w:r w:rsidRPr="00713025">
        <w:rPr>
          <w:rFonts w:cs="Arial"/>
          <w:color w:val="000000" w:themeColor="text1"/>
          <w:sz w:val="21"/>
          <w:szCs w:val="21"/>
        </w:rPr>
        <w:t xml:space="preserve">Where a disclosure is made to the discloser's supervisor, the supervisor is required to </w:t>
      </w:r>
      <w:r w:rsidR="00576509" w:rsidRPr="00713025">
        <w:rPr>
          <w:rFonts w:cs="Arial"/>
          <w:color w:val="000000" w:themeColor="text1"/>
          <w:sz w:val="21"/>
          <w:szCs w:val="21"/>
        </w:rPr>
        <w:t>inform the disclos</w:t>
      </w:r>
      <w:r w:rsidR="009661DB" w:rsidRPr="00713025">
        <w:rPr>
          <w:rFonts w:cs="Arial"/>
          <w:color w:val="000000" w:themeColor="text1"/>
          <w:sz w:val="21"/>
          <w:szCs w:val="21"/>
        </w:rPr>
        <w:t>er</w:t>
      </w:r>
      <w:r w:rsidR="00576509" w:rsidRPr="00713025">
        <w:rPr>
          <w:rFonts w:cs="Arial"/>
          <w:color w:val="000000" w:themeColor="text1"/>
          <w:sz w:val="21"/>
          <w:szCs w:val="21"/>
        </w:rPr>
        <w:t xml:space="preserve"> of the PID process and </w:t>
      </w:r>
      <w:r w:rsidRPr="00713025">
        <w:rPr>
          <w:rFonts w:cs="Arial"/>
          <w:color w:val="000000" w:themeColor="text1"/>
          <w:sz w:val="21"/>
          <w:szCs w:val="21"/>
        </w:rPr>
        <w:t xml:space="preserve">forward the disclosure to an </w:t>
      </w:r>
      <w:r w:rsidR="00DE0872" w:rsidRPr="00713025">
        <w:rPr>
          <w:rFonts w:cs="Arial"/>
          <w:color w:val="000000" w:themeColor="text1"/>
          <w:sz w:val="21"/>
          <w:szCs w:val="21"/>
        </w:rPr>
        <w:t>a</w:t>
      </w:r>
      <w:r w:rsidRPr="00713025">
        <w:rPr>
          <w:rFonts w:cs="Arial"/>
          <w:color w:val="000000" w:themeColor="text1"/>
          <w:sz w:val="21"/>
          <w:szCs w:val="21"/>
        </w:rPr>
        <w:t xml:space="preserve">uthorised </w:t>
      </w:r>
      <w:r w:rsidR="00DE0872" w:rsidRPr="00713025">
        <w:rPr>
          <w:rFonts w:cs="Arial"/>
          <w:color w:val="000000" w:themeColor="text1"/>
          <w:sz w:val="21"/>
          <w:szCs w:val="21"/>
        </w:rPr>
        <w:t>o</w:t>
      </w:r>
      <w:r w:rsidRPr="00713025">
        <w:rPr>
          <w:rFonts w:cs="Arial"/>
          <w:color w:val="000000" w:themeColor="text1"/>
          <w:sz w:val="21"/>
          <w:szCs w:val="21"/>
        </w:rPr>
        <w:t>fficer if the supervisor has reasonable grounds to believe that the information disclosed concerns, or could concern, disclosable conduct.</w:t>
      </w:r>
    </w:p>
    <w:p w14:paraId="2B5AD361" w14:textId="55641BEF" w:rsidR="00B7214F" w:rsidRPr="00713025" w:rsidRDefault="00B7214F" w:rsidP="00385B04">
      <w:pPr>
        <w:pStyle w:val="ListParagraph"/>
        <w:numPr>
          <w:ilvl w:val="1"/>
          <w:numId w:val="32"/>
        </w:numPr>
        <w:ind w:left="567" w:hanging="567"/>
        <w:rPr>
          <w:rFonts w:cs="Arial"/>
          <w:color w:val="000000"/>
          <w:sz w:val="21"/>
          <w:szCs w:val="21"/>
        </w:rPr>
      </w:pPr>
      <w:r w:rsidRPr="00713025">
        <w:rPr>
          <w:rFonts w:eastAsiaTheme="minorHAnsi" w:cs="Arial"/>
          <w:color w:val="000000"/>
          <w:sz w:val="21"/>
          <w:szCs w:val="21"/>
        </w:rPr>
        <w:t xml:space="preserve">The information contained in a disclosure should be clear and factual, and should, as far as </w:t>
      </w:r>
      <w:r w:rsidRPr="00713025">
        <w:rPr>
          <w:rFonts w:cs="Arial"/>
          <w:color w:val="000000" w:themeColor="text1"/>
          <w:sz w:val="21"/>
          <w:szCs w:val="21"/>
        </w:rPr>
        <w:t>possible</w:t>
      </w:r>
      <w:r w:rsidRPr="00713025">
        <w:rPr>
          <w:rFonts w:eastAsiaTheme="minorHAnsi" w:cs="Arial"/>
          <w:color w:val="000000"/>
          <w:sz w:val="21"/>
          <w:szCs w:val="21"/>
        </w:rPr>
        <w:t xml:space="preserve">, avoid speculation, personal </w:t>
      </w:r>
      <w:proofErr w:type="gramStart"/>
      <w:r w:rsidRPr="00713025">
        <w:rPr>
          <w:rFonts w:eastAsiaTheme="minorHAnsi" w:cs="Arial"/>
          <w:color w:val="000000"/>
          <w:sz w:val="21"/>
          <w:szCs w:val="21"/>
        </w:rPr>
        <w:t>attacks</w:t>
      </w:r>
      <w:proofErr w:type="gramEnd"/>
      <w:r w:rsidRPr="00713025">
        <w:rPr>
          <w:rFonts w:eastAsiaTheme="minorHAnsi" w:cs="Arial"/>
          <w:color w:val="000000"/>
          <w:sz w:val="21"/>
          <w:szCs w:val="21"/>
        </w:rPr>
        <w:t xml:space="preserve"> and emotive language. It should contain supporting evidence where that is available to the discloser and should, where possible, identify any witnesses to the disclosable conduct.</w:t>
      </w:r>
    </w:p>
    <w:p w14:paraId="566C0A14" w14:textId="574F9E5C" w:rsidR="00B7214F" w:rsidRPr="00713025" w:rsidRDefault="00B7214F" w:rsidP="00385B04">
      <w:pPr>
        <w:pStyle w:val="ListParagraph"/>
        <w:numPr>
          <w:ilvl w:val="1"/>
          <w:numId w:val="32"/>
        </w:numPr>
        <w:ind w:left="567" w:hanging="567"/>
        <w:rPr>
          <w:rFonts w:cs="Arial"/>
          <w:color w:val="000000"/>
          <w:sz w:val="21"/>
          <w:szCs w:val="21"/>
        </w:rPr>
      </w:pPr>
      <w:r w:rsidRPr="00713025">
        <w:rPr>
          <w:rFonts w:eastAsiaTheme="minorHAnsi" w:cs="Arial"/>
          <w:color w:val="000000"/>
          <w:sz w:val="21"/>
          <w:szCs w:val="21"/>
        </w:rPr>
        <w:t xml:space="preserve">To help the </w:t>
      </w:r>
      <w:r w:rsidR="00DE0872" w:rsidRPr="00713025">
        <w:rPr>
          <w:rFonts w:eastAsiaTheme="minorHAnsi" w:cs="Arial"/>
          <w:color w:val="000000"/>
          <w:sz w:val="21"/>
          <w:szCs w:val="21"/>
        </w:rPr>
        <w:t>a</w:t>
      </w:r>
      <w:r w:rsidRPr="00713025">
        <w:rPr>
          <w:rFonts w:eastAsiaTheme="minorHAnsi" w:cs="Arial"/>
          <w:color w:val="000000"/>
          <w:sz w:val="21"/>
          <w:szCs w:val="21"/>
        </w:rPr>
        <w:t xml:space="preserve">uthorised </w:t>
      </w:r>
      <w:r w:rsidR="00DE0872" w:rsidRPr="00713025">
        <w:rPr>
          <w:rFonts w:eastAsiaTheme="minorHAnsi" w:cs="Arial"/>
          <w:color w:val="000000"/>
          <w:sz w:val="21"/>
          <w:szCs w:val="21"/>
        </w:rPr>
        <w:t>o</w:t>
      </w:r>
      <w:r w:rsidRPr="00713025">
        <w:rPr>
          <w:rFonts w:eastAsiaTheme="minorHAnsi" w:cs="Arial"/>
          <w:color w:val="000000"/>
          <w:sz w:val="21"/>
          <w:szCs w:val="21"/>
        </w:rPr>
        <w:t>fficer to determine whether the disclosure is an internal disclosure, the information provided by a discloser should include:</w:t>
      </w:r>
    </w:p>
    <w:p w14:paraId="09CB72F1" w14:textId="77777777" w:rsidR="00B7214F" w:rsidRPr="000D5F05" w:rsidRDefault="00B7214F" w:rsidP="000D5F05">
      <w:pPr>
        <w:pStyle w:val="Numberedlist"/>
        <w:numPr>
          <w:ilvl w:val="0"/>
          <w:numId w:val="12"/>
        </w:numPr>
        <w:spacing w:before="60" w:after="60"/>
        <w:ind w:left="1134" w:hanging="340"/>
      </w:pPr>
      <w:r w:rsidRPr="000D5F05">
        <w:t>the discloser's name and contact details (this is optional</w:t>
      </w:r>
      <w:proofErr w:type="gramStart"/>
      <w:r w:rsidRPr="000D5F05">
        <w:t>);</w:t>
      </w:r>
      <w:proofErr w:type="gramEnd"/>
    </w:p>
    <w:p w14:paraId="5D053A93" w14:textId="57E6CAC5" w:rsidR="00B7214F" w:rsidRPr="000D5F05" w:rsidRDefault="00B7214F" w:rsidP="000D5F05">
      <w:pPr>
        <w:pStyle w:val="Numberedlist"/>
        <w:numPr>
          <w:ilvl w:val="0"/>
          <w:numId w:val="12"/>
        </w:numPr>
        <w:spacing w:before="60" w:after="60"/>
        <w:ind w:left="1134" w:hanging="340"/>
      </w:pPr>
      <w:r w:rsidRPr="000D5F05">
        <w:t xml:space="preserve">information that will assist the </w:t>
      </w:r>
      <w:r w:rsidR="00DE0872" w:rsidRPr="000D5F05">
        <w:t>a</w:t>
      </w:r>
      <w:r w:rsidRPr="000D5F05">
        <w:t xml:space="preserve">uthorised </w:t>
      </w:r>
      <w:r w:rsidR="00DE0872" w:rsidRPr="000D5F05">
        <w:t>o</w:t>
      </w:r>
      <w:r w:rsidRPr="000D5F05">
        <w:t>fficer to assess whether the discloser is a 'public official' (for example, that the discloser is a</w:t>
      </w:r>
      <w:r w:rsidR="00CE0BCB" w:rsidRPr="000D5F05">
        <w:t xml:space="preserve"> current or former </w:t>
      </w:r>
      <w:r w:rsidRPr="000D5F05">
        <w:t>employee of the department</w:t>
      </w:r>
      <w:proofErr w:type="gramStart"/>
      <w:r w:rsidRPr="000D5F05">
        <w:t>);</w:t>
      </w:r>
      <w:proofErr w:type="gramEnd"/>
    </w:p>
    <w:p w14:paraId="32E74860" w14:textId="1AE534F5" w:rsidR="00AC6A7B" w:rsidRPr="000D5F05" w:rsidRDefault="00DE0872" w:rsidP="000D5F05">
      <w:pPr>
        <w:pStyle w:val="Numberedlist"/>
        <w:numPr>
          <w:ilvl w:val="0"/>
          <w:numId w:val="12"/>
        </w:numPr>
        <w:spacing w:before="60" w:after="60"/>
        <w:ind w:left="1134" w:hanging="340"/>
      </w:pPr>
      <w:r w:rsidRPr="000D5F05">
        <w:t>a</w:t>
      </w:r>
      <w:r w:rsidR="00AC6A7B" w:rsidRPr="000D5F05">
        <w:t xml:space="preserve">ny supporting documents and/or any information about </w:t>
      </w:r>
      <w:proofErr w:type="gramStart"/>
      <w:r w:rsidR="00AC6A7B" w:rsidRPr="000D5F05">
        <w:t>witnesses;</w:t>
      </w:r>
      <w:proofErr w:type="gramEnd"/>
      <w:r w:rsidR="00AC6A7B" w:rsidRPr="000D5F05">
        <w:t xml:space="preserve"> </w:t>
      </w:r>
    </w:p>
    <w:p w14:paraId="2CA50DFE" w14:textId="77777777" w:rsidR="00B7214F" w:rsidRPr="000D5F05" w:rsidRDefault="00B7214F" w:rsidP="000D5F05">
      <w:pPr>
        <w:pStyle w:val="Numberedlist"/>
        <w:numPr>
          <w:ilvl w:val="0"/>
          <w:numId w:val="12"/>
        </w:numPr>
        <w:spacing w:before="60" w:after="60"/>
        <w:ind w:left="1134" w:hanging="340"/>
      </w:pPr>
      <w:r w:rsidRPr="000D5F05">
        <w:t>details of the following matters:</w:t>
      </w:r>
    </w:p>
    <w:p w14:paraId="53169506" w14:textId="77777777" w:rsidR="00B7214F" w:rsidRPr="00311C9F" w:rsidRDefault="00B7214F" w:rsidP="00311C9F">
      <w:pPr>
        <w:pStyle w:val="ListBullet"/>
        <w:ind w:left="1548" w:hanging="357"/>
        <w:rPr>
          <w:szCs w:val="21"/>
        </w:rPr>
      </w:pPr>
      <w:r w:rsidRPr="00311C9F">
        <w:rPr>
          <w:szCs w:val="21"/>
        </w:rPr>
        <w:t xml:space="preserve">the conduct the discloser believes amounts to the disclosable conduct </w:t>
      </w:r>
      <w:proofErr w:type="gramStart"/>
      <w:r w:rsidRPr="00311C9F">
        <w:rPr>
          <w:szCs w:val="21"/>
        </w:rPr>
        <w:t>identified;</w:t>
      </w:r>
      <w:proofErr w:type="gramEnd"/>
    </w:p>
    <w:p w14:paraId="245FF986" w14:textId="7C33613A" w:rsidR="00B7214F" w:rsidRPr="00311C9F" w:rsidRDefault="00B7214F" w:rsidP="00311C9F">
      <w:pPr>
        <w:pStyle w:val="ListBullet"/>
        <w:ind w:left="1548" w:hanging="357"/>
        <w:rPr>
          <w:szCs w:val="21"/>
        </w:rPr>
      </w:pPr>
      <w:r w:rsidRPr="00311C9F">
        <w:rPr>
          <w:szCs w:val="21"/>
        </w:rPr>
        <w:t>who was involved in th</w:t>
      </w:r>
      <w:r w:rsidR="00C50DDE" w:rsidRPr="00311C9F">
        <w:rPr>
          <w:szCs w:val="21"/>
        </w:rPr>
        <w:t xml:space="preserve">e </w:t>
      </w:r>
      <w:proofErr w:type="gramStart"/>
      <w:r w:rsidR="00C50DDE" w:rsidRPr="00311C9F">
        <w:rPr>
          <w:szCs w:val="21"/>
        </w:rPr>
        <w:t>conduct;</w:t>
      </w:r>
      <w:proofErr w:type="gramEnd"/>
    </w:p>
    <w:p w14:paraId="10F44434" w14:textId="287FA7CE" w:rsidR="00B7214F" w:rsidRPr="00311C9F" w:rsidRDefault="00B7214F" w:rsidP="00311C9F">
      <w:pPr>
        <w:pStyle w:val="ListBullet"/>
        <w:ind w:left="1548" w:hanging="357"/>
        <w:rPr>
          <w:szCs w:val="21"/>
        </w:rPr>
      </w:pPr>
      <w:r w:rsidRPr="00311C9F">
        <w:rPr>
          <w:szCs w:val="21"/>
        </w:rPr>
        <w:t xml:space="preserve">when </w:t>
      </w:r>
      <w:r w:rsidR="00C50DDE" w:rsidRPr="00311C9F">
        <w:rPr>
          <w:szCs w:val="21"/>
        </w:rPr>
        <w:t xml:space="preserve">and where the conduct </w:t>
      </w:r>
      <w:proofErr w:type="gramStart"/>
      <w:r w:rsidR="00C50DDE" w:rsidRPr="00311C9F">
        <w:rPr>
          <w:szCs w:val="21"/>
        </w:rPr>
        <w:t>occurred;</w:t>
      </w:r>
      <w:proofErr w:type="gramEnd"/>
    </w:p>
    <w:p w14:paraId="05E92D0D" w14:textId="494A4613" w:rsidR="00B7214F" w:rsidRPr="00311C9F" w:rsidRDefault="00B7214F" w:rsidP="00311C9F">
      <w:pPr>
        <w:pStyle w:val="ListBullet"/>
        <w:ind w:left="1548" w:hanging="357"/>
        <w:rPr>
          <w:szCs w:val="21"/>
        </w:rPr>
      </w:pPr>
      <w:r w:rsidRPr="00311C9F">
        <w:rPr>
          <w:szCs w:val="21"/>
        </w:rPr>
        <w:t>any relevant background information, including whether the conduct has been investigated in another forum</w:t>
      </w:r>
      <w:r w:rsidR="00AC6A7B" w:rsidRPr="00311C9F">
        <w:rPr>
          <w:szCs w:val="21"/>
        </w:rPr>
        <w:t xml:space="preserve"> or </w:t>
      </w:r>
      <w:proofErr w:type="gramStart"/>
      <w:r w:rsidR="00AC6A7B" w:rsidRPr="00311C9F">
        <w:rPr>
          <w:szCs w:val="21"/>
        </w:rPr>
        <w:t>previously</w:t>
      </w:r>
      <w:r w:rsidRPr="00311C9F">
        <w:rPr>
          <w:szCs w:val="21"/>
        </w:rPr>
        <w:t>;</w:t>
      </w:r>
      <w:proofErr w:type="gramEnd"/>
    </w:p>
    <w:p w14:paraId="5D71FB00" w14:textId="5D613F1E" w:rsidR="00B7214F" w:rsidRPr="00713025" w:rsidRDefault="00B7214F" w:rsidP="000D5F05">
      <w:pPr>
        <w:pStyle w:val="Numberedlist"/>
        <w:numPr>
          <w:ilvl w:val="0"/>
          <w:numId w:val="12"/>
        </w:numPr>
        <w:spacing w:before="60" w:after="60"/>
        <w:ind w:left="1134" w:hanging="340"/>
      </w:pPr>
      <w:r w:rsidRPr="000D5F05">
        <w:t xml:space="preserve">whether </w:t>
      </w:r>
      <w:r w:rsidR="00DE2D23" w:rsidRPr="000D5F05">
        <w:t>the discloser</w:t>
      </w:r>
      <w:r w:rsidR="00AC6A7B" w:rsidRPr="000D5F05">
        <w:t xml:space="preserve"> or anyone else has done </w:t>
      </w:r>
      <w:r w:rsidRPr="000D5F05">
        <w:t>anything in relation to the described conduct</w:t>
      </w:r>
      <w:r w:rsidRPr="00713025">
        <w:t>; and</w:t>
      </w:r>
    </w:p>
    <w:p w14:paraId="78B72070" w14:textId="76BF4301" w:rsidR="00B7214F" w:rsidRPr="000D5F05" w:rsidRDefault="00B7214F" w:rsidP="000D5F05">
      <w:pPr>
        <w:pStyle w:val="Numberedlist"/>
        <w:numPr>
          <w:ilvl w:val="0"/>
          <w:numId w:val="12"/>
        </w:numPr>
        <w:spacing w:before="60" w:after="60"/>
        <w:ind w:left="1134" w:hanging="340"/>
      </w:pPr>
      <w:r w:rsidRPr="00713025">
        <w:t xml:space="preserve">whether anyone else is aware of the described </w:t>
      </w:r>
      <w:proofErr w:type="gramStart"/>
      <w:r w:rsidRPr="00713025">
        <w:t>conduct;</w:t>
      </w:r>
      <w:proofErr w:type="gramEnd"/>
      <w:r w:rsidRPr="00713025">
        <w:t xml:space="preserve"> </w:t>
      </w:r>
    </w:p>
    <w:p w14:paraId="35E82592" w14:textId="52A20F0B" w:rsidR="00AC6A7B" w:rsidRPr="000D5F05" w:rsidRDefault="00B7214F" w:rsidP="000D5F05">
      <w:pPr>
        <w:pStyle w:val="Numberedlist"/>
        <w:numPr>
          <w:ilvl w:val="0"/>
          <w:numId w:val="12"/>
        </w:numPr>
        <w:spacing w:before="60" w:after="60"/>
        <w:ind w:left="1134" w:hanging="340"/>
      </w:pPr>
      <w:r w:rsidRPr="000D5F05">
        <w:t xml:space="preserve">the type of 'disclosable conduct' the discloser wishes to disclose (that is, which of the categories of conduct set out in section 29 of the </w:t>
      </w:r>
      <w:r w:rsidR="00DE2D23" w:rsidRPr="000D5F05">
        <w:t xml:space="preserve">PID </w:t>
      </w:r>
      <w:r w:rsidRPr="000D5F05">
        <w:t>Act is relevant)</w:t>
      </w:r>
      <w:r w:rsidR="00AC6A7B" w:rsidRPr="000D5F05">
        <w:t>; and</w:t>
      </w:r>
    </w:p>
    <w:p w14:paraId="2464690B" w14:textId="77E6465B" w:rsidR="00B7214F" w:rsidRPr="000D5F05" w:rsidRDefault="00AC6A7B" w:rsidP="000D5F05">
      <w:pPr>
        <w:pStyle w:val="Numberedlist"/>
        <w:numPr>
          <w:ilvl w:val="0"/>
          <w:numId w:val="12"/>
        </w:numPr>
        <w:spacing w:before="60" w:after="60"/>
        <w:ind w:left="1134" w:hanging="340"/>
      </w:pPr>
      <w:r w:rsidRPr="000D5F05">
        <w:t xml:space="preserve">if the discloser considers the alleged wrongdoing could also be considered corrupt conduct. </w:t>
      </w:r>
    </w:p>
    <w:p w14:paraId="3B1E8451" w14:textId="1813C0D0" w:rsidR="00B7214F" w:rsidRPr="00713025" w:rsidRDefault="00B7214F" w:rsidP="00385B04">
      <w:pPr>
        <w:pStyle w:val="ListParagraph"/>
        <w:numPr>
          <w:ilvl w:val="1"/>
          <w:numId w:val="32"/>
        </w:numPr>
        <w:ind w:left="567" w:hanging="567"/>
        <w:rPr>
          <w:rFonts w:cs="Arial"/>
          <w:color w:val="000000"/>
          <w:sz w:val="21"/>
          <w:szCs w:val="21"/>
        </w:rPr>
      </w:pPr>
      <w:r w:rsidRPr="00713025">
        <w:rPr>
          <w:rFonts w:cs="Arial"/>
          <w:color w:val="000000" w:themeColor="text1"/>
          <w:sz w:val="21"/>
          <w:szCs w:val="21"/>
        </w:rPr>
        <w:t xml:space="preserve">A </w:t>
      </w:r>
      <w:r w:rsidRPr="00713025">
        <w:rPr>
          <w:rFonts w:eastAsiaTheme="minorHAnsi" w:cs="Arial"/>
          <w:color w:val="000000"/>
          <w:sz w:val="21"/>
          <w:szCs w:val="21"/>
        </w:rPr>
        <w:t>potential</w:t>
      </w:r>
      <w:r w:rsidRPr="00713025">
        <w:rPr>
          <w:rFonts w:cs="Arial"/>
          <w:color w:val="000000" w:themeColor="text1"/>
          <w:sz w:val="21"/>
          <w:szCs w:val="21"/>
        </w:rPr>
        <w:t xml:space="preserve"> discloser should not investigate a matter themselves</w:t>
      </w:r>
      <w:r w:rsidR="00C50DDE" w:rsidRPr="00713025">
        <w:rPr>
          <w:rFonts w:cs="Arial"/>
          <w:color w:val="000000" w:themeColor="text1"/>
          <w:sz w:val="21"/>
          <w:szCs w:val="21"/>
        </w:rPr>
        <w:t xml:space="preserve"> before making a disclosure</w:t>
      </w:r>
      <w:r w:rsidR="00BD128D" w:rsidRPr="00713025">
        <w:rPr>
          <w:rFonts w:cs="Arial"/>
          <w:color w:val="000000" w:themeColor="text1"/>
          <w:sz w:val="21"/>
          <w:szCs w:val="21"/>
        </w:rPr>
        <w:t>, however a discl</w:t>
      </w:r>
      <w:r w:rsidR="00370FCF" w:rsidRPr="00713025">
        <w:rPr>
          <w:rFonts w:cs="Arial"/>
          <w:color w:val="000000" w:themeColor="text1"/>
          <w:sz w:val="21"/>
          <w:szCs w:val="21"/>
        </w:rPr>
        <w:t xml:space="preserve">oser has a responsibility to provide reasonable help as required during </w:t>
      </w:r>
      <w:r w:rsidR="00DE2D23" w:rsidRPr="00713025">
        <w:rPr>
          <w:rFonts w:cs="Arial"/>
          <w:color w:val="000000" w:themeColor="text1"/>
          <w:sz w:val="21"/>
          <w:szCs w:val="21"/>
        </w:rPr>
        <w:t>any</w:t>
      </w:r>
      <w:r w:rsidR="00370FCF" w:rsidRPr="00713025">
        <w:rPr>
          <w:rFonts w:cs="Arial"/>
          <w:color w:val="000000" w:themeColor="text1"/>
          <w:sz w:val="21"/>
          <w:szCs w:val="21"/>
        </w:rPr>
        <w:t xml:space="preserve"> investigation.</w:t>
      </w:r>
    </w:p>
    <w:p w14:paraId="16E0725A" w14:textId="45EEF7E1" w:rsidR="00B7214F" w:rsidRPr="00713025" w:rsidRDefault="00B7214F" w:rsidP="00385B04">
      <w:pPr>
        <w:pStyle w:val="ListParagraph"/>
        <w:numPr>
          <w:ilvl w:val="1"/>
          <w:numId w:val="32"/>
        </w:numPr>
        <w:ind w:left="567" w:hanging="567"/>
        <w:rPr>
          <w:rFonts w:eastAsiaTheme="minorHAnsi" w:cs="Arial"/>
          <w:color w:val="000000"/>
          <w:sz w:val="21"/>
          <w:szCs w:val="21"/>
        </w:rPr>
      </w:pPr>
      <w:r w:rsidRPr="00713025">
        <w:rPr>
          <w:rFonts w:eastAsiaTheme="minorHAnsi" w:cs="Arial"/>
          <w:color w:val="000000"/>
          <w:sz w:val="21"/>
          <w:szCs w:val="21"/>
        </w:rPr>
        <w:t xml:space="preserve">Once a public interest disclosure has been made, it cannot be "withdrawn".  However, a discloser may state that they do not wish the disclosure to be investigated and they may refuse to </w:t>
      </w:r>
      <w:r w:rsidRPr="00713025">
        <w:rPr>
          <w:rFonts w:cs="Arial"/>
          <w:color w:val="000000" w:themeColor="text1"/>
          <w:sz w:val="21"/>
          <w:szCs w:val="21"/>
        </w:rPr>
        <w:t>consent</w:t>
      </w:r>
      <w:r w:rsidRPr="00713025">
        <w:rPr>
          <w:rFonts w:eastAsiaTheme="minorHAnsi" w:cs="Arial"/>
          <w:color w:val="000000"/>
          <w:sz w:val="21"/>
          <w:szCs w:val="21"/>
        </w:rPr>
        <w:t xml:space="preserve"> to their name and contact details being provided to the </w:t>
      </w:r>
      <w:r w:rsidR="00DE2D23" w:rsidRPr="00713025">
        <w:rPr>
          <w:rFonts w:eastAsiaTheme="minorHAnsi" w:cs="Arial"/>
          <w:color w:val="000000"/>
          <w:sz w:val="21"/>
          <w:szCs w:val="21"/>
        </w:rPr>
        <w:t>p</w:t>
      </w:r>
      <w:r w:rsidRPr="00713025">
        <w:rPr>
          <w:rFonts w:eastAsiaTheme="minorHAnsi" w:cs="Arial"/>
          <w:color w:val="000000"/>
          <w:sz w:val="21"/>
          <w:szCs w:val="21"/>
        </w:rPr>
        <w:t xml:space="preserve">rincipal </w:t>
      </w:r>
      <w:r w:rsidR="00DE2D23" w:rsidRPr="00713025">
        <w:rPr>
          <w:rFonts w:eastAsiaTheme="minorHAnsi" w:cs="Arial"/>
          <w:color w:val="000000"/>
          <w:sz w:val="21"/>
          <w:szCs w:val="21"/>
        </w:rPr>
        <w:t>o</w:t>
      </w:r>
      <w:r w:rsidRPr="00713025">
        <w:rPr>
          <w:rFonts w:eastAsiaTheme="minorHAnsi" w:cs="Arial"/>
          <w:color w:val="000000"/>
          <w:sz w:val="21"/>
          <w:szCs w:val="21"/>
        </w:rPr>
        <w:t xml:space="preserve">fficer </w:t>
      </w:r>
      <w:r w:rsidRPr="00713025">
        <w:rPr>
          <w:rFonts w:eastAsiaTheme="minorHAnsi" w:cs="Arial"/>
          <w:color w:val="000000"/>
          <w:sz w:val="21"/>
          <w:szCs w:val="21"/>
        </w:rPr>
        <w:lastRenderedPageBreak/>
        <w:t>and</w:t>
      </w:r>
      <w:r w:rsidR="00DE2D23" w:rsidRPr="00713025">
        <w:rPr>
          <w:rFonts w:eastAsiaTheme="minorHAnsi" w:cs="Arial"/>
          <w:color w:val="000000"/>
          <w:sz w:val="21"/>
          <w:szCs w:val="21"/>
        </w:rPr>
        <w:t>/or a</w:t>
      </w:r>
      <w:r w:rsidRPr="00713025">
        <w:rPr>
          <w:rFonts w:eastAsiaTheme="minorHAnsi" w:cs="Arial"/>
          <w:color w:val="000000"/>
          <w:sz w:val="21"/>
          <w:szCs w:val="21"/>
        </w:rPr>
        <w:t xml:space="preserve"> </w:t>
      </w:r>
      <w:r w:rsidRPr="00713025">
        <w:rPr>
          <w:rFonts w:cs="Arial"/>
          <w:color w:val="000000" w:themeColor="text1"/>
          <w:sz w:val="21"/>
          <w:szCs w:val="21"/>
        </w:rPr>
        <w:t>delegate</w:t>
      </w:r>
      <w:r w:rsidR="00DE2D23" w:rsidRPr="00713025">
        <w:rPr>
          <w:rFonts w:eastAsiaTheme="minorHAnsi" w:cs="Arial"/>
          <w:color w:val="000000"/>
          <w:sz w:val="21"/>
          <w:szCs w:val="21"/>
        </w:rPr>
        <w:t xml:space="preserve">. However, ultimately the principal officer or their delegate can only decide not to investigate the disclosure once it has been made if they are also satisfied, on reasonable grounds, that there are no matters concerning the disclosure that warrant investigation. </w:t>
      </w:r>
      <w:r w:rsidR="00DE2D23" w:rsidRPr="00713025">
        <w:rPr>
          <w:rFonts w:cs="Arial"/>
          <w:color w:val="000000" w:themeColor="text1"/>
          <w:sz w:val="21"/>
          <w:szCs w:val="21"/>
        </w:rPr>
        <w:t xml:space="preserve">Accordingly, even if a discloser indicates that they do not wish for their disclosure to be pursued, the </w:t>
      </w:r>
      <w:r w:rsidRPr="00713025">
        <w:rPr>
          <w:rFonts w:cs="Arial"/>
          <w:color w:val="000000" w:themeColor="text1"/>
          <w:sz w:val="21"/>
          <w:szCs w:val="21"/>
        </w:rPr>
        <w:t>department may nonetheless be required under the</w:t>
      </w:r>
      <w:r w:rsidR="00DE2D23" w:rsidRPr="00713025">
        <w:rPr>
          <w:rFonts w:cs="Arial"/>
          <w:color w:val="000000" w:themeColor="text1"/>
          <w:sz w:val="21"/>
          <w:szCs w:val="21"/>
        </w:rPr>
        <w:t xml:space="preserve"> PID</w:t>
      </w:r>
      <w:r w:rsidRPr="00713025">
        <w:rPr>
          <w:rFonts w:cs="Arial"/>
          <w:color w:val="000000" w:themeColor="text1"/>
          <w:sz w:val="21"/>
          <w:szCs w:val="21"/>
        </w:rPr>
        <w:t xml:space="preserve"> Act to investigate (or to continue</w:t>
      </w:r>
      <w:r w:rsidR="00C50DDE" w:rsidRPr="00713025">
        <w:rPr>
          <w:rFonts w:cs="Arial"/>
          <w:color w:val="000000" w:themeColor="text1"/>
          <w:sz w:val="21"/>
          <w:szCs w:val="21"/>
        </w:rPr>
        <w:t xml:space="preserve"> investigating) the disclosure.</w:t>
      </w:r>
    </w:p>
    <w:p w14:paraId="3B8FABC8" w14:textId="366D2A9F" w:rsidR="00B7214F" w:rsidRPr="00713025" w:rsidRDefault="00B7214F" w:rsidP="00385B04">
      <w:pPr>
        <w:pStyle w:val="ListParagraph"/>
        <w:numPr>
          <w:ilvl w:val="1"/>
          <w:numId w:val="32"/>
        </w:numPr>
        <w:ind w:left="567" w:hanging="567"/>
        <w:rPr>
          <w:rFonts w:eastAsiaTheme="minorHAnsi" w:cs="Arial"/>
          <w:color w:val="000000"/>
          <w:sz w:val="21"/>
          <w:szCs w:val="21"/>
        </w:rPr>
      </w:pPr>
      <w:r w:rsidRPr="00713025">
        <w:rPr>
          <w:rFonts w:cs="Arial"/>
          <w:color w:val="000000" w:themeColor="text1"/>
          <w:sz w:val="21"/>
          <w:szCs w:val="21"/>
        </w:rPr>
        <w:t xml:space="preserve">A person who has made a disclosure under the </w:t>
      </w:r>
      <w:r w:rsidR="00DE2D23" w:rsidRPr="00713025">
        <w:rPr>
          <w:rFonts w:cs="Arial"/>
          <w:color w:val="000000" w:themeColor="text1"/>
          <w:sz w:val="21"/>
          <w:szCs w:val="21"/>
        </w:rPr>
        <w:t xml:space="preserve">PID </w:t>
      </w:r>
      <w:r w:rsidRPr="00713025">
        <w:rPr>
          <w:rFonts w:cs="Arial"/>
          <w:color w:val="000000" w:themeColor="text1"/>
          <w:sz w:val="21"/>
          <w:szCs w:val="21"/>
        </w:rPr>
        <w:t>Act should not discuss the details of their disclosure with anyone who does no</w:t>
      </w:r>
      <w:r w:rsidR="00C50DDE" w:rsidRPr="00713025">
        <w:rPr>
          <w:rFonts w:cs="Arial"/>
          <w:color w:val="000000" w:themeColor="text1"/>
          <w:sz w:val="21"/>
          <w:szCs w:val="21"/>
        </w:rPr>
        <w:t>t have a need to know about it.</w:t>
      </w:r>
    </w:p>
    <w:p w14:paraId="11BDDD45" w14:textId="71CC322A" w:rsidR="00B7214F" w:rsidRDefault="00B7214F" w:rsidP="00385B04">
      <w:pPr>
        <w:pStyle w:val="ListParagraph"/>
        <w:numPr>
          <w:ilvl w:val="1"/>
          <w:numId w:val="32"/>
        </w:numPr>
        <w:ind w:left="567" w:hanging="567"/>
        <w:rPr>
          <w:rFonts w:cs="Arial"/>
          <w:color w:val="000000" w:themeColor="text1"/>
          <w:sz w:val="21"/>
          <w:szCs w:val="21"/>
        </w:rPr>
      </w:pPr>
      <w:r w:rsidRPr="00713025">
        <w:rPr>
          <w:rFonts w:cs="Arial"/>
          <w:color w:val="000000" w:themeColor="text1"/>
          <w:sz w:val="21"/>
          <w:szCs w:val="21"/>
        </w:rPr>
        <w:t xml:space="preserve">A manager or supervisor or </w:t>
      </w:r>
      <w:r w:rsidR="00DE2D23" w:rsidRPr="00713025">
        <w:rPr>
          <w:rFonts w:cs="Arial"/>
          <w:color w:val="000000" w:themeColor="text1"/>
          <w:sz w:val="21"/>
          <w:szCs w:val="21"/>
        </w:rPr>
        <w:t>a</w:t>
      </w:r>
      <w:r w:rsidRPr="00713025">
        <w:rPr>
          <w:rFonts w:cs="Arial"/>
          <w:color w:val="000000" w:themeColor="text1"/>
          <w:sz w:val="21"/>
          <w:szCs w:val="21"/>
        </w:rPr>
        <w:t xml:space="preserve">uthorised </w:t>
      </w:r>
      <w:r w:rsidR="00DE2D23" w:rsidRPr="00713025">
        <w:rPr>
          <w:rFonts w:cs="Arial"/>
          <w:color w:val="000000" w:themeColor="text1"/>
          <w:sz w:val="21"/>
          <w:szCs w:val="21"/>
        </w:rPr>
        <w:t>o</w:t>
      </w:r>
      <w:r w:rsidRPr="00713025">
        <w:rPr>
          <w:rFonts w:cs="Arial"/>
          <w:color w:val="000000" w:themeColor="text1"/>
          <w:sz w:val="21"/>
          <w:szCs w:val="21"/>
        </w:rPr>
        <w:t xml:space="preserve">fficer who receives a disclosure of disclosable conduct from a </w:t>
      </w:r>
      <w:r w:rsidR="00DE2D23" w:rsidRPr="00713025">
        <w:rPr>
          <w:rFonts w:cs="Arial"/>
          <w:color w:val="000000" w:themeColor="text1"/>
          <w:sz w:val="21"/>
          <w:szCs w:val="21"/>
        </w:rPr>
        <w:t xml:space="preserve">current or former </w:t>
      </w:r>
      <w:r w:rsidRPr="00713025">
        <w:rPr>
          <w:rFonts w:cs="Arial"/>
          <w:color w:val="000000" w:themeColor="text1"/>
          <w:sz w:val="21"/>
          <w:szCs w:val="21"/>
        </w:rPr>
        <w:t xml:space="preserve">public official must deal with the disclosure in accordance with the </w:t>
      </w:r>
      <w:r w:rsidR="00DE2D23" w:rsidRPr="00713025">
        <w:rPr>
          <w:rFonts w:cs="Arial"/>
          <w:color w:val="000000" w:themeColor="text1"/>
          <w:sz w:val="21"/>
          <w:szCs w:val="21"/>
        </w:rPr>
        <w:t xml:space="preserve">PID </w:t>
      </w:r>
      <w:r w:rsidRPr="00713025">
        <w:rPr>
          <w:rFonts w:cs="Arial"/>
          <w:color w:val="000000" w:themeColor="text1"/>
          <w:sz w:val="21"/>
          <w:szCs w:val="21"/>
        </w:rPr>
        <w:t xml:space="preserve">Act and in accordance with the PID </w:t>
      </w:r>
      <w:r w:rsidR="00C50DDE" w:rsidRPr="00713025">
        <w:rPr>
          <w:rFonts w:cs="Arial"/>
          <w:color w:val="000000" w:themeColor="text1"/>
          <w:sz w:val="21"/>
          <w:szCs w:val="21"/>
        </w:rPr>
        <w:t>Standard and these procedures.</w:t>
      </w:r>
    </w:p>
    <w:p w14:paraId="7CFB084A" w14:textId="5EE36C48" w:rsidR="00F02482" w:rsidRPr="00713025" w:rsidRDefault="00F02482" w:rsidP="0070065D">
      <w:pPr>
        <w:pStyle w:val="Heading2"/>
        <w:rPr>
          <w:rFonts w:eastAsia="Arial"/>
        </w:rPr>
      </w:pPr>
      <w:bookmarkStart w:id="19" w:name="_Toc150789930"/>
      <w:r w:rsidRPr="00713025">
        <w:rPr>
          <w:rFonts w:eastAsia="Arial"/>
        </w:rPr>
        <w:t>Anonymity</w:t>
      </w:r>
      <w:bookmarkEnd w:id="18"/>
      <w:bookmarkEnd w:id="19"/>
    </w:p>
    <w:p w14:paraId="7054DA42" w14:textId="03AFB282" w:rsidR="00C50DDE" w:rsidRPr="00713025" w:rsidRDefault="00C50DDE" w:rsidP="00385B04">
      <w:pPr>
        <w:pStyle w:val="ListParagraph"/>
        <w:numPr>
          <w:ilvl w:val="1"/>
          <w:numId w:val="32"/>
        </w:numPr>
        <w:ind w:left="567" w:hanging="567"/>
        <w:rPr>
          <w:rFonts w:cs="Arial"/>
          <w:color w:val="000000" w:themeColor="text1"/>
          <w:sz w:val="21"/>
          <w:szCs w:val="21"/>
        </w:rPr>
      </w:pPr>
      <w:bookmarkStart w:id="20" w:name="_Toc49525268"/>
      <w:r w:rsidRPr="00713025">
        <w:rPr>
          <w:rFonts w:cs="Arial"/>
          <w:color w:val="000000" w:themeColor="text1"/>
          <w:sz w:val="21"/>
          <w:szCs w:val="21"/>
        </w:rPr>
        <w:t>A person may choose to make a disclosure anonymously</w:t>
      </w:r>
      <w:r w:rsidR="00752DB5" w:rsidRPr="00713025">
        <w:rPr>
          <w:rFonts w:cs="Arial"/>
          <w:color w:val="000000" w:themeColor="text1"/>
          <w:sz w:val="21"/>
          <w:szCs w:val="21"/>
        </w:rPr>
        <w:t xml:space="preserve"> or through use of a pseudonym</w:t>
      </w:r>
      <w:r w:rsidRPr="00713025">
        <w:rPr>
          <w:rFonts w:cs="Arial"/>
          <w:color w:val="000000" w:themeColor="text1"/>
          <w:sz w:val="21"/>
          <w:szCs w:val="21"/>
        </w:rPr>
        <w:t>.</w:t>
      </w:r>
    </w:p>
    <w:p w14:paraId="0246131D" w14:textId="065FE9DB" w:rsidR="00C50DDE" w:rsidRPr="00713025" w:rsidRDefault="00C50DDE" w:rsidP="00385B04">
      <w:pPr>
        <w:pStyle w:val="ListParagraph"/>
        <w:numPr>
          <w:ilvl w:val="1"/>
          <w:numId w:val="32"/>
        </w:numPr>
        <w:ind w:left="567" w:hanging="567"/>
        <w:rPr>
          <w:rFonts w:cs="Arial"/>
          <w:color w:val="000000" w:themeColor="text1"/>
          <w:sz w:val="21"/>
          <w:szCs w:val="21"/>
        </w:rPr>
      </w:pPr>
      <w:r w:rsidRPr="00713025">
        <w:rPr>
          <w:rFonts w:cs="Arial"/>
          <w:color w:val="000000" w:themeColor="text1"/>
          <w:sz w:val="21"/>
          <w:szCs w:val="21"/>
        </w:rPr>
        <w:t>A disclosure is considered anonymous if the identity of the discloser is not revealed and if no contact details for the discloser are provided</w:t>
      </w:r>
      <w:r w:rsidR="00DE2D23" w:rsidRPr="00713025">
        <w:rPr>
          <w:rFonts w:cs="Arial"/>
          <w:color w:val="000000" w:themeColor="text1"/>
          <w:sz w:val="21"/>
          <w:szCs w:val="21"/>
        </w:rPr>
        <w:t xml:space="preserve">. </w:t>
      </w:r>
      <w:r w:rsidRPr="00713025">
        <w:rPr>
          <w:rFonts w:cs="Arial"/>
          <w:color w:val="000000" w:themeColor="text1"/>
          <w:sz w:val="21"/>
          <w:szCs w:val="21"/>
        </w:rPr>
        <w:t>A disclosure may also be considered anonymous if the discloser does not disclose their name but does provide anonymous contact details.</w:t>
      </w:r>
    </w:p>
    <w:p w14:paraId="5557E812" w14:textId="5DC7B9BC" w:rsidR="00C50DDE" w:rsidRPr="00713025" w:rsidRDefault="00C50DDE" w:rsidP="00385B04">
      <w:pPr>
        <w:pStyle w:val="ListParagraph"/>
        <w:numPr>
          <w:ilvl w:val="1"/>
          <w:numId w:val="32"/>
        </w:numPr>
        <w:ind w:left="567" w:hanging="567"/>
        <w:rPr>
          <w:rFonts w:cs="Arial"/>
          <w:color w:val="000000" w:themeColor="text1"/>
          <w:sz w:val="21"/>
          <w:szCs w:val="21"/>
        </w:rPr>
      </w:pPr>
      <w:r w:rsidRPr="00713025">
        <w:rPr>
          <w:rFonts w:cs="Arial"/>
          <w:color w:val="000000" w:themeColor="text1"/>
          <w:sz w:val="21"/>
          <w:szCs w:val="21"/>
        </w:rPr>
        <w:t xml:space="preserve">In deciding </w:t>
      </w:r>
      <w:proofErr w:type="gramStart"/>
      <w:r w:rsidRPr="00713025">
        <w:rPr>
          <w:rFonts w:cs="Arial"/>
          <w:color w:val="000000" w:themeColor="text1"/>
          <w:sz w:val="21"/>
          <w:szCs w:val="21"/>
        </w:rPr>
        <w:t>whether or not</w:t>
      </w:r>
      <w:proofErr w:type="gramEnd"/>
      <w:r w:rsidRPr="00713025">
        <w:rPr>
          <w:rFonts w:cs="Arial"/>
          <w:color w:val="000000" w:themeColor="text1"/>
          <w:sz w:val="21"/>
          <w:szCs w:val="21"/>
        </w:rPr>
        <w:t xml:space="preserve"> to make a disclosure anonymously</w:t>
      </w:r>
      <w:r w:rsidR="00752DB5" w:rsidRPr="00713025">
        <w:rPr>
          <w:rFonts w:cs="Arial"/>
          <w:color w:val="000000" w:themeColor="text1"/>
          <w:sz w:val="21"/>
          <w:szCs w:val="21"/>
        </w:rPr>
        <w:t xml:space="preserve"> or pseudonymously</w:t>
      </w:r>
      <w:r w:rsidRPr="00713025">
        <w:rPr>
          <w:rFonts w:cs="Arial"/>
          <w:color w:val="000000" w:themeColor="text1"/>
          <w:sz w:val="21"/>
          <w:szCs w:val="21"/>
        </w:rPr>
        <w:t>, a potential discloser should consider the following matters:</w:t>
      </w:r>
    </w:p>
    <w:p w14:paraId="286EDEA6" w14:textId="6D8BBCE6" w:rsidR="00C50DDE" w:rsidRPr="000D5F05" w:rsidRDefault="00C50DDE" w:rsidP="000D5F05">
      <w:pPr>
        <w:pStyle w:val="Numberedlist"/>
        <w:numPr>
          <w:ilvl w:val="0"/>
          <w:numId w:val="12"/>
        </w:numPr>
        <w:spacing w:before="60" w:after="60"/>
        <w:ind w:left="1134" w:hanging="340"/>
      </w:pPr>
      <w:r w:rsidRPr="000D5F05">
        <w:t>it will be difficult for the department to protect the discloser from reprisals if the department does not know the discloser's identity.</w:t>
      </w:r>
    </w:p>
    <w:p w14:paraId="40604432" w14:textId="2B924898" w:rsidR="00C50DDE" w:rsidRPr="000D5F05" w:rsidRDefault="00C50DDE" w:rsidP="000D5F05">
      <w:pPr>
        <w:pStyle w:val="Numberedlist"/>
        <w:numPr>
          <w:ilvl w:val="0"/>
          <w:numId w:val="12"/>
        </w:numPr>
        <w:spacing w:before="60" w:after="60"/>
        <w:ind w:left="1134" w:hanging="340"/>
      </w:pPr>
      <w:r w:rsidRPr="000D5F05">
        <w:t xml:space="preserve">if an </w:t>
      </w:r>
      <w:r w:rsidR="00DE2D23" w:rsidRPr="000D5F05">
        <w:t>a</w:t>
      </w:r>
      <w:r w:rsidRPr="000D5F05">
        <w:t xml:space="preserve">uthorised </w:t>
      </w:r>
      <w:r w:rsidR="00DE2D23" w:rsidRPr="000D5F05">
        <w:t>o</w:t>
      </w:r>
      <w:r w:rsidRPr="000D5F05">
        <w:t xml:space="preserve">fficer is satisfied on reasonable grounds that there is no reasonable basis on which the disclosure could </w:t>
      </w:r>
      <w:proofErr w:type="gramStart"/>
      <w:r w:rsidRPr="000D5F05">
        <w:t>be considered to be</w:t>
      </w:r>
      <w:proofErr w:type="gramEnd"/>
      <w:r w:rsidRPr="000D5F05">
        <w:t xml:space="preserve"> an internal disclosure</w:t>
      </w:r>
      <w:r w:rsidR="00DE2D23" w:rsidRPr="000D5F05">
        <w:t xml:space="preserve"> (for example, because they cannot be satisfied the discloser is a current or former public official)</w:t>
      </w:r>
      <w:r w:rsidRPr="000D5F05">
        <w:t xml:space="preserve">, the </w:t>
      </w:r>
      <w:r w:rsidR="00DE2D23" w:rsidRPr="000D5F05">
        <w:t>a</w:t>
      </w:r>
      <w:r w:rsidRPr="000D5F05">
        <w:t xml:space="preserve">uthorised </w:t>
      </w:r>
      <w:r w:rsidR="00DE2D23" w:rsidRPr="000D5F05">
        <w:t>o</w:t>
      </w:r>
      <w:r w:rsidRPr="000D5F05">
        <w:t>fficer is not required to allocate the disclosure for handling under the</w:t>
      </w:r>
      <w:r w:rsidR="00666C97" w:rsidRPr="000D5F05">
        <w:t xml:space="preserve"> </w:t>
      </w:r>
      <w:r w:rsidR="00DE2D23" w:rsidRPr="000D5F05">
        <w:t>PID</w:t>
      </w:r>
      <w:r w:rsidRPr="000D5F05">
        <w:t xml:space="preserve"> Act.  Accordingly, if the </w:t>
      </w:r>
      <w:r w:rsidR="00DE2D23" w:rsidRPr="000D5F05">
        <w:t>a</w:t>
      </w:r>
      <w:r w:rsidRPr="000D5F05">
        <w:t xml:space="preserve">uthorised </w:t>
      </w:r>
      <w:r w:rsidR="00666C97" w:rsidRPr="000D5F05">
        <w:t>o</w:t>
      </w:r>
      <w:r w:rsidRPr="000D5F05">
        <w:t>fficer cannot contact the discloser to seek further information about the disclosure, the matter may not proceed.</w:t>
      </w:r>
    </w:p>
    <w:p w14:paraId="48250D5A" w14:textId="49470C93" w:rsidR="00C50DDE" w:rsidRPr="000D5F05" w:rsidRDefault="00C50DDE" w:rsidP="000D5F05">
      <w:pPr>
        <w:pStyle w:val="Numberedlist"/>
        <w:numPr>
          <w:ilvl w:val="0"/>
          <w:numId w:val="12"/>
        </w:numPr>
        <w:spacing w:before="60" w:after="60"/>
        <w:ind w:left="1134" w:hanging="340"/>
      </w:pPr>
      <w:r w:rsidRPr="000D5F05">
        <w:t xml:space="preserve">if an </w:t>
      </w:r>
      <w:r w:rsidR="00666C97" w:rsidRPr="000D5F05">
        <w:t>a</w:t>
      </w:r>
      <w:r w:rsidRPr="000D5F05">
        <w:t xml:space="preserve">uthorised </w:t>
      </w:r>
      <w:r w:rsidR="00666C97" w:rsidRPr="000D5F05">
        <w:t>o</w:t>
      </w:r>
      <w:r w:rsidRPr="000D5F05">
        <w:t xml:space="preserve">fficer is satisfied that the discloser is not a public official, they will consider exercising their discretion under section 70 of the </w:t>
      </w:r>
      <w:r w:rsidR="00666C97" w:rsidRPr="000D5F05">
        <w:t xml:space="preserve">PID </w:t>
      </w:r>
      <w:r w:rsidRPr="000D5F05">
        <w:t>Act to determine that the</w:t>
      </w:r>
      <w:r w:rsidR="00666C97" w:rsidRPr="000D5F05">
        <w:t xml:space="preserve"> PID</w:t>
      </w:r>
      <w:r w:rsidRPr="000D5F05">
        <w:t xml:space="preserve"> Act has effect as if the individual were a public official.  If the discloser does not provide their contact details, </w:t>
      </w:r>
      <w:r w:rsidRPr="00713025">
        <w:t xml:space="preserve">no determination may be able to be made because the </w:t>
      </w:r>
      <w:r w:rsidR="00666C97" w:rsidRPr="00713025">
        <w:t>a</w:t>
      </w:r>
      <w:r w:rsidRPr="00713025">
        <w:t>uthorised</w:t>
      </w:r>
      <w:r w:rsidR="00666C97" w:rsidRPr="00713025">
        <w:t xml:space="preserve"> o</w:t>
      </w:r>
      <w:r w:rsidRPr="00713025">
        <w:t>fficer must be able to give written notice of the determination to the individual.</w:t>
      </w:r>
    </w:p>
    <w:p w14:paraId="507E11B5" w14:textId="61FFB925" w:rsidR="00C50DDE" w:rsidRPr="000D5F05" w:rsidRDefault="00C50DDE" w:rsidP="000D5F05">
      <w:pPr>
        <w:pStyle w:val="Numberedlist"/>
        <w:numPr>
          <w:ilvl w:val="0"/>
          <w:numId w:val="12"/>
        </w:numPr>
        <w:spacing w:before="60" w:after="60"/>
        <w:ind w:left="1134" w:hanging="340"/>
      </w:pPr>
      <w:r w:rsidRPr="000D5F05">
        <w:t xml:space="preserve">an </w:t>
      </w:r>
      <w:r w:rsidR="00666C97" w:rsidRPr="000D5F05">
        <w:t>a</w:t>
      </w:r>
      <w:r w:rsidRPr="000D5F05">
        <w:t xml:space="preserve">uthorised </w:t>
      </w:r>
      <w:r w:rsidR="00666C97" w:rsidRPr="000D5F05">
        <w:t>o</w:t>
      </w:r>
      <w:r w:rsidRPr="000D5F05">
        <w:t xml:space="preserve">fficer will seek the discloser's consent prior to providing the discloser's name and contact details (if known) to the </w:t>
      </w:r>
      <w:r w:rsidR="00666C97" w:rsidRPr="000D5F05">
        <w:t>p</w:t>
      </w:r>
      <w:r w:rsidRPr="000D5F05">
        <w:t xml:space="preserve">rincipal </w:t>
      </w:r>
      <w:r w:rsidR="00666C97" w:rsidRPr="000D5F05">
        <w:t>o</w:t>
      </w:r>
      <w:r w:rsidRPr="000D5F05">
        <w:t xml:space="preserve">fficer (or delegate).  A discloser may choose to provide their name and contact details to the </w:t>
      </w:r>
      <w:r w:rsidR="00666C97" w:rsidRPr="000D5F05">
        <w:t>a</w:t>
      </w:r>
      <w:r w:rsidRPr="000D5F05">
        <w:t xml:space="preserve">uthorised </w:t>
      </w:r>
      <w:r w:rsidR="00666C97" w:rsidRPr="000D5F05">
        <w:t>o</w:t>
      </w:r>
      <w:r w:rsidRPr="000D5F05">
        <w:t>fficer but not to the delegate, in which case the disclosure will be handled as anonymous from the point of allocation.</w:t>
      </w:r>
    </w:p>
    <w:p w14:paraId="0F7A28B2" w14:textId="34B4DF6D" w:rsidR="00C50DDE" w:rsidRPr="000D5F05" w:rsidRDefault="00C50DDE" w:rsidP="000D5F05">
      <w:pPr>
        <w:pStyle w:val="Numberedlist"/>
        <w:numPr>
          <w:ilvl w:val="0"/>
          <w:numId w:val="12"/>
        </w:numPr>
        <w:spacing w:before="60" w:after="60"/>
        <w:ind w:left="1134" w:hanging="340"/>
      </w:pPr>
      <w:r w:rsidRPr="000D5F05">
        <w:t xml:space="preserve">once a disclosure has been allocated for handling by an agency, the </w:t>
      </w:r>
      <w:r w:rsidR="00371575" w:rsidRPr="000D5F05">
        <w:t>p</w:t>
      </w:r>
      <w:r w:rsidRPr="000D5F05">
        <w:t xml:space="preserve">rincipal </w:t>
      </w:r>
      <w:r w:rsidR="00371575" w:rsidRPr="000D5F05">
        <w:t>o</w:t>
      </w:r>
      <w:r w:rsidRPr="000D5F05">
        <w:t xml:space="preserve">fficer (or delegate) may decide not </w:t>
      </w:r>
      <w:proofErr w:type="gramStart"/>
      <w:r w:rsidRPr="000D5F05">
        <w:t>investigate</w:t>
      </w:r>
      <w:proofErr w:type="gramEnd"/>
      <w:r w:rsidRPr="000D5F05">
        <w:t xml:space="preserve"> the disclosure if they consider it impracticable to do so because the discloser's name and contact details have not been disclosed.</w:t>
      </w:r>
    </w:p>
    <w:p w14:paraId="5C77E345" w14:textId="77777777" w:rsidR="00C50DDE" w:rsidRPr="000D5F05" w:rsidRDefault="00C50DDE" w:rsidP="000D5F05">
      <w:pPr>
        <w:pStyle w:val="Numberedlist"/>
        <w:numPr>
          <w:ilvl w:val="0"/>
          <w:numId w:val="12"/>
        </w:numPr>
        <w:spacing w:before="60" w:after="60"/>
        <w:ind w:left="1134" w:hanging="340"/>
      </w:pPr>
      <w:r w:rsidRPr="000D5F05">
        <w:t>if the discloser maintains anonymity, the department will be unable to update them on the progress and outcome of the investigation.</w:t>
      </w:r>
    </w:p>
    <w:p w14:paraId="5D57823F" w14:textId="7595ED6A" w:rsidR="00C50DDE" w:rsidRPr="00713025" w:rsidRDefault="00C50DDE" w:rsidP="00385B04">
      <w:pPr>
        <w:pStyle w:val="ListParagraph"/>
        <w:numPr>
          <w:ilvl w:val="1"/>
          <w:numId w:val="32"/>
        </w:numPr>
        <w:ind w:left="567" w:hanging="567"/>
        <w:rPr>
          <w:rFonts w:cs="Arial"/>
          <w:color w:val="000000" w:themeColor="text1"/>
          <w:sz w:val="21"/>
          <w:szCs w:val="21"/>
        </w:rPr>
      </w:pPr>
      <w:r w:rsidRPr="00713025">
        <w:rPr>
          <w:rFonts w:cs="Arial"/>
          <w:color w:val="000000" w:themeColor="text1"/>
          <w:sz w:val="21"/>
          <w:szCs w:val="21"/>
        </w:rPr>
        <w:t>If a discloser does provide their name and contact details, the department will take all reasonable steps to maintain the confidentiality of that information.  Further information on confidentiality and protecting the discloser's identity is set out at Part 3 of these procedures.</w:t>
      </w:r>
    </w:p>
    <w:p w14:paraId="012C8721" w14:textId="5E23FB3B" w:rsidR="00C50DDE" w:rsidRPr="00713025" w:rsidRDefault="00C50DDE" w:rsidP="00385B04">
      <w:pPr>
        <w:pStyle w:val="ListParagraph"/>
        <w:numPr>
          <w:ilvl w:val="1"/>
          <w:numId w:val="32"/>
        </w:numPr>
        <w:ind w:left="567" w:hanging="567"/>
        <w:rPr>
          <w:rFonts w:cs="Arial"/>
          <w:color w:val="000000" w:themeColor="text1"/>
          <w:sz w:val="21"/>
          <w:szCs w:val="21"/>
        </w:rPr>
      </w:pPr>
      <w:r w:rsidRPr="00713025">
        <w:rPr>
          <w:rFonts w:cs="Arial"/>
          <w:color w:val="000000" w:themeColor="text1"/>
          <w:sz w:val="21"/>
          <w:szCs w:val="21"/>
        </w:rPr>
        <w:t xml:space="preserve">Where an </w:t>
      </w:r>
      <w:r w:rsidR="00371575" w:rsidRPr="00713025">
        <w:rPr>
          <w:rFonts w:cs="Arial"/>
          <w:color w:val="000000" w:themeColor="text1"/>
          <w:sz w:val="21"/>
          <w:szCs w:val="21"/>
        </w:rPr>
        <w:t>a</w:t>
      </w:r>
      <w:r w:rsidRPr="00713025">
        <w:rPr>
          <w:rFonts w:cs="Arial"/>
          <w:color w:val="000000" w:themeColor="text1"/>
          <w:sz w:val="21"/>
          <w:szCs w:val="21"/>
        </w:rPr>
        <w:t xml:space="preserve">uthorised </w:t>
      </w:r>
      <w:r w:rsidR="00371575" w:rsidRPr="00713025">
        <w:rPr>
          <w:rFonts w:cs="Arial"/>
          <w:color w:val="000000" w:themeColor="text1"/>
          <w:sz w:val="21"/>
          <w:szCs w:val="21"/>
        </w:rPr>
        <w:t>o</w:t>
      </w:r>
      <w:r w:rsidRPr="00713025">
        <w:rPr>
          <w:rFonts w:cs="Arial"/>
          <w:color w:val="000000" w:themeColor="text1"/>
          <w:sz w:val="21"/>
          <w:szCs w:val="21"/>
        </w:rPr>
        <w:t xml:space="preserve">fficer receives an anonymous </w:t>
      </w:r>
      <w:r w:rsidR="00752DB5" w:rsidRPr="00713025">
        <w:rPr>
          <w:rFonts w:cs="Arial"/>
          <w:color w:val="000000" w:themeColor="text1"/>
          <w:sz w:val="21"/>
          <w:szCs w:val="21"/>
        </w:rPr>
        <w:t xml:space="preserve">or pseudonymous </w:t>
      </w:r>
      <w:r w:rsidRPr="00713025">
        <w:rPr>
          <w:rFonts w:cs="Arial"/>
          <w:color w:val="000000" w:themeColor="text1"/>
          <w:sz w:val="21"/>
          <w:szCs w:val="21"/>
        </w:rPr>
        <w:t xml:space="preserve">disclosure and it is not clear whether the discloser is a public official, they must consider whether to exercise </w:t>
      </w:r>
      <w:r w:rsidRPr="00713025">
        <w:rPr>
          <w:rFonts w:cs="Arial"/>
          <w:color w:val="000000" w:themeColor="text1"/>
          <w:sz w:val="21"/>
          <w:szCs w:val="21"/>
        </w:rPr>
        <w:lastRenderedPageBreak/>
        <w:t xml:space="preserve">the power in section 70 of the </w:t>
      </w:r>
      <w:r w:rsidR="003C25F9">
        <w:rPr>
          <w:rFonts w:cs="Arial"/>
          <w:color w:val="000000" w:themeColor="text1"/>
          <w:sz w:val="21"/>
          <w:szCs w:val="21"/>
        </w:rPr>
        <w:t xml:space="preserve">PID </w:t>
      </w:r>
      <w:r w:rsidRPr="00713025">
        <w:rPr>
          <w:rFonts w:cs="Arial"/>
          <w:color w:val="000000" w:themeColor="text1"/>
          <w:sz w:val="21"/>
          <w:szCs w:val="21"/>
        </w:rPr>
        <w:t>Act to determine that a person who has disclosed information to them is a public official in relation to making the disclosure.</w:t>
      </w:r>
    </w:p>
    <w:p w14:paraId="412F6EF8" w14:textId="52211B50" w:rsidR="00F02482" w:rsidRPr="00713025" w:rsidRDefault="00F02482" w:rsidP="00717405">
      <w:pPr>
        <w:pStyle w:val="Heading2"/>
        <w:rPr>
          <w:rFonts w:eastAsia="Arial"/>
        </w:rPr>
      </w:pPr>
      <w:bookmarkStart w:id="21" w:name="_Toc150789931"/>
      <w:r w:rsidRPr="00713025">
        <w:rPr>
          <w:rFonts w:eastAsia="Arial"/>
        </w:rPr>
        <w:t xml:space="preserve">Assistance with making a disclosure to the </w:t>
      </w:r>
      <w:proofErr w:type="gramStart"/>
      <w:r w:rsidRPr="00713025">
        <w:rPr>
          <w:rFonts w:eastAsia="Arial"/>
        </w:rPr>
        <w:t>department</w:t>
      </w:r>
      <w:bookmarkEnd w:id="20"/>
      <w:bookmarkEnd w:id="21"/>
      <w:proofErr w:type="gramEnd"/>
    </w:p>
    <w:p w14:paraId="33571C7C" w14:textId="61EB7D03" w:rsidR="005E0A4B" w:rsidRPr="00713025" w:rsidRDefault="00F02482" w:rsidP="00385B04">
      <w:pPr>
        <w:pStyle w:val="ListParagraph"/>
        <w:numPr>
          <w:ilvl w:val="1"/>
          <w:numId w:val="32"/>
        </w:numPr>
        <w:ind w:left="567" w:hanging="567"/>
        <w:rPr>
          <w:sz w:val="21"/>
          <w:szCs w:val="21"/>
        </w:rPr>
      </w:pPr>
      <w:r w:rsidRPr="00713025">
        <w:rPr>
          <w:sz w:val="21"/>
          <w:szCs w:val="21"/>
        </w:rPr>
        <w:t xml:space="preserve">A public official </w:t>
      </w:r>
      <w:r w:rsidRPr="00713025">
        <w:rPr>
          <w:rFonts w:cs="Arial"/>
          <w:color w:val="000000" w:themeColor="text1"/>
          <w:sz w:val="21"/>
          <w:szCs w:val="21"/>
        </w:rPr>
        <w:t>can</w:t>
      </w:r>
      <w:r w:rsidRPr="00713025">
        <w:rPr>
          <w:sz w:val="21"/>
          <w:szCs w:val="21"/>
        </w:rPr>
        <w:t xml:space="preserve"> contact one of the department’s </w:t>
      </w:r>
      <w:r w:rsidR="00371575" w:rsidRPr="00713025">
        <w:rPr>
          <w:sz w:val="21"/>
          <w:szCs w:val="21"/>
        </w:rPr>
        <w:t>a</w:t>
      </w:r>
      <w:r w:rsidRPr="00713025">
        <w:rPr>
          <w:sz w:val="21"/>
          <w:szCs w:val="21"/>
        </w:rPr>
        <w:t xml:space="preserve">uthorised </w:t>
      </w:r>
      <w:r w:rsidR="00371575" w:rsidRPr="00713025">
        <w:rPr>
          <w:sz w:val="21"/>
          <w:szCs w:val="21"/>
        </w:rPr>
        <w:t>o</w:t>
      </w:r>
      <w:r w:rsidRPr="00713025">
        <w:rPr>
          <w:sz w:val="21"/>
          <w:szCs w:val="21"/>
        </w:rPr>
        <w:t xml:space="preserve">fficers or the department’s PID </w:t>
      </w:r>
      <w:r w:rsidR="00371575" w:rsidRPr="00713025">
        <w:rPr>
          <w:sz w:val="21"/>
          <w:szCs w:val="21"/>
        </w:rPr>
        <w:t xml:space="preserve">Management </w:t>
      </w:r>
      <w:r w:rsidRPr="00713025">
        <w:rPr>
          <w:sz w:val="21"/>
          <w:szCs w:val="21"/>
        </w:rPr>
        <w:t>Unit to obtain further information on how to make an internal</w:t>
      </w:r>
      <w:r w:rsidR="00643EBF" w:rsidRPr="00713025">
        <w:rPr>
          <w:sz w:val="21"/>
          <w:szCs w:val="21"/>
        </w:rPr>
        <w:t xml:space="preserve"> disclosure to the department.</w:t>
      </w:r>
      <w:bookmarkStart w:id="22" w:name="_Toc49525269"/>
    </w:p>
    <w:p w14:paraId="2E270D27" w14:textId="38BC856B" w:rsidR="00F02482" w:rsidRPr="00713025" w:rsidRDefault="00F02482" w:rsidP="005E0A4B">
      <w:pPr>
        <w:pStyle w:val="Heading2"/>
        <w:rPr>
          <w:rFonts w:eastAsia="Arial"/>
        </w:rPr>
      </w:pPr>
      <w:bookmarkStart w:id="23" w:name="_Toc150789932"/>
      <w:r w:rsidRPr="00713025">
        <w:rPr>
          <w:rFonts w:eastAsia="Arial"/>
        </w:rPr>
        <w:t>Other types of public interest disclosures</w:t>
      </w:r>
      <w:bookmarkEnd w:id="22"/>
      <w:bookmarkEnd w:id="23"/>
    </w:p>
    <w:p w14:paraId="780AE57C" w14:textId="589E5E9B" w:rsidR="00F02482" w:rsidRPr="00713025" w:rsidRDefault="00F02482" w:rsidP="00385B04">
      <w:pPr>
        <w:pStyle w:val="ListParagraph"/>
        <w:numPr>
          <w:ilvl w:val="1"/>
          <w:numId w:val="32"/>
        </w:numPr>
        <w:ind w:left="567" w:hanging="567"/>
        <w:rPr>
          <w:sz w:val="21"/>
          <w:szCs w:val="21"/>
        </w:rPr>
      </w:pPr>
      <w:r w:rsidRPr="00713025">
        <w:rPr>
          <w:sz w:val="21"/>
          <w:szCs w:val="21"/>
        </w:rPr>
        <w:t xml:space="preserve">As set out above at paragraph </w:t>
      </w:r>
      <w:r w:rsidRPr="00713025">
        <w:rPr>
          <w:color w:val="000000" w:themeColor="text1"/>
          <w:sz w:val="21"/>
          <w:szCs w:val="21"/>
        </w:rPr>
        <w:fldChar w:fldCharType="begin"/>
      </w:r>
      <w:r w:rsidRPr="00713025">
        <w:rPr>
          <w:color w:val="000000" w:themeColor="text1"/>
          <w:sz w:val="21"/>
          <w:szCs w:val="21"/>
        </w:rPr>
        <w:instrText xml:space="preserve"> REF _Ref45554258 \r \h  \* MERGEFORMAT </w:instrText>
      </w:r>
      <w:r w:rsidRPr="00713025">
        <w:rPr>
          <w:color w:val="000000" w:themeColor="text1"/>
          <w:sz w:val="21"/>
          <w:szCs w:val="21"/>
        </w:rPr>
      </w:r>
      <w:r w:rsidRPr="00713025">
        <w:rPr>
          <w:color w:val="000000" w:themeColor="text1"/>
          <w:sz w:val="21"/>
          <w:szCs w:val="21"/>
        </w:rPr>
        <w:fldChar w:fldCharType="separate"/>
      </w:r>
      <w:r w:rsidRPr="00713025">
        <w:rPr>
          <w:color w:val="000000" w:themeColor="text1"/>
          <w:sz w:val="21"/>
          <w:szCs w:val="21"/>
          <w:cs/>
        </w:rPr>
        <w:t>‎</w:t>
      </w:r>
      <w:r w:rsidRPr="00713025">
        <w:rPr>
          <w:color w:val="000000" w:themeColor="text1"/>
          <w:sz w:val="21"/>
          <w:szCs w:val="21"/>
        </w:rPr>
        <w:fldChar w:fldCharType="end"/>
      </w:r>
      <w:r w:rsidR="00C50DDE" w:rsidRPr="00713025">
        <w:rPr>
          <w:color w:val="000000" w:themeColor="text1"/>
          <w:sz w:val="21"/>
          <w:szCs w:val="21"/>
        </w:rPr>
        <w:t>1.</w:t>
      </w:r>
      <w:r w:rsidR="001D3DDA" w:rsidRPr="00713025">
        <w:rPr>
          <w:color w:val="000000" w:themeColor="text1"/>
          <w:sz w:val="21"/>
          <w:szCs w:val="21"/>
        </w:rPr>
        <w:t>6</w:t>
      </w:r>
      <w:r w:rsidRPr="00713025">
        <w:rPr>
          <w:sz w:val="21"/>
          <w:szCs w:val="21"/>
        </w:rPr>
        <w:t xml:space="preserve">, in addition to 'internal disclosures' the </w:t>
      </w:r>
      <w:r w:rsidR="007405D4" w:rsidRPr="00713025">
        <w:rPr>
          <w:sz w:val="21"/>
          <w:szCs w:val="21"/>
        </w:rPr>
        <w:t xml:space="preserve">PID </w:t>
      </w:r>
      <w:r w:rsidRPr="00713025">
        <w:rPr>
          <w:sz w:val="21"/>
          <w:szCs w:val="21"/>
        </w:rPr>
        <w:t xml:space="preserve">Act covers the following </w:t>
      </w:r>
      <w:r w:rsidR="001D3DDA" w:rsidRPr="00713025">
        <w:rPr>
          <w:sz w:val="21"/>
          <w:szCs w:val="21"/>
        </w:rPr>
        <w:t>four</w:t>
      </w:r>
      <w:r w:rsidR="00681C40" w:rsidRPr="00713025">
        <w:rPr>
          <w:sz w:val="21"/>
          <w:szCs w:val="21"/>
        </w:rPr>
        <w:t xml:space="preserve"> </w:t>
      </w:r>
      <w:r w:rsidRPr="00713025">
        <w:rPr>
          <w:sz w:val="21"/>
          <w:szCs w:val="21"/>
        </w:rPr>
        <w:t>types of disclosures: external disclosures, emergency disclosures</w:t>
      </w:r>
      <w:r w:rsidR="00681C40" w:rsidRPr="00713025">
        <w:rPr>
          <w:sz w:val="21"/>
          <w:szCs w:val="21"/>
        </w:rPr>
        <w:t>,</w:t>
      </w:r>
      <w:r w:rsidRPr="00713025">
        <w:rPr>
          <w:sz w:val="21"/>
          <w:szCs w:val="21"/>
        </w:rPr>
        <w:t xml:space="preserve"> </w:t>
      </w:r>
      <w:r w:rsidR="00643EBF" w:rsidRPr="00713025">
        <w:rPr>
          <w:sz w:val="21"/>
          <w:szCs w:val="21"/>
        </w:rPr>
        <w:t>legal practitioner disclosures</w:t>
      </w:r>
      <w:r w:rsidR="00681C40" w:rsidRPr="00713025">
        <w:rPr>
          <w:sz w:val="21"/>
          <w:szCs w:val="21"/>
        </w:rPr>
        <w:t xml:space="preserve">, and </w:t>
      </w:r>
      <w:r w:rsidR="007405D4" w:rsidRPr="00713025">
        <w:rPr>
          <w:sz w:val="21"/>
          <w:szCs w:val="21"/>
        </w:rPr>
        <w:t xml:space="preserve">certain </w:t>
      </w:r>
      <w:r w:rsidR="000E5578" w:rsidRPr="00713025">
        <w:rPr>
          <w:sz w:val="21"/>
          <w:szCs w:val="21"/>
        </w:rPr>
        <w:t>NACC</w:t>
      </w:r>
      <w:r w:rsidR="00681C40" w:rsidRPr="00713025">
        <w:rPr>
          <w:sz w:val="21"/>
          <w:szCs w:val="21"/>
        </w:rPr>
        <w:t xml:space="preserve"> disclosures</w:t>
      </w:r>
      <w:r w:rsidR="00371575" w:rsidRPr="00713025">
        <w:rPr>
          <w:sz w:val="21"/>
          <w:szCs w:val="21"/>
        </w:rPr>
        <w:t xml:space="preserve"> (</w:t>
      </w:r>
      <w:r w:rsidR="00EC35B4" w:rsidRPr="00713025">
        <w:rPr>
          <w:sz w:val="21"/>
          <w:szCs w:val="21"/>
        </w:rPr>
        <w:t>if</w:t>
      </w:r>
      <w:r w:rsidR="00371575" w:rsidRPr="00713025">
        <w:rPr>
          <w:sz w:val="21"/>
          <w:szCs w:val="21"/>
        </w:rPr>
        <w:t xml:space="preserve"> they are also PID disclosures)</w:t>
      </w:r>
      <w:r w:rsidR="00681C40" w:rsidRPr="00713025">
        <w:rPr>
          <w:sz w:val="21"/>
          <w:szCs w:val="21"/>
        </w:rPr>
        <w:t>.</w:t>
      </w:r>
    </w:p>
    <w:p w14:paraId="6D8DA9F2" w14:textId="759C46E8" w:rsidR="00752E95" w:rsidRPr="00713025" w:rsidRDefault="00F02482" w:rsidP="00385B04">
      <w:pPr>
        <w:pStyle w:val="ListParagraph"/>
        <w:numPr>
          <w:ilvl w:val="1"/>
          <w:numId w:val="32"/>
        </w:numPr>
        <w:ind w:left="567" w:hanging="567"/>
        <w:rPr>
          <w:sz w:val="21"/>
          <w:szCs w:val="21"/>
        </w:rPr>
      </w:pPr>
      <w:r w:rsidRPr="00713025">
        <w:rPr>
          <w:sz w:val="21"/>
          <w:szCs w:val="21"/>
        </w:rPr>
        <w:t xml:space="preserve">Strict limitations apply to the circumstances in which a person can make </w:t>
      </w:r>
      <w:r w:rsidR="00643EBF" w:rsidRPr="00713025">
        <w:rPr>
          <w:sz w:val="21"/>
          <w:szCs w:val="21"/>
        </w:rPr>
        <w:t xml:space="preserve">each of these disclosures. </w:t>
      </w:r>
      <w:r w:rsidRPr="00713025">
        <w:rPr>
          <w:sz w:val="21"/>
          <w:szCs w:val="21"/>
        </w:rPr>
        <w:t xml:space="preserve">A person who is considering disclosing information about disclosable conduct that relates to the department to any person outside the department (including a lawyer) should review the provisions of the </w:t>
      </w:r>
      <w:r w:rsidR="007405D4" w:rsidRPr="00713025">
        <w:rPr>
          <w:sz w:val="21"/>
          <w:szCs w:val="21"/>
        </w:rPr>
        <w:t xml:space="preserve">PID </w:t>
      </w:r>
      <w:r w:rsidRPr="00713025">
        <w:rPr>
          <w:sz w:val="21"/>
          <w:szCs w:val="21"/>
        </w:rPr>
        <w:t xml:space="preserve">Act and carefully consider whether the disclosure can be made in a way that attracts the protections of the </w:t>
      </w:r>
      <w:r w:rsidR="007405D4" w:rsidRPr="00713025">
        <w:rPr>
          <w:sz w:val="21"/>
          <w:szCs w:val="21"/>
        </w:rPr>
        <w:t xml:space="preserve">PID </w:t>
      </w:r>
      <w:r w:rsidRPr="00713025">
        <w:rPr>
          <w:sz w:val="21"/>
          <w:szCs w:val="21"/>
        </w:rPr>
        <w:t>Act.</w:t>
      </w:r>
    </w:p>
    <w:p w14:paraId="61066741" w14:textId="2C47CBD2" w:rsidR="00752E95" w:rsidRPr="00713025" w:rsidRDefault="00681C40" w:rsidP="00385B04">
      <w:pPr>
        <w:pStyle w:val="ListParagraph"/>
        <w:numPr>
          <w:ilvl w:val="1"/>
          <w:numId w:val="32"/>
        </w:numPr>
        <w:ind w:left="567" w:hanging="567"/>
        <w:rPr>
          <w:sz w:val="21"/>
          <w:szCs w:val="21"/>
        </w:rPr>
      </w:pPr>
      <w:r w:rsidRPr="00713025">
        <w:rPr>
          <w:sz w:val="21"/>
          <w:szCs w:val="21"/>
        </w:rPr>
        <w:t xml:space="preserve">In some instances, an </w:t>
      </w:r>
      <w:r w:rsidR="000E5578" w:rsidRPr="00713025">
        <w:rPr>
          <w:sz w:val="21"/>
          <w:szCs w:val="21"/>
        </w:rPr>
        <w:t>a</w:t>
      </w:r>
      <w:r w:rsidRPr="00713025">
        <w:rPr>
          <w:sz w:val="21"/>
          <w:szCs w:val="21"/>
        </w:rPr>
        <w:t xml:space="preserve">uthorised </w:t>
      </w:r>
      <w:r w:rsidR="000E5578" w:rsidRPr="00713025">
        <w:rPr>
          <w:sz w:val="21"/>
          <w:szCs w:val="21"/>
        </w:rPr>
        <w:t>o</w:t>
      </w:r>
      <w:r w:rsidRPr="00713025">
        <w:rPr>
          <w:sz w:val="21"/>
          <w:szCs w:val="21"/>
        </w:rPr>
        <w:t>fficer may be required to refer a</w:t>
      </w:r>
      <w:r w:rsidR="006B20C5" w:rsidRPr="00713025">
        <w:rPr>
          <w:sz w:val="21"/>
          <w:szCs w:val="21"/>
        </w:rPr>
        <w:t xml:space="preserve"> corruption issue </w:t>
      </w:r>
      <w:r w:rsidRPr="00713025">
        <w:rPr>
          <w:sz w:val="21"/>
          <w:szCs w:val="21"/>
        </w:rPr>
        <w:t xml:space="preserve">to the NACC. In that circumstance, the </w:t>
      </w:r>
      <w:r w:rsidR="00EC35B4" w:rsidRPr="00713025">
        <w:rPr>
          <w:sz w:val="21"/>
          <w:szCs w:val="21"/>
        </w:rPr>
        <w:t>a</w:t>
      </w:r>
      <w:r w:rsidRPr="00713025">
        <w:rPr>
          <w:sz w:val="21"/>
          <w:szCs w:val="21"/>
        </w:rPr>
        <w:t xml:space="preserve">uthorised </w:t>
      </w:r>
      <w:r w:rsidR="00EC35B4" w:rsidRPr="00713025">
        <w:rPr>
          <w:sz w:val="21"/>
          <w:szCs w:val="21"/>
        </w:rPr>
        <w:t>o</w:t>
      </w:r>
      <w:r w:rsidRPr="00713025">
        <w:rPr>
          <w:sz w:val="21"/>
          <w:szCs w:val="21"/>
        </w:rPr>
        <w:t xml:space="preserve">fficer will receive protections under the </w:t>
      </w:r>
      <w:r w:rsidR="0067293F" w:rsidRPr="00713025">
        <w:rPr>
          <w:sz w:val="21"/>
          <w:szCs w:val="21"/>
        </w:rPr>
        <w:t xml:space="preserve">NACC Act </w:t>
      </w:r>
      <w:r w:rsidRPr="00713025">
        <w:rPr>
          <w:sz w:val="21"/>
          <w:szCs w:val="21"/>
        </w:rPr>
        <w:t xml:space="preserve">that are substantially the same as the protections that PID disclosers receive under the PID Act.  </w:t>
      </w:r>
    </w:p>
    <w:p w14:paraId="684ECD69" w14:textId="77777777" w:rsidR="000E5578" w:rsidRPr="00713025" w:rsidRDefault="000E5578" w:rsidP="00EC35B4">
      <w:pPr>
        <w:pStyle w:val="ListParagraph"/>
        <w:numPr>
          <w:ilvl w:val="0"/>
          <w:numId w:val="0"/>
        </w:numPr>
        <w:ind w:left="567"/>
        <w:rPr>
          <w:sz w:val="20"/>
          <w:szCs w:val="20"/>
        </w:rPr>
      </w:pPr>
    </w:p>
    <w:p w14:paraId="6791E2C0" w14:textId="75497BE8" w:rsidR="00F02482" w:rsidRPr="00713025" w:rsidRDefault="00F02482" w:rsidP="00385B04">
      <w:pPr>
        <w:pStyle w:val="Heading1"/>
        <w:pageBreakBefore/>
        <w:numPr>
          <w:ilvl w:val="0"/>
          <w:numId w:val="36"/>
        </w:numPr>
        <w:ind w:left="567" w:hanging="567"/>
      </w:pPr>
      <w:bookmarkStart w:id="24" w:name="_Toc49525270"/>
      <w:bookmarkStart w:id="25" w:name="_Toc150789933"/>
      <w:r w:rsidRPr="00713025">
        <w:lastRenderedPageBreak/>
        <w:t>SUPPORT, PROTECTED INFORMATION AND REPRISALS</w:t>
      </w:r>
      <w:bookmarkEnd w:id="24"/>
      <w:bookmarkEnd w:id="25"/>
    </w:p>
    <w:p w14:paraId="4A9403C7" w14:textId="76E67532" w:rsidR="00F02482" w:rsidRPr="00713025" w:rsidRDefault="007F16E0" w:rsidP="00A212D0">
      <w:pPr>
        <w:pStyle w:val="Heading2"/>
        <w:rPr>
          <w:rFonts w:eastAsia="Arial"/>
        </w:rPr>
      </w:pPr>
      <w:bookmarkStart w:id="26" w:name="_Toc150789934"/>
      <w:r w:rsidRPr="00713025">
        <w:rPr>
          <w:noProof/>
          <w:lang w:eastAsia="en-AU"/>
        </w:rPr>
        <w:drawing>
          <wp:anchor distT="0" distB="0" distL="114300" distR="114300" simplePos="0" relativeHeight="251658242" behindDoc="1" locked="0" layoutInCell="1" allowOverlap="1" wp14:anchorId="0A5AC49B" wp14:editId="093F68FB">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66" name="Picture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27" w:name="_Toc49525271"/>
      <w:r w:rsidR="00F02482" w:rsidRPr="00713025">
        <w:rPr>
          <w:rFonts w:eastAsia="Arial"/>
        </w:rPr>
        <w:t>Support for disclosers</w:t>
      </w:r>
      <w:bookmarkEnd w:id="26"/>
      <w:bookmarkEnd w:id="27"/>
    </w:p>
    <w:p w14:paraId="5FCCE96E" w14:textId="5DAE2B6A" w:rsidR="00F02482" w:rsidRPr="00713025" w:rsidRDefault="00F02482" w:rsidP="00385B04">
      <w:pPr>
        <w:pStyle w:val="Numberedlist"/>
        <w:numPr>
          <w:ilvl w:val="1"/>
          <w:numId w:val="33"/>
        </w:numPr>
      </w:pPr>
      <w:r w:rsidRPr="00713025">
        <w:rPr>
          <w:rFonts w:eastAsiaTheme="minorHAnsi"/>
        </w:rPr>
        <w:t>The department encourages and supports the reporting of suspected wrongdoing by public officials i</w:t>
      </w:r>
      <w:r w:rsidR="00643EBF" w:rsidRPr="00713025">
        <w:rPr>
          <w:rFonts w:eastAsiaTheme="minorHAnsi"/>
        </w:rPr>
        <w:t xml:space="preserve">n accordance with the </w:t>
      </w:r>
      <w:r w:rsidR="00074128" w:rsidRPr="00713025">
        <w:rPr>
          <w:rFonts w:eastAsiaTheme="minorHAnsi"/>
        </w:rPr>
        <w:t xml:space="preserve">PID </w:t>
      </w:r>
      <w:r w:rsidR="00643EBF" w:rsidRPr="00713025">
        <w:rPr>
          <w:rFonts w:eastAsiaTheme="minorHAnsi"/>
        </w:rPr>
        <w:t>Act.</w:t>
      </w:r>
    </w:p>
    <w:p w14:paraId="02B09F39" w14:textId="75D6864A" w:rsidR="00696774" w:rsidRPr="00713025" w:rsidRDefault="00696774" w:rsidP="00385B04">
      <w:pPr>
        <w:pStyle w:val="Numberedlist"/>
        <w:numPr>
          <w:ilvl w:val="1"/>
          <w:numId w:val="33"/>
        </w:numPr>
        <w:rPr>
          <w:rFonts w:eastAsiaTheme="minorHAnsi"/>
        </w:rPr>
      </w:pPr>
      <w:bookmarkStart w:id="28" w:name="_Ref45902368"/>
      <w:bookmarkStart w:id="29" w:name="_Ref49867880"/>
      <w:r w:rsidRPr="00713025">
        <w:rPr>
          <w:rFonts w:eastAsiaTheme="minorHAnsi"/>
        </w:rPr>
        <w:t xml:space="preserve">The department will take steps to support persons who have made disclosures under the </w:t>
      </w:r>
      <w:r w:rsidR="002C5127" w:rsidRPr="00713025">
        <w:rPr>
          <w:rFonts w:eastAsiaTheme="minorHAnsi"/>
        </w:rPr>
        <w:t xml:space="preserve">PID </w:t>
      </w:r>
      <w:r w:rsidRPr="00713025">
        <w:rPr>
          <w:rFonts w:eastAsiaTheme="minorHAnsi"/>
        </w:rPr>
        <w:t>Act relating to the department, and to protect them from detriment or threats of detriment relating to the disclosure.</w:t>
      </w:r>
      <w:bookmarkEnd w:id="28"/>
      <w:r w:rsidRPr="00713025">
        <w:rPr>
          <w:rFonts w:eastAsiaTheme="minorHAnsi"/>
        </w:rPr>
        <w:t xml:space="preserve"> This may include taking one or more of the following actions:</w:t>
      </w:r>
      <w:bookmarkEnd w:id="29"/>
    </w:p>
    <w:p w14:paraId="4CD9071A" w14:textId="77777777" w:rsidR="00696774" w:rsidRPr="000D5F05" w:rsidRDefault="00696774" w:rsidP="000D5F05">
      <w:pPr>
        <w:pStyle w:val="Numberedlist"/>
        <w:numPr>
          <w:ilvl w:val="0"/>
          <w:numId w:val="12"/>
        </w:numPr>
        <w:spacing w:before="60" w:after="60"/>
        <w:ind w:left="1134" w:hanging="340"/>
      </w:pPr>
      <w:r w:rsidRPr="000D5F05">
        <w:t>appointing a support person to assist the discloser, who is responsible for checking on the wellbeing of the discloser regularly (with the consent of the discloser</w:t>
      </w:r>
      <w:proofErr w:type="gramStart"/>
      <w:r w:rsidRPr="000D5F05">
        <w:t>);</w:t>
      </w:r>
      <w:proofErr w:type="gramEnd"/>
    </w:p>
    <w:p w14:paraId="3CF24F88" w14:textId="7DE33BEA" w:rsidR="00696774" w:rsidRPr="000D5F05" w:rsidRDefault="00696774" w:rsidP="000D5F05">
      <w:pPr>
        <w:pStyle w:val="Numberedlist"/>
        <w:numPr>
          <w:ilvl w:val="0"/>
          <w:numId w:val="12"/>
        </w:numPr>
        <w:spacing w:before="60" w:after="60"/>
        <w:ind w:left="1134" w:hanging="340"/>
      </w:pPr>
      <w:r w:rsidRPr="000D5F05">
        <w:t xml:space="preserve">providing the discloser with information about their rights and obligations under the </w:t>
      </w:r>
      <w:r w:rsidR="002C5127" w:rsidRPr="000D5F05">
        <w:t xml:space="preserve">PID </w:t>
      </w:r>
      <w:proofErr w:type="gramStart"/>
      <w:r w:rsidRPr="000D5F05">
        <w:t>Act;</w:t>
      </w:r>
      <w:proofErr w:type="gramEnd"/>
    </w:p>
    <w:p w14:paraId="36E1F224" w14:textId="40FE2B7F" w:rsidR="00696774" w:rsidRPr="000D5F05" w:rsidRDefault="00696774" w:rsidP="000D5F05">
      <w:pPr>
        <w:pStyle w:val="Numberedlist"/>
        <w:numPr>
          <w:ilvl w:val="0"/>
          <w:numId w:val="12"/>
        </w:numPr>
        <w:spacing w:before="60" w:after="60"/>
        <w:ind w:left="1134" w:hanging="340"/>
      </w:pPr>
      <w:r w:rsidRPr="000D5F05">
        <w:t xml:space="preserve">providing the discloser with information about the </w:t>
      </w:r>
      <w:r w:rsidR="00D92241" w:rsidRPr="000D5F05">
        <w:t xml:space="preserve">department’s </w:t>
      </w:r>
      <w:r w:rsidRPr="000D5F05">
        <w:t xml:space="preserve">investigation procedures and any other relevant </w:t>
      </w:r>
      <w:proofErr w:type="gramStart"/>
      <w:r w:rsidRPr="000D5F05">
        <w:t>matter;</w:t>
      </w:r>
      <w:proofErr w:type="gramEnd"/>
    </w:p>
    <w:p w14:paraId="151331D6" w14:textId="77777777" w:rsidR="00696774" w:rsidRPr="000D5F05" w:rsidRDefault="00696774" w:rsidP="000D5F05">
      <w:pPr>
        <w:pStyle w:val="Numberedlist"/>
        <w:numPr>
          <w:ilvl w:val="0"/>
          <w:numId w:val="12"/>
        </w:numPr>
        <w:spacing w:before="60" w:after="60"/>
        <w:ind w:left="1134" w:hanging="340"/>
      </w:pPr>
      <w:r w:rsidRPr="000D5F05">
        <w:t xml:space="preserve">informing the discloser of the progress of the </w:t>
      </w:r>
      <w:proofErr w:type="gramStart"/>
      <w:r w:rsidRPr="000D5F05">
        <w:t>investigation;</w:t>
      </w:r>
      <w:proofErr w:type="gramEnd"/>
    </w:p>
    <w:p w14:paraId="1C6BA1A8" w14:textId="77777777" w:rsidR="00696774" w:rsidRPr="000D5F05" w:rsidRDefault="00696774" w:rsidP="000D5F05">
      <w:pPr>
        <w:pStyle w:val="Numberedlist"/>
        <w:numPr>
          <w:ilvl w:val="0"/>
          <w:numId w:val="12"/>
        </w:numPr>
        <w:spacing w:before="60" w:after="60"/>
        <w:ind w:left="1134" w:hanging="340"/>
      </w:pPr>
      <w:r w:rsidRPr="000D5F05">
        <w:t xml:space="preserve">advising the discloser of the availability of the department's Employee Assistance </w:t>
      </w:r>
      <w:proofErr w:type="gramStart"/>
      <w:r w:rsidRPr="000D5F05">
        <w:t>Program;</w:t>
      </w:r>
      <w:proofErr w:type="gramEnd"/>
    </w:p>
    <w:p w14:paraId="6825655F" w14:textId="77777777" w:rsidR="00696774" w:rsidRPr="000D5F05" w:rsidRDefault="00696774" w:rsidP="000D5F05">
      <w:pPr>
        <w:pStyle w:val="Numberedlist"/>
        <w:numPr>
          <w:ilvl w:val="0"/>
          <w:numId w:val="12"/>
        </w:numPr>
        <w:spacing w:before="60" w:after="60"/>
        <w:ind w:left="1134" w:hanging="340"/>
      </w:pPr>
      <w:r w:rsidRPr="000D5F05">
        <w:t xml:space="preserve">where there are concerns about the health and wellbeing of the discloser, liaising with officers responsible for work health and safety in the </w:t>
      </w:r>
      <w:proofErr w:type="gramStart"/>
      <w:r w:rsidRPr="000D5F05">
        <w:t>department;</w:t>
      </w:r>
      <w:proofErr w:type="gramEnd"/>
    </w:p>
    <w:p w14:paraId="7DAEE851" w14:textId="7816320C" w:rsidR="00696774" w:rsidRPr="000D5F05" w:rsidRDefault="00696774" w:rsidP="000D5F05">
      <w:pPr>
        <w:pStyle w:val="Numberedlist"/>
        <w:numPr>
          <w:ilvl w:val="0"/>
          <w:numId w:val="12"/>
        </w:numPr>
        <w:spacing w:before="60" w:after="60"/>
        <w:ind w:left="1134" w:hanging="340"/>
      </w:pPr>
      <w:r w:rsidRPr="000D5F05">
        <w:t>transferring the discloser to a different area within the workplace (with</w:t>
      </w:r>
      <w:r w:rsidR="00831112" w:rsidRPr="000D5F05">
        <w:t xml:space="preserve"> the consent of the discloser).</w:t>
      </w:r>
    </w:p>
    <w:p w14:paraId="0F4A6784" w14:textId="77777777" w:rsidR="00F02482" w:rsidRPr="00713025" w:rsidRDefault="00F02482" w:rsidP="00A212D0">
      <w:pPr>
        <w:pStyle w:val="Heading2"/>
      </w:pPr>
      <w:bookmarkStart w:id="30" w:name="_Toc150789935"/>
      <w:r w:rsidRPr="00713025">
        <w:rPr>
          <w:rFonts w:eastAsiaTheme="minorHAnsi"/>
        </w:rPr>
        <w:t xml:space="preserve">Support for person against whom a disclosure has been </w:t>
      </w:r>
      <w:proofErr w:type="gramStart"/>
      <w:r w:rsidRPr="00713025">
        <w:rPr>
          <w:rFonts w:eastAsiaTheme="minorHAnsi"/>
        </w:rPr>
        <w:t>made</w:t>
      </w:r>
      <w:bookmarkEnd w:id="30"/>
      <w:proofErr w:type="gramEnd"/>
    </w:p>
    <w:p w14:paraId="0980B8A4" w14:textId="2CBEF9E3" w:rsidR="00696774" w:rsidRPr="00713025" w:rsidRDefault="00696774" w:rsidP="00385B04">
      <w:pPr>
        <w:pStyle w:val="Numberedlist"/>
        <w:numPr>
          <w:ilvl w:val="1"/>
          <w:numId w:val="33"/>
        </w:numPr>
        <w:rPr>
          <w:rFonts w:eastAsiaTheme="minorHAnsi"/>
        </w:rPr>
      </w:pPr>
      <w:r w:rsidRPr="00713025">
        <w:rPr>
          <w:rFonts w:eastAsiaTheme="minorHAnsi"/>
        </w:rPr>
        <w:t>Support may also be provided to any employee who is subject to an allegation of disclosable conduct. This may include taking one or more of the following actions:</w:t>
      </w:r>
    </w:p>
    <w:p w14:paraId="2A381E15" w14:textId="36436B8A" w:rsidR="00696774" w:rsidRPr="000D5F05" w:rsidRDefault="00696774" w:rsidP="000D5F05">
      <w:pPr>
        <w:pStyle w:val="Numberedlist"/>
        <w:numPr>
          <w:ilvl w:val="0"/>
          <w:numId w:val="12"/>
        </w:numPr>
        <w:spacing w:before="60" w:after="60"/>
        <w:ind w:left="1134" w:hanging="340"/>
      </w:pPr>
      <w:r w:rsidRPr="000D5F05">
        <w:t xml:space="preserve">providing the employee with information about their rights and obligations under the </w:t>
      </w:r>
      <w:r w:rsidR="00D92241" w:rsidRPr="000D5F05">
        <w:t xml:space="preserve">PID </w:t>
      </w:r>
      <w:proofErr w:type="gramStart"/>
      <w:r w:rsidRPr="000D5F05">
        <w:t>Act</w:t>
      </w:r>
      <w:r w:rsidR="00D92241" w:rsidRPr="000D5F05">
        <w:t>;</w:t>
      </w:r>
      <w:proofErr w:type="gramEnd"/>
    </w:p>
    <w:p w14:paraId="45E6CF70" w14:textId="77777777" w:rsidR="00696774" w:rsidRPr="000D5F05" w:rsidRDefault="00696774" w:rsidP="000D5F05">
      <w:pPr>
        <w:pStyle w:val="Numberedlist"/>
        <w:numPr>
          <w:ilvl w:val="0"/>
          <w:numId w:val="12"/>
        </w:numPr>
        <w:spacing w:before="60" w:after="60"/>
        <w:ind w:left="1134" w:hanging="340"/>
      </w:pPr>
      <w:r w:rsidRPr="000D5F05">
        <w:t xml:space="preserve">providing the employee with information about the agency’s investigation procedures and any other relevant matter; including informing the employee of their right to procedural </w:t>
      </w:r>
      <w:proofErr w:type="gramStart"/>
      <w:r w:rsidRPr="000D5F05">
        <w:t>fairness;</w:t>
      </w:r>
      <w:proofErr w:type="gramEnd"/>
    </w:p>
    <w:p w14:paraId="42B0E44A" w14:textId="33A88362" w:rsidR="00696774" w:rsidRPr="000D5F05" w:rsidRDefault="00696774" w:rsidP="000D5F05">
      <w:pPr>
        <w:pStyle w:val="Numberedlist"/>
        <w:numPr>
          <w:ilvl w:val="0"/>
          <w:numId w:val="12"/>
        </w:numPr>
        <w:spacing w:before="60" w:after="60"/>
        <w:ind w:left="1134" w:hanging="340"/>
      </w:pPr>
      <w:r w:rsidRPr="000D5F05">
        <w:t xml:space="preserve">informing the employee of the progress of any </w:t>
      </w:r>
      <w:proofErr w:type="gramStart"/>
      <w:r w:rsidRPr="000D5F05">
        <w:t>investigation;</w:t>
      </w:r>
      <w:proofErr w:type="gramEnd"/>
    </w:p>
    <w:p w14:paraId="1732B43E" w14:textId="61D01206" w:rsidR="00696774" w:rsidRPr="000D5F05" w:rsidRDefault="00696774" w:rsidP="000D5F05">
      <w:pPr>
        <w:pStyle w:val="Numberedlist"/>
        <w:numPr>
          <w:ilvl w:val="0"/>
          <w:numId w:val="12"/>
        </w:numPr>
        <w:spacing w:before="60" w:after="60"/>
        <w:ind w:left="1134" w:hanging="340"/>
      </w:pPr>
      <w:r w:rsidRPr="000D5F05">
        <w:t xml:space="preserve">ensuring the identity of the employee is kept confidential as far as reasonably </w:t>
      </w:r>
      <w:proofErr w:type="gramStart"/>
      <w:r w:rsidRPr="000D5F05">
        <w:t>practicable;</w:t>
      </w:r>
      <w:proofErr w:type="gramEnd"/>
    </w:p>
    <w:p w14:paraId="0F395B55" w14:textId="733B67BD" w:rsidR="00696774" w:rsidRPr="000D5F05" w:rsidRDefault="00696774" w:rsidP="000D5F05">
      <w:pPr>
        <w:pStyle w:val="Numberedlist"/>
        <w:numPr>
          <w:ilvl w:val="0"/>
          <w:numId w:val="12"/>
        </w:numPr>
        <w:spacing w:before="60" w:after="60"/>
        <w:ind w:left="1134" w:hanging="340"/>
      </w:pPr>
      <w:r w:rsidRPr="000D5F05">
        <w:t xml:space="preserve">advising the employee of the availability of the department’s Employee Assistance </w:t>
      </w:r>
      <w:proofErr w:type="gramStart"/>
      <w:r w:rsidRPr="000D5F05">
        <w:t>Program;</w:t>
      </w:r>
      <w:proofErr w:type="gramEnd"/>
    </w:p>
    <w:p w14:paraId="2671972F" w14:textId="77777777" w:rsidR="00696774" w:rsidRPr="000D5F05" w:rsidRDefault="00696774" w:rsidP="000D5F05">
      <w:pPr>
        <w:pStyle w:val="Numberedlist"/>
        <w:numPr>
          <w:ilvl w:val="0"/>
          <w:numId w:val="12"/>
        </w:numPr>
        <w:spacing w:before="60" w:after="60"/>
        <w:ind w:left="1134" w:hanging="340"/>
      </w:pPr>
      <w:r w:rsidRPr="000D5F05">
        <w:t>where there are concerns about the health and wellbeing of the employee, liaising with officers responsible for work health and safety in the department; and</w:t>
      </w:r>
    </w:p>
    <w:p w14:paraId="6EC1AE9A" w14:textId="16FD22C7" w:rsidR="00696774" w:rsidRPr="000D5F05" w:rsidRDefault="00696774" w:rsidP="000D5F05">
      <w:pPr>
        <w:pStyle w:val="Numberedlist"/>
        <w:numPr>
          <w:ilvl w:val="0"/>
          <w:numId w:val="12"/>
        </w:numPr>
        <w:spacing w:before="60" w:after="60"/>
        <w:ind w:left="1134" w:hanging="340"/>
      </w:pPr>
      <w:r w:rsidRPr="000D5F05">
        <w:t>transferring the employee to a different area within the workplace (with the consent of the employee).</w:t>
      </w:r>
    </w:p>
    <w:p w14:paraId="08DC9040" w14:textId="6D9A56EE" w:rsidR="00F02482" w:rsidRPr="00713025" w:rsidRDefault="00A212D0" w:rsidP="00A212D0">
      <w:pPr>
        <w:pStyle w:val="Heading2"/>
        <w:rPr>
          <w:rFonts w:eastAsia="Arial"/>
        </w:rPr>
      </w:pPr>
      <w:bookmarkStart w:id="31" w:name="_Toc150789936"/>
      <w:r w:rsidRPr="00713025">
        <w:rPr>
          <w:rFonts w:eastAsia="Arial"/>
        </w:rPr>
        <w:t>P</w:t>
      </w:r>
      <w:r w:rsidR="00F02482" w:rsidRPr="00713025">
        <w:rPr>
          <w:rFonts w:eastAsia="Arial"/>
        </w:rPr>
        <w:t>rotection of information and confidentiality</w:t>
      </w:r>
      <w:bookmarkEnd w:id="31"/>
    </w:p>
    <w:p w14:paraId="658A5F9C" w14:textId="03FABB81" w:rsidR="00696774" w:rsidRPr="00713025" w:rsidRDefault="00696774" w:rsidP="00385B04">
      <w:pPr>
        <w:pStyle w:val="Numberedlist"/>
        <w:numPr>
          <w:ilvl w:val="1"/>
          <w:numId w:val="33"/>
        </w:numPr>
        <w:rPr>
          <w:rFonts w:eastAsiaTheme="minorHAnsi"/>
        </w:rPr>
      </w:pPr>
      <w:bookmarkStart w:id="32" w:name="_Toc49525273"/>
      <w:r w:rsidRPr="00713025">
        <w:rPr>
          <w:rFonts w:eastAsiaTheme="minorHAnsi"/>
        </w:rPr>
        <w:t>Confidentiality will be maintained as far as reasonably possible in the handling of disclosures by the department.</w:t>
      </w:r>
    </w:p>
    <w:p w14:paraId="0882CA7A" w14:textId="53815523" w:rsidR="00696774" w:rsidRPr="00713025" w:rsidRDefault="00696774" w:rsidP="00385B04">
      <w:pPr>
        <w:pStyle w:val="Numberedlist"/>
        <w:numPr>
          <w:ilvl w:val="1"/>
          <w:numId w:val="33"/>
        </w:numPr>
        <w:rPr>
          <w:rFonts w:eastAsiaTheme="minorHAnsi"/>
        </w:rPr>
      </w:pPr>
      <w:r w:rsidRPr="00713025">
        <w:rPr>
          <w:rFonts w:eastAsiaTheme="minorHAnsi"/>
        </w:rPr>
        <w:lastRenderedPageBreak/>
        <w:t xml:space="preserve">Under the </w:t>
      </w:r>
      <w:r w:rsidR="00A4781C" w:rsidRPr="00713025">
        <w:rPr>
          <w:rFonts w:eastAsiaTheme="minorHAnsi"/>
        </w:rPr>
        <w:t xml:space="preserve">PID </w:t>
      </w:r>
      <w:r w:rsidRPr="00713025">
        <w:rPr>
          <w:rFonts w:eastAsiaTheme="minorHAnsi"/>
        </w:rPr>
        <w:t xml:space="preserve">Act, a person commits an offence if they disclose or use information that is likely to enable the identification of the discloser as a person who has made a public interest disclosure (that is, 'identifying information') unless the discloser consents </w:t>
      </w:r>
      <w:r w:rsidR="00626B78" w:rsidRPr="00713025">
        <w:rPr>
          <w:rFonts w:eastAsiaTheme="minorHAnsi"/>
        </w:rPr>
        <w:t>or has acted in a way that is inconsistent with keeping th</w:t>
      </w:r>
      <w:r w:rsidR="003B6AC8" w:rsidRPr="00713025">
        <w:rPr>
          <w:rFonts w:eastAsiaTheme="minorHAnsi"/>
        </w:rPr>
        <w:t>eir</w:t>
      </w:r>
      <w:r w:rsidR="00626B78" w:rsidRPr="00713025">
        <w:rPr>
          <w:rFonts w:eastAsiaTheme="minorHAnsi"/>
        </w:rPr>
        <w:t xml:space="preserve"> identity confidential, </w:t>
      </w:r>
      <w:r w:rsidRPr="00713025">
        <w:rPr>
          <w:rFonts w:eastAsiaTheme="minorHAnsi"/>
        </w:rPr>
        <w:t>the identifying information has already been lawfully published, or the disclosure or use</w:t>
      </w:r>
      <w:r w:rsidR="00A4781C" w:rsidRPr="00713025">
        <w:rPr>
          <w:rFonts w:eastAsiaTheme="minorHAnsi"/>
        </w:rPr>
        <w:t xml:space="preserve"> of the identifying information</w:t>
      </w:r>
      <w:r w:rsidRPr="00713025">
        <w:rPr>
          <w:rFonts w:eastAsiaTheme="minorHAnsi"/>
        </w:rPr>
        <w:t>:</w:t>
      </w:r>
    </w:p>
    <w:p w14:paraId="1C9E65E4" w14:textId="20258ACD" w:rsidR="00696774" w:rsidRPr="000D5F05" w:rsidRDefault="00696774" w:rsidP="000D5F05">
      <w:pPr>
        <w:pStyle w:val="Numberedlist"/>
        <w:numPr>
          <w:ilvl w:val="0"/>
          <w:numId w:val="12"/>
        </w:numPr>
        <w:spacing w:before="60" w:after="60"/>
        <w:ind w:left="1134" w:hanging="340"/>
      </w:pPr>
      <w:r w:rsidRPr="000D5F05">
        <w:t>is for the purposes of the</w:t>
      </w:r>
      <w:r w:rsidR="007405D4" w:rsidRPr="000D5F05">
        <w:t xml:space="preserve"> PID</w:t>
      </w:r>
      <w:r w:rsidRPr="000D5F05">
        <w:t xml:space="preserve"> </w:t>
      </w:r>
      <w:proofErr w:type="gramStart"/>
      <w:r w:rsidRPr="000D5F05">
        <w:t>Act;</w:t>
      </w:r>
      <w:proofErr w:type="gramEnd"/>
    </w:p>
    <w:p w14:paraId="03B79ED1" w14:textId="12121FD7" w:rsidR="00696774" w:rsidRPr="000D5F05" w:rsidRDefault="00696774" w:rsidP="000D5F05">
      <w:pPr>
        <w:pStyle w:val="Numberedlist"/>
        <w:numPr>
          <w:ilvl w:val="0"/>
          <w:numId w:val="12"/>
        </w:numPr>
        <w:spacing w:before="60" w:after="60"/>
        <w:ind w:left="1134" w:hanging="340"/>
      </w:pPr>
      <w:r w:rsidRPr="000D5F05">
        <w:t>is required under another Commonwealth law or a prescribed State or Territory law; or</w:t>
      </w:r>
    </w:p>
    <w:p w14:paraId="36547A3D" w14:textId="69D68681" w:rsidR="00696774" w:rsidRPr="000D5F05" w:rsidRDefault="00696774" w:rsidP="000D5F05">
      <w:pPr>
        <w:pStyle w:val="Numberedlist"/>
        <w:numPr>
          <w:ilvl w:val="0"/>
          <w:numId w:val="12"/>
        </w:numPr>
        <w:spacing w:before="60" w:after="60"/>
        <w:ind w:left="1134" w:hanging="340"/>
      </w:pPr>
      <w:r w:rsidRPr="000D5F05">
        <w:t xml:space="preserve">is in connection with the Ombudsman’s functions under s 5A of the </w:t>
      </w:r>
      <w:r w:rsidRPr="000D5F05">
        <w:rPr>
          <w:i/>
          <w:iCs/>
        </w:rPr>
        <w:t>Ombudsman Act 1976</w:t>
      </w:r>
      <w:r w:rsidR="00370056">
        <w:rPr>
          <w:i/>
          <w:iCs/>
        </w:rPr>
        <w:t xml:space="preserve"> </w:t>
      </w:r>
      <w:r w:rsidR="00370056" w:rsidRPr="00370056">
        <w:t>(</w:t>
      </w:r>
      <w:proofErr w:type="spellStart"/>
      <w:r w:rsidR="00370056" w:rsidRPr="00370056">
        <w:t>Cth</w:t>
      </w:r>
      <w:proofErr w:type="spellEnd"/>
      <w:r w:rsidR="00370056" w:rsidRPr="00370056">
        <w:t>)</w:t>
      </w:r>
      <w:r w:rsidRPr="000D5F05">
        <w:t xml:space="preserve"> or the</w:t>
      </w:r>
      <w:r w:rsidR="004503F5" w:rsidRPr="000D5F05">
        <w:t xml:space="preserve"> </w:t>
      </w:r>
      <w:r w:rsidR="002849F6" w:rsidRPr="000D5F05">
        <w:t xml:space="preserve">IGIS’s </w:t>
      </w:r>
      <w:r w:rsidRPr="000D5F05">
        <w:t xml:space="preserve">functions under s 8A of the </w:t>
      </w:r>
      <w:r w:rsidRPr="000D5F05">
        <w:rPr>
          <w:i/>
          <w:iCs/>
        </w:rPr>
        <w:t>Inspector-General of Intelligence and Security Act 1986</w:t>
      </w:r>
      <w:r w:rsidR="00370056">
        <w:rPr>
          <w:i/>
          <w:iCs/>
        </w:rPr>
        <w:t xml:space="preserve"> </w:t>
      </w:r>
      <w:r w:rsidR="00370056" w:rsidRPr="00370056">
        <w:t>(</w:t>
      </w:r>
      <w:proofErr w:type="spellStart"/>
      <w:r w:rsidR="00370056" w:rsidRPr="00370056">
        <w:t>Cth</w:t>
      </w:r>
      <w:proofErr w:type="spellEnd"/>
      <w:r w:rsidR="00370056" w:rsidRPr="00370056">
        <w:t>)</w:t>
      </w:r>
      <w:r w:rsidRPr="00370056">
        <w:t>.</w:t>
      </w:r>
    </w:p>
    <w:p w14:paraId="61E2467B" w14:textId="514704FC" w:rsidR="00696774" w:rsidRPr="00713025" w:rsidRDefault="00696774" w:rsidP="00385B04">
      <w:pPr>
        <w:pStyle w:val="Numberedlist"/>
        <w:numPr>
          <w:ilvl w:val="1"/>
          <w:numId w:val="33"/>
        </w:numPr>
        <w:rPr>
          <w:rFonts w:eastAsiaTheme="minorHAnsi"/>
        </w:rPr>
      </w:pPr>
      <w:r w:rsidRPr="00713025">
        <w:rPr>
          <w:rFonts w:eastAsiaTheme="minorHAnsi"/>
        </w:rPr>
        <w:t xml:space="preserve">The steps that the department may take </w:t>
      </w:r>
      <w:proofErr w:type="gramStart"/>
      <w:r w:rsidRPr="00713025">
        <w:rPr>
          <w:rFonts w:eastAsiaTheme="minorHAnsi"/>
        </w:rPr>
        <w:t>in order to</w:t>
      </w:r>
      <w:proofErr w:type="gramEnd"/>
      <w:r w:rsidRPr="00713025">
        <w:rPr>
          <w:rFonts w:eastAsiaTheme="minorHAnsi"/>
        </w:rPr>
        <w:t xml:space="preserve"> protect a discloser’s identity include:</w:t>
      </w:r>
    </w:p>
    <w:p w14:paraId="40B6D219" w14:textId="1B5EDA15" w:rsidR="00696774" w:rsidRPr="000D5F05" w:rsidRDefault="00696774" w:rsidP="000D5F05">
      <w:pPr>
        <w:pStyle w:val="Numberedlist"/>
        <w:numPr>
          <w:ilvl w:val="0"/>
          <w:numId w:val="12"/>
        </w:numPr>
        <w:spacing w:before="60" w:after="60"/>
        <w:ind w:left="1134" w:hanging="340"/>
      </w:pPr>
      <w:r w:rsidRPr="000D5F05">
        <w:t xml:space="preserve">limiting the number of people who are aware of the discloser’s identity or information that would tend to identify </w:t>
      </w:r>
      <w:proofErr w:type="gramStart"/>
      <w:r w:rsidRPr="000D5F05">
        <w:t>them;</w:t>
      </w:r>
      <w:proofErr w:type="gramEnd"/>
    </w:p>
    <w:p w14:paraId="40A6D4C3" w14:textId="7C9ECCD2" w:rsidR="00696774" w:rsidRPr="000D5F05" w:rsidRDefault="00696774" w:rsidP="000D5F05">
      <w:pPr>
        <w:pStyle w:val="Numberedlist"/>
        <w:numPr>
          <w:ilvl w:val="0"/>
          <w:numId w:val="12"/>
        </w:numPr>
        <w:spacing w:before="60" w:after="60"/>
        <w:ind w:left="1134" w:hanging="340"/>
      </w:pPr>
      <w:r w:rsidRPr="000D5F05">
        <w:t xml:space="preserve">reminding each person who has the information that they should keep it </w:t>
      </w:r>
      <w:proofErr w:type="gramStart"/>
      <w:r w:rsidRPr="000D5F05">
        <w:t>confidential</w:t>
      </w:r>
      <w:proofErr w:type="gramEnd"/>
      <w:r w:rsidRPr="000D5F05">
        <w:t xml:space="preserve"> and that unauthorised disclosure may be a criminal offence;</w:t>
      </w:r>
    </w:p>
    <w:p w14:paraId="5B3D01D9" w14:textId="6AE7FF46" w:rsidR="00696774" w:rsidRPr="000D5F05" w:rsidRDefault="00696774" w:rsidP="000D5F05">
      <w:pPr>
        <w:pStyle w:val="Numberedlist"/>
        <w:numPr>
          <w:ilvl w:val="0"/>
          <w:numId w:val="12"/>
        </w:numPr>
        <w:spacing w:before="60" w:after="60"/>
        <w:ind w:left="1134" w:hanging="340"/>
      </w:pPr>
      <w:r w:rsidRPr="000D5F05">
        <w:t>assessing whether anyone who is aware of the discloser’s identity may have a motive to take reprisals against the discloser or impede the progress of the investigation, and monitor the situation; and</w:t>
      </w:r>
    </w:p>
    <w:p w14:paraId="4E7CC6D6" w14:textId="5E24D8BD" w:rsidR="00696774" w:rsidRPr="000D5F05" w:rsidRDefault="00696774" w:rsidP="000D5F05">
      <w:pPr>
        <w:pStyle w:val="Numberedlist"/>
        <w:numPr>
          <w:ilvl w:val="0"/>
          <w:numId w:val="12"/>
        </w:numPr>
        <w:spacing w:before="60" w:after="60"/>
        <w:ind w:left="1134" w:hanging="340"/>
      </w:pPr>
      <w:r w:rsidRPr="000D5F05">
        <w:t xml:space="preserve">ensuring the discloser can communicate with a support person, the </w:t>
      </w:r>
      <w:r w:rsidR="00A4781C" w:rsidRPr="000D5F05">
        <w:t>a</w:t>
      </w:r>
      <w:r w:rsidRPr="000D5F05">
        <w:t xml:space="preserve">uthorised </w:t>
      </w:r>
      <w:r w:rsidR="00A4781C" w:rsidRPr="000D5F05">
        <w:t>o</w:t>
      </w:r>
      <w:r w:rsidRPr="000D5F05">
        <w:t>fficer or investigator without alerting other staff.</w:t>
      </w:r>
    </w:p>
    <w:p w14:paraId="23E4D3E4" w14:textId="250E3110" w:rsidR="00696774" w:rsidRPr="00713025" w:rsidRDefault="00696774" w:rsidP="00385B04">
      <w:pPr>
        <w:pStyle w:val="Numberedlist"/>
        <w:numPr>
          <w:ilvl w:val="1"/>
          <w:numId w:val="33"/>
        </w:numPr>
        <w:rPr>
          <w:rFonts w:eastAsiaTheme="minorHAnsi"/>
        </w:rPr>
      </w:pPr>
      <w:r w:rsidRPr="00713025">
        <w:rPr>
          <w:rFonts w:eastAsiaTheme="minorHAnsi"/>
        </w:rPr>
        <w:t xml:space="preserve">The </w:t>
      </w:r>
      <w:r w:rsidR="00A4781C" w:rsidRPr="00713025">
        <w:rPr>
          <w:rFonts w:eastAsiaTheme="minorHAnsi"/>
        </w:rPr>
        <w:t>a</w:t>
      </w:r>
      <w:r w:rsidRPr="00713025">
        <w:rPr>
          <w:rFonts w:eastAsiaTheme="minorHAnsi"/>
        </w:rPr>
        <w:t xml:space="preserve">uthorised </w:t>
      </w:r>
      <w:r w:rsidR="00A4781C" w:rsidRPr="00713025">
        <w:rPr>
          <w:rFonts w:eastAsiaTheme="minorHAnsi"/>
        </w:rPr>
        <w:t>o</w:t>
      </w:r>
      <w:r w:rsidRPr="00713025">
        <w:rPr>
          <w:rFonts w:eastAsiaTheme="minorHAnsi"/>
        </w:rPr>
        <w:t xml:space="preserve">fficer and delegates of the </w:t>
      </w:r>
      <w:r w:rsidR="00A4781C" w:rsidRPr="00713025">
        <w:rPr>
          <w:rFonts w:eastAsiaTheme="minorHAnsi"/>
        </w:rPr>
        <w:t>p</w:t>
      </w:r>
      <w:r w:rsidRPr="00713025">
        <w:rPr>
          <w:rFonts w:eastAsiaTheme="minorHAnsi"/>
        </w:rPr>
        <w:t xml:space="preserve">rincipal </w:t>
      </w:r>
      <w:r w:rsidR="00A4781C" w:rsidRPr="00713025">
        <w:rPr>
          <w:rFonts w:eastAsiaTheme="minorHAnsi"/>
        </w:rPr>
        <w:t>o</w:t>
      </w:r>
      <w:r w:rsidRPr="00713025">
        <w:rPr>
          <w:rFonts w:eastAsiaTheme="minorHAnsi"/>
        </w:rPr>
        <w:t>fficer will take all reasonable steps to protect the identity of a public official who has made a public interest disclosure from the time the disclosure is made.</w:t>
      </w:r>
    </w:p>
    <w:p w14:paraId="1CA184A2" w14:textId="6DC845AE" w:rsidR="00696774" w:rsidRPr="00713025" w:rsidRDefault="00696774" w:rsidP="00385B04">
      <w:pPr>
        <w:pStyle w:val="Numberedlist"/>
        <w:numPr>
          <w:ilvl w:val="1"/>
          <w:numId w:val="33"/>
        </w:numPr>
        <w:rPr>
          <w:rFonts w:eastAsiaTheme="minorHAnsi"/>
        </w:rPr>
      </w:pPr>
      <w:r w:rsidRPr="00713025">
        <w:rPr>
          <w:rFonts w:eastAsiaTheme="minorHAnsi"/>
        </w:rPr>
        <w:t>Any investigation of a disclosure must be conducted in as confidential a manner as is possible.  In particular, the identity of both the discloser and the person alleged to have engaged in disclosable conduct should not be revealed except where this is reasonably necessary for the effective investigation of the disclosure (including because of the need to afford procedural fairness).</w:t>
      </w:r>
    </w:p>
    <w:p w14:paraId="7B69F42B" w14:textId="32248833" w:rsidR="00696774" w:rsidRPr="00713025" w:rsidRDefault="00696774" w:rsidP="00385B04">
      <w:pPr>
        <w:pStyle w:val="Numberedlist"/>
        <w:numPr>
          <w:ilvl w:val="1"/>
          <w:numId w:val="33"/>
        </w:numPr>
        <w:rPr>
          <w:rFonts w:eastAsiaTheme="minorHAnsi"/>
        </w:rPr>
      </w:pPr>
      <w:r w:rsidRPr="00713025">
        <w:rPr>
          <w:rFonts w:eastAsiaTheme="minorHAnsi"/>
        </w:rPr>
        <w:t xml:space="preserve">Any interviews conducted with the discloser should be conducted in private and should be arranged </w:t>
      </w:r>
      <w:proofErr w:type="gramStart"/>
      <w:r w:rsidRPr="00713025">
        <w:rPr>
          <w:rFonts w:eastAsiaTheme="minorHAnsi"/>
        </w:rPr>
        <w:t>so as to</w:t>
      </w:r>
      <w:proofErr w:type="gramEnd"/>
      <w:r w:rsidRPr="00713025">
        <w:rPr>
          <w:rFonts w:eastAsiaTheme="minorHAnsi"/>
        </w:rPr>
        <w:t xml:space="preserve"> avoid the identification of the discloser by other staff of the department.</w:t>
      </w:r>
    </w:p>
    <w:p w14:paraId="61ECF30E" w14:textId="6C52F5DF" w:rsidR="00696774" w:rsidRPr="00713025" w:rsidRDefault="00915F28" w:rsidP="00385B04">
      <w:pPr>
        <w:pStyle w:val="Numberedlist"/>
        <w:numPr>
          <w:ilvl w:val="1"/>
          <w:numId w:val="33"/>
        </w:numPr>
        <w:rPr>
          <w:rFonts w:eastAsiaTheme="minorHAnsi"/>
          <w:color w:val="000000"/>
        </w:rPr>
      </w:pPr>
      <w:r w:rsidRPr="00713025">
        <w:rPr>
          <w:rFonts w:eastAsiaTheme="minorHAnsi"/>
        </w:rPr>
        <w:t xml:space="preserve">The </w:t>
      </w:r>
      <w:r w:rsidR="00A4781C" w:rsidRPr="00713025">
        <w:rPr>
          <w:rFonts w:eastAsiaTheme="minorHAnsi"/>
        </w:rPr>
        <w:t>p</w:t>
      </w:r>
      <w:r w:rsidR="00216AF1" w:rsidRPr="00713025">
        <w:rPr>
          <w:rFonts w:eastAsiaTheme="minorHAnsi"/>
        </w:rPr>
        <w:t xml:space="preserve">rincipal </w:t>
      </w:r>
      <w:r w:rsidR="00A4781C" w:rsidRPr="00713025">
        <w:rPr>
          <w:rFonts w:eastAsiaTheme="minorHAnsi"/>
        </w:rPr>
        <w:t>o</w:t>
      </w:r>
      <w:r w:rsidR="00216AF1" w:rsidRPr="00713025">
        <w:rPr>
          <w:rFonts w:eastAsiaTheme="minorHAnsi"/>
        </w:rPr>
        <w:t>fficer is authorised under the</w:t>
      </w:r>
      <w:r w:rsidR="00A4781C" w:rsidRPr="00713025">
        <w:rPr>
          <w:rFonts w:eastAsiaTheme="minorHAnsi"/>
        </w:rPr>
        <w:t xml:space="preserve"> PID</w:t>
      </w:r>
      <w:r w:rsidR="00216AF1" w:rsidRPr="00713025">
        <w:rPr>
          <w:rFonts w:eastAsiaTheme="minorHAnsi"/>
        </w:rPr>
        <w:t xml:space="preserve"> Act to provide information</w:t>
      </w:r>
      <w:r w:rsidR="0027624F" w:rsidRPr="00713025">
        <w:rPr>
          <w:rFonts w:eastAsiaTheme="minorHAnsi"/>
        </w:rPr>
        <w:t xml:space="preserve"> in relation to a disclosure</w:t>
      </w:r>
      <w:r w:rsidR="00216AF1" w:rsidRPr="00713025">
        <w:rPr>
          <w:rFonts w:eastAsiaTheme="minorHAnsi"/>
        </w:rPr>
        <w:t xml:space="preserve"> </w:t>
      </w:r>
      <w:r w:rsidR="00992FFF" w:rsidRPr="00713025">
        <w:rPr>
          <w:rFonts w:eastAsiaTheme="minorHAnsi"/>
        </w:rPr>
        <w:t xml:space="preserve">to the </w:t>
      </w:r>
      <w:r w:rsidR="00A4781C" w:rsidRPr="00713025">
        <w:rPr>
          <w:rFonts w:eastAsiaTheme="minorHAnsi"/>
        </w:rPr>
        <w:t>p</w:t>
      </w:r>
      <w:r w:rsidR="00992FFF" w:rsidRPr="00713025">
        <w:rPr>
          <w:rFonts w:eastAsiaTheme="minorHAnsi"/>
        </w:rPr>
        <w:t xml:space="preserve">rincipal </w:t>
      </w:r>
      <w:r w:rsidR="00A4781C" w:rsidRPr="00713025">
        <w:rPr>
          <w:rFonts w:eastAsiaTheme="minorHAnsi"/>
        </w:rPr>
        <w:t>o</w:t>
      </w:r>
      <w:r w:rsidR="00992FFF" w:rsidRPr="00713025">
        <w:rPr>
          <w:rFonts w:eastAsiaTheme="minorHAnsi"/>
        </w:rPr>
        <w:t xml:space="preserve">fficer of another agency if the information </w:t>
      </w:r>
      <w:proofErr w:type="gramStart"/>
      <w:r w:rsidR="00992FFF" w:rsidRPr="00713025">
        <w:rPr>
          <w:rFonts w:eastAsiaTheme="minorHAnsi"/>
        </w:rPr>
        <w:t>is considered to be</w:t>
      </w:r>
      <w:proofErr w:type="gramEnd"/>
      <w:r w:rsidR="00992FFF" w:rsidRPr="00713025">
        <w:rPr>
          <w:rFonts w:eastAsiaTheme="minorHAnsi"/>
        </w:rPr>
        <w:t xml:space="preserve"> relevant to the destinatio</w:t>
      </w:r>
      <w:r w:rsidR="00AE6925" w:rsidRPr="00713025">
        <w:rPr>
          <w:rFonts w:eastAsiaTheme="minorHAnsi"/>
        </w:rPr>
        <w:t>n</w:t>
      </w:r>
      <w:r w:rsidR="00992FFF" w:rsidRPr="00713025">
        <w:rPr>
          <w:rFonts w:eastAsiaTheme="minorHAnsi"/>
        </w:rPr>
        <w:t xml:space="preserve"> agency’s functions.</w:t>
      </w:r>
      <w:r w:rsidR="00345A76" w:rsidRPr="00713025">
        <w:rPr>
          <w:rFonts w:eastAsiaTheme="minorHAnsi"/>
        </w:rPr>
        <w:t xml:space="preserve"> The sharing agency may delete any material from the information to be provided if the sharing agency considers it appropriate to do so. </w:t>
      </w:r>
      <w:r w:rsidR="001A5E4B" w:rsidRPr="00713025">
        <w:rPr>
          <w:rFonts w:eastAsiaTheme="minorHAnsi"/>
        </w:rPr>
        <w:t>The discloser’s name and contact details will not be provided to the recipient agency if the discloser does not consent to the provision of those details.</w:t>
      </w:r>
    </w:p>
    <w:p w14:paraId="5A354C35" w14:textId="79249747" w:rsidR="00696774" w:rsidRPr="00713025" w:rsidRDefault="00696774" w:rsidP="00385B04">
      <w:pPr>
        <w:pStyle w:val="Numberedlist"/>
        <w:numPr>
          <w:ilvl w:val="1"/>
          <w:numId w:val="33"/>
        </w:numPr>
        <w:rPr>
          <w:rFonts w:eastAsiaTheme="minorHAnsi"/>
        </w:rPr>
      </w:pPr>
      <w:r w:rsidRPr="00713025">
        <w:rPr>
          <w:rFonts w:eastAsiaTheme="minorHAnsi"/>
        </w:rPr>
        <w:t xml:space="preserve">Disclosers should also refrain from discussing the details of their disclosure under the </w:t>
      </w:r>
      <w:r w:rsidR="00A4781C" w:rsidRPr="00713025">
        <w:rPr>
          <w:rFonts w:eastAsiaTheme="minorHAnsi"/>
        </w:rPr>
        <w:t xml:space="preserve">PID </w:t>
      </w:r>
      <w:r w:rsidRPr="00713025">
        <w:rPr>
          <w:rFonts w:eastAsiaTheme="minorHAnsi"/>
        </w:rPr>
        <w:t xml:space="preserve">Act with anyone who does not have a need to know.  Discussions with these people will not be protected by the </w:t>
      </w:r>
      <w:r w:rsidR="002849F6" w:rsidRPr="00713025">
        <w:rPr>
          <w:rFonts w:eastAsiaTheme="minorHAnsi"/>
        </w:rPr>
        <w:t xml:space="preserve">PID </w:t>
      </w:r>
      <w:r w:rsidRPr="00713025">
        <w:rPr>
          <w:rFonts w:eastAsiaTheme="minorHAnsi"/>
        </w:rPr>
        <w:t>Act.</w:t>
      </w:r>
    </w:p>
    <w:p w14:paraId="001718F0" w14:textId="295E4314" w:rsidR="00F62B75" w:rsidRPr="00713025" w:rsidRDefault="006B20C5" w:rsidP="00F62B75">
      <w:pPr>
        <w:pStyle w:val="Heading2"/>
        <w:keepLines/>
      </w:pPr>
      <w:bookmarkStart w:id="33" w:name="_Toc150789937"/>
      <w:r w:rsidRPr="00713025">
        <w:t>Protected information</w:t>
      </w:r>
      <w:bookmarkEnd w:id="33"/>
    </w:p>
    <w:p w14:paraId="11245B79" w14:textId="08FB5EE7" w:rsidR="00F62B75" w:rsidRPr="00713025" w:rsidRDefault="00F62B75" w:rsidP="00385B04">
      <w:pPr>
        <w:pStyle w:val="Numberedlist"/>
        <w:numPr>
          <w:ilvl w:val="1"/>
          <w:numId w:val="33"/>
        </w:numPr>
        <w:rPr>
          <w:rFonts w:asciiTheme="minorBidi" w:hAnsiTheme="minorBidi" w:cstheme="minorBidi"/>
        </w:rPr>
      </w:pPr>
      <w:r w:rsidRPr="00713025">
        <w:rPr>
          <w:rFonts w:asciiTheme="minorBidi" w:hAnsiTheme="minorBidi" w:cstheme="minorBidi"/>
        </w:rPr>
        <w:t xml:space="preserve">Departmental officials may be subject to statutory secrecy obligations under various </w:t>
      </w:r>
      <w:r w:rsidRPr="00713025">
        <w:rPr>
          <w:rFonts w:eastAsiaTheme="minorHAnsi"/>
        </w:rPr>
        <w:t>pieces</w:t>
      </w:r>
      <w:r w:rsidRPr="00713025">
        <w:rPr>
          <w:rFonts w:asciiTheme="minorBidi" w:hAnsiTheme="minorBidi" w:cstheme="minorBidi"/>
        </w:rPr>
        <w:t xml:space="preserve"> of legislation that the </w:t>
      </w:r>
      <w:r w:rsidR="002849F6" w:rsidRPr="00713025">
        <w:rPr>
          <w:rFonts w:asciiTheme="minorBidi" w:hAnsiTheme="minorBidi" w:cstheme="minorBidi"/>
        </w:rPr>
        <w:t>d</w:t>
      </w:r>
      <w:r w:rsidRPr="00713025">
        <w:rPr>
          <w:rFonts w:asciiTheme="minorBidi" w:hAnsiTheme="minorBidi" w:cstheme="minorBidi"/>
        </w:rPr>
        <w:t xml:space="preserve">epartment (or other </w:t>
      </w:r>
      <w:r w:rsidR="002849F6" w:rsidRPr="00713025">
        <w:rPr>
          <w:rFonts w:asciiTheme="minorBidi" w:hAnsiTheme="minorBidi" w:cstheme="minorBidi"/>
        </w:rPr>
        <w:t>d</w:t>
      </w:r>
      <w:r w:rsidRPr="00713025">
        <w:rPr>
          <w:rFonts w:asciiTheme="minorBidi" w:hAnsiTheme="minorBidi" w:cstheme="minorBidi"/>
        </w:rPr>
        <w:t>epartments) administers, including, but not limited to:</w:t>
      </w:r>
    </w:p>
    <w:p w14:paraId="3AD5F1D9" w14:textId="781486DF" w:rsidR="00F62B75" w:rsidRPr="000D5F05" w:rsidRDefault="00F62B75" w:rsidP="000D5F05">
      <w:pPr>
        <w:pStyle w:val="Numberedlist"/>
        <w:numPr>
          <w:ilvl w:val="0"/>
          <w:numId w:val="12"/>
        </w:numPr>
        <w:spacing w:before="60" w:after="60"/>
        <w:ind w:left="1134" w:hanging="340"/>
      </w:pPr>
      <w:r w:rsidRPr="000D5F05">
        <w:rPr>
          <w:i/>
          <w:iCs/>
        </w:rPr>
        <w:t>Health Insurance Act 1973</w:t>
      </w:r>
      <w:r w:rsidR="000450A1" w:rsidRPr="000D5F05">
        <w:t xml:space="preserve"> (Cth</w:t>
      </w:r>
      <w:proofErr w:type="gramStart"/>
      <w:r w:rsidR="000450A1" w:rsidRPr="000D5F05">
        <w:t>)</w:t>
      </w:r>
      <w:r w:rsidRPr="000D5F05">
        <w:t>;</w:t>
      </w:r>
      <w:proofErr w:type="gramEnd"/>
    </w:p>
    <w:p w14:paraId="3CABDE81" w14:textId="3FACBB35" w:rsidR="00F62B75" w:rsidRPr="000D5F05" w:rsidRDefault="00F62B75" w:rsidP="000D5F05">
      <w:pPr>
        <w:pStyle w:val="Numberedlist"/>
        <w:numPr>
          <w:ilvl w:val="0"/>
          <w:numId w:val="12"/>
        </w:numPr>
        <w:spacing w:before="60" w:after="60"/>
        <w:ind w:left="1134" w:hanging="340"/>
      </w:pPr>
      <w:r w:rsidRPr="000D5F05">
        <w:rPr>
          <w:i/>
          <w:iCs/>
        </w:rPr>
        <w:t>National Health Act 1953</w:t>
      </w:r>
      <w:r w:rsidR="000450A1" w:rsidRPr="000D5F05">
        <w:t xml:space="preserve"> (Cth</w:t>
      </w:r>
      <w:proofErr w:type="gramStart"/>
      <w:r w:rsidR="000450A1" w:rsidRPr="000D5F05">
        <w:t>)</w:t>
      </w:r>
      <w:r w:rsidRPr="000D5F05">
        <w:t>;</w:t>
      </w:r>
      <w:proofErr w:type="gramEnd"/>
    </w:p>
    <w:p w14:paraId="2883C5DE" w14:textId="4E11AE35" w:rsidR="00F62B75" w:rsidRPr="000D5F05" w:rsidRDefault="00F62B75" w:rsidP="000D5F05">
      <w:pPr>
        <w:pStyle w:val="Numberedlist"/>
        <w:numPr>
          <w:ilvl w:val="0"/>
          <w:numId w:val="12"/>
        </w:numPr>
        <w:spacing w:before="60" w:after="60"/>
        <w:ind w:left="1134" w:hanging="340"/>
      </w:pPr>
      <w:r w:rsidRPr="000D5F05">
        <w:rPr>
          <w:i/>
          <w:iCs/>
        </w:rPr>
        <w:lastRenderedPageBreak/>
        <w:t>Aged Care Act 1997</w:t>
      </w:r>
      <w:r w:rsidR="000450A1" w:rsidRPr="000D5F05">
        <w:t xml:space="preserve"> (Cth</w:t>
      </w:r>
      <w:proofErr w:type="gramStart"/>
      <w:r w:rsidR="000450A1" w:rsidRPr="000D5F05">
        <w:t>)</w:t>
      </w:r>
      <w:r w:rsidRPr="000D5F05">
        <w:t>;</w:t>
      </w:r>
      <w:proofErr w:type="gramEnd"/>
    </w:p>
    <w:p w14:paraId="624AA8AB" w14:textId="337EA587" w:rsidR="00F62B75" w:rsidRPr="000D5F05" w:rsidRDefault="00F62B75" w:rsidP="000D5F05">
      <w:pPr>
        <w:pStyle w:val="Numberedlist"/>
        <w:numPr>
          <w:ilvl w:val="0"/>
          <w:numId w:val="12"/>
        </w:numPr>
        <w:spacing w:before="60" w:after="60"/>
        <w:ind w:left="1134" w:hanging="340"/>
      </w:pPr>
      <w:r w:rsidRPr="000D5F05">
        <w:rPr>
          <w:i/>
          <w:iCs/>
        </w:rPr>
        <w:t>My Health Records Act 2012</w:t>
      </w:r>
      <w:r w:rsidR="000450A1" w:rsidRPr="000D5F05">
        <w:t xml:space="preserve"> (Cth)</w:t>
      </w:r>
      <w:r w:rsidRPr="000D5F05">
        <w:t xml:space="preserve">; and </w:t>
      </w:r>
    </w:p>
    <w:p w14:paraId="65358BD9" w14:textId="2F5FC7D8" w:rsidR="00F62B75" w:rsidRPr="000D5F05" w:rsidRDefault="00F62B75" w:rsidP="000D5F05">
      <w:pPr>
        <w:pStyle w:val="Numberedlist"/>
        <w:numPr>
          <w:ilvl w:val="0"/>
          <w:numId w:val="12"/>
        </w:numPr>
        <w:spacing w:before="60" w:after="60"/>
        <w:ind w:left="1134" w:hanging="340"/>
      </w:pPr>
      <w:r w:rsidRPr="000D5F05">
        <w:rPr>
          <w:i/>
          <w:iCs/>
        </w:rPr>
        <w:t>Private Health Insurance Act 2007</w:t>
      </w:r>
      <w:r w:rsidR="000450A1" w:rsidRPr="000D5F05">
        <w:t xml:space="preserve"> (Cth).</w:t>
      </w:r>
    </w:p>
    <w:p w14:paraId="5242FAF8" w14:textId="62ACE827" w:rsidR="00F62B75" w:rsidRPr="00713025" w:rsidRDefault="00F62B75" w:rsidP="009513A2">
      <w:pPr>
        <w:pStyle w:val="Heading3"/>
      </w:pPr>
      <w:bookmarkStart w:id="34" w:name="_Toc150789938"/>
      <w:r w:rsidRPr="00713025">
        <w:t>Secrecy Provisions</w:t>
      </w:r>
      <w:bookmarkEnd w:id="34"/>
    </w:p>
    <w:p w14:paraId="6EA2CE96" w14:textId="5836EEA3" w:rsidR="00F62B75" w:rsidRPr="00713025" w:rsidRDefault="00F62B75" w:rsidP="00385B04">
      <w:pPr>
        <w:pStyle w:val="Numberedlist"/>
        <w:numPr>
          <w:ilvl w:val="1"/>
          <w:numId w:val="33"/>
        </w:numPr>
        <w:rPr>
          <w:rFonts w:asciiTheme="minorBidi" w:hAnsiTheme="minorBidi" w:cstheme="minorBidi"/>
        </w:rPr>
      </w:pPr>
      <w:r w:rsidRPr="00713025">
        <w:rPr>
          <w:rFonts w:asciiTheme="minorBidi" w:hAnsiTheme="minorBidi" w:cstheme="minorBidi"/>
        </w:rPr>
        <w:t xml:space="preserve">A list of key </w:t>
      </w:r>
      <w:r w:rsidR="009B6478">
        <w:rPr>
          <w:rFonts w:asciiTheme="minorBidi" w:hAnsiTheme="minorBidi" w:cstheme="minorBidi"/>
        </w:rPr>
        <w:t>s</w:t>
      </w:r>
      <w:r w:rsidRPr="00713025">
        <w:rPr>
          <w:rFonts w:asciiTheme="minorBidi" w:hAnsiTheme="minorBidi" w:cstheme="minorBidi"/>
        </w:rPr>
        <w:t xml:space="preserve">ecrecy </w:t>
      </w:r>
      <w:r w:rsidR="009B6478">
        <w:rPr>
          <w:rFonts w:asciiTheme="minorBidi" w:hAnsiTheme="minorBidi" w:cstheme="minorBidi"/>
        </w:rPr>
        <w:t>p</w:t>
      </w:r>
      <w:r w:rsidRPr="00713025">
        <w:rPr>
          <w:rFonts w:asciiTheme="minorBidi" w:hAnsiTheme="minorBidi" w:cstheme="minorBidi"/>
        </w:rPr>
        <w:t xml:space="preserve">rovisions that may apply to the </w:t>
      </w:r>
      <w:r w:rsidR="002849F6" w:rsidRPr="00713025">
        <w:rPr>
          <w:rFonts w:asciiTheme="minorBidi" w:hAnsiTheme="minorBidi" w:cstheme="minorBidi"/>
        </w:rPr>
        <w:t>d</w:t>
      </w:r>
      <w:r w:rsidRPr="00713025">
        <w:rPr>
          <w:rFonts w:asciiTheme="minorBidi" w:hAnsiTheme="minorBidi" w:cstheme="minorBidi"/>
        </w:rPr>
        <w:t xml:space="preserve">epartment </w:t>
      </w:r>
      <w:r w:rsidR="00A4781C" w:rsidRPr="00713025">
        <w:rPr>
          <w:rFonts w:asciiTheme="minorBidi" w:hAnsiTheme="minorBidi" w:cstheme="minorBidi"/>
        </w:rPr>
        <w:t>during</w:t>
      </w:r>
      <w:r w:rsidRPr="00713025">
        <w:rPr>
          <w:rFonts w:asciiTheme="minorBidi" w:hAnsiTheme="minorBidi" w:cstheme="minorBidi"/>
        </w:rPr>
        <w:t xml:space="preserve"> a PID process is contained </w:t>
      </w:r>
      <w:r w:rsidR="00160563" w:rsidRPr="00713025">
        <w:rPr>
          <w:rFonts w:asciiTheme="minorBidi" w:hAnsiTheme="minorBidi" w:cstheme="minorBidi"/>
        </w:rPr>
        <w:t>at Annexure A</w:t>
      </w:r>
      <w:r w:rsidRPr="00713025">
        <w:rPr>
          <w:rFonts w:asciiTheme="minorBidi" w:hAnsiTheme="minorBidi" w:cstheme="minorBidi"/>
        </w:rPr>
        <w:t xml:space="preserve">. It is important to note this is not an exhaustive list of all secrecy provisions and that care needs to be taken to identify any other secrecy provision that may apply </w:t>
      </w:r>
      <w:proofErr w:type="gramStart"/>
      <w:r w:rsidRPr="00713025">
        <w:rPr>
          <w:rFonts w:asciiTheme="minorBidi" w:hAnsiTheme="minorBidi" w:cstheme="minorBidi"/>
        </w:rPr>
        <w:t>in particular circumstances</w:t>
      </w:r>
      <w:proofErr w:type="gramEnd"/>
      <w:r w:rsidRPr="00713025">
        <w:rPr>
          <w:rFonts w:asciiTheme="minorBidi" w:hAnsiTheme="minorBidi" w:cstheme="minorBidi"/>
        </w:rPr>
        <w:t>.</w:t>
      </w:r>
    </w:p>
    <w:p w14:paraId="76DC502B" w14:textId="64C67F10" w:rsidR="00F62B75" w:rsidRPr="00713025" w:rsidRDefault="00F62B75" w:rsidP="00385B04">
      <w:pPr>
        <w:pStyle w:val="Numberedlist"/>
        <w:numPr>
          <w:ilvl w:val="1"/>
          <w:numId w:val="33"/>
        </w:numPr>
        <w:rPr>
          <w:rFonts w:asciiTheme="minorBidi" w:hAnsiTheme="minorBidi" w:cstheme="minorBidi"/>
        </w:rPr>
      </w:pPr>
      <w:r w:rsidRPr="00713025">
        <w:rPr>
          <w:rFonts w:asciiTheme="minorBidi" w:hAnsiTheme="minorBidi" w:cstheme="minorBidi"/>
        </w:rPr>
        <w:t xml:space="preserve">Secrecy </w:t>
      </w:r>
      <w:r w:rsidR="009B6478">
        <w:rPr>
          <w:rFonts w:asciiTheme="minorBidi" w:hAnsiTheme="minorBidi" w:cstheme="minorBidi"/>
        </w:rPr>
        <w:t>p</w:t>
      </w:r>
      <w:r w:rsidRPr="00713025">
        <w:rPr>
          <w:rFonts w:asciiTheme="minorBidi" w:hAnsiTheme="minorBidi" w:cstheme="minorBidi"/>
        </w:rPr>
        <w:t xml:space="preserve">rovisions generally restrict the use, disclosure or recording of information which a public official obtains in the course of their duties. A breach of statutory secrecy provisions may attract criminal penalties, including imprisonment. </w:t>
      </w:r>
    </w:p>
    <w:p w14:paraId="7CFC6F3D" w14:textId="5E913AC3" w:rsidR="00F62B75" w:rsidRPr="00713025" w:rsidRDefault="00F62B75" w:rsidP="00385B04">
      <w:pPr>
        <w:pStyle w:val="Numberedlist"/>
        <w:numPr>
          <w:ilvl w:val="1"/>
          <w:numId w:val="33"/>
        </w:numPr>
        <w:rPr>
          <w:rFonts w:asciiTheme="minorBidi" w:hAnsiTheme="minorBidi" w:cstheme="minorBidi"/>
        </w:rPr>
      </w:pPr>
      <w:r w:rsidRPr="00713025">
        <w:rPr>
          <w:rFonts w:asciiTheme="minorBidi" w:hAnsiTheme="minorBidi" w:cstheme="minorBidi"/>
        </w:rPr>
        <w:t xml:space="preserve">Notwithstanding the above, the disclosure, recording or use of information which is the subject of a Commonwealth secrecy provision is permitted under certain circumstances as outlined in the section 75 of the PID Act, </w:t>
      </w:r>
      <w:proofErr w:type="gramStart"/>
      <w:r w:rsidRPr="00713025">
        <w:rPr>
          <w:rFonts w:asciiTheme="minorBidi" w:hAnsiTheme="minorBidi" w:cstheme="minorBidi"/>
        </w:rPr>
        <w:t>namely</w:t>
      </w:r>
      <w:proofErr w:type="gramEnd"/>
      <w:r w:rsidRPr="00713025">
        <w:rPr>
          <w:rFonts w:asciiTheme="minorBidi" w:hAnsiTheme="minorBidi" w:cstheme="minorBidi"/>
        </w:rPr>
        <w:t xml:space="preserve"> </w:t>
      </w:r>
    </w:p>
    <w:p w14:paraId="7B446D78" w14:textId="2BBF75A3" w:rsidR="00F62B75" w:rsidRPr="00713025" w:rsidRDefault="00F62B75" w:rsidP="00385B04">
      <w:pPr>
        <w:pStyle w:val="ListParagraph"/>
        <w:numPr>
          <w:ilvl w:val="0"/>
          <w:numId w:val="15"/>
        </w:numPr>
        <w:rPr>
          <w:rFonts w:asciiTheme="minorBidi" w:hAnsiTheme="minorBidi" w:cstheme="minorBidi"/>
          <w:sz w:val="21"/>
          <w:szCs w:val="21"/>
        </w:rPr>
      </w:pPr>
      <w:r w:rsidRPr="00713025">
        <w:rPr>
          <w:rFonts w:asciiTheme="minorBidi" w:hAnsiTheme="minorBidi" w:cstheme="minorBidi"/>
          <w:sz w:val="21"/>
          <w:szCs w:val="21"/>
        </w:rPr>
        <w:t xml:space="preserve">where the disclosure, recording or use </w:t>
      </w:r>
      <w:r w:rsidR="0082054B" w:rsidRPr="00713025">
        <w:rPr>
          <w:rFonts w:asciiTheme="minorBidi" w:hAnsiTheme="minorBidi" w:cstheme="minorBidi"/>
          <w:sz w:val="21"/>
          <w:szCs w:val="21"/>
        </w:rPr>
        <w:t xml:space="preserve">of information </w:t>
      </w:r>
      <w:r w:rsidRPr="00713025">
        <w:rPr>
          <w:rFonts w:asciiTheme="minorBidi" w:hAnsiTheme="minorBidi" w:cstheme="minorBidi"/>
          <w:sz w:val="21"/>
          <w:szCs w:val="21"/>
        </w:rPr>
        <w:t>is:</w:t>
      </w:r>
    </w:p>
    <w:p w14:paraId="0B288D9B" w14:textId="77777777" w:rsidR="00F62B75" w:rsidRPr="00713025" w:rsidRDefault="00F62B75" w:rsidP="00385B04">
      <w:pPr>
        <w:pStyle w:val="ListParagraph"/>
        <w:numPr>
          <w:ilvl w:val="1"/>
          <w:numId w:val="15"/>
        </w:numPr>
        <w:rPr>
          <w:rFonts w:asciiTheme="minorBidi" w:hAnsiTheme="minorBidi" w:cstheme="minorBidi"/>
          <w:sz w:val="21"/>
          <w:szCs w:val="21"/>
        </w:rPr>
      </w:pPr>
      <w:r w:rsidRPr="00713025">
        <w:rPr>
          <w:rFonts w:asciiTheme="minorBidi" w:hAnsiTheme="minorBidi" w:cstheme="minorBidi"/>
          <w:sz w:val="21"/>
          <w:szCs w:val="21"/>
        </w:rPr>
        <w:t xml:space="preserve">in connection with the conduct of a disclosure </w:t>
      </w:r>
      <w:proofErr w:type="gramStart"/>
      <w:r w:rsidRPr="00713025">
        <w:rPr>
          <w:rFonts w:asciiTheme="minorBidi" w:hAnsiTheme="minorBidi" w:cstheme="minorBidi"/>
          <w:sz w:val="21"/>
          <w:szCs w:val="21"/>
        </w:rPr>
        <w:t>investigation;</w:t>
      </w:r>
      <w:proofErr w:type="gramEnd"/>
      <w:r w:rsidRPr="00713025">
        <w:rPr>
          <w:rFonts w:asciiTheme="minorBidi" w:hAnsiTheme="minorBidi" w:cstheme="minorBidi"/>
          <w:sz w:val="21"/>
          <w:szCs w:val="21"/>
        </w:rPr>
        <w:t xml:space="preserve"> </w:t>
      </w:r>
    </w:p>
    <w:p w14:paraId="2DCD3446" w14:textId="7261A801" w:rsidR="00F62B75" w:rsidRPr="00713025" w:rsidRDefault="00F62B75" w:rsidP="00385B04">
      <w:pPr>
        <w:pStyle w:val="ListParagraph"/>
        <w:numPr>
          <w:ilvl w:val="1"/>
          <w:numId w:val="15"/>
        </w:numPr>
        <w:rPr>
          <w:rFonts w:asciiTheme="minorBidi" w:hAnsiTheme="minorBidi" w:cstheme="minorBidi"/>
          <w:sz w:val="21"/>
          <w:szCs w:val="21"/>
        </w:rPr>
      </w:pPr>
      <w:r w:rsidRPr="00713025">
        <w:rPr>
          <w:rFonts w:asciiTheme="minorBidi" w:hAnsiTheme="minorBidi" w:cstheme="minorBidi"/>
          <w:sz w:val="21"/>
          <w:szCs w:val="21"/>
        </w:rPr>
        <w:t xml:space="preserve">for the purposes of the performance of the functions, or the exercise of the powers, conferred on a person by Part 3 or section 61 </w:t>
      </w:r>
      <w:r w:rsidR="0082054B" w:rsidRPr="00713025">
        <w:rPr>
          <w:rFonts w:asciiTheme="minorBidi" w:hAnsiTheme="minorBidi" w:cstheme="minorBidi"/>
          <w:sz w:val="21"/>
          <w:szCs w:val="21"/>
        </w:rPr>
        <w:t xml:space="preserve">or 65 </w:t>
      </w:r>
      <w:r w:rsidRPr="00713025">
        <w:rPr>
          <w:rFonts w:asciiTheme="minorBidi" w:hAnsiTheme="minorBidi" w:cstheme="minorBidi"/>
          <w:sz w:val="21"/>
          <w:szCs w:val="21"/>
        </w:rPr>
        <w:t>of the PID Act; or</w:t>
      </w:r>
    </w:p>
    <w:p w14:paraId="345B276A" w14:textId="15E0B710" w:rsidR="00F62B75" w:rsidRPr="00713025" w:rsidRDefault="00F62B75" w:rsidP="00385B04">
      <w:pPr>
        <w:pStyle w:val="ListParagraph"/>
        <w:numPr>
          <w:ilvl w:val="1"/>
          <w:numId w:val="15"/>
        </w:numPr>
        <w:spacing w:after="120"/>
        <w:rPr>
          <w:rFonts w:asciiTheme="minorBidi" w:hAnsiTheme="minorBidi" w:cstheme="minorBidi"/>
          <w:sz w:val="21"/>
          <w:szCs w:val="21"/>
        </w:rPr>
      </w:pPr>
      <w:r w:rsidRPr="00713025">
        <w:rPr>
          <w:rFonts w:asciiTheme="minorBidi" w:hAnsiTheme="minorBidi" w:cstheme="minorBidi"/>
          <w:sz w:val="21"/>
          <w:szCs w:val="21"/>
        </w:rPr>
        <w:t>in connection with giving a person access to information for the purposes of, or in connection with, the performance of the functions, or the exercise of the powers, conferred on the person by Part 3 or section 61</w:t>
      </w:r>
      <w:r w:rsidR="0082054B" w:rsidRPr="00713025">
        <w:rPr>
          <w:rFonts w:asciiTheme="minorBidi" w:hAnsiTheme="minorBidi" w:cstheme="minorBidi"/>
          <w:sz w:val="21"/>
          <w:szCs w:val="21"/>
        </w:rPr>
        <w:t xml:space="preserve"> or 65</w:t>
      </w:r>
      <w:r w:rsidRPr="00713025">
        <w:rPr>
          <w:rFonts w:asciiTheme="minorBidi" w:hAnsiTheme="minorBidi" w:cstheme="minorBidi"/>
          <w:sz w:val="21"/>
          <w:szCs w:val="21"/>
        </w:rPr>
        <w:t>; and</w:t>
      </w:r>
    </w:p>
    <w:p w14:paraId="2803DA03" w14:textId="77777777" w:rsidR="00F62B75" w:rsidRPr="00713025" w:rsidRDefault="00F62B75" w:rsidP="00385B04">
      <w:pPr>
        <w:pStyle w:val="ListParagraph"/>
        <w:numPr>
          <w:ilvl w:val="0"/>
          <w:numId w:val="15"/>
        </w:numPr>
        <w:spacing w:after="120"/>
        <w:rPr>
          <w:rFonts w:asciiTheme="minorBidi" w:hAnsiTheme="minorBidi" w:cstheme="minorBidi"/>
          <w:sz w:val="21"/>
          <w:szCs w:val="21"/>
        </w:rPr>
      </w:pPr>
      <w:r w:rsidRPr="00713025">
        <w:rPr>
          <w:rFonts w:asciiTheme="minorBidi" w:hAnsiTheme="minorBidi" w:cstheme="minorBidi"/>
          <w:sz w:val="21"/>
          <w:szCs w:val="21"/>
        </w:rPr>
        <w:t xml:space="preserve">where the disclosure </w:t>
      </w:r>
      <w:proofErr w:type="gramStart"/>
      <w:r w:rsidRPr="00713025">
        <w:rPr>
          <w:rFonts w:asciiTheme="minorBidi" w:hAnsiTheme="minorBidi" w:cstheme="minorBidi"/>
          <w:sz w:val="21"/>
          <w:szCs w:val="21"/>
        </w:rPr>
        <w:t>recording</w:t>
      </w:r>
      <w:proofErr w:type="gramEnd"/>
      <w:r w:rsidRPr="00713025">
        <w:rPr>
          <w:rFonts w:asciiTheme="minorBidi" w:hAnsiTheme="minorBidi" w:cstheme="minorBidi"/>
          <w:sz w:val="21"/>
          <w:szCs w:val="21"/>
        </w:rPr>
        <w:t xml:space="preserve"> or use is not:</w:t>
      </w:r>
    </w:p>
    <w:p w14:paraId="36CF6A06" w14:textId="77777777" w:rsidR="00F62B75" w:rsidRPr="00713025" w:rsidRDefault="00F62B75" w:rsidP="00385B04">
      <w:pPr>
        <w:pStyle w:val="ListParagraph"/>
        <w:numPr>
          <w:ilvl w:val="1"/>
          <w:numId w:val="15"/>
        </w:numPr>
        <w:spacing w:after="120"/>
        <w:rPr>
          <w:rFonts w:asciiTheme="minorBidi" w:hAnsiTheme="minorBidi" w:cstheme="minorBidi"/>
          <w:sz w:val="21"/>
          <w:szCs w:val="21"/>
        </w:rPr>
      </w:pPr>
      <w:r w:rsidRPr="00713025">
        <w:rPr>
          <w:rFonts w:asciiTheme="minorBidi" w:hAnsiTheme="minorBidi" w:cstheme="minorBidi"/>
          <w:sz w:val="21"/>
          <w:szCs w:val="21"/>
        </w:rPr>
        <w:t>contrary to a designated publication restriction; and</w:t>
      </w:r>
    </w:p>
    <w:p w14:paraId="4E234637" w14:textId="77777777" w:rsidR="00F62B75" w:rsidRPr="00713025" w:rsidRDefault="00F62B75" w:rsidP="00385B04">
      <w:pPr>
        <w:pStyle w:val="ListParagraph"/>
        <w:numPr>
          <w:ilvl w:val="1"/>
          <w:numId w:val="15"/>
        </w:numPr>
        <w:spacing w:after="120"/>
        <w:rPr>
          <w:rFonts w:asciiTheme="minorBidi" w:hAnsiTheme="minorBidi" w:cstheme="minorBidi"/>
          <w:sz w:val="21"/>
          <w:szCs w:val="21"/>
        </w:rPr>
      </w:pPr>
      <w:r w:rsidRPr="00713025">
        <w:rPr>
          <w:rFonts w:asciiTheme="minorBidi" w:hAnsiTheme="minorBidi" w:cstheme="minorBidi"/>
          <w:sz w:val="21"/>
          <w:szCs w:val="21"/>
        </w:rPr>
        <w:t>in relation to information which is the subject of a secrecy provision which is enacted after the commencement of section 75 of the PID Act and expressed to take effect despite section 75 of the PID Act.</w:t>
      </w:r>
    </w:p>
    <w:p w14:paraId="3A49843F" w14:textId="5274FB67" w:rsidR="00F62B75" w:rsidRPr="00713025" w:rsidRDefault="00F62B75" w:rsidP="00385B04">
      <w:pPr>
        <w:pStyle w:val="Numberedlist"/>
        <w:numPr>
          <w:ilvl w:val="1"/>
          <w:numId w:val="33"/>
        </w:numPr>
        <w:rPr>
          <w:rFonts w:asciiTheme="minorBidi" w:hAnsiTheme="minorBidi" w:cstheme="minorBidi"/>
        </w:rPr>
      </w:pPr>
      <w:r w:rsidRPr="00713025">
        <w:rPr>
          <w:rFonts w:asciiTheme="minorBidi" w:hAnsiTheme="minorBidi" w:cstheme="minorBidi"/>
        </w:rPr>
        <w:t>Departmental officials or personnel who are involved in a PID</w:t>
      </w:r>
      <w:r w:rsidR="00A4781C" w:rsidRPr="00713025">
        <w:rPr>
          <w:rFonts w:asciiTheme="minorBidi" w:hAnsiTheme="minorBidi" w:cstheme="minorBidi"/>
        </w:rPr>
        <w:t xml:space="preserve"> process</w:t>
      </w:r>
      <w:r w:rsidRPr="00713025">
        <w:rPr>
          <w:rFonts w:asciiTheme="minorBidi" w:hAnsiTheme="minorBidi" w:cstheme="minorBidi"/>
        </w:rPr>
        <w:t xml:space="preserve"> should consider the extent to which they are subject to a </w:t>
      </w:r>
      <w:r w:rsidR="00210FDE">
        <w:rPr>
          <w:rFonts w:asciiTheme="minorBidi" w:hAnsiTheme="minorBidi" w:cstheme="minorBidi"/>
        </w:rPr>
        <w:t>s</w:t>
      </w:r>
      <w:r w:rsidRPr="00713025">
        <w:rPr>
          <w:rFonts w:asciiTheme="minorBidi" w:hAnsiTheme="minorBidi" w:cstheme="minorBidi"/>
        </w:rPr>
        <w:t xml:space="preserve">ecrecy </w:t>
      </w:r>
      <w:r w:rsidR="00210FDE">
        <w:rPr>
          <w:rFonts w:asciiTheme="minorBidi" w:hAnsiTheme="minorBidi" w:cstheme="minorBidi"/>
        </w:rPr>
        <w:t>p</w:t>
      </w:r>
      <w:r w:rsidRPr="00713025">
        <w:rPr>
          <w:rFonts w:asciiTheme="minorBidi" w:hAnsiTheme="minorBidi" w:cstheme="minorBidi"/>
        </w:rPr>
        <w:t xml:space="preserve">rovision, and whether any disclosure, use, or recording of the information as part of a PID process is permitted under section 75 of the PID Act. </w:t>
      </w:r>
    </w:p>
    <w:p w14:paraId="31633DAE" w14:textId="417CCDEC" w:rsidR="00F62B75" w:rsidRPr="00713025" w:rsidRDefault="00F62B75" w:rsidP="00385B04">
      <w:pPr>
        <w:pStyle w:val="Numberedlist"/>
        <w:numPr>
          <w:ilvl w:val="1"/>
          <w:numId w:val="33"/>
        </w:numPr>
        <w:rPr>
          <w:rFonts w:asciiTheme="minorBidi" w:hAnsiTheme="minorBidi" w:cstheme="minorBidi"/>
        </w:rPr>
      </w:pPr>
      <w:r w:rsidRPr="00713025">
        <w:rPr>
          <w:rFonts w:asciiTheme="minorBidi" w:hAnsiTheme="minorBidi" w:cstheme="minorBidi"/>
        </w:rPr>
        <w:t xml:space="preserve">To the extent any use, disclosure or recording of information which is the subject of a </w:t>
      </w:r>
      <w:r w:rsidR="00210FDE">
        <w:rPr>
          <w:rFonts w:asciiTheme="minorBidi" w:hAnsiTheme="minorBidi" w:cstheme="minorBidi"/>
        </w:rPr>
        <w:t>s</w:t>
      </w:r>
      <w:r w:rsidRPr="00713025">
        <w:rPr>
          <w:rFonts w:asciiTheme="minorBidi" w:hAnsiTheme="minorBidi" w:cstheme="minorBidi"/>
        </w:rPr>
        <w:t xml:space="preserve">ecrecy </w:t>
      </w:r>
      <w:r w:rsidR="00210FDE">
        <w:rPr>
          <w:rFonts w:asciiTheme="minorBidi" w:hAnsiTheme="minorBidi" w:cstheme="minorBidi"/>
        </w:rPr>
        <w:t>p</w:t>
      </w:r>
      <w:r w:rsidRPr="00713025">
        <w:rPr>
          <w:rFonts w:asciiTheme="minorBidi" w:hAnsiTheme="minorBidi" w:cstheme="minorBidi"/>
        </w:rPr>
        <w:t>rovision does not fall within the circumstances in section 75 of the PID Act, individuals should:</w:t>
      </w:r>
    </w:p>
    <w:p w14:paraId="4741F90D" w14:textId="77777777" w:rsidR="00F62B75" w:rsidRPr="00713025" w:rsidRDefault="00F62B75" w:rsidP="00385B04">
      <w:pPr>
        <w:pStyle w:val="ListParagraph"/>
        <w:numPr>
          <w:ilvl w:val="0"/>
          <w:numId w:val="16"/>
        </w:numPr>
        <w:spacing w:after="120"/>
        <w:rPr>
          <w:rFonts w:asciiTheme="minorBidi" w:hAnsiTheme="minorBidi" w:cstheme="minorBidi"/>
          <w:sz w:val="21"/>
          <w:szCs w:val="21"/>
        </w:rPr>
      </w:pPr>
      <w:r w:rsidRPr="00713025">
        <w:rPr>
          <w:rFonts w:asciiTheme="minorBidi" w:hAnsiTheme="minorBidi" w:cstheme="minorBidi"/>
          <w:sz w:val="21"/>
          <w:szCs w:val="21"/>
        </w:rPr>
        <w:t>minimise the scope and extent of personal information used or disclosed to that information necessary to meet the requirements of the PID Act; and</w:t>
      </w:r>
    </w:p>
    <w:p w14:paraId="48FC5472" w14:textId="0D284740" w:rsidR="00F62B75" w:rsidRPr="00713025" w:rsidRDefault="00F62B75" w:rsidP="00385B04">
      <w:pPr>
        <w:pStyle w:val="ListParagraph"/>
        <w:numPr>
          <w:ilvl w:val="0"/>
          <w:numId w:val="16"/>
        </w:numPr>
        <w:spacing w:after="120"/>
        <w:rPr>
          <w:rFonts w:asciiTheme="minorBidi" w:hAnsiTheme="minorBidi" w:cstheme="minorBidi"/>
          <w:sz w:val="21"/>
          <w:szCs w:val="21"/>
        </w:rPr>
      </w:pPr>
      <w:r w:rsidRPr="00713025">
        <w:rPr>
          <w:rFonts w:asciiTheme="minorBidi" w:hAnsiTheme="minorBidi" w:cstheme="minorBidi"/>
          <w:sz w:val="21"/>
          <w:szCs w:val="21"/>
        </w:rPr>
        <w:t xml:space="preserve">redact any information the disclosure, recording or use of which is prohibited by </w:t>
      </w:r>
      <w:r w:rsidR="00210FDE">
        <w:rPr>
          <w:rFonts w:asciiTheme="minorBidi" w:hAnsiTheme="minorBidi" w:cstheme="minorBidi"/>
          <w:sz w:val="21"/>
          <w:szCs w:val="21"/>
        </w:rPr>
        <w:t>s</w:t>
      </w:r>
      <w:r w:rsidRPr="00713025">
        <w:rPr>
          <w:rFonts w:asciiTheme="minorBidi" w:hAnsiTheme="minorBidi" w:cstheme="minorBidi"/>
          <w:sz w:val="21"/>
          <w:szCs w:val="21"/>
        </w:rPr>
        <w:t xml:space="preserve">ecrecy </w:t>
      </w:r>
      <w:r w:rsidR="00210FDE">
        <w:rPr>
          <w:rFonts w:asciiTheme="minorBidi" w:hAnsiTheme="minorBidi" w:cstheme="minorBidi"/>
          <w:sz w:val="21"/>
          <w:szCs w:val="21"/>
        </w:rPr>
        <w:t>p</w:t>
      </w:r>
      <w:r w:rsidRPr="00713025">
        <w:rPr>
          <w:rFonts w:asciiTheme="minorBidi" w:hAnsiTheme="minorBidi" w:cstheme="minorBidi"/>
          <w:sz w:val="21"/>
          <w:szCs w:val="21"/>
        </w:rPr>
        <w:t>rovisions.</w:t>
      </w:r>
    </w:p>
    <w:p w14:paraId="695D8872" w14:textId="34D85F5E" w:rsidR="00F02482" w:rsidRPr="00713025" w:rsidRDefault="00F02482" w:rsidP="00696774">
      <w:pPr>
        <w:pStyle w:val="Heading2"/>
        <w:rPr>
          <w:rFonts w:eastAsia="Arial"/>
        </w:rPr>
      </w:pPr>
      <w:bookmarkStart w:id="35" w:name="_Toc150789939"/>
      <w:r w:rsidRPr="00713025">
        <w:rPr>
          <w:rFonts w:eastAsia="Arial"/>
        </w:rPr>
        <w:t>Immunity from liability</w:t>
      </w:r>
      <w:bookmarkEnd w:id="32"/>
      <w:bookmarkEnd w:id="35"/>
    </w:p>
    <w:p w14:paraId="2A52FBBB" w14:textId="269C6F0A" w:rsidR="00F02482" w:rsidRPr="00713025" w:rsidRDefault="00F02482" w:rsidP="00385B04">
      <w:pPr>
        <w:pStyle w:val="Numberedlist"/>
        <w:numPr>
          <w:ilvl w:val="1"/>
          <w:numId w:val="33"/>
        </w:numPr>
      </w:pPr>
      <w:r w:rsidRPr="00713025">
        <w:t xml:space="preserve">A </w:t>
      </w:r>
      <w:r w:rsidRPr="00713025">
        <w:rPr>
          <w:rFonts w:asciiTheme="minorBidi" w:hAnsiTheme="minorBidi" w:cstheme="minorBidi"/>
        </w:rPr>
        <w:t>person</w:t>
      </w:r>
      <w:r w:rsidRPr="00713025">
        <w:t xml:space="preserve"> who makes a public interest disclosure</w:t>
      </w:r>
      <w:r w:rsidR="008E18EF" w:rsidRPr="00713025">
        <w:t xml:space="preserve">, or a person who </w:t>
      </w:r>
      <w:proofErr w:type="gramStart"/>
      <w:r w:rsidR="008E18EF" w:rsidRPr="00713025">
        <w:t>provides assistance</w:t>
      </w:r>
      <w:proofErr w:type="gramEnd"/>
      <w:r w:rsidR="008E18EF" w:rsidRPr="00713025">
        <w:t xml:space="preserve"> in relation to a public interest disclosure, including witnesses are</w:t>
      </w:r>
      <w:r w:rsidRPr="00713025">
        <w:t xml:space="preserve"> not subject to any civil, criminal or administrative liability (including disciplinary action).  However, a </w:t>
      </w:r>
      <w:r w:rsidR="007B21E5" w:rsidRPr="00713025">
        <w:t>person</w:t>
      </w:r>
      <w:r w:rsidR="00EF15A3" w:rsidRPr="00713025">
        <w:t xml:space="preserve"> who makes a disclosure or </w:t>
      </w:r>
      <w:proofErr w:type="gramStart"/>
      <w:r w:rsidR="00EF15A3" w:rsidRPr="00713025">
        <w:t>provides assistance</w:t>
      </w:r>
      <w:proofErr w:type="gramEnd"/>
      <w:r w:rsidR="00EF15A3" w:rsidRPr="00713025">
        <w:t xml:space="preserve"> in relation to a disclosure</w:t>
      </w:r>
      <w:r w:rsidR="007B21E5" w:rsidRPr="00713025">
        <w:t xml:space="preserve"> </w:t>
      </w:r>
      <w:r w:rsidRPr="00713025">
        <w:t>is not protected from liability (including disciplinary action) for knowingly making a false or misleading statement, or knowingly making a disclosure that contravenes a designated publication restriction without reasonable excuse (see se</w:t>
      </w:r>
      <w:r w:rsidR="00643EBF" w:rsidRPr="00713025">
        <w:t>ctions 11</w:t>
      </w:r>
      <w:r w:rsidR="00706EAA" w:rsidRPr="00713025">
        <w:t>,</w:t>
      </w:r>
      <w:r w:rsidR="003C25F9">
        <w:t xml:space="preserve"> </w:t>
      </w:r>
      <w:r w:rsidR="00643EBF" w:rsidRPr="00713025">
        <w:t>11A</w:t>
      </w:r>
      <w:r w:rsidR="00706EAA" w:rsidRPr="00713025">
        <w:t>, 12A and 12B</w:t>
      </w:r>
      <w:r w:rsidR="00643EBF" w:rsidRPr="00713025">
        <w:t xml:space="preserve"> of the </w:t>
      </w:r>
      <w:r w:rsidR="003C25F9">
        <w:t xml:space="preserve">PID </w:t>
      </w:r>
      <w:r w:rsidR="00643EBF" w:rsidRPr="00713025">
        <w:t>Act).</w:t>
      </w:r>
    </w:p>
    <w:p w14:paraId="4C8FF48C" w14:textId="2FF3946A" w:rsidR="00F02482" w:rsidRPr="00713025" w:rsidRDefault="00F02482" w:rsidP="00385B04">
      <w:pPr>
        <w:pStyle w:val="Numberedlist"/>
        <w:numPr>
          <w:ilvl w:val="1"/>
          <w:numId w:val="33"/>
        </w:numPr>
        <w:rPr>
          <w:rFonts w:eastAsiaTheme="minorHAnsi"/>
        </w:rPr>
      </w:pPr>
      <w:r w:rsidRPr="00713025">
        <w:rPr>
          <w:rFonts w:eastAsiaTheme="minorHAnsi"/>
        </w:rPr>
        <w:lastRenderedPageBreak/>
        <w:t>Making a</w:t>
      </w:r>
      <w:r w:rsidR="001C0296" w:rsidRPr="00713025">
        <w:rPr>
          <w:rFonts w:eastAsiaTheme="minorHAnsi"/>
        </w:rPr>
        <w:t xml:space="preserve"> public interest</w:t>
      </w:r>
      <w:r w:rsidRPr="00713025">
        <w:rPr>
          <w:rFonts w:eastAsiaTheme="minorHAnsi"/>
        </w:rPr>
        <w:t xml:space="preserve"> disclosure </w:t>
      </w:r>
      <w:r w:rsidR="00C76A3A" w:rsidRPr="00713025">
        <w:rPr>
          <w:rFonts w:eastAsiaTheme="minorHAnsi"/>
        </w:rPr>
        <w:t xml:space="preserve">or providing assistance to a </w:t>
      </w:r>
      <w:r w:rsidR="001C0296" w:rsidRPr="00713025">
        <w:rPr>
          <w:rFonts w:eastAsiaTheme="minorHAnsi"/>
        </w:rPr>
        <w:t xml:space="preserve">public interest </w:t>
      </w:r>
      <w:r w:rsidR="00C76A3A" w:rsidRPr="00713025">
        <w:rPr>
          <w:rFonts w:eastAsiaTheme="minorHAnsi"/>
        </w:rPr>
        <w:t xml:space="preserve">disclosure </w:t>
      </w:r>
      <w:r w:rsidRPr="00713025">
        <w:rPr>
          <w:rFonts w:eastAsiaTheme="minorHAnsi"/>
        </w:rPr>
        <w:t xml:space="preserve">does not entitle a </w:t>
      </w:r>
      <w:r w:rsidR="00C76A3A" w:rsidRPr="00713025">
        <w:t>person</w:t>
      </w:r>
      <w:r w:rsidR="00C76A3A" w:rsidRPr="00713025">
        <w:rPr>
          <w:rFonts w:eastAsiaTheme="minorHAnsi"/>
        </w:rPr>
        <w:t xml:space="preserve"> </w:t>
      </w:r>
      <w:r w:rsidRPr="00713025">
        <w:rPr>
          <w:rFonts w:eastAsiaTheme="minorHAnsi"/>
        </w:rPr>
        <w:t>to protection from the consequences of their own wrongdoin</w:t>
      </w:r>
      <w:r w:rsidR="00643EBF" w:rsidRPr="00713025">
        <w:rPr>
          <w:rFonts w:eastAsiaTheme="minorHAnsi"/>
        </w:rPr>
        <w:t xml:space="preserve">g (see section </w:t>
      </w:r>
      <w:r w:rsidR="002B34C2" w:rsidRPr="00713025">
        <w:rPr>
          <w:rFonts w:eastAsiaTheme="minorHAnsi"/>
        </w:rPr>
        <w:t xml:space="preserve">12, </w:t>
      </w:r>
      <w:r w:rsidR="00643EBF" w:rsidRPr="00713025">
        <w:rPr>
          <w:rFonts w:eastAsiaTheme="minorHAnsi"/>
        </w:rPr>
        <w:t>12</w:t>
      </w:r>
      <w:r w:rsidR="003E024F" w:rsidRPr="00713025">
        <w:rPr>
          <w:rFonts w:eastAsiaTheme="minorHAnsi"/>
        </w:rPr>
        <w:t>A and 12</w:t>
      </w:r>
      <w:proofErr w:type="gramStart"/>
      <w:r w:rsidR="003E024F" w:rsidRPr="00713025">
        <w:rPr>
          <w:rFonts w:eastAsiaTheme="minorHAnsi"/>
        </w:rPr>
        <w:t>B(</w:t>
      </w:r>
      <w:proofErr w:type="gramEnd"/>
      <w:r w:rsidR="003E024F" w:rsidRPr="00713025">
        <w:rPr>
          <w:rFonts w:eastAsiaTheme="minorHAnsi"/>
        </w:rPr>
        <w:t>5)</w:t>
      </w:r>
      <w:r w:rsidR="00643EBF" w:rsidRPr="00713025">
        <w:rPr>
          <w:rFonts w:eastAsiaTheme="minorHAnsi"/>
        </w:rPr>
        <w:t xml:space="preserve"> of the </w:t>
      </w:r>
      <w:r w:rsidR="002849F6" w:rsidRPr="00713025">
        <w:rPr>
          <w:rFonts w:eastAsiaTheme="minorHAnsi"/>
        </w:rPr>
        <w:t xml:space="preserve">PID </w:t>
      </w:r>
      <w:r w:rsidR="00643EBF" w:rsidRPr="00713025">
        <w:rPr>
          <w:rFonts w:eastAsiaTheme="minorHAnsi"/>
        </w:rPr>
        <w:t>Act).</w:t>
      </w:r>
    </w:p>
    <w:p w14:paraId="64B1710E" w14:textId="5212578D" w:rsidR="007A0DD2" w:rsidRPr="00713025" w:rsidRDefault="007A0DD2" w:rsidP="00385B04">
      <w:pPr>
        <w:pStyle w:val="Numberedlist"/>
        <w:numPr>
          <w:ilvl w:val="1"/>
          <w:numId w:val="33"/>
        </w:numPr>
        <w:rPr>
          <w:rFonts w:eastAsiaTheme="minorHAnsi"/>
        </w:rPr>
      </w:pPr>
      <w:r w:rsidRPr="00713025">
        <w:t xml:space="preserve">A public official (or former public official) who makes a PID that is subsequently mandatorily referred to the NACC will not be protected under the NACC Act as the protections are for persons who make NACC disclosures. However, they will continue to be protected under the PID Act. </w:t>
      </w:r>
    </w:p>
    <w:p w14:paraId="24B59577" w14:textId="139BB229" w:rsidR="007A0DD2" w:rsidRPr="00713025" w:rsidRDefault="007A0DD2" w:rsidP="00385B04">
      <w:pPr>
        <w:pStyle w:val="Numberedlist"/>
        <w:numPr>
          <w:ilvl w:val="1"/>
          <w:numId w:val="33"/>
        </w:numPr>
        <w:rPr>
          <w:rFonts w:eastAsiaTheme="minorHAnsi"/>
        </w:rPr>
      </w:pPr>
      <w:r w:rsidRPr="00713025">
        <w:rPr>
          <w:rFonts w:eastAsiaTheme="minorHAnsi"/>
        </w:rPr>
        <w:t xml:space="preserve">The situation is different for a public official (or former public official) who makes a voluntary referral to the Commissioner. They will be shielded by the protections and immunities established by the NACC Act and the PID Act. This is because, under s 26(1A) of the PID Act, a NACC disclosure is a type of PID </w:t>
      </w:r>
      <w:proofErr w:type="gramStart"/>
      <w:r w:rsidRPr="00713025">
        <w:rPr>
          <w:rFonts w:eastAsiaTheme="minorHAnsi"/>
        </w:rPr>
        <w:t>as long as</w:t>
      </w:r>
      <w:proofErr w:type="gramEnd"/>
      <w:r w:rsidRPr="00713025">
        <w:rPr>
          <w:rFonts w:eastAsiaTheme="minorHAnsi"/>
        </w:rPr>
        <w:t xml:space="preserve"> it was made by a current or former public official and the information disclosed tends to show disclosable conduct. In this way, a person who makes a voluntary referral to NACC will be protected under both the NACC Act and the PID Act in respect of that disclosure, regardless of whether they make a PID internally or a NACC disclosure. </w:t>
      </w:r>
    </w:p>
    <w:p w14:paraId="49A580DE" w14:textId="77777777" w:rsidR="00F02482" w:rsidRPr="00713025" w:rsidRDefault="00F02482" w:rsidP="00A212D0">
      <w:pPr>
        <w:pStyle w:val="Heading2"/>
        <w:rPr>
          <w:rFonts w:eastAsia="Arial"/>
        </w:rPr>
      </w:pPr>
      <w:bookmarkStart w:id="36" w:name="_Toc49525274"/>
      <w:bookmarkStart w:id="37" w:name="_Toc150789940"/>
      <w:r w:rsidRPr="00713025">
        <w:rPr>
          <w:rFonts w:eastAsia="Arial"/>
        </w:rPr>
        <w:t>Protection against reprisal action</w:t>
      </w:r>
      <w:bookmarkEnd w:id="36"/>
      <w:bookmarkEnd w:id="37"/>
    </w:p>
    <w:p w14:paraId="6D4D8E9A" w14:textId="2F74FCAD" w:rsidR="00F02482" w:rsidRPr="00713025" w:rsidRDefault="003A79A0" w:rsidP="00385B04">
      <w:pPr>
        <w:pStyle w:val="Numberedlist"/>
        <w:numPr>
          <w:ilvl w:val="1"/>
          <w:numId w:val="33"/>
        </w:numPr>
      </w:pPr>
      <w:r w:rsidRPr="00713025">
        <w:t xml:space="preserve">Public officials are protected from reprisal that is taken because a person believed or suspected that they have made, may have made, propose to </w:t>
      </w:r>
      <w:proofErr w:type="gramStart"/>
      <w:r w:rsidRPr="00713025">
        <w:t>make</w:t>
      </w:r>
      <w:proofErr w:type="gramEnd"/>
      <w:r w:rsidRPr="00713025">
        <w:t xml:space="preserve"> or could make a public </w:t>
      </w:r>
      <w:r w:rsidRPr="00713025">
        <w:rPr>
          <w:rFonts w:eastAsiaTheme="minorHAnsi"/>
        </w:rPr>
        <w:t>interest</w:t>
      </w:r>
      <w:r w:rsidRPr="00713025">
        <w:t xml:space="preserve"> disclosure.</w:t>
      </w:r>
      <w:r w:rsidR="00643EBF" w:rsidRPr="00713025">
        <w:t xml:space="preserve"> </w:t>
      </w:r>
      <w:r w:rsidR="00F02482" w:rsidRPr="00713025">
        <w:t>A key protection is that it is an offence to take, or threaten to take, 'reprisa</w:t>
      </w:r>
      <w:r w:rsidR="00643EBF" w:rsidRPr="00713025">
        <w:t>l' action against a discloser</w:t>
      </w:r>
      <w:r w:rsidR="000450A1" w:rsidRPr="00713025">
        <w:t xml:space="preserve"> (see section 19 of the PID Act)</w:t>
      </w:r>
      <w:r w:rsidR="00643EBF" w:rsidRPr="00713025">
        <w:t>.</w:t>
      </w:r>
    </w:p>
    <w:p w14:paraId="53648E80" w14:textId="53DC9CF3" w:rsidR="00F02482" w:rsidRPr="00713025" w:rsidRDefault="00F02482" w:rsidP="00C11029">
      <w:pPr>
        <w:pStyle w:val="Heading2"/>
        <w:rPr>
          <w:rFonts w:eastAsia="Arial"/>
        </w:rPr>
      </w:pPr>
      <w:bookmarkStart w:id="38" w:name="_Toc49525275"/>
      <w:bookmarkStart w:id="39" w:name="_Toc150789941"/>
      <w:r w:rsidRPr="00713025">
        <w:rPr>
          <w:rFonts w:eastAsia="Arial"/>
        </w:rPr>
        <w:t>What is a reprisal?</w:t>
      </w:r>
      <w:bookmarkEnd w:id="38"/>
      <w:bookmarkEnd w:id="39"/>
    </w:p>
    <w:p w14:paraId="49C57BAE" w14:textId="38F14F78" w:rsidR="001207BA" w:rsidRPr="00713025" w:rsidRDefault="00696774" w:rsidP="00385B04">
      <w:pPr>
        <w:pStyle w:val="Numberedlist"/>
        <w:numPr>
          <w:ilvl w:val="1"/>
          <w:numId w:val="33"/>
        </w:numPr>
      </w:pPr>
      <w:bookmarkStart w:id="40" w:name="_Toc49525276"/>
      <w:r w:rsidRPr="00713025">
        <w:t xml:space="preserve">A reprisal occurs when someone </w:t>
      </w:r>
      <w:r w:rsidR="00851135" w:rsidRPr="00713025">
        <w:t>engage</w:t>
      </w:r>
      <w:r w:rsidR="00DE6BAA" w:rsidRPr="00713025">
        <w:t>s</w:t>
      </w:r>
      <w:r w:rsidR="00851135" w:rsidRPr="00713025">
        <w:t xml:space="preserve"> in conduct that </w:t>
      </w:r>
      <w:r w:rsidR="005D7383" w:rsidRPr="00713025">
        <w:t>results in detriment to another person, or conduct that consists o</w:t>
      </w:r>
      <w:r w:rsidR="00E0775F" w:rsidRPr="00713025">
        <w:t>f</w:t>
      </w:r>
      <w:r w:rsidR="005D7383" w:rsidRPr="00713025">
        <w:t xml:space="preserve">, or results in, a threat to cause detriment to </w:t>
      </w:r>
      <w:r w:rsidR="00E13B87" w:rsidRPr="00713025">
        <w:t>another</w:t>
      </w:r>
      <w:r w:rsidR="005D7383" w:rsidRPr="00713025">
        <w:t xml:space="preserve"> person</w:t>
      </w:r>
      <w:r w:rsidR="00E13B87" w:rsidRPr="00713025">
        <w:t xml:space="preserve">, and when the conduct is engaged in, the </w:t>
      </w:r>
      <w:r w:rsidR="00DE29EA" w:rsidRPr="00713025">
        <w:t xml:space="preserve">person </w:t>
      </w:r>
      <w:r w:rsidR="00E0775F" w:rsidRPr="00713025">
        <w:t>believes or suspects that that person, or anyone else, has made, may have made, proposes to make or could make a PID</w:t>
      </w:r>
      <w:r w:rsidR="00762C42" w:rsidRPr="00713025">
        <w:t xml:space="preserve"> and, that belief or suspicion is the reasons for engaging in the conduct. </w:t>
      </w:r>
    </w:p>
    <w:p w14:paraId="022546FA" w14:textId="3CFCE3E7" w:rsidR="001207BA" w:rsidRPr="00713025" w:rsidRDefault="001207BA" w:rsidP="00385B04">
      <w:pPr>
        <w:pStyle w:val="Numberedlist"/>
        <w:numPr>
          <w:ilvl w:val="1"/>
          <w:numId w:val="33"/>
        </w:numPr>
      </w:pPr>
      <w:r w:rsidRPr="00713025">
        <w:t>Detriment includes (without limitation) any of the following</w:t>
      </w:r>
      <w:r w:rsidR="000450A1" w:rsidRPr="00713025">
        <w:t xml:space="preserve"> (see section 13(</w:t>
      </w:r>
      <w:r w:rsidR="002849F6" w:rsidRPr="00713025">
        <w:t>2</w:t>
      </w:r>
      <w:r w:rsidR="000450A1" w:rsidRPr="00713025">
        <w:t>) of the PID Act)</w:t>
      </w:r>
      <w:r w:rsidRPr="00713025">
        <w:t>:</w:t>
      </w:r>
    </w:p>
    <w:p w14:paraId="6B209239" w14:textId="163ECF7F" w:rsidR="001207BA" w:rsidRPr="000D5F05" w:rsidRDefault="001207BA" w:rsidP="000D5F05">
      <w:pPr>
        <w:pStyle w:val="Numberedlist"/>
        <w:numPr>
          <w:ilvl w:val="0"/>
          <w:numId w:val="12"/>
        </w:numPr>
        <w:spacing w:before="60" w:after="60"/>
        <w:ind w:left="1134" w:hanging="340"/>
      </w:pPr>
      <w:r w:rsidRPr="000D5F05">
        <w:t xml:space="preserve">dismissal of an </w:t>
      </w:r>
      <w:proofErr w:type="gramStart"/>
      <w:r w:rsidRPr="000D5F05">
        <w:t>employee;</w:t>
      </w:r>
      <w:proofErr w:type="gramEnd"/>
    </w:p>
    <w:p w14:paraId="5B9697C2" w14:textId="5EA926BF" w:rsidR="001207BA" w:rsidRPr="000D5F05" w:rsidRDefault="001207BA" w:rsidP="000D5F05">
      <w:pPr>
        <w:pStyle w:val="Numberedlist"/>
        <w:numPr>
          <w:ilvl w:val="0"/>
          <w:numId w:val="12"/>
        </w:numPr>
        <w:spacing w:before="60" w:after="60"/>
        <w:ind w:left="1134" w:hanging="340"/>
      </w:pPr>
      <w:r w:rsidRPr="000D5F05">
        <w:t xml:space="preserve">injury of an employee in their </w:t>
      </w:r>
      <w:proofErr w:type="gramStart"/>
      <w:r w:rsidRPr="000D5F05">
        <w:t>employment;</w:t>
      </w:r>
      <w:proofErr w:type="gramEnd"/>
    </w:p>
    <w:p w14:paraId="3B48D268" w14:textId="24D924FF" w:rsidR="001207BA" w:rsidRPr="000D5F05" w:rsidRDefault="001207BA" w:rsidP="000D5F05">
      <w:pPr>
        <w:pStyle w:val="Numberedlist"/>
        <w:numPr>
          <w:ilvl w:val="0"/>
          <w:numId w:val="12"/>
        </w:numPr>
        <w:spacing w:before="60" w:after="60"/>
        <w:ind w:left="1134" w:hanging="340"/>
      </w:pPr>
      <w:r w:rsidRPr="000D5F05">
        <w:t xml:space="preserve">alteration of an employee’s position to his or her </w:t>
      </w:r>
      <w:proofErr w:type="gramStart"/>
      <w:r w:rsidRPr="000D5F05">
        <w:t>disadvantage;</w:t>
      </w:r>
      <w:proofErr w:type="gramEnd"/>
    </w:p>
    <w:p w14:paraId="73BCACF4" w14:textId="3535C143" w:rsidR="001207BA" w:rsidRPr="000D5F05" w:rsidRDefault="001207BA" w:rsidP="000D5F05">
      <w:pPr>
        <w:pStyle w:val="Numberedlist"/>
        <w:numPr>
          <w:ilvl w:val="0"/>
          <w:numId w:val="12"/>
        </w:numPr>
        <w:spacing w:before="60" w:after="60"/>
        <w:ind w:left="1134" w:hanging="340"/>
      </w:pPr>
      <w:r w:rsidRPr="000D5F05">
        <w:t xml:space="preserve">discrimination between an employee and other employees of the same </w:t>
      </w:r>
      <w:proofErr w:type="gramStart"/>
      <w:r w:rsidRPr="000D5F05">
        <w:t>employer;</w:t>
      </w:r>
      <w:proofErr w:type="gramEnd"/>
    </w:p>
    <w:p w14:paraId="2844104B" w14:textId="4BF8B707" w:rsidR="001207BA" w:rsidRPr="000D5F05" w:rsidRDefault="001207BA" w:rsidP="000D5F05">
      <w:pPr>
        <w:pStyle w:val="Numberedlist"/>
        <w:numPr>
          <w:ilvl w:val="0"/>
          <w:numId w:val="12"/>
        </w:numPr>
        <w:spacing w:before="60" w:after="60"/>
        <w:ind w:left="1134" w:hanging="340"/>
      </w:pPr>
      <w:r w:rsidRPr="000D5F05">
        <w:t xml:space="preserve">harassment or intimidation of a </w:t>
      </w:r>
      <w:proofErr w:type="gramStart"/>
      <w:r w:rsidRPr="000D5F05">
        <w:t>person;</w:t>
      </w:r>
      <w:proofErr w:type="gramEnd"/>
    </w:p>
    <w:p w14:paraId="5631C644" w14:textId="20392154" w:rsidR="001207BA" w:rsidRPr="000D5F05" w:rsidRDefault="001207BA" w:rsidP="000D5F05">
      <w:pPr>
        <w:pStyle w:val="Numberedlist"/>
        <w:numPr>
          <w:ilvl w:val="0"/>
          <w:numId w:val="12"/>
        </w:numPr>
        <w:spacing w:before="60" w:after="60"/>
        <w:ind w:left="1134" w:hanging="340"/>
      </w:pPr>
      <w:r w:rsidRPr="000D5F05">
        <w:t xml:space="preserve">harm or injury to a person, including psychological </w:t>
      </w:r>
      <w:proofErr w:type="gramStart"/>
      <w:r w:rsidRPr="000D5F05">
        <w:t>harm;</w:t>
      </w:r>
      <w:proofErr w:type="gramEnd"/>
    </w:p>
    <w:p w14:paraId="4E90014F" w14:textId="289DF0B1" w:rsidR="001207BA" w:rsidRPr="000D5F05" w:rsidRDefault="001207BA" w:rsidP="000D5F05">
      <w:pPr>
        <w:pStyle w:val="Numberedlist"/>
        <w:numPr>
          <w:ilvl w:val="0"/>
          <w:numId w:val="12"/>
        </w:numPr>
        <w:spacing w:before="60" w:after="60"/>
        <w:ind w:left="1134" w:hanging="340"/>
      </w:pPr>
      <w:r w:rsidRPr="000D5F05">
        <w:t xml:space="preserve">damage to a person’s </w:t>
      </w:r>
      <w:proofErr w:type="gramStart"/>
      <w:r w:rsidRPr="000D5F05">
        <w:t>property;</w:t>
      </w:r>
      <w:proofErr w:type="gramEnd"/>
    </w:p>
    <w:p w14:paraId="058F0F0A" w14:textId="170F7C29" w:rsidR="001207BA" w:rsidRPr="000D5F05" w:rsidRDefault="001207BA" w:rsidP="000D5F05">
      <w:pPr>
        <w:pStyle w:val="Numberedlist"/>
        <w:numPr>
          <w:ilvl w:val="0"/>
          <w:numId w:val="12"/>
        </w:numPr>
        <w:spacing w:before="60" w:after="60"/>
        <w:ind w:left="1134" w:hanging="340"/>
      </w:pPr>
      <w:r w:rsidRPr="000D5F05">
        <w:t xml:space="preserve">damage to a person’s </w:t>
      </w:r>
      <w:proofErr w:type="gramStart"/>
      <w:r w:rsidRPr="000D5F05">
        <w:t>reputation;</w:t>
      </w:r>
      <w:proofErr w:type="gramEnd"/>
    </w:p>
    <w:p w14:paraId="5C40B637" w14:textId="07C4C218" w:rsidR="001207BA" w:rsidRPr="000D5F05" w:rsidRDefault="001207BA" w:rsidP="000D5F05">
      <w:pPr>
        <w:pStyle w:val="Numberedlist"/>
        <w:numPr>
          <w:ilvl w:val="0"/>
          <w:numId w:val="12"/>
        </w:numPr>
        <w:spacing w:before="60" w:after="60"/>
        <w:ind w:left="1134" w:hanging="340"/>
      </w:pPr>
      <w:r w:rsidRPr="000D5F05">
        <w:t xml:space="preserve">damage to a person’s business or financial </w:t>
      </w:r>
      <w:proofErr w:type="gramStart"/>
      <w:r w:rsidRPr="000D5F05">
        <w:t>position;</w:t>
      </w:r>
      <w:proofErr w:type="gramEnd"/>
      <w:r w:rsidRPr="000D5F05">
        <w:t xml:space="preserve"> </w:t>
      </w:r>
    </w:p>
    <w:p w14:paraId="30C4B209" w14:textId="57B5354B" w:rsidR="001207BA" w:rsidRPr="000D5F05" w:rsidRDefault="001207BA" w:rsidP="000D5F05">
      <w:pPr>
        <w:pStyle w:val="Numberedlist"/>
        <w:numPr>
          <w:ilvl w:val="0"/>
          <w:numId w:val="12"/>
        </w:numPr>
        <w:spacing w:before="60" w:after="60"/>
        <w:ind w:left="1134" w:hanging="340"/>
      </w:pPr>
      <w:r w:rsidRPr="000D5F05">
        <w:t>any other damage to a person.</w:t>
      </w:r>
    </w:p>
    <w:p w14:paraId="7BEB1428" w14:textId="7175F10E" w:rsidR="00696774" w:rsidRPr="00713025" w:rsidRDefault="00696774" w:rsidP="00385B04">
      <w:pPr>
        <w:pStyle w:val="Numberedlist"/>
        <w:numPr>
          <w:ilvl w:val="1"/>
          <w:numId w:val="33"/>
        </w:numPr>
      </w:pPr>
      <w:r w:rsidRPr="00713025">
        <w:t>The department will not tolerate any reprisal action against a person who makes a public interest disclosure.</w:t>
      </w:r>
    </w:p>
    <w:p w14:paraId="0471334D" w14:textId="00A1548B" w:rsidR="00696774" w:rsidRPr="00713025" w:rsidRDefault="00696774" w:rsidP="00385B04">
      <w:pPr>
        <w:pStyle w:val="Numberedlist"/>
        <w:numPr>
          <w:ilvl w:val="1"/>
          <w:numId w:val="33"/>
        </w:numPr>
      </w:pPr>
      <w:r w:rsidRPr="00713025">
        <w:t xml:space="preserve">Every allegation of reprisal will be taken seriously, </w:t>
      </w:r>
      <w:proofErr w:type="gramStart"/>
      <w:r w:rsidRPr="00713025">
        <w:t>recorded</w:t>
      </w:r>
      <w:proofErr w:type="gramEnd"/>
      <w:r w:rsidRPr="00713025">
        <w:t xml:space="preserve"> and responded to.</w:t>
      </w:r>
    </w:p>
    <w:p w14:paraId="05C9D2B0" w14:textId="3F4F44F1" w:rsidR="00696774" w:rsidRPr="00713025" w:rsidRDefault="00696774" w:rsidP="00385B04">
      <w:pPr>
        <w:pStyle w:val="Numberedlist"/>
        <w:numPr>
          <w:ilvl w:val="1"/>
          <w:numId w:val="33"/>
        </w:numPr>
      </w:pPr>
      <w:r w:rsidRPr="00713025">
        <w:t xml:space="preserve">All those involved in handling the public interest disclosure and are aware of the discloser’s identity for the purposes of the </w:t>
      </w:r>
      <w:r w:rsidR="00D50BD2" w:rsidRPr="00713025">
        <w:t xml:space="preserve">PID </w:t>
      </w:r>
      <w:r w:rsidRPr="00713025">
        <w:t>Act will monitor the work environment for signs of detriment and if necessary, take corrective action early.</w:t>
      </w:r>
    </w:p>
    <w:p w14:paraId="1E85D9E8" w14:textId="1D3CEA0C" w:rsidR="00F02482" w:rsidRPr="00713025" w:rsidRDefault="00F02482" w:rsidP="00C11029">
      <w:pPr>
        <w:pStyle w:val="Heading2"/>
        <w:rPr>
          <w:rFonts w:eastAsia="Arial"/>
        </w:rPr>
      </w:pPr>
      <w:bookmarkStart w:id="41" w:name="_Toc150789942"/>
      <w:r w:rsidRPr="00713025">
        <w:rPr>
          <w:rFonts w:eastAsia="Arial"/>
        </w:rPr>
        <w:lastRenderedPageBreak/>
        <w:t>What is not a reprisal?</w:t>
      </w:r>
      <w:bookmarkEnd w:id="40"/>
      <w:bookmarkEnd w:id="41"/>
    </w:p>
    <w:p w14:paraId="2AC89D91" w14:textId="14BD4112" w:rsidR="001601FC" w:rsidRPr="00713025" w:rsidRDefault="001601FC" w:rsidP="00385B04">
      <w:pPr>
        <w:pStyle w:val="Numberedlist"/>
        <w:numPr>
          <w:ilvl w:val="1"/>
          <w:numId w:val="33"/>
        </w:numPr>
      </w:pPr>
      <w:bookmarkStart w:id="42" w:name="_Toc49525277"/>
      <w:r w:rsidRPr="00713025">
        <w:t>Reasonable administrative action taken to protect a discloser from detriment is not a reprisal.</w:t>
      </w:r>
    </w:p>
    <w:p w14:paraId="6D518217" w14:textId="7B33B7D9" w:rsidR="001601FC" w:rsidRPr="00713025" w:rsidRDefault="001601FC" w:rsidP="00385B04">
      <w:pPr>
        <w:pStyle w:val="Numberedlist"/>
        <w:numPr>
          <w:ilvl w:val="1"/>
          <w:numId w:val="33"/>
        </w:numPr>
      </w:pPr>
      <w:r w:rsidRPr="00713025">
        <w:t>In addition, managers and supervisors are not prevented from taking legitimate disciplinary or management action to address unsatisfactory performance in the workplace where that action is unrelated to the discloser having made a disclosure.</w:t>
      </w:r>
    </w:p>
    <w:p w14:paraId="5689B74C" w14:textId="6DFDDA2A" w:rsidR="00F02482" w:rsidRPr="00713025" w:rsidRDefault="00F02482" w:rsidP="00C11029">
      <w:pPr>
        <w:pStyle w:val="Heading2"/>
        <w:rPr>
          <w:rFonts w:eastAsia="Arial"/>
        </w:rPr>
      </w:pPr>
      <w:bookmarkStart w:id="43" w:name="_Toc150789943"/>
      <w:r w:rsidRPr="00713025">
        <w:rPr>
          <w:rFonts w:eastAsia="Arial"/>
        </w:rPr>
        <w:t>Managing the risk of reprisal</w:t>
      </w:r>
      <w:bookmarkEnd w:id="42"/>
      <w:bookmarkEnd w:id="43"/>
    </w:p>
    <w:p w14:paraId="24B34F05" w14:textId="72E0852D" w:rsidR="005E0A4B" w:rsidRPr="00713025" w:rsidRDefault="001601FC" w:rsidP="00385B04">
      <w:pPr>
        <w:pStyle w:val="Numberedlist"/>
        <w:numPr>
          <w:ilvl w:val="1"/>
          <w:numId w:val="33"/>
        </w:numPr>
      </w:pPr>
      <w:bookmarkStart w:id="44" w:name="_Toc49525280"/>
      <w:r w:rsidRPr="00713025">
        <w:t xml:space="preserve">A reprisal risk assessment will be conducted for each disclosure allocated to the department for handling.  The assessment of reprisal risk assists in determining suitable strategies for controlling the risks and reasonable actions taken to protect public officials who belong to the department from detriment or the threat of detriment relating to the disclosure. Further information in relation to the risk assessment is included at Part </w:t>
      </w:r>
      <w:r w:rsidR="00EB260B" w:rsidRPr="00713025">
        <w:t>6</w:t>
      </w:r>
      <w:r w:rsidRPr="00713025">
        <w:t xml:space="preserve"> of these procedures.</w:t>
      </w:r>
      <w:bookmarkStart w:id="45" w:name="_Toc55213877"/>
    </w:p>
    <w:p w14:paraId="463791F3" w14:textId="5F92FAFB" w:rsidR="001601FC" w:rsidRPr="00713025" w:rsidRDefault="001601FC" w:rsidP="005E0A4B">
      <w:pPr>
        <w:pStyle w:val="Heading2"/>
        <w:rPr>
          <w:rFonts w:eastAsia="Arial"/>
        </w:rPr>
      </w:pPr>
      <w:bookmarkStart w:id="46" w:name="_Toc150789944"/>
      <w:r w:rsidRPr="00713025">
        <w:rPr>
          <w:rFonts w:eastAsia="Arial"/>
        </w:rPr>
        <w:t>Role of Reprisal Manager</w:t>
      </w:r>
      <w:bookmarkEnd w:id="45"/>
      <w:bookmarkEnd w:id="46"/>
    </w:p>
    <w:p w14:paraId="5CE6F310" w14:textId="467E6428" w:rsidR="001601FC" w:rsidRPr="00713025" w:rsidRDefault="001601FC" w:rsidP="00385B04">
      <w:pPr>
        <w:pStyle w:val="Numberedlist"/>
        <w:numPr>
          <w:ilvl w:val="1"/>
          <w:numId w:val="33"/>
        </w:numPr>
      </w:pPr>
      <w:r w:rsidRPr="00713025">
        <w:t>Where a reprisal risk assessment has been conducted or updated and it is assessed that the risk of reprisal is either a complex matter or that the risk needs close monitoring and control, it may be deemed appropriate</w:t>
      </w:r>
      <w:r w:rsidR="00831112" w:rsidRPr="00713025">
        <w:t xml:space="preserve"> to appoint a </w:t>
      </w:r>
      <w:r w:rsidR="00951561">
        <w:t>r</w:t>
      </w:r>
      <w:r w:rsidR="00831112" w:rsidRPr="00713025">
        <w:t xml:space="preserve">eprisal </w:t>
      </w:r>
      <w:r w:rsidR="00951561">
        <w:t>m</w:t>
      </w:r>
      <w:r w:rsidR="00831112" w:rsidRPr="00713025">
        <w:t>anager.</w:t>
      </w:r>
    </w:p>
    <w:p w14:paraId="23079A36" w14:textId="3A81B1CB" w:rsidR="001601FC" w:rsidRPr="00713025" w:rsidRDefault="001601FC" w:rsidP="00385B04">
      <w:pPr>
        <w:pStyle w:val="Numberedlist"/>
        <w:numPr>
          <w:ilvl w:val="1"/>
          <w:numId w:val="33"/>
        </w:numPr>
      </w:pPr>
      <w:r w:rsidRPr="00713025">
        <w:t xml:space="preserve">A </w:t>
      </w:r>
      <w:r w:rsidR="00951561">
        <w:t>r</w:t>
      </w:r>
      <w:r w:rsidR="00951561" w:rsidRPr="00713025">
        <w:t xml:space="preserve">eprisal </w:t>
      </w:r>
      <w:r w:rsidR="00951561">
        <w:t>m</w:t>
      </w:r>
      <w:r w:rsidR="00951561" w:rsidRPr="00713025">
        <w:t xml:space="preserve">anager </w:t>
      </w:r>
      <w:r w:rsidRPr="00713025">
        <w:t>will generally be independent to the assessment and investigation of the PID (</w:t>
      </w:r>
      <w:proofErr w:type="gramStart"/>
      <w:r w:rsidRPr="00713025">
        <w:t>i.e.</w:t>
      </w:r>
      <w:proofErr w:type="gramEnd"/>
      <w:r w:rsidRPr="00713025">
        <w:t xml:space="preserve"> not the </w:t>
      </w:r>
      <w:r w:rsidR="00D50BD2" w:rsidRPr="00713025">
        <w:t>a</w:t>
      </w:r>
      <w:r w:rsidRPr="00713025">
        <w:t xml:space="preserve">uthorised </w:t>
      </w:r>
      <w:r w:rsidR="00D50BD2" w:rsidRPr="00713025">
        <w:t>o</w:t>
      </w:r>
      <w:r w:rsidRPr="00713025">
        <w:t>fficer or Investigator) and will be available to provide support and assistanc</w:t>
      </w:r>
      <w:r w:rsidR="00831112" w:rsidRPr="00713025">
        <w:t>e to those at risk of reprisal.</w:t>
      </w:r>
    </w:p>
    <w:p w14:paraId="75B3C495" w14:textId="41FC94AA" w:rsidR="001601FC" w:rsidRPr="00713025" w:rsidRDefault="001601FC" w:rsidP="00385B04">
      <w:pPr>
        <w:pStyle w:val="Numberedlist"/>
        <w:numPr>
          <w:ilvl w:val="1"/>
          <w:numId w:val="33"/>
        </w:numPr>
      </w:pPr>
      <w:r w:rsidRPr="00713025">
        <w:t xml:space="preserve">If a </w:t>
      </w:r>
      <w:r w:rsidR="00951561">
        <w:t>r</w:t>
      </w:r>
      <w:r w:rsidR="00951561" w:rsidRPr="00713025">
        <w:t xml:space="preserve">eprisal </w:t>
      </w:r>
      <w:r w:rsidR="00951561">
        <w:t>m</w:t>
      </w:r>
      <w:r w:rsidR="00951561" w:rsidRPr="00713025">
        <w:t xml:space="preserve">anager </w:t>
      </w:r>
      <w:r w:rsidRPr="00713025">
        <w:t>is appointed, their key functions will generally include:</w:t>
      </w:r>
    </w:p>
    <w:p w14:paraId="0C898676" w14:textId="7F77522A" w:rsidR="001601FC" w:rsidRPr="000D5F05" w:rsidRDefault="001601FC" w:rsidP="000D5F05">
      <w:pPr>
        <w:pStyle w:val="Numberedlist"/>
        <w:numPr>
          <w:ilvl w:val="0"/>
          <w:numId w:val="12"/>
        </w:numPr>
        <w:spacing w:before="60" w:after="60"/>
        <w:ind w:left="1134" w:hanging="340"/>
      </w:pPr>
      <w:r w:rsidRPr="000D5F05">
        <w:t>Assessing, on an ongoing basis, the risk of reprisal and workplace conflict in connection with a PID</w:t>
      </w:r>
      <w:r w:rsidR="00EB260B" w:rsidRPr="000D5F05">
        <w:t xml:space="preserve">, including a </w:t>
      </w:r>
      <w:r w:rsidR="00D50BD2" w:rsidRPr="000D5F05">
        <w:t xml:space="preserve">PID that is also </w:t>
      </w:r>
      <w:r w:rsidR="00A71020" w:rsidRPr="000D5F05">
        <w:t xml:space="preserve">a </w:t>
      </w:r>
      <w:r w:rsidR="00EB260B" w:rsidRPr="000D5F05">
        <w:t xml:space="preserve">NACC </w:t>
      </w:r>
      <w:proofErr w:type="gramStart"/>
      <w:r w:rsidR="00EB260B" w:rsidRPr="000D5F05">
        <w:t>disclosure</w:t>
      </w:r>
      <w:proofErr w:type="gramEnd"/>
    </w:p>
    <w:p w14:paraId="12F819F0" w14:textId="1289ACFA" w:rsidR="001601FC" w:rsidRPr="000D5F05" w:rsidRDefault="001601FC" w:rsidP="000D5F05">
      <w:pPr>
        <w:pStyle w:val="Numberedlist"/>
        <w:numPr>
          <w:ilvl w:val="0"/>
          <w:numId w:val="12"/>
        </w:numPr>
        <w:spacing w:before="60" w:after="60"/>
        <w:ind w:left="1134" w:hanging="340"/>
      </w:pPr>
      <w:r w:rsidRPr="000D5F05">
        <w:t>Identifying mitigation strategies and</w:t>
      </w:r>
      <w:r w:rsidR="00571C68" w:rsidRPr="000D5F05">
        <w:t xml:space="preserve"> taking action to prevent </w:t>
      </w:r>
      <w:proofErr w:type="gramStart"/>
      <w:r w:rsidR="00571C68" w:rsidRPr="000D5F05">
        <w:t>harm;</w:t>
      </w:r>
      <w:proofErr w:type="gramEnd"/>
    </w:p>
    <w:p w14:paraId="5307C116" w14:textId="0AF67104" w:rsidR="001601FC" w:rsidRPr="000D5F05" w:rsidRDefault="001601FC" w:rsidP="000D5F05">
      <w:pPr>
        <w:pStyle w:val="Numberedlist"/>
        <w:numPr>
          <w:ilvl w:val="0"/>
          <w:numId w:val="12"/>
        </w:numPr>
        <w:spacing w:before="60" w:after="60"/>
        <w:ind w:left="1134" w:hanging="340"/>
      </w:pPr>
      <w:r w:rsidRPr="000D5F05">
        <w:t xml:space="preserve">Assessing whether any conduct that has caused, or is alleged to have caused, detriment to the discloser in fact constitutes a "reprisal" within the meaning in the </w:t>
      </w:r>
      <w:r w:rsidR="00886AFD" w:rsidRPr="000D5F05">
        <w:t xml:space="preserve">PID </w:t>
      </w:r>
      <w:r w:rsidRPr="000D5F05">
        <w:t>Act</w:t>
      </w:r>
      <w:r w:rsidR="00EB260B" w:rsidRPr="000D5F05">
        <w:t xml:space="preserve"> and </w:t>
      </w:r>
      <w:r w:rsidR="005266B7" w:rsidRPr="000D5F05">
        <w:t xml:space="preserve">the </w:t>
      </w:r>
      <w:r w:rsidR="00EB260B" w:rsidRPr="000D5F05">
        <w:t>NACC Act</w:t>
      </w:r>
      <w:r w:rsidRPr="000D5F05">
        <w:t>; and</w:t>
      </w:r>
    </w:p>
    <w:p w14:paraId="6B874BF8" w14:textId="0A8E66F8" w:rsidR="001601FC" w:rsidRPr="000D5F05" w:rsidRDefault="001601FC" w:rsidP="000D5F05">
      <w:pPr>
        <w:pStyle w:val="Numberedlist"/>
        <w:numPr>
          <w:ilvl w:val="0"/>
          <w:numId w:val="12"/>
        </w:numPr>
        <w:spacing w:before="60" w:after="60"/>
        <w:ind w:left="1134" w:hanging="340"/>
      </w:pPr>
      <w:r w:rsidRPr="000D5F05">
        <w:t>If necessary, taking action to address harm and/or respond to any claims of repris</w:t>
      </w:r>
      <w:r w:rsidR="00571C68" w:rsidRPr="000D5F05">
        <w:t xml:space="preserve">al on behalf of the </w:t>
      </w:r>
      <w:r w:rsidR="007D14E4" w:rsidRPr="000D5F05">
        <w:t>d</w:t>
      </w:r>
      <w:r w:rsidR="00571C68" w:rsidRPr="000D5F05">
        <w:t>epartment.</w:t>
      </w:r>
    </w:p>
    <w:p w14:paraId="407A6746" w14:textId="36E40DE2" w:rsidR="001601FC" w:rsidRPr="00713025" w:rsidRDefault="001601FC" w:rsidP="00385B04">
      <w:pPr>
        <w:pStyle w:val="Numberedlist"/>
        <w:numPr>
          <w:ilvl w:val="1"/>
          <w:numId w:val="33"/>
        </w:numPr>
      </w:pPr>
      <w:r w:rsidRPr="00713025">
        <w:t>Please refer to the department’s Guide to Managing Public Interest Disclosures, available on the dedicated PID intranet site, for further information on reprisal risk and risk assessments.</w:t>
      </w:r>
    </w:p>
    <w:p w14:paraId="755FA8A6" w14:textId="4426C5E8" w:rsidR="008843AF" w:rsidRPr="00713025" w:rsidRDefault="008843AF" w:rsidP="008843AF">
      <w:pPr>
        <w:rPr>
          <w:lang w:val="en-GB"/>
        </w:rPr>
      </w:pPr>
    </w:p>
    <w:p w14:paraId="1E832F7F" w14:textId="29C1E94A" w:rsidR="008843AF" w:rsidRPr="00713025" w:rsidRDefault="008843AF" w:rsidP="008843AF">
      <w:pPr>
        <w:rPr>
          <w:lang w:val="en-GB"/>
        </w:rPr>
      </w:pPr>
    </w:p>
    <w:p w14:paraId="0F1F80AC" w14:textId="4697F038" w:rsidR="008843AF" w:rsidRPr="00713025" w:rsidRDefault="008843AF" w:rsidP="008843AF">
      <w:pPr>
        <w:rPr>
          <w:lang w:val="en-GB"/>
        </w:rPr>
      </w:pPr>
    </w:p>
    <w:p w14:paraId="4DE774DA" w14:textId="437AA73C" w:rsidR="008843AF" w:rsidRPr="00713025" w:rsidRDefault="008843AF" w:rsidP="008843AF">
      <w:pPr>
        <w:rPr>
          <w:lang w:val="en-GB"/>
        </w:rPr>
      </w:pPr>
    </w:p>
    <w:p w14:paraId="536E930B" w14:textId="540BFC90" w:rsidR="008843AF" w:rsidRPr="00713025" w:rsidRDefault="008843AF" w:rsidP="008843AF">
      <w:pPr>
        <w:rPr>
          <w:lang w:val="en-GB"/>
        </w:rPr>
      </w:pPr>
    </w:p>
    <w:p w14:paraId="6AE50BE8" w14:textId="7006BD30" w:rsidR="008843AF" w:rsidRPr="00713025" w:rsidRDefault="008843AF" w:rsidP="008843AF">
      <w:pPr>
        <w:rPr>
          <w:lang w:val="en-GB"/>
        </w:rPr>
      </w:pPr>
    </w:p>
    <w:p w14:paraId="4D94C8A8" w14:textId="5FE2B65D" w:rsidR="008843AF" w:rsidRPr="00713025" w:rsidRDefault="008843AF" w:rsidP="008843AF">
      <w:pPr>
        <w:rPr>
          <w:lang w:val="en-GB"/>
        </w:rPr>
      </w:pPr>
    </w:p>
    <w:p w14:paraId="177AE5C1" w14:textId="60CCDA07" w:rsidR="008843AF" w:rsidRPr="00713025" w:rsidRDefault="008843AF" w:rsidP="008843AF">
      <w:pPr>
        <w:rPr>
          <w:lang w:val="en-GB"/>
        </w:rPr>
      </w:pPr>
    </w:p>
    <w:p w14:paraId="5C13F80F" w14:textId="40D4BB59" w:rsidR="008843AF" w:rsidRPr="00713025" w:rsidRDefault="008843AF" w:rsidP="008843AF">
      <w:pPr>
        <w:tabs>
          <w:tab w:val="left" w:pos="3245"/>
        </w:tabs>
        <w:rPr>
          <w:lang w:val="en-GB"/>
        </w:rPr>
      </w:pPr>
    </w:p>
    <w:p w14:paraId="17EE8B34" w14:textId="738154AA" w:rsidR="008843AF" w:rsidRPr="00713025" w:rsidRDefault="003816AD" w:rsidP="00385B04">
      <w:pPr>
        <w:pStyle w:val="Heading1"/>
        <w:numPr>
          <w:ilvl w:val="0"/>
          <w:numId w:val="36"/>
        </w:numPr>
      </w:pPr>
      <w:bookmarkStart w:id="47" w:name="_Toc150789945"/>
      <w:bookmarkStart w:id="48" w:name="_Toc138233573"/>
      <w:r w:rsidRPr="00713025">
        <w:lastRenderedPageBreak/>
        <w:t>MANDATORY REFERRAL TO THE NATIONAL ANTI-CORRUPTION COMMISSIONER</w:t>
      </w:r>
      <w:bookmarkEnd w:id="47"/>
    </w:p>
    <w:p w14:paraId="05600BC1" w14:textId="67513350" w:rsidR="00025D3C" w:rsidRPr="00713025" w:rsidRDefault="00025D3C" w:rsidP="00025D3C">
      <w:r w:rsidRPr="00713025">
        <w:rPr>
          <w:noProof/>
          <w:lang w:eastAsia="en-AU"/>
        </w:rPr>
        <w:drawing>
          <wp:inline distT="0" distB="0" distL="0" distR="0" wp14:anchorId="312A7488" wp14:editId="67CE9FA1">
            <wp:extent cx="5759450" cy="113243"/>
            <wp:effectExtent l="0" t="0" r="0" b="1270"/>
            <wp:docPr id="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89147"/>
                    <a:stretch/>
                  </pic:blipFill>
                  <pic:spPr bwMode="auto">
                    <a:xfrm>
                      <a:off x="0" y="0"/>
                      <a:ext cx="5759450" cy="113243"/>
                    </a:xfrm>
                    <a:prstGeom prst="rect">
                      <a:avLst/>
                    </a:prstGeom>
                    <a:noFill/>
                    <a:ln>
                      <a:noFill/>
                    </a:ln>
                    <a:extLst>
                      <a:ext uri="{53640926-AAD7-44D8-BBD7-CCE9431645EC}">
                        <a14:shadowObscured xmlns:a14="http://schemas.microsoft.com/office/drawing/2010/main"/>
                      </a:ext>
                    </a:extLst>
                  </pic:spPr>
                </pic:pic>
              </a:graphicData>
            </a:graphic>
          </wp:inline>
        </w:drawing>
      </w:r>
    </w:p>
    <w:p w14:paraId="522267D7" w14:textId="77777777" w:rsidR="009D035A" w:rsidRPr="00713025" w:rsidRDefault="009D035A" w:rsidP="009D035A">
      <w:pPr>
        <w:pStyle w:val="Heading2"/>
        <w:rPr>
          <w:rFonts w:eastAsia="Arial"/>
        </w:rPr>
      </w:pPr>
      <w:bookmarkStart w:id="49" w:name="_Toc150789946"/>
      <w:r w:rsidRPr="00713025">
        <w:rPr>
          <w:rFonts w:eastAsia="Arial"/>
        </w:rPr>
        <w:t>When to refer a PID to the NACC</w:t>
      </w:r>
      <w:bookmarkEnd w:id="49"/>
    </w:p>
    <w:p w14:paraId="1A37E399" w14:textId="77777777" w:rsidR="00A2050D" w:rsidRPr="00A2050D" w:rsidRDefault="00A2050D" w:rsidP="00385B04">
      <w:pPr>
        <w:pStyle w:val="ListParagraph"/>
        <w:numPr>
          <w:ilvl w:val="0"/>
          <w:numId w:val="33"/>
        </w:numPr>
        <w:spacing w:after="120"/>
        <w:rPr>
          <w:rFonts w:cs="Arial"/>
          <w:vanish/>
          <w:sz w:val="21"/>
          <w:szCs w:val="21"/>
        </w:rPr>
      </w:pPr>
    </w:p>
    <w:p w14:paraId="0CF68F3B" w14:textId="3A8BA4A3" w:rsidR="009D035A" w:rsidRPr="003825D5" w:rsidRDefault="009D035A" w:rsidP="00385B04">
      <w:pPr>
        <w:pStyle w:val="Numberedlist"/>
        <w:numPr>
          <w:ilvl w:val="1"/>
          <w:numId w:val="33"/>
        </w:numPr>
      </w:pPr>
      <w:r w:rsidRPr="003825D5">
        <w:t xml:space="preserve">The </w:t>
      </w:r>
      <w:r w:rsidR="000367F1" w:rsidRPr="003825D5">
        <w:t>S</w:t>
      </w:r>
      <w:r w:rsidRPr="003825D5">
        <w:t xml:space="preserve">ecretary, or their PID delegate (including a PID officer of any type, including an </w:t>
      </w:r>
      <w:r w:rsidR="00F47D09" w:rsidRPr="003825D5">
        <w:t>a</w:t>
      </w:r>
      <w:r w:rsidRPr="003825D5">
        <w:t xml:space="preserve">uthorised </w:t>
      </w:r>
      <w:r w:rsidR="00F47D09" w:rsidRPr="003825D5">
        <w:t>o</w:t>
      </w:r>
      <w:r w:rsidRPr="003825D5">
        <w:t xml:space="preserve">fficer, </w:t>
      </w:r>
      <w:r w:rsidR="00F47D09" w:rsidRPr="003825D5">
        <w:t>p</w:t>
      </w:r>
      <w:r w:rsidR="00E376A1" w:rsidRPr="003825D5">
        <w:t>rincipal</w:t>
      </w:r>
      <w:r w:rsidRPr="003825D5">
        <w:t xml:space="preserve"> </w:t>
      </w:r>
      <w:proofErr w:type="gramStart"/>
      <w:r w:rsidR="00F47D09" w:rsidRPr="003825D5">
        <w:t>o</w:t>
      </w:r>
      <w:r w:rsidRPr="003825D5">
        <w:t>fficer</w:t>
      </w:r>
      <w:proofErr w:type="gramEnd"/>
      <w:r w:rsidRPr="003825D5">
        <w:t xml:space="preserve"> or investigator), must refer a corruption issue to the Commissioner if:</w:t>
      </w:r>
    </w:p>
    <w:p w14:paraId="69E18207" w14:textId="77777777" w:rsidR="009D035A" w:rsidRPr="003825D5" w:rsidRDefault="009D035A" w:rsidP="000D5F05">
      <w:pPr>
        <w:pStyle w:val="Numberedlist"/>
        <w:numPr>
          <w:ilvl w:val="0"/>
          <w:numId w:val="12"/>
        </w:numPr>
        <w:spacing w:before="60" w:after="60"/>
        <w:ind w:left="1134" w:hanging="340"/>
      </w:pPr>
      <w:r w:rsidRPr="003825D5">
        <w:t>they become aware of a corruption issue that concerns the conduct of a person who is, or was, a staff member of the department while they were in that role; and</w:t>
      </w:r>
    </w:p>
    <w:p w14:paraId="0B463E35" w14:textId="0B12AD0D" w:rsidR="009D035A" w:rsidRPr="003825D5" w:rsidRDefault="009D035A" w:rsidP="000D5F05">
      <w:pPr>
        <w:pStyle w:val="Numberedlist"/>
        <w:numPr>
          <w:ilvl w:val="0"/>
          <w:numId w:val="12"/>
        </w:numPr>
        <w:spacing w:before="60" w:after="60"/>
        <w:ind w:left="1134" w:hanging="340"/>
      </w:pPr>
      <w:r w:rsidRPr="003825D5">
        <w:t>they suspect that the corrupt conduct could involve corrupt conduct that is serious o</w:t>
      </w:r>
      <w:r w:rsidR="00C46217" w:rsidRPr="003825D5">
        <w:t xml:space="preserve">r </w:t>
      </w:r>
      <w:r w:rsidRPr="003825D5">
        <w:t>systemic.</w:t>
      </w:r>
    </w:p>
    <w:p w14:paraId="20CD2DCE" w14:textId="2CF89272" w:rsidR="009D035A" w:rsidRPr="003825D5" w:rsidRDefault="00C84361" w:rsidP="00385B04">
      <w:pPr>
        <w:pStyle w:val="Numberedlist"/>
        <w:numPr>
          <w:ilvl w:val="1"/>
          <w:numId w:val="33"/>
        </w:numPr>
      </w:pPr>
      <w:r w:rsidRPr="003825D5">
        <w:t>S</w:t>
      </w:r>
      <w:r w:rsidR="009D035A" w:rsidRPr="003825D5">
        <w:t xml:space="preserve">ection 12 of the NACC Act has a broad definition of 'staff member' and includes the </w:t>
      </w:r>
      <w:r w:rsidR="008915C4" w:rsidRPr="003825D5">
        <w:t>S</w:t>
      </w:r>
      <w:r w:rsidR="009D035A" w:rsidRPr="003825D5">
        <w:t>ecretary, an official, an employee, secondee, contractor and an officer or employee of a contracting entity.</w:t>
      </w:r>
    </w:p>
    <w:p w14:paraId="7A62F44D" w14:textId="36D75309" w:rsidR="009D035A" w:rsidRPr="003825D5" w:rsidRDefault="009D035A" w:rsidP="00385B04">
      <w:pPr>
        <w:pStyle w:val="Numberedlist"/>
        <w:numPr>
          <w:ilvl w:val="1"/>
          <w:numId w:val="33"/>
        </w:numPr>
      </w:pPr>
      <w:r w:rsidRPr="003825D5">
        <w:t xml:space="preserve">A corruption issue of which awareness arises during a PID </w:t>
      </w:r>
      <w:r w:rsidR="00C84361" w:rsidRPr="003825D5">
        <w:t xml:space="preserve">process </w:t>
      </w:r>
      <w:r w:rsidRPr="003825D5">
        <w:t xml:space="preserve">does not need to be referred to the Commissioner, if the </w:t>
      </w:r>
      <w:r w:rsidR="00C84361" w:rsidRPr="003825D5">
        <w:t>S</w:t>
      </w:r>
      <w:r w:rsidRPr="003825D5">
        <w:t>ecretary believes the Commissioner is already aware of the matter</w:t>
      </w:r>
      <w:r w:rsidR="005266B7" w:rsidRPr="003825D5">
        <w:t xml:space="preserve"> or if the Commissioner has determined that referral is not required for the kind of corruption issue the PID involved or in the circumstances in which the PID arose </w:t>
      </w:r>
      <w:r w:rsidRPr="003825D5">
        <w:t xml:space="preserve">(section 37 of the NACC Act). </w:t>
      </w:r>
    </w:p>
    <w:p w14:paraId="349E22B6" w14:textId="744E096C" w:rsidR="005266B7" w:rsidRPr="003825D5" w:rsidRDefault="00C84361" w:rsidP="00385B04">
      <w:pPr>
        <w:pStyle w:val="Numberedlist"/>
        <w:numPr>
          <w:ilvl w:val="1"/>
          <w:numId w:val="33"/>
        </w:numPr>
      </w:pPr>
      <w:r w:rsidRPr="003825D5">
        <w:t xml:space="preserve">A </w:t>
      </w:r>
      <w:r w:rsidR="005266B7" w:rsidRPr="003825D5">
        <w:t xml:space="preserve">corruption issue of which awareness arises during a PID </w:t>
      </w:r>
      <w:r w:rsidRPr="003825D5">
        <w:t xml:space="preserve">process </w:t>
      </w:r>
      <w:r w:rsidR="005266B7" w:rsidRPr="003825D5">
        <w:t xml:space="preserve">does not need to be referred to the Commissioner if the alleged corrupt conduct does not meet the referral threshold – </w:t>
      </w:r>
      <w:r w:rsidRPr="003825D5">
        <w:t>namely if it is not</w:t>
      </w:r>
      <w:r w:rsidR="005266B7" w:rsidRPr="003825D5">
        <w:t xml:space="preserve">, corrupt conduct </w:t>
      </w:r>
      <w:r w:rsidRPr="003825D5">
        <w:t>that is</w:t>
      </w:r>
      <w:r w:rsidR="005266B7" w:rsidRPr="003825D5">
        <w:t xml:space="preserve"> serious or systemic in nature. </w:t>
      </w:r>
    </w:p>
    <w:p w14:paraId="334F1F20" w14:textId="772C22CC" w:rsidR="008E22DF" w:rsidRPr="00713025" w:rsidRDefault="008E22DF" w:rsidP="00C11029">
      <w:pPr>
        <w:pStyle w:val="Heading2"/>
        <w:rPr>
          <w:rFonts w:eastAsia="Arial"/>
        </w:rPr>
      </w:pPr>
      <w:bookmarkStart w:id="50" w:name="_Toc150789947"/>
      <w:r w:rsidRPr="00713025">
        <w:t>What is corrupt conduct?</w:t>
      </w:r>
      <w:bookmarkEnd w:id="50"/>
    </w:p>
    <w:p w14:paraId="548D8943" w14:textId="77777777" w:rsidR="008E22DF" w:rsidRPr="006A733D" w:rsidRDefault="008E22DF" w:rsidP="00385B04">
      <w:pPr>
        <w:pStyle w:val="Numberedlist"/>
        <w:numPr>
          <w:ilvl w:val="1"/>
          <w:numId w:val="33"/>
        </w:numPr>
      </w:pPr>
      <w:r w:rsidRPr="006A733D">
        <w:t>Under the NACC Act, corrupt conduct includes:</w:t>
      </w:r>
    </w:p>
    <w:p w14:paraId="54D7B444" w14:textId="77777777" w:rsidR="008E22DF" w:rsidRPr="00CF708E" w:rsidRDefault="008E22DF" w:rsidP="00A70F2A">
      <w:pPr>
        <w:pStyle w:val="Numberedlist"/>
        <w:numPr>
          <w:ilvl w:val="0"/>
          <w:numId w:val="12"/>
        </w:numPr>
        <w:spacing w:before="60" w:after="60"/>
        <w:ind w:left="1134" w:hanging="340"/>
      </w:pPr>
      <w:r w:rsidRPr="00CF708E">
        <w:t>any conduct of any person (</w:t>
      </w:r>
      <w:proofErr w:type="gramStart"/>
      <w:r w:rsidRPr="00CF708E">
        <w:t>whether or not</w:t>
      </w:r>
      <w:proofErr w:type="gramEnd"/>
      <w:r w:rsidRPr="00CF708E">
        <w:t xml:space="preserve"> a public official) that adversely affects, or that could adversely affect, either directly or indirectly:</w:t>
      </w:r>
    </w:p>
    <w:p w14:paraId="722B883D" w14:textId="77777777" w:rsidR="008E22DF" w:rsidRPr="00CF708E" w:rsidRDefault="008E22DF" w:rsidP="006A733D">
      <w:pPr>
        <w:pStyle w:val="ListBullet"/>
        <w:ind w:left="1548" w:hanging="357"/>
        <w:rPr>
          <w:szCs w:val="21"/>
        </w:rPr>
      </w:pPr>
      <w:r w:rsidRPr="00CF708E">
        <w:rPr>
          <w:szCs w:val="21"/>
        </w:rPr>
        <w:t>the honest or impartial exercise of any public official’s powers as a public official; or</w:t>
      </w:r>
    </w:p>
    <w:p w14:paraId="0B168FD0" w14:textId="77777777" w:rsidR="008E22DF" w:rsidRPr="00CF708E" w:rsidRDefault="008E22DF" w:rsidP="006A733D">
      <w:pPr>
        <w:pStyle w:val="ListBullet"/>
        <w:ind w:left="1548" w:hanging="357"/>
        <w:rPr>
          <w:szCs w:val="21"/>
        </w:rPr>
      </w:pPr>
      <w:r w:rsidRPr="00CF708E">
        <w:rPr>
          <w:szCs w:val="21"/>
        </w:rPr>
        <w:t xml:space="preserve">the honest or impartial performance of any public official’s functions or duties as a public </w:t>
      </w:r>
      <w:proofErr w:type="gramStart"/>
      <w:r w:rsidRPr="00CF708E">
        <w:rPr>
          <w:szCs w:val="21"/>
        </w:rPr>
        <w:t>official;</w:t>
      </w:r>
      <w:proofErr w:type="gramEnd"/>
    </w:p>
    <w:p w14:paraId="7B97D794" w14:textId="77777777" w:rsidR="008E22DF" w:rsidRPr="00CF708E" w:rsidRDefault="008E22DF" w:rsidP="00A70F2A">
      <w:pPr>
        <w:pStyle w:val="Numberedlist"/>
        <w:numPr>
          <w:ilvl w:val="0"/>
          <w:numId w:val="12"/>
        </w:numPr>
        <w:spacing w:before="60" w:after="60"/>
        <w:ind w:left="1134" w:hanging="340"/>
      </w:pPr>
      <w:r w:rsidRPr="00CF708E">
        <w:t xml:space="preserve">any conduct of a public official that constitutes or involves a breach of public </w:t>
      </w:r>
      <w:proofErr w:type="gramStart"/>
      <w:r w:rsidRPr="00CF708E">
        <w:t>trust;</w:t>
      </w:r>
      <w:proofErr w:type="gramEnd"/>
    </w:p>
    <w:p w14:paraId="0B3651BD" w14:textId="77777777" w:rsidR="008E22DF" w:rsidRPr="00CF708E" w:rsidRDefault="008E22DF" w:rsidP="00A70F2A">
      <w:pPr>
        <w:pStyle w:val="Numberedlist"/>
        <w:numPr>
          <w:ilvl w:val="0"/>
          <w:numId w:val="12"/>
        </w:numPr>
        <w:spacing w:before="60" w:after="60"/>
        <w:ind w:left="1134" w:hanging="340"/>
      </w:pPr>
      <w:r w:rsidRPr="00CF708E">
        <w:t xml:space="preserve">any conduct of a public official that constitutes, involves or is engaged in for the purpose of abuse of the person’s office as a public </w:t>
      </w:r>
      <w:proofErr w:type="gramStart"/>
      <w:r w:rsidRPr="00CF708E">
        <w:t>official;</w:t>
      </w:r>
      <w:proofErr w:type="gramEnd"/>
    </w:p>
    <w:p w14:paraId="3DEA74A3" w14:textId="77777777" w:rsidR="008E22DF" w:rsidRPr="00CF708E" w:rsidRDefault="008E22DF" w:rsidP="00A70F2A">
      <w:pPr>
        <w:pStyle w:val="Numberedlist"/>
        <w:numPr>
          <w:ilvl w:val="0"/>
          <w:numId w:val="12"/>
        </w:numPr>
        <w:spacing w:before="60" w:after="60"/>
        <w:ind w:left="1134" w:hanging="340"/>
      </w:pPr>
      <w:r w:rsidRPr="00CF708E">
        <w:t>any conduct of a public official, or former public official, that constitutes or involves the misuse of information or documents acquired in the person’s capacity as a public official.</w:t>
      </w:r>
    </w:p>
    <w:p w14:paraId="668954CC" w14:textId="77777777" w:rsidR="008E22DF" w:rsidRPr="006A733D" w:rsidRDefault="008E22DF" w:rsidP="00385B04">
      <w:pPr>
        <w:pStyle w:val="Numberedlist"/>
        <w:numPr>
          <w:ilvl w:val="1"/>
          <w:numId w:val="33"/>
        </w:numPr>
      </w:pPr>
      <w:r w:rsidRPr="006A733D">
        <w:t>The conduct may be conducted by a person who is, or was a staff member of the department, while that person is, or was, a staff member of the department.</w:t>
      </w:r>
    </w:p>
    <w:p w14:paraId="3D87102B" w14:textId="77777777" w:rsidR="008E22DF" w:rsidRPr="006A733D" w:rsidRDefault="008E22DF" w:rsidP="00385B04">
      <w:pPr>
        <w:pStyle w:val="Numberedlist"/>
        <w:numPr>
          <w:ilvl w:val="1"/>
          <w:numId w:val="33"/>
        </w:numPr>
      </w:pPr>
      <w:r w:rsidRPr="006A733D">
        <w:t>If the PID, or investigative steps taken during the PID, discloses any of the above conduct by a staff member or former staff member, and the PID officer suspects conduct is of a serious or systemic nature, the corruption issue must be referred to the NACC (section 35 of the NACC Act).</w:t>
      </w:r>
    </w:p>
    <w:p w14:paraId="41A6FB1E" w14:textId="4772E98A" w:rsidR="008E22DF" w:rsidRPr="006A733D" w:rsidRDefault="008E22DF" w:rsidP="00385B04">
      <w:pPr>
        <w:pStyle w:val="Numberedlist"/>
        <w:numPr>
          <w:ilvl w:val="1"/>
          <w:numId w:val="33"/>
        </w:numPr>
      </w:pPr>
      <w:r w:rsidRPr="00713025">
        <w:t xml:space="preserve">Any information that is covered by a secrecy provision in the </w:t>
      </w:r>
      <w:r w:rsidRPr="00A64B1B">
        <w:rPr>
          <w:i/>
          <w:iCs/>
        </w:rPr>
        <w:t>My Health Records Act 2012</w:t>
      </w:r>
      <w:r w:rsidRPr="00713025">
        <w:t xml:space="preserve"> </w:t>
      </w:r>
      <w:r w:rsidR="00886AFD" w:rsidRPr="00713025">
        <w:t xml:space="preserve">(Cth) </w:t>
      </w:r>
      <w:r w:rsidRPr="00713025">
        <w:t xml:space="preserve">or the </w:t>
      </w:r>
      <w:r w:rsidRPr="00A64B1B">
        <w:rPr>
          <w:i/>
          <w:iCs/>
        </w:rPr>
        <w:t>Privacy Act 1988</w:t>
      </w:r>
      <w:r w:rsidRPr="006A733D">
        <w:t xml:space="preserve"> </w:t>
      </w:r>
      <w:r w:rsidR="00886AFD" w:rsidRPr="00713025">
        <w:t>(Cth)</w:t>
      </w:r>
      <w:r w:rsidR="00886AFD" w:rsidRPr="006A733D">
        <w:t xml:space="preserve"> </w:t>
      </w:r>
      <w:r w:rsidRPr="00713025">
        <w:t xml:space="preserve">(see </w:t>
      </w:r>
      <w:r w:rsidR="00713025">
        <w:t>paragraph 3.4-3.17</w:t>
      </w:r>
      <w:r w:rsidRPr="00713025">
        <w:t xml:space="preserve"> </w:t>
      </w:r>
      <w:r w:rsidR="00713025">
        <w:t>above</w:t>
      </w:r>
      <w:r w:rsidRPr="00713025">
        <w:t xml:space="preserve">), or any other exempt secrecy provision within the meaning of the PID Act, should not be disclosed to the NACC, </w:t>
      </w:r>
      <w:r w:rsidRPr="00713025">
        <w:lastRenderedPageBreak/>
        <w:t xml:space="preserve">but secrecy provisions do not otherwise prevent information from being provided to the NACC. </w:t>
      </w:r>
    </w:p>
    <w:p w14:paraId="48310562" w14:textId="51EB0923" w:rsidR="008E22DF" w:rsidRPr="00713025" w:rsidRDefault="008E22DF" w:rsidP="00C11029">
      <w:pPr>
        <w:pStyle w:val="Heading2"/>
        <w:rPr>
          <w:rFonts w:eastAsia="Arial"/>
        </w:rPr>
      </w:pPr>
      <w:bookmarkStart w:id="51" w:name="_Toc150789948"/>
      <w:r w:rsidRPr="00713025">
        <w:t>When is corrupt conduct ‘serious or systemic’</w:t>
      </w:r>
      <w:bookmarkEnd w:id="51"/>
    </w:p>
    <w:p w14:paraId="7E963B5A" w14:textId="77777777" w:rsidR="008E22DF" w:rsidRPr="00A64B1B" w:rsidRDefault="008E22DF" w:rsidP="00385B04">
      <w:pPr>
        <w:pStyle w:val="Numberedlist"/>
        <w:numPr>
          <w:ilvl w:val="1"/>
          <w:numId w:val="33"/>
        </w:numPr>
      </w:pPr>
      <w:r w:rsidRPr="00713025">
        <w:t xml:space="preserve">The NACC can investigate corrupt conduct that it considers could be </w:t>
      </w:r>
      <w:r w:rsidRPr="00A64B1B">
        <w:t>serious or systemic</w:t>
      </w:r>
      <w:r w:rsidRPr="00713025">
        <w:t>. Whether the conduct is serious or systemic is a matter of judgement and will depend on the nature of the conduct and the circumstances in which it occurred.  </w:t>
      </w:r>
    </w:p>
    <w:p w14:paraId="1F8C3810" w14:textId="77777777" w:rsidR="008E22DF" w:rsidRPr="00A64B1B" w:rsidRDefault="008E22DF" w:rsidP="00385B04">
      <w:pPr>
        <w:pStyle w:val="Numberedlist"/>
        <w:numPr>
          <w:ilvl w:val="1"/>
          <w:numId w:val="33"/>
        </w:numPr>
      </w:pPr>
      <w:r w:rsidRPr="00713025">
        <w:t xml:space="preserve">The terms serious and systemic are not defined in the NACC Act. Conduct may </w:t>
      </w:r>
      <w:proofErr w:type="gramStart"/>
      <w:r w:rsidRPr="00713025">
        <w:t>be considered to be</w:t>
      </w:r>
      <w:proofErr w:type="gramEnd"/>
      <w:r w:rsidRPr="00713025">
        <w:t xml:space="preserve"> serious if it is significant or worrying, not slight or negligible, but it does not have to be ‘severe’ or ‘grave’.  This may include conduct where, if proven, it would constitute a criminal offence, such as bribery, abuse of office and related offences under Part 7.6 of the Criminal Code. </w:t>
      </w:r>
    </w:p>
    <w:p w14:paraId="6676F1AF" w14:textId="77777777" w:rsidR="008E22DF" w:rsidRPr="00A64B1B" w:rsidRDefault="008E22DF" w:rsidP="00385B04">
      <w:pPr>
        <w:pStyle w:val="Numberedlist"/>
        <w:numPr>
          <w:ilvl w:val="1"/>
          <w:numId w:val="33"/>
        </w:numPr>
      </w:pPr>
      <w:r w:rsidRPr="00713025">
        <w:t xml:space="preserve">Conduct may be considered systemic if it relates to or affects a system (including an organisation) as a whole or that involves a pattern of conduct. Conduct may still be systemic whether it involves a single individual or multiple individuals, and </w:t>
      </w:r>
      <w:proofErr w:type="gramStart"/>
      <w:r w:rsidRPr="00713025">
        <w:t>whether or not</w:t>
      </w:r>
      <w:proofErr w:type="gramEnd"/>
      <w:r w:rsidRPr="00713025">
        <w:t xml:space="preserve"> it is coordinated. </w:t>
      </w:r>
    </w:p>
    <w:p w14:paraId="74855B8B" w14:textId="5C182B52" w:rsidR="008E22DF" w:rsidRPr="00A64B1B" w:rsidRDefault="008E22DF" w:rsidP="00385B04">
      <w:pPr>
        <w:pStyle w:val="Numberedlist"/>
        <w:numPr>
          <w:ilvl w:val="1"/>
          <w:numId w:val="33"/>
        </w:numPr>
      </w:pPr>
      <w:r w:rsidRPr="00713025">
        <w:t>For more information on what constitutes corrupt conduct, and corrupt conduct that is potentially serious or systemic, see the guidance published by the Attorney-General</w:t>
      </w:r>
      <w:r w:rsidR="00886AFD" w:rsidRPr="00713025">
        <w:t>’</w:t>
      </w:r>
      <w:r w:rsidRPr="00713025">
        <w:t xml:space="preserve">s Department here: </w:t>
      </w:r>
      <w:hyperlink r:id="rId19" w:anchor="what-is-corrupt-conduct" w:tgtFrame="_blank" w:history="1">
        <w:r w:rsidR="00B51D1B">
          <w:rPr>
            <w:rStyle w:val="Hyperlink"/>
          </w:rPr>
          <w:t>What is corrupt conduct?</w:t>
        </w:r>
      </w:hyperlink>
    </w:p>
    <w:p w14:paraId="05FBB85A" w14:textId="28035A1A" w:rsidR="009D035A" w:rsidRPr="00713025" w:rsidRDefault="009D035A" w:rsidP="00C11029">
      <w:pPr>
        <w:pStyle w:val="Heading2"/>
        <w:rPr>
          <w:rFonts w:eastAsia="Arial"/>
        </w:rPr>
      </w:pPr>
      <w:bookmarkStart w:id="52" w:name="_Toc150789949"/>
      <w:r w:rsidRPr="00713025">
        <w:t>Timing and information requirements</w:t>
      </w:r>
      <w:bookmarkEnd w:id="52"/>
      <w:r w:rsidRPr="00713025">
        <w:t xml:space="preserve"> </w:t>
      </w:r>
    </w:p>
    <w:p w14:paraId="24DC0B2C" w14:textId="570E9660" w:rsidR="009D035A" w:rsidRPr="0077101F" w:rsidRDefault="009D035A" w:rsidP="00385B04">
      <w:pPr>
        <w:pStyle w:val="Numberedlist"/>
        <w:numPr>
          <w:ilvl w:val="1"/>
          <w:numId w:val="33"/>
        </w:numPr>
      </w:pPr>
      <w:r w:rsidRPr="0077101F">
        <w:t xml:space="preserve">If the </w:t>
      </w:r>
      <w:r w:rsidR="008007F1" w:rsidRPr="0077101F">
        <w:t>S</w:t>
      </w:r>
      <w:r w:rsidRPr="0077101F">
        <w:t>ecretary (or their delegate) is required to refer a corruption issue to the Commissioner:</w:t>
      </w:r>
    </w:p>
    <w:p w14:paraId="28A54C7C" w14:textId="2D400CDA" w:rsidR="009D035A" w:rsidRPr="00CF708E" w:rsidRDefault="009D035A" w:rsidP="00A70F2A">
      <w:pPr>
        <w:pStyle w:val="Numberedlist"/>
        <w:numPr>
          <w:ilvl w:val="0"/>
          <w:numId w:val="12"/>
        </w:numPr>
        <w:spacing w:before="60" w:after="60"/>
        <w:ind w:left="1134" w:hanging="340"/>
      </w:pPr>
      <w:r w:rsidRPr="00CF708E">
        <w:t xml:space="preserve">the referral must be made as soon as reasonably </w:t>
      </w:r>
      <w:proofErr w:type="gramStart"/>
      <w:r w:rsidRPr="00CF708E">
        <w:t>practicable</w:t>
      </w:r>
      <w:r w:rsidR="005266B7" w:rsidRPr="00CF708E">
        <w:t>;</w:t>
      </w:r>
      <w:proofErr w:type="gramEnd"/>
    </w:p>
    <w:p w14:paraId="6873FF0C" w14:textId="1C92C7DE" w:rsidR="009D035A" w:rsidRPr="00CF708E" w:rsidRDefault="009D035A" w:rsidP="00A70F2A">
      <w:pPr>
        <w:pStyle w:val="Numberedlist"/>
        <w:numPr>
          <w:ilvl w:val="0"/>
          <w:numId w:val="12"/>
        </w:numPr>
        <w:spacing w:before="60" w:after="60"/>
        <w:ind w:left="1134" w:hanging="340"/>
      </w:pPr>
      <w:r w:rsidRPr="00CF708E">
        <w:t xml:space="preserve">the referral notice must state the reasons why they suspect the matter could involve corrupt conduct that is serious or </w:t>
      </w:r>
      <w:proofErr w:type="gramStart"/>
      <w:r w:rsidRPr="00CF708E">
        <w:t>systemic</w:t>
      </w:r>
      <w:r w:rsidR="005266B7" w:rsidRPr="00CF708E">
        <w:t>;</w:t>
      </w:r>
      <w:proofErr w:type="gramEnd"/>
      <w:r w:rsidRPr="00CF708E">
        <w:t xml:space="preserve"> </w:t>
      </w:r>
    </w:p>
    <w:p w14:paraId="450C4C92" w14:textId="2C77FBAB" w:rsidR="009D035A" w:rsidRPr="00CF708E" w:rsidRDefault="009D035A" w:rsidP="00A70F2A">
      <w:pPr>
        <w:pStyle w:val="Numberedlist"/>
        <w:numPr>
          <w:ilvl w:val="0"/>
          <w:numId w:val="12"/>
        </w:numPr>
        <w:spacing w:before="60" w:after="60"/>
        <w:ind w:left="1134" w:hanging="340"/>
      </w:pPr>
      <w:r w:rsidRPr="00CF708E">
        <w:t>the referral must include all information relevant to the corruption issue that is in their possession or control at the time the referral is made (see section 38 of the NACC Act</w:t>
      </w:r>
      <w:proofErr w:type="gramStart"/>
      <w:r w:rsidR="00A93836" w:rsidRPr="00CF708E">
        <w:t>)</w:t>
      </w:r>
      <w:r w:rsidR="005266B7" w:rsidRPr="00CF708E">
        <w:t>;</w:t>
      </w:r>
      <w:proofErr w:type="gramEnd"/>
    </w:p>
    <w:p w14:paraId="03E25562" w14:textId="4FFA6370" w:rsidR="009D035A" w:rsidRPr="00CF708E" w:rsidRDefault="009D035A" w:rsidP="00A70F2A">
      <w:pPr>
        <w:pStyle w:val="Numberedlist"/>
        <w:numPr>
          <w:ilvl w:val="0"/>
          <w:numId w:val="12"/>
        </w:numPr>
        <w:spacing w:before="60" w:after="60"/>
        <w:ind w:left="1134" w:hanging="340"/>
      </w:pPr>
      <w:r w:rsidRPr="00CF708E">
        <w:t xml:space="preserve">general secrecy provisions do not prevent information being </w:t>
      </w:r>
      <w:r w:rsidR="00A93836" w:rsidRPr="00CF708E">
        <w:t>included</w:t>
      </w:r>
      <w:r w:rsidRPr="00CF708E">
        <w:t xml:space="preserve"> in a referral made to the NACC, except if</w:t>
      </w:r>
      <w:r w:rsidR="00703B22" w:rsidRPr="00CF708E">
        <w:t xml:space="preserve"> the information</w:t>
      </w:r>
      <w:r w:rsidRPr="00CF708E">
        <w:t xml:space="preserve"> is </w:t>
      </w:r>
      <w:r w:rsidR="00D22BF9" w:rsidRPr="00CF708E">
        <w:t xml:space="preserve">protected from disclosure under </w:t>
      </w:r>
      <w:r w:rsidRPr="00CF708E">
        <w:t xml:space="preserve">an </w:t>
      </w:r>
      <w:r w:rsidR="00886AFD" w:rsidRPr="00CF708E">
        <w:t>‘</w:t>
      </w:r>
      <w:r w:rsidRPr="00CF708E">
        <w:t>exempt secrecy provision</w:t>
      </w:r>
      <w:r w:rsidR="00886AFD" w:rsidRPr="00CF708E">
        <w:t>’</w:t>
      </w:r>
      <w:r w:rsidRPr="00CF708E">
        <w:t xml:space="preserve"> within the meaning of s</w:t>
      </w:r>
      <w:r w:rsidR="005266B7" w:rsidRPr="00CF708E">
        <w:t xml:space="preserve">ection </w:t>
      </w:r>
      <w:r w:rsidRPr="00CF708E">
        <w:t xml:space="preserve">7 of the NACC Act. </w:t>
      </w:r>
      <w:r w:rsidR="00C84361" w:rsidRPr="00CF708E">
        <w:t>For example, the</w:t>
      </w:r>
      <w:r w:rsidRPr="00CF708E">
        <w:t xml:space="preserve"> secrecy provisions in the </w:t>
      </w:r>
      <w:r w:rsidRPr="00A70F2A">
        <w:rPr>
          <w:i/>
          <w:iCs/>
        </w:rPr>
        <w:t>My Health Records Act 2012</w:t>
      </w:r>
      <w:r w:rsidRPr="00CF708E">
        <w:t xml:space="preserve"> </w:t>
      </w:r>
      <w:r w:rsidR="00886AFD" w:rsidRPr="00CF708E">
        <w:t xml:space="preserve">(Cth) </w:t>
      </w:r>
      <w:r w:rsidRPr="00CF708E">
        <w:t>are exempt secrecy provisions.</w:t>
      </w:r>
    </w:p>
    <w:p w14:paraId="1CF24A00" w14:textId="4CB3923B" w:rsidR="009D035A" w:rsidRPr="0077101F" w:rsidRDefault="009D035A" w:rsidP="00385B04">
      <w:pPr>
        <w:pStyle w:val="Numberedlist"/>
        <w:numPr>
          <w:ilvl w:val="1"/>
          <w:numId w:val="33"/>
        </w:numPr>
      </w:pPr>
      <w:r w:rsidRPr="0077101F">
        <w:t xml:space="preserve">After a referral has been made to the Commissioner, the </w:t>
      </w:r>
      <w:r w:rsidR="00700134" w:rsidRPr="0077101F">
        <w:t>S</w:t>
      </w:r>
      <w:r w:rsidRPr="0077101F">
        <w:t>ecretary, or their delegate, must:</w:t>
      </w:r>
    </w:p>
    <w:p w14:paraId="160D9AB9" w14:textId="1FFDB0B6" w:rsidR="009D035A" w:rsidRPr="00CF708E" w:rsidRDefault="009D035A" w:rsidP="00A70F2A">
      <w:pPr>
        <w:pStyle w:val="Numberedlist"/>
        <w:numPr>
          <w:ilvl w:val="0"/>
          <w:numId w:val="12"/>
        </w:numPr>
        <w:spacing w:before="60" w:after="60"/>
        <w:ind w:left="1134" w:hanging="340"/>
      </w:pPr>
      <w:r w:rsidRPr="00CF708E">
        <w:t xml:space="preserve">continue to follow the PID Procedures unless the Commissioner issues a direction to the department to stop taking action in relation to the </w:t>
      </w:r>
      <w:proofErr w:type="gramStart"/>
      <w:r w:rsidRPr="00CF708E">
        <w:t>PID</w:t>
      </w:r>
      <w:r w:rsidR="00C84361" w:rsidRPr="00CF708E">
        <w:t>;</w:t>
      </w:r>
      <w:proofErr w:type="gramEnd"/>
    </w:p>
    <w:p w14:paraId="22F571F1" w14:textId="3E9DC48A" w:rsidR="009D035A" w:rsidRPr="00CF708E" w:rsidRDefault="009D035A" w:rsidP="00A70F2A">
      <w:pPr>
        <w:pStyle w:val="Numberedlist"/>
        <w:numPr>
          <w:ilvl w:val="0"/>
          <w:numId w:val="12"/>
        </w:numPr>
        <w:spacing w:before="60" w:after="60"/>
        <w:ind w:left="1134" w:hanging="340"/>
      </w:pPr>
      <w:r w:rsidRPr="00CF708E">
        <w:t xml:space="preserve">give any further relevant information that the </w:t>
      </w:r>
      <w:r w:rsidR="00700134" w:rsidRPr="00CF708E">
        <w:t>S</w:t>
      </w:r>
      <w:r w:rsidRPr="00CF708E">
        <w:t>ecretary, or their delegate receives to the Commissioner as soon as reasonably practicable, unless otherwise directed by the Commissioner (section 38 of the NACC Act</w:t>
      </w:r>
      <w:proofErr w:type="gramStart"/>
      <w:r w:rsidRPr="00CF708E">
        <w:t>)</w:t>
      </w:r>
      <w:r w:rsidR="00C84361" w:rsidRPr="00CF708E">
        <w:t>;</w:t>
      </w:r>
      <w:proofErr w:type="gramEnd"/>
    </w:p>
    <w:p w14:paraId="37C6B0BD" w14:textId="7A1CC49F" w:rsidR="009D035A" w:rsidRPr="00CF708E" w:rsidRDefault="009D035A" w:rsidP="00A70F2A">
      <w:pPr>
        <w:pStyle w:val="Numberedlist"/>
        <w:numPr>
          <w:ilvl w:val="0"/>
          <w:numId w:val="12"/>
        </w:numPr>
        <w:spacing w:before="60" w:after="60"/>
        <w:ind w:left="1134" w:hanging="340"/>
      </w:pPr>
      <w:r w:rsidRPr="00CF708E">
        <w:t xml:space="preserve">notify the PID discloser of the </w:t>
      </w:r>
      <w:r w:rsidR="00C84361" w:rsidRPr="00CF708E">
        <w:t>S</w:t>
      </w:r>
      <w:r w:rsidRPr="00CF708E">
        <w:t xml:space="preserve">ecretary, or their delegate's referral of the issue as soon as reasonably practicable (section 35 of the NACC Act).  They should use the department's notification form for this purpose. </w:t>
      </w:r>
    </w:p>
    <w:p w14:paraId="260DAE1B" w14:textId="361145A4" w:rsidR="00141932" w:rsidRPr="00713025" w:rsidRDefault="00141932" w:rsidP="009D035A">
      <w:pPr>
        <w:pStyle w:val="Heading2"/>
        <w:rPr>
          <w:rFonts w:eastAsia="Arial"/>
        </w:rPr>
      </w:pPr>
      <w:bookmarkStart w:id="53" w:name="_Toc150789950"/>
      <w:bookmarkEnd w:id="48"/>
      <w:r w:rsidRPr="00713025">
        <w:rPr>
          <w:lang w:eastAsia="en-AU"/>
        </w:rPr>
        <w:t xml:space="preserve">Stop action </w:t>
      </w:r>
      <w:proofErr w:type="gramStart"/>
      <w:r w:rsidRPr="00713025">
        <w:rPr>
          <w:lang w:eastAsia="en-AU"/>
        </w:rPr>
        <w:t>directions</w:t>
      </w:r>
      <w:bookmarkEnd w:id="53"/>
      <w:proofErr w:type="gramEnd"/>
    </w:p>
    <w:p w14:paraId="78760A58" w14:textId="4A70E32F" w:rsidR="008E22DF" w:rsidRPr="00713025" w:rsidRDefault="008E22DF" w:rsidP="00385B04">
      <w:pPr>
        <w:pStyle w:val="Numberedlist"/>
        <w:numPr>
          <w:ilvl w:val="1"/>
          <w:numId w:val="33"/>
        </w:numPr>
      </w:pPr>
      <w:r w:rsidRPr="00713025">
        <w:t xml:space="preserve">After corrupt conduct has been reported to the Commissioner, the Commissioner may direct an agency head to stop the agency taking specified action in relation to a corruption issue that concerns the agency, unless the action is permitted by the Commissioner (see </w:t>
      </w:r>
      <w:r w:rsidRPr="00713025">
        <w:lastRenderedPageBreak/>
        <w:t>section 43 of the NACC Act). Such a direction may require the department to stop dealing with a PID or undertaking a Code of Conduct investigation.</w:t>
      </w:r>
    </w:p>
    <w:p w14:paraId="2017D578" w14:textId="051CEC21" w:rsidR="008843AF" w:rsidRPr="0077101F" w:rsidRDefault="008843AF" w:rsidP="00385B04">
      <w:pPr>
        <w:pStyle w:val="Numberedlist"/>
        <w:numPr>
          <w:ilvl w:val="1"/>
          <w:numId w:val="33"/>
        </w:numPr>
      </w:pPr>
      <w:r w:rsidRPr="00713025">
        <w:t>If a PID is not allocated internally</w:t>
      </w:r>
      <w:r w:rsidRPr="0077101F">
        <w:t xml:space="preserve"> because a stop action direction has been received by the Commissioner, the authorised officer must</w:t>
      </w:r>
      <w:r w:rsidR="008E22DF" w:rsidRPr="0077101F">
        <w:t>, as soon as reasonably practicable,</w:t>
      </w:r>
      <w:r w:rsidRPr="0077101F">
        <w:t xml:space="preserve"> </w:t>
      </w:r>
      <w:r w:rsidR="008E22DF" w:rsidRPr="0077101F">
        <w:t xml:space="preserve">give written notice to </w:t>
      </w:r>
      <w:r w:rsidRPr="0077101F">
        <w:t>the Ombudsman of the following (as outlined in section 44</w:t>
      </w:r>
      <w:r w:rsidR="00A54823" w:rsidRPr="0077101F">
        <w:t>B</w:t>
      </w:r>
      <w:r w:rsidRPr="0077101F">
        <w:t xml:space="preserve"> of the PID Act):</w:t>
      </w:r>
    </w:p>
    <w:p w14:paraId="4D652C64" w14:textId="55AF1F7A" w:rsidR="008843AF" w:rsidRPr="00CF708E" w:rsidRDefault="008843AF" w:rsidP="00A70F2A">
      <w:pPr>
        <w:pStyle w:val="Numberedlist"/>
        <w:numPr>
          <w:ilvl w:val="0"/>
          <w:numId w:val="12"/>
        </w:numPr>
        <w:spacing w:before="60" w:after="60"/>
        <w:ind w:left="1134" w:hanging="340"/>
      </w:pPr>
      <w:r w:rsidRPr="00CF708E">
        <w:t xml:space="preserve">the information that was </w:t>
      </w:r>
      <w:proofErr w:type="gramStart"/>
      <w:r w:rsidRPr="00CF708E">
        <w:t>disclosed</w:t>
      </w:r>
      <w:r w:rsidR="00EB6C80" w:rsidRPr="00CF708E">
        <w:t>;</w:t>
      </w:r>
      <w:proofErr w:type="gramEnd"/>
    </w:p>
    <w:p w14:paraId="3D64E354" w14:textId="67E83C3A" w:rsidR="008843AF" w:rsidRPr="00CF708E" w:rsidRDefault="008843AF" w:rsidP="00A70F2A">
      <w:pPr>
        <w:pStyle w:val="Numberedlist"/>
        <w:numPr>
          <w:ilvl w:val="0"/>
          <w:numId w:val="12"/>
        </w:numPr>
        <w:spacing w:before="60" w:after="60"/>
        <w:ind w:left="1134" w:hanging="340"/>
      </w:pPr>
      <w:r w:rsidRPr="00CF708E">
        <w:t xml:space="preserve">the </w:t>
      </w:r>
      <w:r w:rsidR="000C6976" w:rsidRPr="00CF708E">
        <w:t xml:space="preserve">conduct </w:t>
      </w:r>
      <w:proofErr w:type="gramStart"/>
      <w:r w:rsidR="000C6976" w:rsidRPr="00CF708E">
        <w:t>disclosed</w:t>
      </w:r>
      <w:r w:rsidR="00EB6C80" w:rsidRPr="00CF708E">
        <w:t>;</w:t>
      </w:r>
      <w:proofErr w:type="gramEnd"/>
    </w:p>
    <w:p w14:paraId="6271CFAD" w14:textId="74A7EA26" w:rsidR="008843AF" w:rsidRPr="00CF708E" w:rsidRDefault="008843AF" w:rsidP="00A70F2A">
      <w:pPr>
        <w:pStyle w:val="Numberedlist"/>
        <w:numPr>
          <w:ilvl w:val="0"/>
          <w:numId w:val="12"/>
        </w:numPr>
        <w:spacing w:before="60" w:after="60"/>
        <w:ind w:left="1134" w:hanging="340"/>
      </w:pPr>
      <w:r w:rsidRPr="00CF708E">
        <w:t>if the discloser</w:t>
      </w:r>
      <w:r w:rsidR="008E22DF" w:rsidRPr="00CF708E">
        <w:t>’</w:t>
      </w:r>
      <w:r w:rsidRPr="00CF708E">
        <w:t>s name and contact details are known, and the discloser consents to the Ombudsman being informed, the discloser</w:t>
      </w:r>
      <w:r w:rsidR="008E22DF" w:rsidRPr="00CF708E">
        <w:t>’</w:t>
      </w:r>
      <w:r w:rsidRPr="00CF708E">
        <w:t>s name and contact details</w:t>
      </w:r>
      <w:r w:rsidR="00EB6C80" w:rsidRPr="00CF708E">
        <w:t>; and</w:t>
      </w:r>
    </w:p>
    <w:p w14:paraId="43390899" w14:textId="36129551" w:rsidR="008843AF" w:rsidRPr="00CF708E" w:rsidRDefault="008843AF" w:rsidP="00A70F2A">
      <w:pPr>
        <w:pStyle w:val="Numberedlist"/>
        <w:numPr>
          <w:ilvl w:val="0"/>
          <w:numId w:val="12"/>
        </w:numPr>
        <w:spacing w:before="60" w:after="60"/>
        <w:ind w:left="1134" w:hanging="340"/>
      </w:pPr>
      <w:r w:rsidRPr="00CF708E">
        <w:t xml:space="preserve">the stop action direction under the NACC Act that prevents allocation of </w:t>
      </w:r>
      <w:r w:rsidR="00674BE5" w:rsidRPr="00CF708E">
        <w:t xml:space="preserve">some or </w:t>
      </w:r>
      <w:proofErr w:type="gramStart"/>
      <w:r w:rsidR="00674BE5" w:rsidRPr="00CF708E">
        <w:t>all of</w:t>
      </w:r>
      <w:proofErr w:type="gramEnd"/>
      <w:r w:rsidR="00674BE5" w:rsidRPr="00CF708E">
        <w:t xml:space="preserve"> </w:t>
      </w:r>
      <w:r w:rsidRPr="00CF708E">
        <w:t>the disclosure.</w:t>
      </w:r>
    </w:p>
    <w:p w14:paraId="0774C729" w14:textId="27E98922" w:rsidR="00141932" w:rsidRPr="0077101F" w:rsidRDefault="008843AF" w:rsidP="00385B04">
      <w:pPr>
        <w:pStyle w:val="Numberedlist"/>
        <w:numPr>
          <w:ilvl w:val="1"/>
          <w:numId w:val="33"/>
        </w:numPr>
      </w:pPr>
      <w:r w:rsidRPr="0077101F">
        <w:t>If the disclosure cannot be investigated or further investigated because of a stop action direction issued by the Commissioner, the principal officer</w:t>
      </w:r>
      <w:r w:rsidR="006F6391" w:rsidRPr="0077101F">
        <w:t xml:space="preserve"> or their delegate</w:t>
      </w:r>
      <w:r w:rsidRPr="0077101F">
        <w:t xml:space="preserve"> must </w:t>
      </w:r>
      <w:r w:rsidR="008E22DF" w:rsidRPr="0077101F">
        <w:t xml:space="preserve">give written notice to </w:t>
      </w:r>
      <w:r w:rsidRPr="0077101F">
        <w:t>the discloser as soon as reasonably practicable (section</w:t>
      </w:r>
      <w:r w:rsidR="0046263B" w:rsidRPr="00713025">
        <w:t xml:space="preserve"> </w:t>
      </w:r>
      <w:r w:rsidRPr="0077101F">
        <w:t>50(1)</w:t>
      </w:r>
      <w:r w:rsidR="00BB6622">
        <w:t>(c)</w:t>
      </w:r>
      <w:r w:rsidRPr="0077101F">
        <w:t xml:space="preserve"> of the PID Act).  </w:t>
      </w:r>
    </w:p>
    <w:p w14:paraId="1A1918F9" w14:textId="0575BDB8" w:rsidR="00EB6C80" w:rsidRPr="0077101F" w:rsidRDefault="00EB6C80" w:rsidP="00385B04">
      <w:pPr>
        <w:pStyle w:val="Numberedlist"/>
        <w:numPr>
          <w:ilvl w:val="1"/>
          <w:numId w:val="33"/>
        </w:numPr>
      </w:pPr>
      <w:r w:rsidRPr="0077101F">
        <w:t>If a stop action direction is issued by the Commissioner, this will likely have specific terms which may or may not be able to be provided to the discloser.  At this stage, the NACC will be interested in the matter, even if not formally investigating it, and the department will need to take considerable care in responding to any NACC related requirements or requests. Any notice of a stop action direction to a discloser might only be a very simple document, outlining that a stop action notice has been received and that the PID investigation will be halted, or that certain steps will not be taken, unless or until the notice is revoked or amended.</w:t>
      </w:r>
    </w:p>
    <w:p w14:paraId="32729121" w14:textId="565BEAAD" w:rsidR="00141932" w:rsidRPr="0077101F" w:rsidRDefault="008843AF" w:rsidP="00385B04">
      <w:pPr>
        <w:pStyle w:val="Numberedlist"/>
        <w:numPr>
          <w:ilvl w:val="1"/>
          <w:numId w:val="33"/>
        </w:numPr>
      </w:pPr>
      <w:r w:rsidRPr="0077101F">
        <w:t xml:space="preserve">If the disclosure is no longer subject to a stop action direction, the </w:t>
      </w:r>
      <w:r w:rsidR="006F6391" w:rsidRPr="0077101F">
        <w:t>p</w:t>
      </w:r>
      <w:r w:rsidRPr="0077101F">
        <w:t xml:space="preserve">rincipal </w:t>
      </w:r>
      <w:r w:rsidR="006F6391" w:rsidRPr="0077101F">
        <w:t>o</w:t>
      </w:r>
      <w:r w:rsidRPr="0077101F">
        <w:t>fficer must, as soon as practicable, inform the discloser if they investigate or further investigate that disclosure (section 50(4A) of the PID Act</w:t>
      </w:r>
      <w:r w:rsidR="00366B6C" w:rsidRPr="0077101F">
        <w:t>)</w:t>
      </w:r>
      <w:r w:rsidRPr="0077101F">
        <w:t>.</w:t>
      </w:r>
    </w:p>
    <w:p w14:paraId="437261EC" w14:textId="7EDDA6B9" w:rsidR="00470B0A" w:rsidRPr="00713025" w:rsidRDefault="00470B0A" w:rsidP="00385B04">
      <w:pPr>
        <w:pStyle w:val="Numberedlist"/>
        <w:numPr>
          <w:ilvl w:val="1"/>
          <w:numId w:val="33"/>
        </w:numPr>
      </w:pPr>
      <w:r w:rsidRPr="00713025">
        <w:t xml:space="preserve">If the disclosure has not yet been allocated, the </w:t>
      </w:r>
      <w:r w:rsidR="00770271" w:rsidRPr="00713025">
        <w:t>14-day</w:t>
      </w:r>
      <w:r w:rsidRPr="00713025">
        <w:t xml:space="preserve"> timeframe for allocation starts again</w:t>
      </w:r>
      <w:r w:rsidR="006F6391" w:rsidRPr="00713025">
        <w:t xml:space="preserve"> on</w:t>
      </w:r>
      <w:r w:rsidRPr="00713025">
        <w:t xml:space="preserve"> the day after the authorised officer becomes aware that a NACC stop action direction </w:t>
      </w:r>
      <w:r w:rsidRPr="0077101F">
        <w:t>no</w:t>
      </w:r>
      <w:r w:rsidRPr="00713025">
        <w:t xml:space="preserve"> longer applies.</w:t>
      </w:r>
    </w:p>
    <w:p w14:paraId="4DE02E2E" w14:textId="74BEC1DA" w:rsidR="00470B0A" w:rsidRPr="00713025" w:rsidRDefault="00470B0A" w:rsidP="00385B04">
      <w:pPr>
        <w:pStyle w:val="Numberedlist"/>
        <w:numPr>
          <w:ilvl w:val="1"/>
          <w:numId w:val="33"/>
        </w:numPr>
      </w:pPr>
      <w:r w:rsidRPr="0077101F">
        <w:t xml:space="preserve">Any recommencement notice following </w:t>
      </w:r>
      <w:r w:rsidR="006F6391" w:rsidRPr="0077101F">
        <w:t xml:space="preserve">the </w:t>
      </w:r>
      <w:r w:rsidRPr="0077101F">
        <w:t>revocation</w:t>
      </w:r>
      <w:r w:rsidR="006F6391" w:rsidRPr="0077101F">
        <w:t xml:space="preserve"> or </w:t>
      </w:r>
      <w:r w:rsidRPr="0077101F">
        <w:t xml:space="preserve">amendment of a stop action direction should outline that the stop action has been revoked/amended such that the PID investigation may </w:t>
      </w:r>
      <w:r w:rsidRPr="00713025">
        <w:t>recommence</w:t>
      </w:r>
      <w:r w:rsidRPr="0077101F">
        <w:t xml:space="preserve"> or that certain steps may now be taken</w:t>
      </w:r>
      <w:r w:rsidR="006F6391" w:rsidRPr="0077101F">
        <w:t>. It should also provide</w:t>
      </w:r>
      <w:r w:rsidRPr="0077101F">
        <w:t xml:space="preserve"> updated </w:t>
      </w:r>
      <w:r w:rsidR="006F6391" w:rsidRPr="0077101F">
        <w:t>conclusion</w:t>
      </w:r>
      <w:r w:rsidRPr="0077101F">
        <w:t xml:space="preserve"> date for the investigation period where relevant.</w:t>
      </w:r>
    </w:p>
    <w:p w14:paraId="45BDF463" w14:textId="46EC8995" w:rsidR="008843AF" w:rsidRPr="0077101F" w:rsidRDefault="008843AF" w:rsidP="00385B04">
      <w:pPr>
        <w:pStyle w:val="Numberedlist"/>
        <w:numPr>
          <w:ilvl w:val="1"/>
          <w:numId w:val="33"/>
        </w:numPr>
      </w:pPr>
      <w:r w:rsidRPr="00713025">
        <w:t xml:space="preserve">As outlined </w:t>
      </w:r>
      <w:r w:rsidRPr="0077101F">
        <w:t>in section 50</w:t>
      </w:r>
      <w:proofErr w:type="gramStart"/>
      <w:r w:rsidRPr="0077101F">
        <w:t>A(</w:t>
      </w:r>
      <w:proofErr w:type="gramEnd"/>
      <w:r w:rsidR="00470B0A" w:rsidRPr="0077101F">
        <w:t>4</w:t>
      </w:r>
      <w:r w:rsidRPr="0077101F">
        <w:t>) of the PID Act, i</w:t>
      </w:r>
      <w:r w:rsidRPr="00713025">
        <w:t xml:space="preserve">f </w:t>
      </w:r>
      <w:r w:rsidRPr="0077101F">
        <w:t>a stop action direction has been received by the Commissioner, that prevents the principal officer</w:t>
      </w:r>
      <w:r w:rsidR="005827AA" w:rsidRPr="0077101F">
        <w:t xml:space="preserve"> or their delegate</w:t>
      </w:r>
      <w:r w:rsidRPr="0077101F">
        <w:t xml:space="preserve"> from investigating, or further investigating, the principal officer must </w:t>
      </w:r>
      <w:r w:rsidR="0046263B" w:rsidRPr="0077101F">
        <w:t xml:space="preserve">give written notice to </w:t>
      </w:r>
      <w:r w:rsidRPr="0077101F">
        <w:t>the Ombudsman of</w:t>
      </w:r>
      <w:r w:rsidR="00141932" w:rsidRPr="0077101F">
        <w:t xml:space="preserve"> </w:t>
      </w:r>
      <w:r w:rsidRPr="0077101F">
        <w:t>the stop action direction.</w:t>
      </w:r>
    </w:p>
    <w:p w14:paraId="3C240F70" w14:textId="0FC4992E" w:rsidR="008843AF" w:rsidRPr="00713025" w:rsidRDefault="008843AF" w:rsidP="008843AF">
      <w:pPr>
        <w:tabs>
          <w:tab w:val="left" w:pos="3245"/>
        </w:tabs>
      </w:pPr>
    </w:p>
    <w:p w14:paraId="04354132" w14:textId="21287B00" w:rsidR="00936748" w:rsidRPr="00713025" w:rsidRDefault="00936748" w:rsidP="008843AF">
      <w:pPr>
        <w:tabs>
          <w:tab w:val="left" w:pos="3245"/>
        </w:tabs>
      </w:pPr>
    </w:p>
    <w:p w14:paraId="29037D60" w14:textId="77777777" w:rsidR="00936748" w:rsidRDefault="00936748" w:rsidP="008843AF">
      <w:pPr>
        <w:tabs>
          <w:tab w:val="left" w:pos="3245"/>
        </w:tabs>
      </w:pPr>
    </w:p>
    <w:p w14:paraId="5C6FA173" w14:textId="77777777" w:rsidR="00E22A31" w:rsidRDefault="00E22A31" w:rsidP="008843AF">
      <w:pPr>
        <w:tabs>
          <w:tab w:val="left" w:pos="3245"/>
        </w:tabs>
      </w:pPr>
    </w:p>
    <w:p w14:paraId="126D5528" w14:textId="77777777" w:rsidR="00B15E53" w:rsidRDefault="00B15E53" w:rsidP="008843AF">
      <w:pPr>
        <w:tabs>
          <w:tab w:val="left" w:pos="3245"/>
        </w:tabs>
      </w:pPr>
    </w:p>
    <w:p w14:paraId="54D2DE45" w14:textId="77777777" w:rsidR="00B15E53" w:rsidRPr="00713025" w:rsidRDefault="00B15E53" w:rsidP="008843AF">
      <w:pPr>
        <w:tabs>
          <w:tab w:val="left" w:pos="3245"/>
        </w:tabs>
      </w:pPr>
    </w:p>
    <w:p w14:paraId="2B54062D" w14:textId="0125CD26" w:rsidR="00F02482" w:rsidRPr="00713025" w:rsidRDefault="00F02482" w:rsidP="00385B04">
      <w:pPr>
        <w:pStyle w:val="Heading1"/>
        <w:numPr>
          <w:ilvl w:val="0"/>
          <w:numId w:val="34"/>
        </w:numPr>
      </w:pPr>
      <w:bookmarkStart w:id="54" w:name="_Toc150789951"/>
      <w:r w:rsidRPr="00713025">
        <w:lastRenderedPageBreak/>
        <w:t>PROCEDURES FOR MANAGERS AND SUPERVISORS</w:t>
      </w:r>
      <w:bookmarkEnd w:id="44"/>
      <w:bookmarkEnd w:id="54"/>
    </w:p>
    <w:p w14:paraId="5EA7EDF3" w14:textId="577F851E" w:rsidR="00F02482" w:rsidRPr="00713025" w:rsidRDefault="007F16E0" w:rsidP="00F228C5">
      <w:pPr>
        <w:pStyle w:val="Heading2"/>
        <w:rPr>
          <w:rFonts w:eastAsia="Arial"/>
        </w:rPr>
      </w:pPr>
      <w:bookmarkStart w:id="55" w:name="_Toc150789952"/>
      <w:r w:rsidRPr="00713025">
        <w:rPr>
          <w:noProof/>
          <w:lang w:eastAsia="en-AU"/>
        </w:rPr>
        <w:drawing>
          <wp:anchor distT="0" distB="0" distL="114300" distR="114300" simplePos="0" relativeHeight="251658243" behindDoc="1" locked="0" layoutInCell="1" allowOverlap="1" wp14:anchorId="621AD064" wp14:editId="035905C8">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6" w:name="_Toc49525281"/>
      <w:r w:rsidR="00F02482" w:rsidRPr="00713025">
        <w:rPr>
          <w:rFonts w:eastAsia="Arial"/>
        </w:rPr>
        <w:t>Role of Managers and Supervisors</w:t>
      </w:r>
      <w:bookmarkEnd w:id="55"/>
      <w:bookmarkEnd w:id="56"/>
    </w:p>
    <w:p w14:paraId="75136879" w14:textId="77777777" w:rsidR="00CB3826" w:rsidRPr="00CB3826" w:rsidRDefault="00CB3826" w:rsidP="00385B04">
      <w:pPr>
        <w:pStyle w:val="ListParagraph"/>
        <w:numPr>
          <w:ilvl w:val="0"/>
          <w:numId w:val="33"/>
        </w:numPr>
        <w:spacing w:after="120"/>
        <w:rPr>
          <w:rFonts w:cs="Arial"/>
          <w:vanish/>
          <w:sz w:val="21"/>
          <w:szCs w:val="21"/>
        </w:rPr>
      </w:pPr>
    </w:p>
    <w:p w14:paraId="3A656C44" w14:textId="50CD7522" w:rsidR="00040FAD" w:rsidRPr="00713025" w:rsidRDefault="001601FC" w:rsidP="00385B04">
      <w:pPr>
        <w:pStyle w:val="Numberedlist"/>
        <w:numPr>
          <w:ilvl w:val="1"/>
          <w:numId w:val="33"/>
        </w:numPr>
      </w:pPr>
      <w:r w:rsidRPr="00713025">
        <w:t>Where a public official in the department discloses information to their manager or supervisor and that person has reasonable grounds to believe that the information concerns, or could concern, disclosable conduct, the manager or supervisor must</w:t>
      </w:r>
      <w:r w:rsidR="007F3B7D" w:rsidRPr="00713025">
        <w:t xml:space="preserve"> inform disclosers of the PID process</w:t>
      </w:r>
      <w:r w:rsidR="00040FAD" w:rsidRPr="00713025">
        <w:t>, including:</w:t>
      </w:r>
    </w:p>
    <w:p w14:paraId="209067A4" w14:textId="589B0765" w:rsidR="00E870DF" w:rsidRPr="00A70F2A" w:rsidRDefault="00E8170C" w:rsidP="00A70F2A">
      <w:pPr>
        <w:pStyle w:val="Numberedlist"/>
        <w:numPr>
          <w:ilvl w:val="0"/>
          <w:numId w:val="12"/>
        </w:numPr>
        <w:spacing w:before="60" w:after="60"/>
        <w:ind w:left="1134" w:hanging="340"/>
      </w:pPr>
      <w:r w:rsidRPr="00A70F2A">
        <w:t>that their disclosure could be treated as an internal disclosure</w:t>
      </w:r>
      <w:r w:rsidR="00145793" w:rsidRPr="00A70F2A">
        <w:t>;</w:t>
      </w:r>
      <w:r w:rsidR="001C346B" w:rsidRPr="00A70F2A">
        <w:t xml:space="preserve"> </w:t>
      </w:r>
      <w:r w:rsidR="00E870DF" w:rsidRPr="00A70F2A">
        <w:t xml:space="preserve">the next steps in the PID process - referring their disclosure to the </w:t>
      </w:r>
      <w:r w:rsidR="005827AA" w:rsidRPr="00A70F2A">
        <w:t>authorised officer</w:t>
      </w:r>
      <w:r w:rsidR="00E870DF" w:rsidRPr="00A70F2A">
        <w:t xml:space="preserve">, the potential allocation of the PID, and investigation of the </w:t>
      </w:r>
      <w:proofErr w:type="gramStart"/>
      <w:r w:rsidR="00E870DF" w:rsidRPr="00A70F2A">
        <w:t>PID</w:t>
      </w:r>
      <w:r w:rsidR="00145793" w:rsidRPr="00A70F2A">
        <w:t>;</w:t>
      </w:r>
      <w:proofErr w:type="gramEnd"/>
    </w:p>
    <w:p w14:paraId="238AAAF4" w14:textId="77777777" w:rsidR="00F47D09" w:rsidRPr="00A70F2A" w:rsidRDefault="00495B3D" w:rsidP="00A70F2A">
      <w:pPr>
        <w:pStyle w:val="Numberedlist"/>
        <w:numPr>
          <w:ilvl w:val="0"/>
          <w:numId w:val="12"/>
        </w:numPr>
        <w:spacing w:before="60" w:after="60"/>
        <w:ind w:left="1134" w:hanging="340"/>
      </w:pPr>
      <w:r w:rsidRPr="00A70F2A">
        <w:t xml:space="preserve">the circumstances in which a PID must be referred to an agency, or other person or body, under another law of the </w:t>
      </w:r>
      <w:proofErr w:type="gramStart"/>
      <w:r w:rsidRPr="00A70F2A">
        <w:t>Commonwealth</w:t>
      </w:r>
      <w:r w:rsidR="00145793" w:rsidRPr="00A70F2A">
        <w:t>;</w:t>
      </w:r>
      <w:proofErr w:type="gramEnd"/>
    </w:p>
    <w:p w14:paraId="62CC4B4C" w14:textId="1480FEE0" w:rsidR="00145793" w:rsidRPr="00A70F2A" w:rsidRDefault="0094338F" w:rsidP="00A70F2A">
      <w:pPr>
        <w:pStyle w:val="Numberedlist"/>
        <w:numPr>
          <w:ilvl w:val="0"/>
          <w:numId w:val="12"/>
        </w:numPr>
        <w:spacing w:before="60" w:after="60"/>
        <w:ind w:left="1134" w:hanging="340"/>
      </w:pPr>
      <w:r w:rsidRPr="00A70F2A">
        <w:t xml:space="preserve">the civil and criminal protections the PID Act provide to disclosers, and those assisting with the handling of a </w:t>
      </w:r>
      <w:proofErr w:type="gramStart"/>
      <w:r w:rsidRPr="00A70F2A">
        <w:t>PID</w:t>
      </w:r>
      <w:r w:rsidR="00145793" w:rsidRPr="00A70F2A">
        <w:t>;</w:t>
      </w:r>
      <w:proofErr w:type="gramEnd"/>
      <w:r w:rsidR="00145793" w:rsidRPr="00A70F2A">
        <w:t xml:space="preserve"> </w:t>
      </w:r>
    </w:p>
    <w:p w14:paraId="56E6A13E" w14:textId="029A2F5F" w:rsidR="009E422B" w:rsidRPr="00A70F2A" w:rsidRDefault="009E422B" w:rsidP="00A70F2A">
      <w:pPr>
        <w:pStyle w:val="Numberedlist"/>
        <w:numPr>
          <w:ilvl w:val="0"/>
          <w:numId w:val="12"/>
        </w:numPr>
        <w:spacing w:before="60" w:after="60"/>
        <w:ind w:left="1134" w:hanging="340"/>
      </w:pPr>
      <w:r w:rsidRPr="00A70F2A">
        <w:t>whether their internal disclosure requires mandatory referral to the NACC and, if so, explain the information sharing process with the NACC and that this may include their identity; and</w:t>
      </w:r>
    </w:p>
    <w:p w14:paraId="6AF49889" w14:textId="4E4AAAAC" w:rsidR="00495B3D" w:rsidRPr="00A70F2A" w:rsidRDefault="00145793" w:rsidP="00A70F2A">
      <w:pPr>
        <w:pStyle w:val="Numberedlist"/>
        <w:numPr>
          <w:ilvl w:val="0"/>
          <w:numId w:val="12"/>
        </w:numPr>
        <w:spacing w:before="60" w:after="60"/>
        <w:ind w:left="1134" w:hanging="340"/>
      </w:pPr>
      <w:r w:rsidRPr="00A70F2A">
        <w:t xml:space="preserve">that, if their internal disclosure requires mandatory referral to the NACC, they will remain </w:t>
      </w:r>
      <w:r w:rsidR="005827AA" w:rsidRPr="00A70F2A">
        <w:t>protected</w:t>
      </w:r>
      <w:r w:rsidRPr="00A70F2A">
        <w:t xml:space="preserve"> under the PID Act. </w:t>
      </w:r>
    </w:p>
    <w:p w14:paraId="68B3E7AA" w14:textId="1615CD71" w:rsidR="001601FC" w:rsidRPr="00713025" w:rsidRDefault="008577FA" w:rsidP="00385B04">
      <w:pPr>
        <w:pStyle w:val="Numberedlist"/>
        <w:numPr>
          <w:ilvl w:val="1"/>
          <w:numId w:val="33"/>
        </w:numPr>
      </w:pPr>
      <w:r w:rsidRPr="00713025">
        <w:t xml:space="preserve">The </w:t>
      </w:r>
      <w:r w:rsidR="00D22BF9" w:rsidRPr="00713025">
        <w:t xml:space="preserve">manager or </w:t>
      </w:r>
      <w:r w:rsidRPr="00713025">
        <w:t>supervisor must</w:t>
      </w:r>
      <w:r w:rsidR="001601FC" w:rsidRPr="00713025">
        <w:t xml:space="preserve"> as soon as practicable, give the information to an </w:t>
      </w:r>
      <w:r w:rsidR="00961FC5" w:rsidRPr="00713025">
        <w:t>a</w:t>
      </w:r>
      <w:r w:rsidR="001601FC" w:rsidRPr="00713025">
        <w:t xml:space="preserve">uthorised </w:t>
      </w:r>
      <w:r w:rsidR="00961FC5" w:rsidRPr="00713025">
        <w:t>o</w:t>
      </w:r>
      <w:r w:rsidR="001601FC" w:rsidRPr="00713025">
        <w:t>fficer in the department.</w:t>
      </w:r>
    </w:p>
    <w:p w14:paraId="162B0DE1" w14:textId="5D771289" w:rsidR="002F7481" w:rsidRPr="00713025" w:rsidRDefault="001601FC" w:rsidP="00385B04">
      <w:pPr>
        <w:pStyle w:val="Numberedlist"/>
        <w:numPr>
          <w:ilvl w:val="1"/>
          <w:numId w:val="33"/>
        </w:numPr>
      </w:pPr>
      <w:r w:rsidRPr="00713025">
        <w:t>Where a disclosure is made to a manager or supervisor, that person must make a written record of the disclosure, and if the disclosure is not in writing, they must make a written record of the substance of the disclosure and of the t</w:t>
      </w:r>
      <w:r w:rsidR="00571C68" w:rsidRPr="00713025">
        <w:t>ime and date of the disclosure.</w:t>
      </w:r>
    </w:p>
    <w:p w14:paraId="0A71EB22" w14:textId="68CE9A54" w:rsidR="001601FC" w:rsidRPr="00713025" w:rsidRDefault="001601FC" w:rsidP="00385B04">
      <w:pPr>
        <w:pStyle w:val="Numberedlist"/>
        <w:numPr>
          <w:ilvl w:val="1"/>
          <w:numId w:val="33"/>
        </w:numPr>
      </w:pPr>
      <w:r w:rsidRPr="00713025">
        <w:t>The person to whom the disclosure has been made must ask the discloser to sign the record of the disclosu</w:t>
      </w:r>
      <w:r w:rsidR="00571C68" w:rsidRPr="00713025">
        <w:t>re, where this is practicable.</w:t>
      </w:r>
    </w:p>
    <w:p w14:paraId="4F5635EB" w14:textId="693D91DB" w:rsidR="001601FC" w:rsidRPr="00713025" w:rsidRDefault="001601FC" w:rsidP="00385B04">
      <w:pPr>
        <w:pStyle w:val="Numberedlist"/>
        <w:numPr>
          <w:ilvl w:val="1"/>
          <w:numId w:val="33"/>
        </w:numPr>
      </w:pPr>
      <w:r w:rsidRPr="00713025">
        <w:t xml:space="preserve">At the time the manager or supervisor gives information to the </w:t>
      </w:r>
      <w:r w:rsidR="00961FC5" w:rsidRPr="00713025">
        <w:t>a</w:t>
      </w:r>
      <w:r w:rsidRPr="00713025">
        <w:t xml:space="preserve">uthorised </w:t>
      </w:r>
      <w:r w:rsidR="00961FC5" w:rsidRPr="00713025">
        <w:t>o</w:t>
      </w:r>
      <w:r w:rsidRPr="00713025">
        <w:t xml:space="preserve">fficer they must also give the </w:t>
      </w:r>
      <w:r w:rsidR="00961FC5" w:rsidRPr="00713025">
        <w:t>a</w:t>
      </w:r>
      <w:r w:rsidRPr="00713025">
        <w:t xml:space="preserve">uthorised </w:t>
      </w:r>
      <w:r w:rsidR="00961FC5" w:rsidRPr="00713025">
        <w:t>o</w:t>
      </w:r>
      <w:r w:rsidRPr="00713025">
        <w:t>fficer their written assessment of any risks that reprisal action might be taken against the person who disclosed the information to the manager or supervisor. Further information on how to conduct a risk reprisal assessment is provided below under the heading ‘Reprisal risk assessment’.</w:t>
      </w:r>
    </w:p>
    <w:p w14:paraId="5BD0C1B6" w14:textId="3650E910" w:rsidR="009E422B" w:rsidRPr="00713025" w:rsidRDefault="001601FC" w:rsidP="00385B04">
      <w:pPr>
        <w:pStyle w:val="Numberedlist"/>
        <w:numPr>
          <w:ilvl w:val="1"/>
          <w:numId w:val="33"/>
        </w:numPr>
      </w:pPr>
      <w:r w:rsidRPr="00713025">
        <w:t xml:space="preserve">Where a manager or supervisor has given the information to the </w:t>
      </w:r>
      <w:r w:rsidR="00961FC5" w:rsidRPr="00713025">
        <w:t>a</w:t>
      </w:r>
      <w:r w:rsidRPr="00713025">
        <w:t xml:space="preserve">uthorised </w:t>
      </w:r>
      <w:r w:rsidR="00961FC5" w:rsidRPr="00713025">
        <w:t>o</w:t>
      </w:r>
      <w:r w:rsidRPr="00713025">
        <w:t xml:space="preserve">fficer, and where the manager or supervisor is able to contact the discloser, they must inform the discloser that they have given the information to an </w:t>
      </w:r>
      <w:r w:rsidR="00961FC5" w:rsidRPr="00713025">
        <w:t>a</w:t>
      </w:r>
      <w:r w:rsidRPr="00713025">
        <w:t xml:space="preserve">uthorised </w:t>
      </w:r>
      <w:r w:rsidR="00961FC5" w:rsidRPr="00713025">
        <w:t>o</w:t>
      </w:r>
      <w:r w:rsidRPr="00713025">
        <w:t>fficer in the department and advise the discloser of the name and contact detai</w:t>
      </w:r>
      <w:r w:rsidR="00571C68" w:rsidRPr="00713025">
        <w:t xml:space="preserve">ls of that </w:t>
      </w:r>
      <w:r w:rsidR="00961FC5" w:rsidRPr="00713025">
        <w:t>a</w:t>
      </w:r>
      <w:r w:rsidR="00571C68" w:rsidRPr="00713025">
        <w:t xml:space="preserve">uthorised </w:t>
      </w:r>
      <w:proofErr w:type="gramStart"/>
      <w:r w:rsidR="00961FC5" w:rsidRPr="00713025">
        <w:t>o</w:t>
      </w:r>
      <w:r w:rsidR="00571C68" w:rsidRPr="00713025">
        <w:t>fficer</w:t>
      </w:r>
      <w:proofErr w:type="gramEnd"/>
    </w:p>
    <w:p w14:paraId="24255EE1" w14:textId="3F3ACD96" w:rsidR="009E422B" w:rsidRPr="00713025" w:rsidRDefault="00EB260B" w:rsidP="00385B04">
      <w:pPr>
        <w:pStyle w:val="Numberedlist"/>
        <w:numPr>
          <w:ilvl w:val="1"/>
          <w:numId w:val="33"/>
        </w:numPr>
      </w:pPr>
      <w:r w:rsidRPr="00713025">
        <w:t xml:space="preserve">Managers and supervisors should also understand the requirements of the NACC Act, including when they are required to refer </w:t>
      </w:r>
      <w:r w:rsidR="00512DD0" w:rsidRPr="00713025">
        <w:t xml:space="preserve">corruption </w:t>
      </w:r>
      <w:r w:rsidRPr="00713025">
        <w:t>issues to the Commissioner.</w:t>
      </w:r>
      <w:r w:rsidR="00CF45BA" w:rsidRPr="00713025">
        <w:t xml:space="preserve"> </w:t>
      </w:r>
      <w:r w:rsidR="009E422B" w:rsidRPr="00713025">
        <w:t xml:space="preserve">There is a mandatory obligation to refer corruption issues to the Commissioner which arises </w:t>
      </w:r>
      <w:proofErr w:type="gramStart"/>
      <w:r w:rsidR="009E422B" w:rsidRPr="00713025">
        <w:t>during the course of</w:t>
      </w:r>
      <w:proofErr w:type="gramEnd"/>
      <w:r w:rsidR="009E422B" w:rsidRPr="00713025">
        <w:t xml:space="preserve"> exercising functions or powers under the PID Act if the supervisor suspects the corruption issue involves serious or systemic corrupt conduct by a current or former member of staff at the department while they were a staff member. </w:t>
      </w:r>
    </w:p>
    <w:p w14:paraId="517A95D6" w14:textId="4D064DF2" w:rsidR="00D52C71" w:rsidRPr="00713025" w:rsidRDefault="00CF45BA" w:rsidP="00385B04">
      <w:pPr>
        <w:pStyle w:val="Numberedlist"/>
        <w:numPr>
          <w:ilvl w:val="1"/>
          <w:numId w:val="33"/>
        </w:numPr>
      </w:pPr>
      <w:r w:rsidRPr="00713025">
        <w:t xml:space="preserve">Any member of staff, including supervisors and managers, can also make a voluntary referral to NACC in respect to any issues of corruption. </w:t>
      </w:r>
      <w:r w:rsidR="00512DD0" w:rsidRPr="00713025">
        <w:t>The</w:t>
      </w:r>
      <w:r w:rsidRPr="00713025">
        <w:t xml:space="preserve"> standard of proof for a voluntary referral does not require a </w:t>
      </w:r>
      <w:r w:rsidR="00512DD0" w:rsidRPr="00713025">
        <w:t>s</w:t>
      </w:r>
      <w:r w:rsidRPr="00713025">
        <w:t xml:space="preserve">upervisor (or any public official or member of the public) to know or suspect the issue involves serious or systemic corrupt conduct. Rather, the </w:t>
      </w:r>
      <w:r w:rsidR="00512DD0" w:rsidRPr="00713025">
        <w:t>s</w:t>
      </w:r>
      <w:r w:rsidRPr="00713025">
        <w:t xml:space="preserve">upervisor </w:t>
      </w:r>
      <w:proofErr w:type="gramStart"/>
      <w:r w:rsidRPr="00713025">
        <w:t>need</w:t>
      </w:r>
      <w:proofErr w:type="gramEnd"/>
      <w:r w:rsidRPr="00713025">
        <w:t xml:space="preserve"> merely report the issue to be “about” corruption and can make the referral anonymously. </w:t>
      </w:r>
    </w:p>
    <w:p w14:paraId="02DFF027" w14:textId="15BF6161" w:rsidR="00CF45BA" w:rsidRPr="00713025" w:rsidRDefault="00512DD0" w:rsidP="00385B04">
      <w:pPr>
        <w:pStyle w:val="Numberedlist"/>
        <w:numPr>
          <w:ilvl w:val="1"/>
          <w:numId w:val="33"/>
        </w:numPr>
      </w:pPr>
      <w:r w:rsidRPr="00713025">
        <w:lastRenderedPageBreak/>
        <w:t xml:space="preserve">The </w:t>
      </w:r>
      <w:r w:rsidR="00D52C71" w:rsidRPr="00713025">
        <w:t>obligation to</w:t>
      </w:r>
      <w:r w:rsidRPr="00713025">
        <w:t xml:space="preserve"> </w:t>
      </w:r>
      <w:r w:rsidR="00D52C71" w:rsidRPr="00713025">
        <w:t>refer certain issues to the Commissioner must be complied with regardless of whether a voluntary referral can or is otherwise made.</w:t>
      </w:r>
    </w:p>
    <w:p w14:paraId="0B4F09AC" w14:textId="6005861E" w:rsidR="00F02482" w:rsidRPr="00713025" w:rsidRDefault="00F02482" w:rsidP="00385B04">
      <w:pPr>
        <w:pStyle w:val="Heading1"/>
        <w:pageBreakBefore/>
        <w:numPr>
          <w:ilvl w:val="0"/>
          <w:numId w:val="35"/>
        </w:numPr>
      </w:pPr>
      <w:bookmarkStart w:id="57" w:name="_Toc49525282"/>
      <w:bookmarkStart w:id="58" w:name="_Toc150789953"/>
      <w:r w:rsidRPr="00713025">
        <w:lastRenderedPageBreak/>
        <w:t>PROCEDURES FOR AUTHORISED OFFICERS</w:t>
      </w:r>
      <w:bookmarkEnd w:id="57"/>
      <w:bookmarkEnd w:id="58"/>
    </w:p>
    <w:p w14:paraId="43F654CE" w14:textId="2DA11A74" w:rsidR="00F02482" w:rsidRPr="00713025" w:rsidRDefault="007F16E0" w:rsidP="00C211D6">
      <w:pPr>
        <w:pStyle w:val="Heading2"/>
        <w:rPr>
          <w:rFonts w:eastAsiaTheme="minorHAnsi"/>
        </w:rPr>
      </w:pPr>
      <w:bookmarkStart w:id="59" w:name="_Toc150789954"/>
      <w:r w:rsidRPr="00713025">
        <w:rPr>
          <w:noProof/>
          <w:lang w:eastAsia="en-AU"/>
        </w:rPr>
        <w:drawing>
          <wp:anchor distT="0" distB="0" distL="114300" distR="114300" simplePos="0" relativeHeight="251658244" behindDoc="1" locked="0" layoutInCell="1" allowOverlap="1" wp14:anchorId="3C3ADD3A" wp14:editId="60AB15CF">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67" name="Picture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2482" w:rsidRPr="00713025">
        <w:rPr>
          <w:rFonts w:eastAsiaTheme="minorHAnsi"/>
        </w:rPr>
        <w:t xml:space="preserve">Authorised </w:t>
      </w:r>
      <w:r w:rsidR="005A250F">
        <w:rPr>
          <w:rFonts w:eastAsiaTheme="minorHAnsi"/>
        </w:rPr>
        <w:t>o</w:t>
      </w:r>
      <w:r w:rsidR="00F02482" w:rsidRPr="00713025">
        <w:rPr>
          <w:rFonts w:eastAsiaTheme="minorHAnsi"/>
        </w:rPr>
        <w:t xml:space="preserve">fficer must advise disclosers and potential disclosers about the </w:t>
      </w:r>
      <w:r w:rsidR="003C25F9">
        <w:rPr>
          <w:rFonts w:eastAsiaTheme="minorHAnsi"/>
        </w:rPr>
        <w:t xml:space="preserve">PID </w:t>
      </w:r>
      <w:r w:rsidR="00F02482" w:rsidRPr="00713025">
        <w:rPr>
          <w:rFonts w:eastAsiaTheme="minorHAnsi"/>
        </w:rPr>
        <w:t>Act</w:t>
      </w:r>
      <w:bookmarkEnd w:id="59"/>
    </w:p>
    <w:p w14:paraId="48374442" w14:textId="77777777" w:rsidR="00992A01" w:rsidRPr="00992A01" w:rsidRDefault="00992A01" w:rsidP="00385B04">
      <w:pPr>
        <w:pStyle w:val="ListParagraph"/>
        <w:numPr>
          <w:ilvl w:val="0"/>
          <w:numId w:val="33"/>
        </w:numPr>
        <w:spacing w:after="120"/>
        <w:rPr>
          <w:rFonts w:cs="Arial"/>
          <w:vanish/>
          <w:sz w:val="21"/>
          <w:szCs w:val="21"/>
        </w:rPr>
      </w:pPr>
    </w:p>
    <w:p w14:paraId="5C546FEF" w14:textId="064961BD" w:rsidR="00571C68" w:rsidRPr="00713025" w:rsidRDefault="00571C68" w:rsidP="00385B04">
      <w:pPr>
        <w:pStyle w:val="Numberedlist"/>
        <w:numPr>
          <w:ilvl w:val="1"/>
          <w:numId w:val="33"/>
        </w:numPr>
      </w:pPr>
      <w:r w:rsidRPr="00713025">
        <w:t>Where:</w:t>
      </w:r>
    </w:p>
    <w:p w14:paraId="2E56FF2A" w14:textId="7C654F24" w:rsidR="00571C68" w:rsidRPr="00A70F2A" w:rsidRDefault="00571C68" w:rsidP="00A70F2A">
      <w:pPr>
        <w:pStyle w:val="Numberedlist"/>
        <w:numPr>
          <w:ilvl w:val="0"/>
          <w:numId w:val="12"/>
        </w:numPr>
        <w:spacing w:before="60" w:after="60"/>
        <w:ind w:left="1134" w:hanging="340"/>
      </w:pPr>
      <w:r w:rsidRPr="00A70F2A">
        <w:t xml:space="preserve">a person discloses, or is proposing to disclose, information to an </w:t>
      </w:r>
      <w:r w:rsidR="00583B6F" w:rsidRPr="00A70F2A">
        <w:t>a</w:t>
      </w:r>
      <w:r w:rsidRPr="00A70F2A">
        <w:t xml:space="preserve">uthorised </w:t>
      </w:r>
      <w:r w:rsidR="00583B6F" w:rsidRPr="00A70F2A">
        <w:t>o</w:t>
      </w:r>
      <w:r w:rsidRPr="00A70F2A">
        <w:t xml:space="preserve">fficer which the </w:t>
      </w:r>
      <w:r w:rsidR="00583B6F" w:rsidRPr="00A70F2A">
        <w:t>a</w:t>
      </w:r>
      <w:r w:rsidRPr="00A70F2A">
        <w:t xml:space="preserve">uthorised </w:t>
      </w:r>
      <w:r w:rsidR="00583B6F" w:rsidRPr="00A70F2A">
        <w:t>o</w:t>
      </w:r>
      <w:r w:rsidRPr="00A70F2A">
        <w:t>fficer has reasonable grounds to believe may be disclosable conduct, and</w:t>
      </w:r>
    </w:p>
    <w:p w14:paraId="5A87B1D8" w14:textId="482A6A9A" w:rsidR="00571C68" w:rsidRPr="00A70F2A" w:rsidRDefault="00571C68" w:rsidP="00A70F2A">
      <w:pPr>
        <w:pStyle w:val="Numberedlist"/>
        <w:numPr>
          <w:ilvl w:val="0"/>
          <w:numId w:val="12"/>
        </w:numPr>
        <w:spacing w:before="60" w:after="60"/>
        <w:ind w:left="1134" w:hanging="340"/>
      </w:pPr>
      <w:r w:rsidRPr="00A70F2A">
        <w:t xml:space="preserve">the </w:t>
      </w:r>
      <w:r w:rsidR="00583B6F" w:rsidRPr="00A70F2A">
        <w:t>a</w:t>
      </w:r>
      <w:r w:rsidRPr="00A70F2A">
        <w:t xml:space="preserve">uthorised </w:t>
      </w:r>
      <w:r w:rsidR="00583B6F" w:rsidRPr="00A70F2A">
        <w:t>o</w:t>
      </w:r>
      <w:r w:rsidRPr="00A70F2A">
        <w:t xml:space="preserve">fficer has reasonable grounds to believe that the </w:t>
      </w:r>
      <w:r w:rsidR="00DC683A" w:rsidRPr="00A70F2A">
        <w:t>person</w:t>
      </w:r>
      <w:r w:rsidR="00156558" w:rsidRPr="00A70F2A">
        <w:t xml:space="preserve"> may be unaware of the consequences of making the disclosure</w:t>
      </w:r>
      <w:r w:rsidRPr="00A70F2A">
        <w:t>, and</w:t>
      </w:r>
    </w:p>
    <w:p w14:paraId="22BE7F2A" w14:textId="12C80296" w:rsidR="00571C68" w:rsidRPr="00A70F2A" w:rsidRDefault="00571C68" w:rsidP="00A70F2A">
      <w:pPr>
        <w:pStyle w:val="Numberedlist"/>
        <w:numPr>
          <w:ilvl w:val="0"/>
          <w:numId w:val="12"/>
        </w:numPr>
        <w:spacing w:before="60" w:after="60"/>
        <w:ind w:left="1134" w:hanging="340"/>
      </w:pPr>
      <w:r w:rsidRPr="00A70F2A">
        <w:t xml:space="preserve">the </w:t>
      </w:r>
      <w:r w:rsidR="00583B6F" w:rsidRPr="00A70F2A">
        <w:t>a</w:t>
      </w:r>
      <w:r w:rsidRPr="00A70F2A">
        <w:t xml:space="preserve">uthorised </w:t>
      </w:r>
      <w:r w:rsidR="00583B6F" w:rsidRPr="00A70F2A">
        <w:t>o</w:t>
      </w:r>
      <w:r w:rsidRPr="00A70F2A">
        <w:t>fficer is aware of the contact details of the person,</w:t>
      </w:r>
    </w:p>
    <w:p w14:paraId="012143FB" w14:textId="49F07A1C" w:rsidR="00571C68" w:rsidRPr="00713025" w:rsidRDefault="00571C68" w:rsidP="00385B04">
      <w:pPr>
        <w:pStyle w:val="Numberedlist"/>
        <w:numPr>
          <w:ilvl w:val="1"/>
          <w:numId w:val="33"/>
        </w:numPr>
      </w:pPr>
      <w:r w:rsidRPr="00713025">
        <w:t xml:space="preserve">the </w:t>
      </w:r>
      <w:r w:rsidR="00583B6F" w:rsidRPr="00713025">
        <w:t>a</w:t>
      </w:r>
      <w:r w:rsidRPr="00713025">
        <w:t xml:space="preserve">uthorised </w:t>
      </w:r>
      <w:r w:rsidR="00583B6F" w:rsidRPr="00713025">
        <w:t>o</w:t>
      </w:r>
      <w:r w:rsidRPr="00713025">
        <w:t>fficer must:</w:t>
      </w:r>
    </w:p>
    <w:p w14:paraId="74399FDD" w14:textId="0257715A" w:rsidR="00571C68" w:rsidRPr="00A70F2A" w:rsidRDefault="00571C68" w:rsidP="00A70F2A">
      <w:pPr>
        <w:pStyle w:val="Numberedlist"/>
        <w:numPr>
          <w:ilvl w:val="0"/>
          <w:numId w:val="12"/>
        </w:numPr>
        <w:spacing w:before="60" w:after="60"/>
        <w:ind w:left="1134" w:hanging="340"/>
      </w:pPr>
      <w:r w:rsidRPr="00A70F2A">
        <w:t xml:space="preserve">inform the person that the disclosure could be treated as an internal disclosure for the purposes of the </w:t>
      </w:r>
      <w:r w:rsidR="00583B6F" w:rsidRPr="00A70F2A">
        <w:t xml:space="preserve">PID </w:t>
      </w:r>
      <w:r w:rsidRPr="00A70F2A">
        <w:t>Act; and</w:t>
      </w:r>
    </w:p>
    <w:p w14:paraId="61B6DD84" w14:textId="1093AC98" w:rsidR="00571C68" w:rsidRPr="00A70F2A" w:rsidRDefault="00571C68" w:rsidP="00A70F2A">
      <w:pPr>
        <w:pStyle w:val="Numberedlist"/>
        <w:numPr>
          <w:ilvl w:val="0"/>
          <w:numId w:val="12"/>
        </w:numPr>
        <w:spacing w:before="60" w:after="60"/>
        <w:ind w:left="1134" w:hanging="340"/>
      </w:pPr>
      <w:r w:rsidRPr="00A70F2A">
        <w:t xml:space="preserve">explain to the person what the </w:t>
      </w:r>
      <w:r w:rsidR="00583B6F" w:rsidRPr="00A70F2A">
        <w:t xml:space="preserve">PID </w:t>
      </w:r>
      <w:r w:rsidRPr="00A70F2A">
        <w:t>Act requires for a disclosure to be an internal disclosure; and</w:t>
      </w:r>
    </w:p>
    <w:p w14:paraId="5BB927C3" w14:textId="53D9AD78" w:rsidR="00D12A39" w:rsidRPr="00A70F2A" w:rsidRDefault="000A2022" w:rsidP="00A70F2A">
      <w:pPr>
        <w:pStyle w:val="Numberedlist"/>
        <w:numPr>
          <w:ilvl w:val="0"/>
          <w:numId w:val="12"/>
        </w:numPr>
        <w:spacing w:before="60" w:after="60"/>
        <w:ind w:left="1134" w:hanging="340"/>
      </w:pPr>
      <w:r w:rsidRPr="00A70F2A">
        <w:t>inform the person about the principal officer’s</w:t>
      </w:r>
      <w:r w:rsidR="00583B6F" w:rsidRPr="00A70F2A">
        <w:t xml:space="preserve"> (or their delegate’s)</w:t>
      </w:r>
      <w:r w:rsidRPr="00A70F2A">
        <w:t xml:space="preserve"> powers to decide not to investigate the disclosure</w:t>
      </w:r>
      <w:r w:rsidR="00BB36C7" w:rsidRPr="00A70F2A">
        <w:t xml:space="preserve"> or </w:t>
      </w:r>
      <w:r w:rsidRPr="00A70F2A">
        <w:t xml:space="preserve">decide not to investigate the disclosure </w:t>
      </w:r>
      <w:r w:rsidR="00BB36C7" w:rsidRPr="00A70F2A">
        <w:t>further; and</w:t>
      </w:r>
    </w:p>
    <w:p w14:paraId="0FF9E4C2" w14:textId="62B03F1C" w:rsidR="00DC683A" w:rsidRPr="00A70F2A" w:rsidRDefault="00DC683A" w:rsidP="00A70F2A">
      <w:pPr>
        <w:pStyle w:val="Numberedlist"/>
        <w:numPr>
          <w:ilvl w:val="0"/>
          <w:numId w:val="12"/>
        </w:numPr>
        <w:spacing w:before="60" w:after="60"/>
        <w:ind w:left="1134" w:hanging="340"/>
      </w:pPr>
      <w:r w:rsidRPr="00A70F2A">
        <w:t xml:space="preserve">advise the person about the circumstances (if any) in which a public interest disclosure </w:t>
      </w:r>
      <w:r w:rsidR="00833831" w:rsidRPr="00A70F2A">
        <w:t>must be referred to an agency, or another person or body under another law of the Commonwealth; and</w:t>
      </w:r>
    </w:p>
    <w:p w14:paraId="3F5CFC7A" w14:textId="465A2032" w:rsidR="00571C68" w:rsidRPr="00A70F2A" w:rsidRDefault="00571C68" w:rsidP="00A70F2A">
      <w:pPr>
        <w:pStyle w:val="Numberedlist"/>
        <w:numPr>
          <w:ilvl w:val="0"/>
          <w:numId w:val="12"/>
        </w:numPr>
        <w:spacing w:before="60" w:after="60"/>
        <w:ind w:left="1134" w:hanging="340"/>
      </w:pPr>
      <w:r w:rsidRPr="00A70F2A">
        <w:t>advise the person of any orders or directions that may affect disclosure of the information</w:t>
      </w:r>
      <w:r w:rsidR="00145793" w:rsidRPr="00A70F2A">
        <w:t xml:space="preserve"> to another agency, </w:t>
      </w:r>
      <w:proofErr w:type="gramStart"/>
      <w:r w:rsidR="00145793" w:rsidRPr="00A70F2A">
        <w:t>person</w:t>
      </w:r>
      <w:proofErr w:type="gramEnd"/>
      <w:r w:rsidR="00145793" w:rsidRPr="00A70F2A">
        <w:t xml:space="preserve"> or body under another law of the Commonwealth. </w:t>
      </w:r>
    </w:p>
    <w:p w14:paraId="4B5E42B2" w14:textId="4E7F02E0" w:rsidR="00B163BB" w:rsidRPr="00713025" w:rsidRDefault="00B163BB" w:rsidP="00385B04">
      <w:pPr>
        <w:pStyle w:val="Numberedlist"/>
        <w:numPr>
          <w:ilvl w:val="1"/>
          <w:numId w:val="33"/>
        </w:numPr>
      </w:pPr>
      <w:bookmarkStart w:id="60" w:name="_Hlk138235754"/>
      <w:r w:rsidRPr="00713025">
        <w:t xml:space="preserve">Authorised officers also have strict obligations under the NACC Act and must, as soon as reasonably practicable after they become aware of it, </w:t>
      </w:r>
      <w:bookmarkEnd w:id="60"/>
      <w:r w:rsidRPr="00713025">
        <w:t xml:space="preserve">refer </w:t>
      </w:r>
      <w:r w:rsidR="00583B6F" w:rsidRPr="00713025">
        <w:t>a</w:t>
      </w:r>
      <w:r w:rsidRPr="00713025">
        <w:t xml:space="preserve"> corruption issue to the</w:t>
      </w:r>
      <w:r w:rsidR="003D72B6">
        <w:t xml:space="preserve"> </w:t>
      </w:r>
      <w:r w:rsidRPr="00713025">
        <w:t>Commissioner if:</w:t>
      </w:r>
    </w:p>
    <w:p w14:paraId="7A317290" w14:textId="77777777" w:rsidR="00B163BB" w:rsidRPr="00F976D9" w:rsidRDefault="00B163BB" w:rsidP="00A70F2A">
      <w:pPr>
        <w:pStyle w:val="Numberedlist"/>
        <w:numPr>
          <w:ilvl w:val="0"/>
          <w:numId w:val="12"/>
        </w:numPr>
        <w:spacing w:before="60" w:after="60"/>
        <w:ind w:left="1134" w:hanging="340"/>
      </w:pPr>
      <w:r w:rsidRPr="00F976D9">
        <w:t>they become aware that the corruption issue concerns the conduct of a person who is, or was, a staff member of the department while they were in that role; and</w:t>
      </w:r>
    </w:p>
    <w:p w14:paraId="5604FE97" w14:textId="77777777" w:rsidR="00B163BB" w:rsidRPr="00F976D9" w:rsidRDefault="00B163BB" w:rsidP="00A70F2A">
      <w:pPr>
        <w:pStyle w:val="Numberedlist"/>
        <w:numPr>
          <w:ilvl w:val="0"/>
          <w:numId w:val="12"/>
        </w:numPr>
        <w:spacing w:before="60" w:after="60"/>
        <w:ind w:left="1134" w:hanging="340"/>
      </w:pPr>
      <w:r w:rsidRPr="00F976D9">
        <w:t>they suspect that the corrupt conduct could involve corrupt conduct that is serious or systemic.</w:t>
      </w:r>
    </w:p>
    <w:p w14:paraId="168BEEBA" w14:textId="77777777" w:rsidR="009E422B" w:rsidRPr="00713025" w:rsidRDefault="009E422B" w:rsidP="00385B04">
      <w:pPr>
        <w:pStyle w:val="Numberedlist"/>
        <w:numPr>
          <w:ilvl w:val="1"/>
          <w:numId w:val="33"/>
        </w:numPr>
      </w:pPr>
      <w:r w:rsidRPr="00713025">
        <w:t>'Staff member' is defined by section 12 of the NACC Act and includes the Secretary, an official, an employee, secondee, contractor and an officer or employee of a contracting entity.</w:t>
      </w:r>
    </w:p>
    <w:p w14:paraId="289A6900" w14:textId="77777777" w:rsidR="009E422B" w:rsidRPr="00713025" w:rsidRDefault="009E422B" w:rsidP="00385B04">
      <w:pPr>
        <w:pStyle w:val="Numberedlist"/>
        <w:numPr>
          <w:ilvl w:val="1"/>
          <w:numId w:val="33"/>
        </w:numPr>
      </w:pPr>
      <w:r w:rsidRPr="00713025">
        <w:t>The referral must be made as soon as reasonably practicable after the authorised officer becomes aware of the corruption issue.</w:t>
      </w:r>
    </w:p>
    <w:p w14:paraId="766A4067" w14:textId="76F17820" w:rsidR="00B163BB" w:rsidRPr="00713025" w:rsidRDefault="00B163BB" w:rsidP="00385B04">
      <w:pPr>
        <w:pStyle w:val="Numberedlist"/>
        <w:numPr>
          <w:ilvl w:val="1"/>
          <w:numId w:val="33"/>
        </w:numPr>
      </w:pPr>
      <w:r w:rsidRPr="00713025">
        <w:t xml:space="preserve">If the PID does not disclose corrupt conduct, or if it does disclose such conduct but it is not serious or systemic in nature, the PID does not need to be referred to the NACC. There is, however, a continuous obligation to </w:t>
      </w:r>
      <w:r w:rsidRPr="00F976D9">
        <w:t xml:space="preserve">consider </w:t>
      </w:r>
      <w:r w:rsidRPr="00713025">
        <w:t>the requirement for referral to the NACC.</w:t>
      </w:r>
    </w:p>
    <w:p w14:paraId="6535A461" w14:textId="77777777" w:rsidR="00B163BB" w:rsidRPr="00713025" w:rsidRDefault="00B163BB" w:rsidP="00B163BB">
      <w:pPr>
        <w:pStyle w:val="ListBullet"/>
        <w:numPr>
          <w:ilvl w:val="0"/>
          <w:numId w:val="0"/>
        </w:numPr>
        <w:rPr>
          <w:rFonts w:cs="Arial"/>
          <w:color w:val="2A7187"/>
          <w:sz w:val="20"/>
          <w:szCs w:val="20"/>
        </w:rPr>
      </w:pPr>
    </w:p>
    <w:p w14:paraId="530D7D57" w14:textId="55F00BE8" w:rsidR="006C7092" w:rsidRPr="00713025" w:rsidRDefault="006C7092" w:rsidP="006C7092">
      <w:pPr>
        <w:autoSpaceDE w:val="0"/>
        <w:autoSpaceDN w:val="0"/>
        <w:adjustRightInd w:val="0"/>
        <w:spacing w:before="60" w:after="60"/>
        <w:rPr>
          <w:rFonts w:eastAsiaTheme="minorHAnsi" w:cs="Arial"/>
          <w:color w:val="000000"/>
          <w:sz w:val="21"/>
          <w:szCs w:val="21"/>
        </w:rPr>
      </w:pPr>
    </w:p>
    <w:p w14:paraId="1F5B289A" w14:textId="5EB89C85" w:rsidR="006C7092" w:rsidRPr="00713025" w:rsidRDefault="006C7092" w:rsidP="00B163BB">
      <w:pPr>
        <w:autoSpaceDE w:val="0"/>
        <w:autoSpaceDN w:val="0"/>
        <w:adjustRightInd w:val="0"/>
        <w:spacing w:before="60" w:after="60"/>
        <w:rPr>
          <w:rFonts w:eastAsiaTheme="minorHAnsi" w:cs="Arial"/>
          <w:color w:val="000000"/>
          <w:sz w:val="21"/>
          <w:szCs w:val="21"/>
        </w:rPr>
      </w:pPr>
    </w:p>
    <w:p w14:paraId="595F90AC" w14:textId="77777777" w:rsidR="00F02482" w:rsidRPr="00713025" w:rsidRDefault="00F02482" w:rsidP="00A212D0">
      <w:pPr>
        <w:pStyle w:val="Heading2"/>
        <w:rPr>
          <w:rFonts w:eastAsiaTheme="minorHAnsi"/>
        </w:rPr>
      </w:pPr>
      <w:bookmarkStart w:id="61" w:name="_Toc150789955"/>
      <w:r w:rsidRPr="00713025">
        <w:rPr>
          <w:rFonts w:eastAsiaTheme="minorHAnsi"/>
        </w:rPr>
        <w:lastRenderedPageBreak/>
        <w:t>Receipt of disclosure from discloser</w:t>
      </w:r>
      <w:bookmarkEnd w:id="61"/>
    </w:p>
    <w:p w14:paraId="670550A0" w14:textId="60F59EC3" w:rsidR="00571C68" w:rsidRPr="00713025" w:rsidRDefault="00571C68" w:rsidP="00385B04">
      <w:pPr>
        <w:pStyle w:val="Numberedlist"/>
        <w:numPr>
          <w:ilvl w:val="1"/>
          <w:numId w:val="33"/>
        </w:numPr>
      </w:pPr>
      <w:r w:rsidRPr="00713025">
        <w:t xml:space="preserve">Where a person makes a disclosure directly to an </w:t>
      </w:r>
      <w:r w:rsidR="0001784A" w:rsidRPr="00713025">
        <w:t>a</w:t>
      </w:r>
      <w:r w:rsidRPr="00713025">
        <w:t xml:space="preserve">uthorised </w:t>
      </w:r>
      <w:r w:rsidR="0001784A" w:rsidRPr="00713025">
        <w:t>o</w:t>
      </w:r>
      <w:r w:rsidRPr="00713025">
        <w:t xml:space="preserve">fficer, the </w:t>
      </w:r>
      <w:r w:rsidR="0001784A" w:rsidRPr="00713025">
        <w:t>a</w:t>
      </w:r>
      <w:r w:rsidRPr="00713025">
        <w:t xml:space="preserve">uthorised </w:t>
      </w:r>
      <w:r w:rsidR="0001784A" w:rsidRPr="00713025">
        <w:t>o</w:t>
      </w:r>
      <w:r w:rsidRPr="00713025">
        <w:t>fficer must make a written record of the disclosure including:</w:t>
      </w:r>
    </w:p>
    <w:p w14:paraId="51F2FD97" w14:textId="77777777" w:rsidR="00571C68" w:rsidRPr="004C403C" w:rsidRDefault="00571C68" w:rsidP="004C403C">
      <w:pPr>
        <w:pStyle w:val="Numberedlist"/>
        <w:numPr>
          <w:ilvl w:val="0"/>
          <w:numId w:val="12"/>
        </w:numPr>
        <w:spacing w:before="60" w:after="60"/>
        <w:ind w:left="1134" w:hanging="340"/>
      </w:pPr>
      <w:r w:rsidRPr="004C403C">
        <w:t>the substance of the disclosure if the disclosure is not in writing, and</w:t>
      </w:r>
    </w:p>
    <w:p w14:paraId="71F7602C" w14:textId="77777777" w:rsidR="00571C68" w:rsidRPr="004C403C" w:rsidRDefault="00571C68" w:rsidP="004C403C">
      <w:pPr>
        <w:pStyle w:val="Numberedlist"/>
        <w:numPr>
          <w:ilvl w:val="0"/>
          <w:numId w:val="12"/>
        </w:numPr>
        <w:spacing w:before="60" w:after="60"/>
        <w:ind w:left="1134" w:hanging="340"/>
      </w:pPr>
      <w:r w:rsidRPr="004C403C">
        <w:t xml:space="preserve">the time and date of the disclosure </w:t>
      </w:r>
    </w:p>
    <w:p w14:paraId="3A315B6A" w14:textId="0D29BE87" w:rsidR="00571C68" w:rsidRPr="00713025" w:rsidRDefault="00571C68" w:rsidP="00385B04">
      <w:pPr>
        <w:pStyle w:val="Numberedlist"/>
        <w:numPr>
          <w:ilvl w:val="1"/>
          <w:numId w:val="33"/>
        </w:numPr>
      </w:pPr>
      <w:r w:rsidRPr="00713025">
        <w:t xml:space="preserve">The </w:t>
      </w:r>
      <w:r w:rsidR="0001784A" w:rsidRPr="00713025">
        <w:t>a</w:t>
      </w:r>
      <w:r w:rsidRPr="00713025">
        <w:t xml:space="preserve">uthorised </w:t>
      </w:r>
      <w:r w:rsidR="0001784A" w:rsidRPr="00713025">
        <w:t>o</w:t>
      </w:r>
      <w:r w:rsidRPr="00713025">
        <w:t>fficer must ask the discloser to sign the written record of the disclosure, where this is practicable.</w:t>
      </w:r>
    </w:p>
    <w:p w14:paraId="47EB68DE" w14:textId="6E000992" w:rsidR="002321AC" w:rsidRPr="00713025" w:rsidRDefault="002321AC" w:rsidP="00385B04">
      <w:pPr>
        <w:pStyle w:val="Numberedlist"/>
        <w:numPr>
          <w:ilvl w:val="1"/>
          <w:numId w:val="33"/>
        </w:numPr>
      </w:pPr>
      <w:r w:rsidRPr="00713025">
        <w:t xml:space="preserve">In addition, the </w:t>
      </w:r>
      <w:r w:rsidR="0001784A" w:rsidRPr="00713025">
        <w:t>a</w:t>
      </w:r>
      <w:r w:rsidRPr="00713025">
        <w:t xml:space="preserve">uthorised </w:t>
      </w:r>
      <w:r w:rsidR="0001784A" w:rsidRPr="00713025">
        <w:t>o</w:t>
      </w:r>
      <w:r w:rsidRPr="00713025">
        <w:t xml:space="preserve">fficer should inform the discloser of the options to deal with </w:t>
      </w:r>
      <w:r w:rsidR="006B20C5" w:rsidRPr="00713025">
        <w:t xml:space="preserve">the </w:t>
      </w:r>
      <w:r w:rsidR="00D444EF" w:rsidRPr="00713025">
        <w:t>d</w:t>
      </w:r>
      <w:r w:rsidRPr="00713025">
        <w:t>epartment throughout the course of the investigation anonymously or pseudonymously</w:t>
      </w:r>
      <w:r w:rsidR="00F149ED" w:rsidRPr="00713025">
        <w:t xml:space="preserve">, and provide the discloser with a copy of the </w:t>
      </w:r>
      <w:r w:rsidR="00D444EF" w:rsidRPr="00713025">
        <w:t>d</w:t>
      </w:r>
      <w:r w:rsidR="00F149ED" w:rsidRPr="00713025">
        <w:t xml:space="preserve">epartment's </w:t>
      </w:r>
      <w:hyperlink r:id="rId20" w:history="1">
        <w:r w:rsidR="00F149ED" w:rsidRPr="004C403C">
          <w:t>APP 5 Notice</w:t>
        </w:r>
      </w:hyperlink>
      <w:r w:rsidR="00F149ED" w:rsidRPr="00713025">
        <w:t>.</w:t>
      </w:r>
    </w:p>
    <w:p w14:paraId="128CCCD9" w14:textId="215B4ADA" w:rsidR="00571C68" w:rsidRPr="00713025" w:rsidRDefault="00571C68" w:rsidP="00385B04">
      <w:pPr>
        <w:pStyle w:val="Numberedlist"/>
        <w:numPr>
          <w:ilvl w:val="1"/>
          <w:numId w:val="33"/>
        </w:numPr>
      </w:pPr>
      <w:r w:rsidRPr="00713025">
        <w:t xml:space="preserve">The </w:t>
      </w:r>
      <w:r w:rsidR="0034338C" w:rsidRPr="00713025">
        <w:t>a</w:t>
      </w:r>
      <w:r w:rsidRPr="00713025">
        <w:t xml:space="preserve">uthorised </w:t>
      </w:r>
      <w:r w:rsidR="0034338C" w:rsidRPr="00713025">
        <w:t>o</w:t>
      </w:r>
      <w:r w:rsidRPr="00713025">
        <w:t xml:space="preserve">fficer is required to contact the PID </w:t>
      </w:r>
      <w:r w:rsidR="00E929AE" w:rsidRPr="00713025">
        <w:t xml:space="preserve">Management </w:t>
      </w:r>
      <w:r w:rsidRPr="00713025">
        <w:t xml:space="preserve">Unit upon receiving a potential PID. The PID </w:t>
      </w:r>
      <w:r w:rsidR="00E929AE" w:rsidRPr="00713025">
        <w:t xml:space="preserve">Management </w:t>
      </w:r>
      <w:r w:rsidRPr="00713025">
        <w:t xml:space="preserve">Unit will, provide relevant TRIM references for storing PID records, track the progress of the PID and the department’s compliance with the </w:t>
      </w:r>
      <w:r w:rsidR="006D5DF7" w:rsidRPr="00713025">
        <w:t xml:space="preserve">PID </w:t>
      </w:r>
      <w:r w:rsidRPr="00713025">
        <w:t>Act</w:t>
      </w:r>
      <w:r w:rsidR="006D5DF7" w:rsidRPr="00713025">
        <w:t xml:space="preserve"> and NACC Act</w:t>
      </w:r>
      <w:r w:rsidRPr="00713025">
        <w:t>.</w:t>
      </w:r>
    </w:p>
    <w:p w14:paraId="3E9B646B" w14:textId="25E4EC2C" w:rsidR="00571C68" w:rsidRPr="00713025" w:rsidRDefault="00571C68" w:rsidP="00385B04">
      <w:pPr>
        <w:pStyle w:val="Numberedlist"/>
        <w:numPr>
          <w:ilvl w:val="1"/>
          <w:numId w:val="33"/>
        </w:numPr>
      </w:pPr>
      <w:r w:rsidRPr="00713025">
        <w:t xml:space="preserve">Please refer to the department’s Guide to Managing Public Interest Disclosures, available on the dedicated PID intranet site, for further information on what information can be provided to the PID </w:t>
      </w:r>
      <w:r w:rsidR="00E929AE" w:rsidRPr="00713025">
        <w:t xml:space="preserve">Management </w:t>
      </w:r>
      <w:r w:rsidRPr="00713025">
        <w:t xml:space="preserve">Unit under the privacy and secrecy provisions of the </w:t>
      </w:r>
      <w:r w:rsidR="003C25F9">
        <w:t xml:space="preserve">PID </w:t>
      </w:r>
      <w:r w:rsidRPr="00713025">
        <w:t>Act.</w:t>
      </w:r>
    </w:p>
    <w:p w14:paraId="5A9C7A3F" w14:textId="77777777" w:rsidR="00F02482" w:rsidRPr="00713025" w:rsidRDefault="00F02482" w:rsidP="00A212D0">
      <w:pPr>
        <w:pStyle w:val="Heading2"/>
        <w:rPr>
          <w:rFonts w:eastAsiaTheme="minorHAnsi"/>
        </w:rPr>
      </w:pPr>
      <w:bookmarkStart w:id="62" w:name="_Toc150789956"/>
      <w:r w:rsidRPr="00713025">
        <w:rPr>
          <w:rFonts w:eastAsiaTheme="minorHAnsi"/>
        </w:rPr>
        <w:t>Initial consideration and allocation</w:t>
      </w:r>
      <w:bookmarkEnd w:id="62"/>
    </w:p>
    <w:p w14:paraId="10A5C6A9" w14:textId="2CF8101D" w:rsidR="00571C68" w:rsidRPr="00713025" w:rsidRDefault="00571C68" w:rsidP="00385B04">
      <w:pPr>
        <w:pStyle w:val="Numberedlist"/>
        <w:numPr>
          <w:ilvl w:val="1"/>
          <w:numId w:val="33"/>
        </w:numPr>
      </w:pPr>
      <w:bookmarkStart w:id="63" w:name="_Toc49525283"/>
      <w:r w:rsidRPr="00713025">
        <w:t xml:space="preserve">When an </w:t>
      </w:r>
      <w:r w:rsidR="0034338C" w:rsidRPr="00713025">
        <w:t>a</w:t>
      </w:r>
      <w:r w:rsidRPr="00713025">
        <w:t xml:space="preserve">uthorised </w:t>
      </w:r>
      <w:r w:rsidR="0034338C" w:rsidRPr="00713025">
        <w:t>o</w:t>
      </w:r>
      <w:r w:rsidRPr="00713025">
        <w:t xml:space="preserve">fficer receives a disclosure of information, he or she will consider the information disclosed and decide whether there are reasonable grounds on which the disclosure could </w:t>
      </w:r>
      <w:proofErr w:type="gramStart"/>
      <w:r w:rsidRPr="00713025">
        <w:t>be considered to be</w:t>
      </w:r>
      <w:proofErr w:type="gramEnd"/>
      <w:r w:rsidRPr="00713025">
        <w:t xml:space="preserve"> an internal disclosure made in accordance with the </w:t>
      </w:r>
      <w:r w:rsidR="003C25F9">
        <w:t xml:space="preserve">PID </w:t>
      </w:r>
      <w:r w:rsidRPr="00713025">
        <w:t>Act.</w:t>
      </w:r>
    </w:p>
    <w:p w14:paraId="42C3055B" w14:textId="389F702F" w:rsidR="00571C68" w:rsidRPr="00713025" w:rsidRDefault="00571C68" w:rsidP="00385B04">
      <w:pPr>
        <w:pStyle w:val="Numberedlist"/>
        <w:numPr>
          <w:ilvl w:val="1"/>
          <w:numId w:val="33"/>
        </w:numPr>
      </w:pPr>
      <w:r w:rsidRPr="00713025">
        <w:t xml:space="preserve">The </w:t>
      </w:r>
      <w:r w:rsidR="0060386C" w:rsidRPr="00713025">
        <w:t>a</w:t>
      </w:r>
      <w:r w:rsidRPr="00713025">
        <w:t xml:space="preserve">uthorised </w:t>
      </w:r>
      <w:r w:rsidR="0060386C" w:rsidRPr="00713025">
        <w:t>o</w:t>
      </w:r>
      <w:r w:rsidRPr="00713025">
        <w:t xml:space="preserve">fficer may obtain information and may make such inquiries as they think fit for the purposes of deciding the allocation of the disclosure, including for the purposes of </w:t>
      </w:r>
      <w:r w:rsidR="00E020DB" w:rsidRPr="00713025">
        <w:t xml:space="preserve">deciding to allocate the disclosure to an agency within the same portfolio as the </w:t>
      </w:r>
      <w:r w:rsidR="00917FC3" w:rsidRPr="00713025">
        <w:t>recipient</w:t>
      </w:r>
      <w:r w:rsidR="00E020DB" w:rsidRPr="00713025">
        <w:t xml:space="preserve"> agency if </w:t>
      </w:r>
      <w:r w:rsidR="00917FC3" w:rsidRPr="00713025">
        <w:t xml:space="preserve">it would be better able to handle the disclosure, or </w:t>
      </w:r>
      <w:r w:rsidRPr="00713025">
        <w:t>deciding whether the disclosure is an internal disclosure or not.</w:t>
      </w:r>
      <w:r w:rsidR="00B0363A" w:rsidRPr="00713025">
        <w:t xml:space="preserve"> </w:t>
      </w:r>
    </w:p>
    <w:p w14:paraId="73525167" w14:textId="56EC5141" w:rsidR="00B0363A" w:rsidRPr="00713025" w:rsidRDefault="00B0363A" w:rsidP="00385B04">
      <w:pPr>
        <w:pStyle w:val="Numberedlist"/>
        <w:numPr>
          <w:ilvl w:val="1"/>
          <w:numId w:val="33"/>
        </w:numPr>
      </w:pPr>
      <w:r w:rsidRPr="00713025">
        <w:t xml:space="preserve">If the </w:t>
      </w:r>
      <w:r w:rsidR="00407D3F" w:rsidRPr="00713025">
        <w:t>a</w:t>
      </w:r>
      <w:r w:rsidRPr="00713025">
        <w:t xml:space="preserve">uthorised </w:t>
      </w:r>
      <w:r w:rsidR="00407D3F" w:rsidRPr="00713025">
        <w:t>o</w:t>
      </w:r>
      <w:r w:rsidRPr="00713025">
        <w:t xml:space="preserve">fficer is satisfied, on reasonable grounds, that the conduct disclosed would be more appropriately investigated under another law or power, the authorised officer must, as soon as reasonably practicable, take reasonable steps to refer the conduct disclosed, or to facilitate its referral, for investigation under another law or power. </w:t>
      </w:r>
    </w:p>
    <w:p w14:paraId="12A9E3DE" w14:textId="0B5FDFB6" w:rsidR="0060386C" w:rsidRPr="00713025" w:rsidRDefault="00B71DBD" w:rsidP="00385B04">
      <w:pPr>
        <w:pStyle w:val="Numberedlist"/>
        <w:numPr>
          <w:ilvl w:val="1"/>
          <w:numId w:val="33"/>
        </w:numPr>
      </w:pPr>
      <w:r w:rsidRPr="00713025">
        <w:t xml:space="preserve">The </w:t>
      </w:r>
      <w:r w:rsidR="00407D3F" w:rsidRPr="00713025">
        <w:t>a</w:t>
      </w:r>
      <w:r w:rsidRPr="00713025">
        <w:t xml:space="preserve">uthorised </w:t>
      </w:r>
      <w:r w:rsidR="00407D3F" w:rsidRPr="00713025">
        <w:t>o</w:t>
      </w:r>
      <w:r w:rsidRPr="00713025">
        <w:t xml:space="preserve">fficer must use their best endeavours to decide on the allocation of the disclosure within 14 days after the disclosure is received by the </w:t>
      </w:r>
      <w:r w:rsidR="0060386C" w:rsidRPr="00713025">
        <w:t>a</w:t>
      </w:r>
      <w:r w:rsidRPr="00713025">
        <w:t xml:space="preserve">uthorised </w:t>
      </w:r>
      <w:r w:rsidR="0060386C" w:rsidRPr="00713025">
        <w:t>o</w:t>
      </w:r>
      <w:r w:rsidRPr="00713025">
        <w:t>fficer</w:t>
      </w:r>
      <w:r w:rsidR="0060386C" w:rsidRPr="00713025">
        <w:t xml:space="preserve"> or 14 days after:</w:t>
      </w:r>
    </w:p>
    <w:p w14:paraId="6B4AB3B0" w14:textId="3160BC4A" w:rsidR="0060386C" w:rsidRPr="00D07FAF" w:rsidRDefault="0060386C" w:rsidP="00385B04">
      <w:pPr>
        <w:pStyle w:val="ListParagraph"/>
        <w:numPr>
          <w:ilvl w:val="0"/>
          <w:numId w:val="39"/>
        </w:numPr>
        <w:spacing w:after="120"/>
        <w:rPr>
          <w:rFonts w:asciiTheme="minorBidi" w:hAnsiTheme="minorBidi" w:cstheme="minorBidi"/>
          <w:sz w:val="21"/>
          <w:szCs w:val="21"/>
        </w:rPr>
      </w:pPr>
      <w:r w:rsidRPr="00D07FAF">
        <w:rPr>
          <w:rFonts w:asciiTheme="minorBidi" w:hAnsiTheme="minorBidi" w:cstheme="minorBidi"/>
          <w:sz w:val="21"/>
          <w:szCs w:val="21"/>
        </w:rPr>
        <w:t xml:space="preserve">if the decision is made following the reconsideration of a previous decision about the allocation in response to a recommendation by the Ombudsman or the IGIS under section 55—the day the principal officer receives the recommendation under that </w:t>
      </w:r>
      <w:proofErr w:type="gramStart"/>
      <w:r w:rsidRPr="00D07FAF">
        <w:rPr>
          <w:rFonts w:asciiTheme="minorBidi" w:hAnsiTheme="minorBidi" w:cstheme="minorBidi"/>
          <w:sz w:val="21"/>
          <w:szCs w:val="21"/>
        </w:rPr>
        <w:t>section;</w:t>
      </w:r>
      <w:proofErr w:type="gramEnd"/>
    </w:p>
    <w:p w14:paraId="6D6EE9D7" w14:textId="7F374A41" w:rsidR="00B71DBD" w:rsidRPr="00D07FAF" w:rsidRDefault="0060386C" w:rsidP="00385B04">
      <w:pPr>
        <w:pStyle w:val="ListParagraph"/>
        <w:numPr>
          <w:ilvl w:val="0"/>
          <w:numId w:val="39"/>
        </w:numPr>
        <w:spacing w:after="120"/>
        <w:rPr>
          <w:rFonts w:asciiTheme="minorBidi" w:hAnsiTheme="minorBidi" w:cstheme="minorBidi"/>
          <w:sz w:val="21"/>
          <w:szCs w:val="21"/>
        </w:rPr>
      </w:pPr>
      <w:r w:rsidRPr="00D07FAF">
        <w:rPr>
          <w:rFonts w:asciiTheme="minorBidi" w:hAnsiTheme="minorBidi" w:cstheme="minorBidi"/>
          <w:sz w:val="21"/>
          <w:szCs w:val="21"/>
        </w:rPr>
        <w:t>if a stop action direction under the NACC Act prevented the allocation of the disclosure—the day when the authorised officer becomes aware that the direction no longer applies.</w:t>
      </w:r>
    </w:p>
    <w:p w14:paraId="3FFDFA13" w14:textId="36B1E770" w:rsidR="00F02482" w:rsidRPr="00713025" w:rsidRDefault="00F02482" w:rsidP="00254148">
      <w:pPr>
        <w:ind w:left="709" w:hanging="709"/>
        <w:rPr>
          <w:rFonts w:eastAsia="Arial"/>
          <w:b/>
          <w:bCs/>
          <w:color w:val="358189" w:themeColor="accent2"/>
          <w:sz w:val="28"/>
          <w:szCs w:val="32"/>
        </w:rPr>
      </w:pPr>
      <w:r w:rsidRPr="00713025">
        <w:rPr>
          <w:rFonts w:eastAsia="Arial"/>
          <w:b/>
          <w:bCs/>
          <w:color w:val="358189" w:themeColor="accent2"/>
          <w:sz w:val="28"/>
          <w:szCs w:val="32"/>
        </w:rPr>
        <w:t xml:space="preserve">Deciding not to allocate a </w:t>
      </w:r>
      <w:proofErr w:type="gramStart"/>
      <w:r w:rsidRPr="00713025">
        <w:rPr>
          <w:rFonts w:eastAsia="Arial"/>
          <w:b/>
          <w:bCs/>
          <w:color w:val="358189" w:themeColor="accent2"/>
          <w:sz w:val="28"/>
          <w:szCs w:val="32"/>
        </w:rPr>
        <w:t>disclosure</w:t>
      </w:r>
      <w:bookmarkEnd w:id="63"/>
      <w:proofErr w:type="gramEnd"/>
    </w:p>
    <w:p w14:paraId="7EC85DBC" w14:textId="5BF2A599" w:rsidR="00571C68" w:rsidRPr="00713025" w:rsidRDefault="00571C68" w:rsidP="00385B04">
      <w:pPr>
        <w:pStyle w:val="Numberedlist"/>
        <w:numPr>
          <w:ilvl w:val="1"/>
          <w:numId w:val="33"/>
        </w:numPr>
      </w:pPr>
      <w:bookmarkStart w:id="64" w:name="_Toc49525284"/>
      <w:r w:rsidRPr="00713025">
        <w:t xml:space="preserve">This could be because the </w:t>
      </w:r>
      <w:r w:rsidR="0060386C" w:rsidRPr="00713025">
        <w:t>a</w:t>
      </w:r>
      <w:r w:rsidRPr="00713025">
        <w:t xml:space="preserve">uthorised </w:t>
      </w:r>
      <w:r w:rsidR="0060386C" w:rsidRPr="00713025">
        <w:t>o</w:t>
      </w:r>
      <w:r w:rsidRPr="00713025">
        <w:t>fficer is satisfied, for example, that:</w:t>
      </w:r>
    </w:p>
    <w:p w14:paraId="67C0F81F" w14:textId="77777777" w:rsidR="00571C68" w:rsidRPr="00D07FAF" w:rsidRDefault="00571C68" w:rsidP="00D07FAF">
      <w:pPr>
        <w:pStyle w:val="Numberedlist"/>
        <w:numPr>
          <w:ilvl w:val="0"/>
          <w:numId w:val="12"/>
        </w:numPr>
        <w:spacing w:before="60" w:after="60"/>
        <w:ind w:left="1134" w:hanging="340"/>
      </w:pPr>
      <w:r w:rsidRPr="00D07FAF">
        <w:t xml:space="preserve">the disclosure has not been made by a person who is, or was, a public </w:t>
      </w:r>
      <w:proofErr w:type="gramStart"/>
      <w:r w:rsidRPr="00D07FAF">
        <w:t>official;</w:t>
      </w:r>
      <w:proofErr w:type="gramEnd"/>
    </w:p>
    <w:p w14:paraId="70FB9CCB" w14:textId="77777777" w:rsidR="00571C68" w:rsidRPr="00D07FAF" w:rsidRDefault="00571C68" w:rsidP="00D07FAF">
      <w:pPr>
        <w:pStyle w:val="Numberedlist"/>
        <w:numPr>
          <w:ilvl w:val="0"/>
          <w:numId w:val="12"/>
        </w:numPr>
        <w:spacing w:before="60" w:after="60"/>
        <w:ind w:left="1134" w:hanging="340"/>
      </w:pPr>
      <w:r w:rsidRPr="00D07FAF">
        <w:lastRenderedPageBreak/>
        <w:t>the disclosure was not made to an authorised internal recipient or the discloser's supervisor; and/or</w:t>
      </w:r>
    </w:p>
    <w:p w14:paraId="06A2DD72" w14:textId="77777777" w:rsidR="005A7B62" w:rsidRPr="00D07FAF" w:rsidRDefault="00571C68" w:rsidP="00D07FAF">
      <w:pPr>
        <w:pStyle w:val="Numberedlist"/>
        <w:numPr>
          <w:ilvl w:val="0"/>
          <w:numId w:val="12"/>
        </w:numPr>
        <w:spacing w:before="60" w:after="60"/>
        <w:ind w:left="1134" w:hanging="340"/>
      </w:pPr>
      <w:r w:rsidRPr="00D07FAF">
        <w:t xml:space="preserve">the information disclosed does not tend to show, and the discloser does not have reasonable grounds to believe that the information tends to show, one or more instances of disclosable </w:t>
      </w:r>
      <w:proofErr w:type="gramStart"/>
      <w:r w:rsidRPr="00D07FAF">
        <w:t>conduct</w:t>
      </w:r>
      <w:r w:rsidR="005A7B62" w:rsidRPr="00D07FAF">
        <w:t>;</w:t>
      </w:r>
      <w:proofErr w:type="gramEnd"/>
    </w:p>
    <w:p w14:paraId="7FBB0849" w14:textId="0FD047DE" w:rsidR="00571C68" w:rsidRPr="00D07FAF" w:rsidRDefault="005A7B62" w:rsidP="00D07FAF">
      <w:pPr>
        <w:pStyle w:val="Numberedlist"/>
        <w:numPr>
          <w:ilvl w:val="0"/>
          <w:numId w:val="12"/>
        </w:numPr>
        <w:spacing w:before="60" w:after="60"/>
        <w:ind w:left="1134" w:hanging="340"/>
      </w:pPr>
      <w:r w:rsidRPr="00D07FAF">
        <w:t>the conduct disclosed would be more appropriately investigated under another law or power</w:t>
      </w:r>
      <w:r w:rsidR="00571C68" w:rsidRPr="00D07FAF">
        <w:t>.</w:t>
      </w:r>
    </w:p>
    <w:p w14:paraId="4539D221" w14:textId="436B605F" w:rsidR="00571C68" w:rsidRPr="00713025" w:rsidRDefault="00571C68" w:rsidP="00385B04">
      <w:pPr>
        <w:pStyle w:val="Numberedlist"/>
        <w:numPr>
          <w:ilvl w:val="1"/>
          <w:numId w:val="33"/>
        </w:numPr>
      </w:pPr>
      <w:bookmarkStart w:id="65" w:name="_Ref45895776"/>
      <w:r w:rsidRPr="00713025">
        <w:t xml:space="preserve">Where an </w:t>
      </w:r>
      <w:r w:rsidR="0060386C" w:rsidRPr="00713025">
        <w:t>a</w:t>
      </w:r>
      <w:r w:rsidRPr="00713025">
        <w:t xml:space="preserve">uthorised </w:t>
      </w:r>
      <w:r w:rsidR="0060386C" w:rsidRPr="00713025">
        <w:t>o</w:t>
      </w:r>
      <w:r w:rsidRPr="00713025">
        <w:t>fficer decides that a disclosure is not to be allocated, they must as soon as reasonably practicable, advise the discloser (where it is reasonably practicable to do so) in writing of:</w:t>
      </w:r>
      <w:bookmarkEnd w:id="65"/>
    </w:p>
    <w:p w14:paraId="563F0E55" w14:textId="77777777" w:rsidR="00571C68" w:rsidRPr="00D07FAF" w:rsidRDefault="00571C68" w:rsidP="00D07FAF">
      <w:pPr>
        <w:pStyle w:val="Numberedlist"/>
        <w:numPr>
          <w:ilvl w:val="0"/>
          <w:numId w:val="12"/>
        </w:numPr>
        <w:spacing w:before="60" w:after="60"/>
        <w:ind w:left="1134" w:hanging="340"/>
      </w:pPr>
      <w:r w:rsidRPr="00D07FAF">
        <w:t>the reasons why the disclosure has not been allocated; and</w:t>
      </w:r>
    </w:p>
    <w:p w14:paraId="1024A1AD" w14:textId="048955D3" w:rsidR="00305EBC" w:rsidRPr="00D07FAF" w:rsidRDefault="007356F6" w:rsidP="00D07FAF">
      <w:pPr>
        <w:pStyle w:val="Numberedlist"/>
        <w:numPr>
          <w:ilvl w:val="0"/>
          <w:numId w:val="12"/>
        </w:numPr>
        <w:spacing w:before="60" w:after="60"/>
        <w:ind w:left="1134" w:hanging="340"/>
      </w:pPr>
      <w:r w:rsidRPr="00D07FAF">
        <w:t xml:space="preserve">any steps taken, or proposed to be taken to refer the disclosure for investigation under another law or power, the </w:t>
      </w:r>
      <w:r w:rsidR="005B2A9F" w:rsidRPr="00D07FAF">
        <w:t>other law or power and the agency or other person who the conduct has, or will be referred to</w:t>
      </w:r>
      <w:r w:rsidR="00305EBC" w:rsidRPr="00D07FAF">
        <w:t>; or</w:t>
      </w:r>
    </w:p>
    <w:p w14:paraId="4C15C49F" w14:textId="1B470F5A" w:rsidR="00571C68" w:rsidRPr="00D07FAF" w:rsidRDefault="00571C68" w:rsidP="00D07FAF">
      <w:pPr>
        <w:pStyle w:val="Numberedlist"/>
        <w:numPr>
          <w:ilvl w:val="0"/>
          <w:numId w:val="12"/>
        </w:numPr>
        <w:spacing w:before="60" w:after="60"/>
        <w:ind w:left="1134" w:hanging="340"/>
      </w:pPr>
      <w:r w:rsidRPr="00D07FAF">
        <w:t>any other course of action that may be available under other laws of the Commonwealth.</w:t>
      </w:r>
    </w:p>
    <w:p w14:paraId="7A24D742" w14:textId="01E3B185" w:rsidR="00571C68" w:rsidRPr="00713025" w:rsidRDefault="00571C68" w:rsidP="00385B04">
      <w:pPr>
        <w:pStyle w:val="Numberedlist"/>
        <w:numPr>
          <w:ilvl w:val="1"/>
          <w:numId w:val="33"/>
        </w:numPr>
      </w:pPr>
      <w:r w:rsidRPr="00713025">
        <w:t xml:space="preserve">The </w:t>
      </w:r>
      <w:r w:rsidR="0060386C" w:rsidRPr="00713025">
        <w:t>a</w:t>
      </w:r>
      <w:r w:rsidRPr="00713025">
        <w:t xml:space="preserve">uthorised </w:t>
      </w:r>
      <w:r w:rsidR="0060386C" w:rsidRPr="00713025">
        <w:t>o</w:t>
      </w:r>
      <w:r w:rsidRPr="00713025">
        <w:t>fficer must keep appropriate records of whether the discloser was informed of the decision not to allocate</w:t>
      </w:r>
      <w:r w:rsidR="00831112" w:rsidRPr="00713025">
        <w:t xml:space="preserve"> the disclosure and, if so, of:</w:t>
      </w:r>
    </w:p>
    <w:p w14:paraId="7262F476" w14:textId="12D79E25" w:rsidR="00571C68" w:rsidRPr="00D07FAF" w:rsidRDefault="00571C68" w:rsidP="00D07FAF">
      <w:pPr>
        <w:pStyle w:val="Numberedlist"/>
        <w:numPr>
          <w:ilvl w:val="0"/>
          <w:numId w:val="12"/>
        </w:numPr>
        <w:spacing w:before="60" w:after="60"/>
        <w:ind w:left="1134" w:hanging="340"/>
      </w:pPr>
      <w:r w:rsidRPr="00D07FAF">
        <w:t xml:space="preserve">the day and time </w:t>
      </w:r>
      <w:r w:rsidR="00831112" w:rsidRPr="00D07FAF">
        <w:t>the discloser was notified; and</w:t>
      </w:r>
    </w:p>
    <w:p w14:paraId="59494BE0" w14:textId="2CB6E339" w:rsidR="00571C68" w:rsidRPr="00D07FAF" w:rsidRDefault="00571C68" w:rsidP="00D07FAF">
      <w:pPr>
        <w:pStyle w:val="Numberedlist"/>
        <w:numPr>
          <w:ilvl w:val="0"/>
          <w:numId w:val="12"/>
        </w:numPr>
        <w:spacing w:before="60" w:after="60"/>
        <w:ind w:left="1134" w:hanging="340"/>
      </w:pPr>
      <w:proofErr w:type="gramStart"/>
      <w:r w:rsidRPr="00D07FAF">
        <w:t>the means by which</w:t>
      </w:r>
      <w:proofErr w:type="gramEnd"/>
      <w:r w:rsidRPr="00D07FAF">
        <w:t xml:space="preserve"> </w:t>
      </w:r>
      <w:r w:rsidR="00831112" w:rsidRPr="00D07FAF">
        <w:t>the discloser was notified; and</w:t>
      </w:r>
    </w:p>
    <w:p w14:paraId="6BF0B7B3" w14:textId="5F0107B2" w:rsidR="00571C68" w:rsidRPr="00D07FAF" w:rsidRDefault="00571C68" w:rsidP="00D07FAF">
      <w:pPr>
        <w:pStyle w:val="Numberedlist"/>
        <w:numPr>
          <w:ilvl w:val="0"/>
          <w:numId w:val="12"/>
        </w:numPr>
        <w:spacing w:before="60" w:after="60"/>
        <w:ind w:left="1134" w:hanging="340"/>
      </w:pPr>
      <w:r w:rsidRPr="00D07FAF">
        <w:t>t</w:t>
      </w:r>
      <w:r w:rsidR="00831112" w:rsidRPr="00D07FAF">
        <w:t>he content of the notification.</w:t>
      </w:r>
    </w:p>
    <w:p w14:paraId="2DF085EE" w14:textId="008F6241" w:rsidR="00F47D09" w:rsidRPr="00713025" w:rsidRDefault="00571C68" w:rsidP="00385B04">
      <w:pPr>
        <w:pStyle w:val="Numberedlist"/>
        <w:numPr>
          <w:ilvl w:val="1"/>
          <w:numId w:val="33"/>
        </w:numPr>
      </w:pPr>
      <w:r w:rsidRPr="00713025">
        <w:t xml:space="preserve">If it is not reasonably practicable to provide the notification to the discloser, the </w:t>
      </w:r>
      <w:r w:rsidR="0060386C" w:rsidRPr="00713025">
        <w:t>a</w:t>
      </w:r>
      <w:r w:rsidRPr="00713025">
        <w:t xml:space="preserve">uthorised </w:t>
      </w:r>
      <w:r w:rsidR="0060386C" w:rsidRPr="00713025">
        <w:t>o</w:t>
      </w:r>
      <w:r w:rsidRPr="00713025">
        <w:t xml:space="preserve">fficer must keep a record </w:t>
      </w:r>
      <w:r w:rsidR="00A14680" w:rsidRPr="00713025">
        <w:t xml:space="preserve">to indicate why, along with </w:t>
      </w:r>
      <w:r w:rsidR="00B27373" w:rsidRPr="00713025">
        <w:t>a record of</w:t>
      </w:r>
      <w:r w:rsidRPr="00713025">
        <w:t xml:space="preserve"> the matters set out above at paragraph </w:t>
      </w:r>
      <w:r w:rsidR="00B163BB" w:rsidRPr="00713025">
        <w:t>6.1</w:t>
      </w:r>
      <w:r w:rsidR="00713025">
        <w:t>6</w:t>
      </w:r>
      <w:r w:rsidRPr="00713025">
        <w:t>.</w:t>
      </w:r>
      <w:r w:rsidR="00F47D09" w:rsidRPr="00713025">
        <w:t xml:space="preserve"> </w:t>
      </w:r>
    </w:p>
    <w:p w14:paraId="4D992182" w14:textId="514F7646" w:rsidR="00116EFC" w:rsidRPr="00713025" w:rsidRDefault="00116EFC" w:rsidP="00385B04">
      <w:pPr>
        <w:pStyle w:val="Numberedlist"/>
        <w:numPr>
          <w:ilvl w:val="1"/>
          <w:numId w:val="33"/>
        </w:numPr>
      </w:pPr>
      <w:r w:rsidRPr="00713025">
        <w:t xml:space="preserve">If the </w:t>
      </w:r>
      <w:r w:rsidR="0060386C" w:rsidRPr="00713025">
        <w:t>a</w:t>
      </w:r>
      <w:r w:rsidRPr="00713025">
        <w:t xml:space="preserve">uthorised </w:t>
      </w:r>
      <w:r w:rsidR="0060386C" w:rsidRPr="00713025">
        <w:t>o</w:t>
      </w:r>
      <w:r w:rsidRPr="00713025">
        <w:t xml:space="preserve">fficer decides not to allocate a disclosure to an agency (including the department itself), they must inform the Ombudsman of the allocation in writing. </w:t>
      </w:r>
    </w:p>
    <w:p w14:paraId="2A7AC35B" w14:textId="7A9D7B1B" w:rsidR="009A295C" w:rsidRPr="00713025" w:rsidRDefault="009A295C" w:rsidP="00385B04">
      <w:pPr>
        <w:pStyle w:val="Numberedlist"/>
        <w:numPr>
          <w:ilvl w:val="1"/>
          <w:numId w:val="33"/>
        </w:numPr>
      </w:pPr>
      <w:r w:rsidRPr="00713025">
        <w:t xml:space="preserve">If the </w:t>
      </w:r>
      <w:r w:rsidR="0060386C" w:rsidRPr="00713025">
        <w:t>a</w:t>
      </w:r>
      <w:r w:rsidRPr="00713025">
        <w:t xml:space="preserve">uthorised </w:t>
      </w:r>
      <w:r w:rsidR="0060386C" w:rsidRPr="00713025">
        <w:t>o</w:t>
      </w:r>
      <w:r w:rsidRPr="00713025">
        <w:t xml:space="preserve">fficer does not allocate the disclosure because of a stop action direction issued by the Commissioner, the </w:t>
      </w:r>
      <w:r w:rsidR="00D22BF9" w:rsidRPr="00713025">
        <w:t>a</w:t>
      </w:r>
      <w:r w:rsidRPr="00713025">
        <w:t xml:space="preserve">uthorised </w:t>
      </w:r>
      <w:r w:rsidR="00D22BF9" w:rsidRPr="00713025">
        <w:t>o</w:t>
      </w:r>
      <w:r w:rsidRPr="00713025">
        <w:t xml:space="preserve">fficer must </w:t>
      </w:r>
      <w:r w:rsidR="00117C37" w:rsidRPr="00713025">
        <w:t xml:space="preserve">give written notice to </w:t>
      </w:r>
      <w:r w:rsidRPr="00713025">
        <w:t>the Ombudsman of the following</w:t>
      </w:r>
      <w:r w:rsidR="006B20C5" w:rsidRPr="00713025">
        <w:t xml:space="preserve"> (as set out at section 44</w:t>
      </w:r>
      <w:proofErr w:type="gramStart"/>
      <w:r w:rsidR="00A939E4" w:rsidRPr="00713025">
        <w:t>B(</w:t>
      </w:r>
      <w:proofErr w:type="gramEnd"/>
      <w:r w:rsidR="00A939E4" w:rsidRPr="00713025">
        <w:t>3)</w:t>
      </w:r>
      <w:r w:rsidR="006B20C5" w:rsidRPr="00713025">
        <w:t xml:space="preserve"> of the PID Act)</w:t>
      </w:r>
      <w:r w:rsidRPr="00713025">
        <w:t>:</w:t>
      </w:r>
    </w:p>
    <w:p w14:paraId="42A54F54" w14:textId="41F1E182" w:rsidR="009A295C" w:rsidRPr="00713025" w:rsidRDefault="009A295C" w:rsidP="00D07FAF">
      <w:pPr>
        <w:pStyle w:val="Numberedlist"/>
        <w:numPr>
          <w:ilvl w:val="0"/>
          <w:numId w:val="12"/>
        </w:numPr>
        <w:spacing w:before="60" w:after="60"/>
        <w:ind w:left="1134" w:hanging="340"/>
      </w:pPr>
      <w:r w:rsidRPr="00713025">
        <w:t xml:space="preserve">the information that was disclosed to them by the </w:t>
      </w:r>
      <w:proofErr w:type="gramStart"/>
      <w:r w:rsidRPr="00713025">
        <w:t>discloser</w:t>
      </w:r>
      <w:r w:rsidR="001C346B">
        <w:t>;</w:t>
      </w:r>
      <w:proofErr w:type="gramEnd"/>
    </w:p>
    <w:p w14:paraId="5AE1181D" w14:textId="27F8C34B" w:rsidR="009A295C" w:rsidRPr="00713025" w:rsidRDefault="009A295C" w:rsidP="00D07FAF">
      <w:pPr>
        <w:pStyle w:val="Numberedlist"/>
        <w:numPr>
          <w:ilvl w:val="0"/>
          <w:numId w:val="12"/>
        </w:numPr>
        <w:spacing w:before="60" w:after="60"/>
        <w:ind w:left="1134" w:hanging="340"/>
      </w:pPr>
      <w:r w:rsidRPr="00713025">
        <w:t>the suspected disclosable conduct (if any</w:t>
      </w:r>
      <w:proofErr w:type="gramStart"/>
      <w:r w:rsidR="001C346B">
        <w:t>);</w:t>
      </w:r>
      <w:proofErr w:type="gramEnd"/>
    </w:p>
    <w:p w14:paraId="0866FF22" w14:textId="667CB163" w:rsidR="009A295C" w:rsidRPr="00713025" w:rsidRDefault="009A295C" w:rsidP="00D07FAF">
      <w:pPr>
        <w:pStyle w:val="Numberedlist"/>
        <w:numPr>
          <w:ilvl w:val="0"/>
          <w:numId w:val="12"/>
        </w:numPr>
        <w:spacing w:before="60" w:after="60"/>
        <w:ind w:left="1134" w:hanging="340"/>
      </w:pPr>
      <w:r w:rsidRPr="00713025">
        <w:t xml:space="preserve">if the discloser’s name and contact details are known to the </w:t>
      </w:r>
      <w:r w:rsidR="00D22BF9" w:rsidRPr="00713025">
        <w:t>a</w:t>
      </w:r>
      <w:r w:rsidRPr="00713025">
        <w:t xml:space="preserve">uthorised </w:t>
      </w:r>
      <w:r w:rsidR="00D22BF9" w:rsidRPr="00713025">
        <w:t>o</w:t>
      </w:r>
      <w:r w:rsidRPr="00713025">
        <w:t>fficer, and the discloser consents to the Ombudsman being informed—the discloser’s name and contact details</w:t>
      </w:r>
      <w:r w:rsidR="001C346B">
        <w:t>; and</w:t>
      </w:r>
    </w:p>
    <w:p w14:paraId="0B297EDB" w14:textId="58AE0B6A" w:rsidR="00254148" w:rsidRPr="00713025" w:rsidRDefault="009A295C" w:rsidP="00D07FAF">
      <w:pPr>
        <w:pStyle w:val="Numberedlist"/>
        <w:numPr>
          <w:ilvl w:val="0"/>
          <w:numId w:val="12"/>
        </w:numPr>
        <w:spacing w:before="60" w:after="60"/>
        <w:ind w:left="1134" w:hanging="340"/>
      </w:pPr>
      <w:r w:rsidRPr="00713025">
        <w:t>the stop action direction issued under the NACC Act that prevents allocation of the disclosure</w:t>
      </w:r>
      <w:r w:rsidR="001C346B">
        <w:t>.</w:t>
      </w:r>
    </w:p>
    <w:p w14:paraId="511F98E9" w14:textId="6161575E" w:rsidR="00F02482" w:rsidRPr="00713025" w:rsidRDefault="00F02482" w:rsidP="00A212D0">
      <w:pPr>
        <w:pStyle w:val="Heading2"/>
        <w:rPr>
          <w:rFonts w:eastAsia="Arial"/>
        </w:rPr>
      </w:pPr>
      <w:bookmarkStart w:id="66" w:name="_Toc150789957"/>
      <w:r w:rsidRPr="00713025">
        <w:rPr>
          <w:rFonts w:eastAsia="Arial"/>
        </w:rPr>
        <w:t xml:space="preserve">Deciding to allocate a </w:t>
      </w:r>
      <w:proofErr w:type="gramStart"/>
      <w:r w:rsidRPr="00713025">
        <w:rPr>
          <w:rFonts w:eastAsia="Arial"/>
        </w:rPr>
        <w:t>disclosure</w:t>
      </w:r>
      <w:bookmarkEnd w:id="64"/>
      <w:bookmarkEnd w:id="66"/>
      <w:proofErr w:type="gramEnd"/>
    </w:p>
    <w:p w14:paraId="1D3C4694" w14:textId="6F73EB58" w:rsidR="0075107C" w:rsidRPr="00713025" w:rsidRDefault="0075107C" w:rsidP="00385B04">
      <w:pPr>
        <w:pStyle w:val="Numberedlist"/>
        <w:numPr>
          <w:ilvl w:val="1"/>
          <w:numId w:val="33"/>
        </w:numPr>
      </w:pPr>
      <w:r w:rsidRPr="00713025">
        <w:t xml:space="preserve">If the </w:t>
      </w:r>
      <w:r w:rsidR="0060386C" w:rsidRPr="00713025">
        <w:t>a</w:t>
      </w:r>
      <w:r w:rsidRPr="00713025">
        <w:t xml:space="preserve">uthorised </w:t>
      </w:r>
      <w:r w:rsidR="0060386C" w:rsidRPr="00713025">
        <w:t>o</w:t>
      </w:r>
      <w:r w:rsidRPr="00713025">
        <w:t xml:space="preserve">fficer is satisfied that there is a reasonable basis on which the disclosure could </w:t>
      </w:r>
      <w:proofErr w:type="gramStart"/>
      <w:r w:rsidRPr="00713025">
        <w:t>be considered to be</w:t>
      </w:r>
      <w:proofErr w:type="gramEnd"/>
      <w:r w:rsidRPr="00713025">
        <w:t xml:space="preserve"> an internal disclosure under the </w:t>
      </w:r>
      <w:r w:rsidR="0060386C" w:rsidRPr="00713025">
        <w:t xml:space="preserve">PID </w:t>
      </w:r>
      <w:r w:rsidRPr="00713025">
        <w:t xml:space="preserve">Act, they must allocate the disclosure for handling by </w:t>
      </w:r>
      <w:r w:rsidR="00D265D9" w:rsidRPr="00713025">
        <w:t>an agency.</w:t>
      </w:r>
    </w:p>
    <w:p w14:paraId="2C6C6426" w14:textId="02C2A646" w:rsidR="0075107C" w:rsidRPr="00713025" w:rsidRDefault="0075107C" w:rsidP="00385B04">
      <w:pPr>
        <w:pStyle w:val="Numberedlist"/>
        <w:numPr>
          <w:ilvl w:val="1"/>
          <w:numId w:val="33"/>
        </w:numPr>
      </w:pPr>
      <w:r w:rsidRPr="00713025">
        <w:t xml:space="preserve">The </w:t>
      </w:r>
      <w:r w:rsidR="0060386C" w:rsidRPr="00713025">
        <w:t>a</w:t>
      </w:r>
      <w:r w:rsidRPr="00713025">
        <w:t xml:space="preserve">uthorised </w:t>
      </w:r>
      <w:r w:rsidR="0060386C" w:rsidRPr="00713025">
        <w:t>o</w:t>
      </w:r>
      <w:r w:rsidRPr="00713025">
        <w:t>fficer must decide whether to allocate all or part of the disclosure to either the department and/or another agency, having regard to the matters set o</w:t>
      </w:r>
      <w:r w:rsidR="00D265D9" w:rsidRPr="00713025">
        <w:t>ut in section 43(</w:t>
      </w:r>
      <w:r w:rsidR="0008241E" w:rsidRPr="00713025">
        <w:t>5</w:t>
      </w:r>
      <w:r w:rsidR="00D265D9" w:rsidRPr="00713025">
        <w:t xml:space="preserve">) of the </w:t>
      </w:r>
      <w:r w:rsidR="00114AFA" w:rsidRPr="00713025">
        <w:t>PID</w:t>
      </w:r>
      <w:r w:rsidR="0060386C" w:rsidRPr="00713025">
        <w:t xml:space="preserve"> </w:t>
      </w:r>
      <w:r w:rsidR="00D265D9" w:rsidRPr="00713025">
        <w:t>Act.</w:t>
      </w:r>
    </w:p>
    <w:p w14:paraId="554ACB1D" w14:textId="23693304" w:rsidR="0075107C" w:rsidRPr="00713025" w:rsidRDefault="0075107C" w:rsidP="00385B04">
      <w:pPr>
        <w:pStyle w:val="Numberedlist"/>
        <w:numPr>
          <w:ilvl w:val="1"/>
          <w:numId w:val="33"/>
        </w:numPr>
      </w:pPr>
      <w:r w:rsidRPr="00713025">
        <w:t xml:space="preserve">An </w:t>
      </w:r>
      <w:r w:rsidR="0060386C" w:rsidRPr="00713025">
        <w:t>a</w:t>
      </w:r>
      <w:r w:rsidRPr="00713025">
        <w:t xml:space="preserve">uthorised </w:t>
      </w:r>
      <w:r w:rsidR="0060386C" w:rsidRPr="00713025">
        <w:t>o</w:t>
      </w:r>
      <w:r w:rsidRPr="00713025">
        <w:t xml:space="preserve">fficer must obtain the consent of an </w:t>
      </w:r>
      <w:r w:rsidR="0060386C" w:rsidRPr="00713025">
        <w:t>a</w:t>
      </w:r>
      <w:r w:rsidRPr="00713025">
        <w:t xml:space="preserve">uthorised </w:t>
      </w:r>
      <w:r w:rsidR="0060386C" w:rsidRPr="00713025">
        <w:t>o</w:t>
      </w:r>
      <w:r w:rsidRPr="00713025">
        <w:t>fficer in another agency before allocating an internal disclosure for handling by that agency.</w:t>
      </w:r>
    </w:p>
    <w:p w14:paraId="70649F34" w14:textId="60697B6A" w:rsidR="007323F1" w:rsidRPr="00713025" w:rsidRDefault="003237AA" w:rsidP="00385B04">
      <w:pPr>
        <w:pStyle w:val="Numberedlist"/>
        <w:numPr>
          <w:ilvl w:val="1"/>
          <w:numId w:val="33"/>
        </w:numPr>
      </w:pPr>
      <w:r w:rsidRPr="00713025">
        <w:lastRenderedPageBreak/>
        <w:t xml:space="preserve">The </w:t>
      </w:r>
      <w:r w:rsidR="0060386C" w:rsidRPr="00713025">
        <w:t>a</w:t>
      </w:r>
      <w:r w:rsidRPr="00713025">
        <w:t xml:space="preserve">uthorised </w:t>
      </w:r>
      <w:r w:rsidR="0060386C" w:rsidRPr="00713025">
        <w:t>o</w:t>
      </w:r>
      <w:r w:rsidRPr="00713025">
        <w:t xml:space="preserve">fficer may, after </w:t>
      </w:r>
      <w:proofErr w:type="gramStart"/>
      <w:r w:rsidRPr="00713025">
        <w:t>making a decision</w:t>
      </w:r>
      <w:proofErr w:type="gramEnd"/>
      <w:r w:rsidRPr="00713025">
        <w:t xml:space="preserve"> allocating the disclosure, decide to reallocate </w:t>
      </w:r>
      <w:r w:rsidR="00E535DE" w:rsidRPr="00713025">
        <w:t xml:space="preserve">the disclosure to one or more agencies (which may be an agency to which the disclosure had previously been allocated). </w:t>
      </w:r>
      <w:r w:rsidR="00A574D1" w:rsidRPr="00713025">
        <w:t xml:space="preserve">Subsections 43(5) to (12) and section 44 apply in relation to a decision under this section, in the same way they apply in relation to the original decision. </w:t>
      </w:r>
    </w:p>
    <w:p w14:paraId="180EF5CC" w14:textId="77777777" w:rsidR="00F02482" w:rsidRPr="00713025" w:rsidRDefault="00F02482" w:rsidP="00316C36">
      <w:pPr>
        <w:pStyle w:val="Heading3"/>
        <w:rPr>
          <w:rFonts w:eastAsia="Arial"/>
        </w:rPr>
      </w:pPr>
      <w:bookmarkStart w:id="67" w:name="_Toc150789958"/>
      <w:r w:rsidRPr="00713025">
        <w:rPr>
          <w:rFonts w:eastAsia="Arial"/>
        </w:rPr>
        <w:t>Requesting consent from discloser</w:t>
      </w:r>
      <w:bookmarkEnd w:id="67"/>
    </w:p>
    <w:p w14:paraId="4DEF434B" w14:textId="6A1FDDE8" w:rsidR="00D265D9" w:rsidRPr="00713025" w:rsidRDefault="00D265D9" w:rsidP="00385B04">
      <w:pPr>
        <w:pStyle w:val="Numberedlist"/>
        <w:numPr>
          <w:ilvl w:val="1"/>
          <w:numId w:val="33"/>
        </w:numPr>
      </w:pPr>
      <w:r w:rsidRPr="00713025">
        <w:t xml:space="preserve">Where the </w:t>
      </w:r>
      <w:r w:rsidR="0060386C" w:rsidRPr="00713025">
        <w:t>a</w:t>
      </w:r>
      <w:r w:rsidRPr="00713025">
        <w:t xml:space="preserve">uthorised </w:t>
      </w:r>
      <w:r w:rsidR="0060386C" w:rsidRPr="00713025">
        <w:t>o</w:t>
      </w:r>
      <w:r w:rsidRPr="00713025">
        <w:t xml:space="preserve">fficer is aware of the contact details of the discloser, they </w:t>
      </w:r>
      <w:r w:rsidR="004503F5" w:rsidRPr="00713025">
        <w:t xml:space="preserve">should </w:t>
      </w:r>
      <w:r w:rsidRPr="00713025">
        <w:t xml:space="preserve">ask the discloser to advise in writing </w:t>
      </w:r>
      <w:r w:rsidRPr="001F50D9">
        <w:t>within 7 days</w:t>
      </w:r>
      <w:r w:rsidRPr="00713025">
        <w:t xml:space="preserve"> whether the discloser consents to the </w:t>
      </w:r>
      <w:r w:rsidR="0060386C" w:rsidRPr="00713025">
        <w:t>a</w:t>
      </w:r>
      <w:r w:rsidRPr="00713025">
        <w:t xml:space="preserve">uthorised </w:t>
      </w:r>
      <w:r w:rsidR="0060386C" w:rsidRPr="00713025">
        <w:t>o</w:t>
      </w:r>
      <w:r w:rsidRPr="00713025">
        <w:t xml:space="preserve">fficer giving the discloser’s name and contact details to the </w:t>
      </w:r>
      <w:r w:rsidR="0060386C" w:rsidRPr="00713025">
        <w:t>p</w:t>
      </w:r>
      <w:r w:rsidRPr="00713025">
        <w:t xml:space="preserve">rincipal </w:t>
      </w:r>
      <w:r w:rsidR="0060386C" w:rsidRPr="00713025">
        <w:t>o</w:t>
      </w:r>
      <w:r w:rsidRPr="00713025">
        <w:t xml:space="preserve">fficer and to the </w:t>
      </w:r>
      <w:r w:rsidR="0060386C" w:rsidRPr="00713025">
        <w:t>p</w:t>
      </w:r>
      <w:r w:rsidRPr="00713025">
        <w:t xml:space="preserve">rincipal </w:t>
      </w:r>
      <w:r w:rsidR="0060386C" w:rsidRPr="00713025">
        <w:t>o</w:t>
      </w:r>
      <w:r w:rsidRPr="00713025">
        <w:t>fficer’s delegate.</w:t>
      </w:r>
    </w:p>
    <w:p w14:paraId="67C030BD" w14:textId="39BE43F8" w:rsidR="005E0A4B" w:rsidRPr="00713025" w:rsidRDefault="00D265D9" w:rsidP="00385B04">
      <w:pPr>
        <w:pStyle w:val="Numberedlist"/>
        <w:numPr>
          <w:ilvl w:val="1"/>
          <w:numId w:val="33"/>
        </w:numPr>
      </w:pPr>
      <w:r w:rsidRPr="00713025">
        <w:t xml:space="preserve">The </w:t>
      </w:r>
      <w:r w:rsidR="004503F5" w:rsidRPr="00713025">
        <w:t>a</w:t>
      </w:r>
      <w:r w:rsidRPr="00713025">
        <w:t xml:space="preserve">uthorised </w:t>
      </w:r>
      <w:r w:rsidR="004503F5" w:rsidRPr="00713025">
        <w:t>o</w:t>
      </w:r>
      <w:r w:rsidRPr="00713025">
        <w:t xml:space="preserve">fficer </w:t>
      </w:r>
      <w:r w:rsidR="004503F5" w:rsidRPr="00713025">
        <w:t xml:space="preserve">should </w:t>
      </w:r>
      <w:r w:rsidRPr="00713025">
        <w:t xml:space="preserve">make a written record of the discloser’s response (if any) to these questions.  Where a discloser does not respond within 7 days, the discloser is taken not to have consented to the disclosure of their name and contact details to the </w:t>
      </w:r>
      <w:r w:rsidR="004503F5" w:rsidRPr="00713025">
        <w:t>p</w:t>
      </w:r>
      <w:r w:rsidRPr="00713025">
        <w:t xml:space="preserve">rincipal </w:t>
      </w:r>
      <w:r w:rsidR="004503F5" w:rsidRPr="00713025">
        <w:t>o</w:t>
      </w:r>
      <w:r w:rsidRPr="00713025">
        <w:t>fficer and their delegate</w:t>
      </w:r>
      <w:r w:rsidR="004503F5" w:rsidRPr="00713025">
        <w:t xml:space="preserve"> and care should be taken in relation to the provision of information that identifies them</w:t>
      </w:r>
      <w:r w:rsidRPr="00713025">
        <w:t>.</w:t>
      </w:r>
    </w:p>
    <w:p w14:paraId="3C9FDA56" w14:textId="0988FF8B" w:rsidR="00F02482" w:rsidRPr="00713025" w:rsidRDefault="00F02482" w:rsidP="005E0A4B">
      <w:pPr>
        <w:pStyle w:val="Heading3"/>
        <w:rPr>
          <w:rFonts w:eastAsia="Arial"/>
        </w:rPr>
      </w:pPr>
      <w:bookmarkStart w:id="68" w:name="_Toc150789959"/>
      <w:r w:rsidRPr="00713025">
        <w:rPr>
          <w:rFonts w:eastAsia="Arial"/>
        </w:rPr>
        <w:t>Informing relevant persons of allocation</w:t>
      </w:r>
      <w:bookmarkEnd w:id="68"/>
    </w:p>
    <w:p w14:paraId="5B87F466" w14:textId="77777777" w:rsidR="00F02482" w:rsidRPr="00713025" w:rsidRDefault="00F02482" w:rsidP="00A212D0">
      <w:pPr>
        <w:pStyle w:val="Heading4"/>
      </w:pPr>
      <w:r w:rsidRPr="00713025">
        <w:t>Informing the receiving agency</w:t>
      </w:r>
    </w:p>
    <w:p w14:paraId="2BE6C487" w14:textId="3CBACF31" w:rsidR="00D265D9" w:rsidRPr="00713025" w:rsidRDefault="00D265D9" w:rsidP="00385B04">
      <w:pPr>
        <w:pStyle w:val="Numberedlist"/>
        <w:numPr>
          <w:ilvl w:val="1"/>
          <w:numId w:val="33"/>
        </w:numPr>
      </w:pPr>
      <w:r w:rsidRPr="00713025">
        <w:t xml:space="preserve">Where an </w:t>
      </w:r>
      <w:r w:rsidR="004503F5" w:rsidRPr="00713025">
        <w:t>a</w:t>
      </w:r>
      <w:r w:rsidRPr="00713025">
        <w:t xml:space="preserve">uthorised </w:t>
      </w:r>
      <w:r w:rsidR="004503F5" w:rsidRPr="00713025">
        <w:t>o</w:t>
      </w:r>
      <w:r w:rsidRPr="00713025">
        <w:t xml:space="preserve">fficer in the department allocates a disclosure to an agency (including to the department) they must inform the </w:t>
      </w:r>
      <w:r w:rsidR="004503F5" w:rsidRPr="00713025">
        <w:t>p</w:t>
      </w:r>
      <w:r w:rsidRPr="00713025">
        <w:t xml:space="preserve">rincipal </w:t>
      </w:r>
      <w:r w:rsidR="004503F5" w:rsidRPr="00713025">
        <w:t>o</w:t>
      </w:r>
      <w:r w:rsidRPr="00713025">
        <w:t>fficer of that agency of:</w:t>
      </w:r>
    </w:p>
    <w:p w14:paraId="4F0E339A" w14:textId="255F73EE" w:rsidR="00D265D9" w:rsidRPr="003A26F3" w:rsidRDefault="00D265D9" w:rsidP="003A26F3">
      <w:pPr>
        <w:pStyle w:val="Numberedlist"/>
        <w:numPr>
          <w:ilvl w:val="0"/>
          <w:numId w:val="12"/>
        </w:numPr>
        <w:spacing w:before="60" w:after="60"/>
        <w:ind w:left="1134" w:hanging="340"/>
      </w:pPr>
      <w:r w:rsidRPr="003A26F3">
        <w:t xml:space="preserve">the allocation to the </w:t>
      </w:r>
      <w:proofErr w:type="gramStart"/>
      <w:r w:rsidRPr="003A26F3">
        <w:t>agency;</w:t>
      </w:r>
      <w:proofErr w:type="gramEnd"/>
    </w:p>
    <w:p w14:paraId="6EDE7C80" w14:textId="47A3E9D4" w:rsidR="00D265D9" w:rsidRPr="003A26F3" w:rsidRDefault="00D265D9" w:rsidP="003A26F3">
      <w:pPr>
        <w:pStyle w:val="Numberedlist"/>
        <w:numPr>
          <w:ilvl w:val="0"/>
          <w:numId w:val="12"/>
        </w:numPr>
        <w:spacing w:before="60" w:after="60"/>
        <w:ind w:left="1134" w:hanging="340"/>
      </w:pPr>
      <w:r w:rsidRPr="003A26F3">
        <w:t xml:space="preserve">the information that was </w:t>
      </w:r>
      <w:proofErr w:type="gramStart"/>
      <w:r w:rsidRPr="003A26F3">
        <w:t>disclosed;</w:t>
      </w:r>
      <w:proofErr w:type="gramEnd"/>
    </w:p>
    <w:p w14:paraId="685B275E" w14:textId="3E03B245" w:rsidR="00D265D9" w:rsidRPr="003A26F3" w:rsidRDefault="00D265D9" w:rsidP="003A26F3">
      <w:pPr>
        <w:pStyle w:val="Numberedlist"/>
        <w:numPr>
          <w:ilvl w:val="0"/>
          <w:numId w:val="12"/>
        </w:numPr>
        <w:spacing w:before="60" w:after="60"/>
        <w:ind w:left="1134" w:hanging="340"/>
      </w:pPr>
      <w:r w:rsidRPr="003A26F3">
        <w:t>the conduct</w:t>
      </w:r>
      <w:r w:rsidR="00565000" w:rsidRPr="003A26F3">
        <w:t xml:space="preserve"> </w:t>
      </w:r>
      <w:proofErr w:type="gramStart"/>
      <w:r w:rsidR="00565000" w:rsidRPr="003A26F3">
        <w:t>disclosed</w:t>
      </w:r>
      <w:r w:rsidR="00F0754D" w:rsidRPr="003A26F3">
        <w:t>;</w:t>
      </w:r>
      <w:proofErr w:type="gramEnd"/>
      <w:r w:rsidR="00F0754D" w:rsidRPr="003A26F3">
        <w:t xml:space="preserve"> </w:t>
      </w:r>
    </w:p>
    <w:p w14:paraId="0C023E82" w14:textId="37EA6B1A" w:rsidR="00D265D9" w:rsidRPr="003A26F3" w:rsidRDefault="00D265D9" w:rsidP="003A26F3">
      <w:pPr>
        <w:pStyle w:val="Numberedlist"/>
        <w:numPr>
          <w:ilvl w:val="0"/>
          <w:numId w:val="12"/>
        </w:numPr>
        <w:spacing w:before="60" w:after="60"/>
        <w:ind w:left="1134" w:hanging="340"/>
      </w:pPr>
      <w:r w:rsidRPr="003A26F3">
        <w:t xml:space="preserve">if the discloser's name and contact details are known to the </w:t>
      </w:r>
      <w:r w:rsidR="004503F5" w:rsidRPr="003A26F3">
        <w:t>a</w:t>
      </w:r>
      <w:r w:rsidRPr="003A26F3">
        <w:t xml:space="preserve">uthorised </w:t>
      </w:r>
      <w:r w:rsidR="004503F5" w:rsidRPr="003A26F3">
        <w:t>o</w:t>
      </w:r>
      <w:r w:rsidRPr="003A26F3">
        <w:t xml:space="preserve">fficer, and the discloser has consented to the </w:t>
      </w:r>
      <w:r w:rsidR="004503F5" w:rsidRPr="003A26F3">
        <w:t>p</w:t>
      </w:r>
      <w:r w:rsidRPr="003A26F3">
        <w:t xml:space="preserve">rincipal </w:t>
      </w:r>
      <w:r w:rsidR="004503F5" w:rsidRPr="003A26F3">
        <w:t>o</w:t>
      </w:r>
      <w:r w:rsidRPr="003A26F3">
        <w:t>fficer</w:t>
      </w:r>
      <w:r w:rsidR="00F5556D" w:rsidRPr="003A26F3">
        <w:t xml:space="preserve"> and </w:t>
      </w:r>
      <w:r w:rsidR="00BE5451" w:rsidRPr="003A26F3">
        <w:t xml:space="preserve">other </w:t>
      </w:r>
      <w:r w:rsidR="0096464C" w:rsidRPr="003A26F3">
        <w:t>relevant bodies</w:t>
      </w:r>
      <w:r w:rsidR="004503F5" w:rsidRPr="003A26F3">
        <w:t xml:space="preserve"> </w:t>
      </w:r>
      <w:r w:rsidRPr="003A26F3">
        <w:t>being informed – the discloser's name and contact details.</w:t>
      </w:r>
    </w:p>
    <w:p w14:paraId="0B038AE0" w14:textId="77777777" w:rsidR="00F02482" w:rsidRPr="00713025" w:rsidRDefault="00F02482" w:rsidP="00D31CC4">
      <w:pPr>
        <w:pStyle w:val="Heading4"/>
      </w:pPr>
      <w:r w:rsidRPr="00713025">
        <w:t>Informing other relevant bodies</w:t>
      </w:r>
    </w:p>
    <w:p w14:paraId="20454EA4" w14:textId="5C15979A" w:rsidR="00D265D9" w:rsidRPr="00713025" w:rsidRDefault="00D265D9" w:rsidP="00385B04">
      <w:pPr>
        <w:pStyle w:val="Numberedlist"/>
        <w:numPr>
          <w:ilvl w:val="1"/>
          <w:numId w:val="33"/>
        </w:numPr>
      </w:pPr>
      <w:r w:rsidRPr="00713025">
        <w:t xml:space="preserve">If the </w:t>
      </w:r>
      <w:r w:rsidR="004503F5" w:rsidRPr="00713025">
        <w:t>a</w:t>
      </w:r>
      <w:r w:rsidRPr="00713025">
        <w:t>uthorised</w:t>
      </w:r>
      <w:r w:rsidR="004503F5" w:rsidRPr="00713025">
        <w:t xml:space="preserve"> o</w:t>
      </w:r>
      <w:r w:rsidRPr="00713025">
        <w:t>fficer allocates a disclosure to an agency (including the department itself), that is not the Ombudsman, the IGIS or an intelligence agency, he or she must inform the Ombudsman of the allocation in writing. If the disclosure is allocated to an intelligence agency, the Authorised Officer must inform the IGIS of this in writing.</w:t>
      </w:r>
    </w:p>
    <w:p w14:paraId="411FB90A" w14:textId="77777777" w:rsidR="00F02482" w:rsidRPr="00713025" w:rsidRDefault="00F02482" w:rsidP="00D31CC4">
      <w:pPr>
        <w:pStyle w:val="Heading4"/>
      </w:pPr>
      <w:r w:rsidRPr="00713025">
        <w:t>Informing the discloser</w:t>
      </w:r>
    </w:p>
    <w:p w14:paraId="65EB678E" w14:textId="70A8F389" w:rsidR="00D265D9" w:rsidRPr="00713025" w:rsidRDefault="00D265D9" w:rsidP="00385B04">
      <w:pPr>
        <w:pStyle w:val="Numberedlist"/>
        <w:numPr>
          <w:ilvl w:val="1"/>
          <w:numId w:val="33"/>
        </w:numPr>
      </w:pPr>
      <w:r w:rsidRPr="00713025">
        <w:t xml:space="preserve">As soon as reasonably practicable after allocation, the </w:t>
      </w:r>
      <w:r w:rsidR="004503F5" w:rsidRPr="00713025">
        <w:t>a</w:t>
      </w:r>
      <w:r w:rsidRPr="00713025">
        <w:t xml:space="preserve">uthorised </w:t>
      </w:r>
      <w:r w:rsidR="004503F5" w:rsidRPr="00713025">
        <w:t>o</w:t>
      </w:r>
      <w:r w:rsidRPr="00713025">
        <w:t>fficer must</w:t>
      </w:r>
      <w:r w:rsidR="008F5014" w:rsidRPr="00713025">
        <w:t xml:space="preserve"> </w:t>
      </w:r>
      <w:r w:rsidRPr="00713025">
        <w:t>inform the discloser (where it is reasonably practicable to do so), in writing, of:</w:t>
      </w:r>
    </w:p>
    <w:p w14:paraId="12F09053" w14:textId="77777777" w:rsidR="00D265D9" w:rsidRPr="003A26F3" w:rsidRDefault="00D265D9" w:rsidP="003A26F3">
      <w:pPr>
        <w:pStyle w:val="Numberedlist"/>
        <w:numPr>
          <w:ilvl w:val="0"/>
          <w:numId w:val="12"/>
        </w:numPr>
        <w:spacing w:before="60" w:after="60"/>
        <w:ind w:left="1134" w:hanging="340"/>
      </w:pPr>
      <w:r w:rsidRPr="003A26F3">
        <w:t xml:space="preserve">the </w:t>
      </w:r>
      <w:proofErr w:type="gramStart"/>
      <w:r w:rsidRPr="003A26F3">
        <w:t>allocation;</w:t>
      </w:r>
      <w:proofErr w:type="gramEnd"/>
    </w:p>
    <w:p w14:paraId="31DD7C8C" w14:textId="5F7FCB6E" w:rsidR="00D265D9" w:rsidRPr="003A26F3" w:rsidRDefault="00D265D9" w:rsidP="003A26F3">
      <w:pPr>
        <w:pStyle w:val="Numberedlist"/>
        <w:numPr>
          <w:ilvl w:val="0"/>
          <w:numId w:val="12"/>
        </w:numPr>
        <w:spacing w:before="60" w:after="60"/>
        <w:ind w:left="1134" w:hanging="340"/>
      </w:pPr>
      <w:r w:rsidRPr="003A26F3">
        <w:t xml:space="preserve">the information that has been provided to the </w:t>
      </w:r>
      <w:r w:rsidR="004503F5" w:rsidRPr="003A26F3">
        <w:t>p</w:t>
      </w:r>
      <w:r w:rsidRPr="003A26F3">
        <w:t xml:space="preserve">rincipal </w:t>
      </w:r>
      <w:r w:rsidR="004503F5" w:rsidRPr="003A26F3">
        <w:t>o</w:t>
      </w:r>
      <w:r w:rsidRPr="003A26F3">
        <w:t>fficer of the relevant agency</w:t>
      </w:r>
      <w:r w:rsidR="004E3840" w:rsidRPr="003A26F3">
        <w:t xml:space="preserve">, including a copy of the </w:t>
      </w:r>
      <w:r w:rsidR="00BC6EBD" w:rsidRPr="003A26F3">
        <w:t xml:space="preserve">allocation </w:t>
      </w:r>
      <w:r w:rsidR="0063123F" w:rsidRPr="003A26F3">
        <w:t>notice</w:t>
      </w:r>
      <w:r w:rsidR="000C4D85" w:rsidRPr="003A26F3">
        <w:t xml:space="preserve"> to the </w:t>
      </w:r>
      <w:r w:rsidR="006235E9" w:rsidRPr="003A26F3">
        <w:t>Ombudsman</w:t>
      </w:r>
      <w:r w:rsidRPr="003A26F3">
        <w:t>; and</w:t>
      </w:r>
    </w:p>
    <w:p w14:paraId="18FFC9C6" w14:textId="5002271B" w:rsidR="00D265D9" w:rsidRPr="003A26F3" w:rsidRDefault="00D265D9" w:rsidP="003A26F3">
      <w:pPr>
        <w:pStyle w:val="Numberedlist"/>
        <w:numPr>
          <w:ilvl w:val="0"/>
          <w:numId w:val="12"/>
        </w:numPr>
        <w:spacing w:before="60" w:after="60"/>
        <w:ind w:left="1134" w:hanging="340"/>
      </w:pPr>
      <w:r w:rsidRPr="003A26F3">
        <w:t xml:space="preserve">if the disclosure has been allocated to the department−that the </w:t>
      </w:r>
      <w:r w:rsidR="004503F5" w:rsidRPr="003A26F3">
        <w:t>p</w:t>
      </w:r>
      <w:r w:rsidRPr="003A26F3">
        <w:t xml:space="preserve">rincipal </w:t>
      </w:r>
      <w:r w:rsidR="004503F5" w:rsidRPr="003A26F3">
        <w:t>o</w:t>
      </w:r>
      <w:r w:rsidRPr="003A26F3">
        <w:t>fficer (or their delegate) has the power, in certain circumstances, to decide:</w:t>
      </w:r>
    </w:p>
    <w:p w14:paraId="27EC6C46" w14:textId="57683ADB" w:rsidR="00D265D9" w:rsidRPr="00A84AEF" w:rsidRDefault="00D265D9" w:rsidP="00A84AEF">
      <w:pPr>
        <w:pStyle w:val="ListBullet"/>
        <w:ind w:left="1548" w:hanging="357"/>
        <w:rPr>
          <w:szCs w:val="21"/>
        </w:rPr>
      </w:pPr>
      <w:r w:rsidRPr="00A84AEF">
        <w:rPr>
          <w:szCs w:val="21"/>
        </w:rPr>
        <w:t>not to investigate the disclosure; or</w:t>
      </w:r>
    </w:p>
    <w:p w14:paraId="6C129308" w14:textId="77777777" w:rsidR="006B336D" w:rsidRPr="00A84AEF" w:rsidRDefault="00D265D9" w:rsidP="00A84AEF">
      <w:pPr>
        <w:pStyle w:val="ListBullet"/>
        <w:ind w:left="1548" w:hanging="357"/>
        <w:rPr>
          <w:szCs w:val="21"/>
        </w:rPr>
      </w:pPr>
      <w:r w:rsidRPr="00A84AEF">
        <w:rPr>
          <w:szCs w:val="21"/>
        </w:rPr>
        <w:t>not to investigate the disclosure further</w:t>
      </w:r>
      <w:r w:rsidR="006B336D" w:rsidRPr="00A84AEF">
        <w:rPr>
          <w:szCs w:val="21"/>
        </w:rPr>
        <w:t>; or</w:t>
      </w:r>
    </w:p>
    <w:p w14:paraId="34028DE0" w14:textId="78008E3A" w:rsidR="00D265D9" w:rsidRPr="00A84AEF" w:rsidRDefault="00EF471E" w:rsidP="00A84AEF">
      <w:pPr>
        <w:pStyle w:val="ListBullet"/>
        <w:ind w:left="1548" w:hanging="357"/>
        <w:rPr>
          <w:szCs w:val="21"/>
        </w:rPr>
      </w:pPr>
      <w:r w:rsidRPr="00A84AEF">
        <w:rPr>
          <w:szCs w:val="21"/>
        </w:rPr>
        <w:t>refer the conduct disclosed for investigation under another law or power</w:t>
      </w:r>
      <w:r w:rsidR="00D265D9" w:rsidRPr="00A84AEF">
        <w:rPr>
          <w:szCs w:val="21"/>
        </w:rPr>
        <w:t>.</w:t>
      </w:r>
    </w:p>
    <w:p w14:paraId="50C5EB8D" w14:textId="245DA990" w:rsidR="00F02482" w:rsidRPr="00713025" w:rsidRDefault="00F02482" w:rsidP="00886662">
      <w:pPr>
        <w:pStyle w:val="Heading3"/>
      </w:pPr>
      <w:bookmarkStart w:id="69" w:name="_Toc150789960"/>
      <w:r w:rsidRPr="00713025">
        <w:rPr>
          <w:rFonts w:eastAsiaTheme="minorHAnsi"/>
        </w:rPr>
        <w:t>Record of allocating the handling of a disclosure</w:t>
      </w:r>
      <w:bookmarkEnd w:id="69"/>
    </w:p>
    <w:p w14:paraId="07606AD0" w14:textId="61428FB4" w:rsidR="00D265D9" w:rsidRPr="00713025" w:rsidRDefault="00D265D9" w:rsidP="00385B04">
      <w:pPr>
        <w:pStyle w:val="Numberedlist"/>
        <w:numPr>
          <w:ilvl w:val="1"/>
          <w:numId w:val="33"/>
        </w:numPr>
      </w:pPr>
      <w:r w:rsidRPr="00713025">
        <w:t xml:space="preserve">When an </w:t>
      </w:r>
      <w:r w:rsidR="00961FCF" w:rsidRPr="00713025">
        <w:t>a</w:t>
      </w:r>
      <w:r w:rsidRPr="00713025">
        <w:t xml:space="preserve">uthorised </w:t>
      </w:r>
      <w:r w:rsidR="00961FCF" w:rsidRPr="00713025">
        <w:t>o</w:t>
      </w:r>
      <w:r w:rsidRPr="00713025">
        <w:t>fficer allocates the handling of a disclosure to one or more agencies, he or she must keep an appropriate record of:</w:t>
      </w:r>
    </w:p>
    <w:p w14:paraId="18EE672F" w14:textId="1F59584E" w:rsidR="00D265D9" w:rsidRPr="00A84AEF" w:rsidRDefault="00D265D9" w:rsidP="00A84AEF">
      <w:pPr>
        <w:pStyle w:val="Numberedlist"/>
        <w:numPr>
          <w:ilvl w:val="0"/>
          <w:numId w:val="12"/>
        </w:numPr>
        <w:spacing w:before="60" w:after="60"/>
        <w:ind w:left="1134" w:hanging="340"/>
      </w:pPr>
      <w:r w:rsidRPr="00A84AEF">
        <w:lastRenderedPageBreak/>
        <w:t>the decision (including the name of each agency to which the disclosure is to be allocated</w:t>
      </w:r>
      <w:proofErr w:type="gramStart"/>
      <w:r w:rsidRPr="00A84AEF">
        <w:t>);</w:t>
      </w:r>
      <w:proofErr w:type="gramEnd"/>
    </w:p>
    <w:p w14:paraId="0CF943B4" w14:textId="139FA436" w:rsidR="00D265D9" w:rsidRPr="00A84AEF" w:rsidRDefault="00D265D9" w:rsidP="00A84AEF">
      <w:pPr>
        <w:pStyle w:val="Numberedlist"/>
        <w:numPr>
          <w:ilvl w:val="0"/>
          <w:numId w:val="12"/>
        </w:numPr>
        <w:spacing w:before="60" w:after="60"/>
        <w:ind w:left="1134" w:hanging="340"/>
      </w:pPr>
      <w:r w:rsidRPr="00A84AEF">
        <w:t>the reasons for the decision; and</w:t>
      </w:r>
    </w:p>
    <w:p w14:paraId="51A70AC2" w14:textId="57A95C4B" w:rsidR="00D265D9" w:rsidRPr="00A84AEF" w:rsidRDefault="00D265D9" w:rsidP="00A84AEF">
      <w:pPr>
        <w:pStyle w:val="Numberedlist"/>
        <w:numPr>
          <w:ilvl w:val="0"/>
          <w:numId w:val="12"/>
        </w:numPr>
        <w:spacing w:before="60" w:after="60"/>
        <w:ind w:left="1134" w:hanging="340"/>
      </w:pPr>
      <w:r w:rsidRPr="00A84AEF">
        <w:t xml:space="preserve">the consent provided by the </w:t>
      </w:r>
      <w:r w:rsidR="00961FCF" w:rsidRPr="00A84AEF">
        <w:t>a</w:t>
      </w:r>
      <w:r w:rsidRPr="00A84AEF">
        <w:t xml:space="preserve">uthorised </w:t>
      </w:r>
      <w:r w:rsidR="00961FCF" w:rsidRPr="00A84AEF">
        <w:t>o</w:t>
      </w:r>
      <w:r w:rsidRPr="00A84AEF">
        <w:t>fficer of the agency</w:t>
      </w:r>
      <w:r w:rsidR="00961FCF" w:rsidRPr="00A84AEF">
        <w:t xml:space="preserve"> (other than the department)</w:t>
      </w:r>
      <w:r w:rsidRPr="00A84AEF">
        <w:t xml:space="preserve"> to which the allocation is made.</w:t>
      </w:r>
    </w:p>
    <w:p w14:paraId="1054A16D" w14:textId="37EB5BBD" w:rsidR="00D265D9" w:rsidRPr="00713025" w:rsidRDefault="00D265D9" w:rsidP="00385B04">
      <w:pPr>
        <w:pStyle w:val="Numberedlist"/>
        <w:numPr>
          <w:ilvl w:val="1"/>
          <w:numId w:val="33"/>
        </w:numPr>
      </w:pPr>
      <w:r w:rsidRPr="00713025">
        <w:t>The Authorised Officer must also keep appropriate records of whether the discloser was informed of the allocation decision and, if so, of:</w:t>
      </w:r>
    </w:p>
    <w:p w14:paraId="19C18A1F" w14:textId="103BB430" w:rsidR="00D265D9" w:rsidRPr="00A84AEF" w:rsidRDefault="00D265D9" w:rsidP="00A84AEF">
      <w:pPr>
        <w:pStyle w:val="Numberedlist"/>
        <w:numPr>
          <w:ilvl w:val="0"/>
          <w:numId w:val="12"/>
        </w:numPr>
        <w:spacing w:before="60" w:after="60"/>
        <w:ind w:left="1134" w:hanging="340"/>
      </w:pPr>
      <w:r w:rsidRPr="00A84AEF">
        <w:t>the day and time the discloser was notified; and</w:t>
      </w:r>
    </w:p>
    <w:p w14:paraId="30DC9198" w14:textId="09432CD0" w:rsidR="00D265D9" w:rsidRPr="00A84AEF" w:rsidRDefault="00D265D9" w:rsidP="00A84AEF">
      <w:pPr>
        <w:pStyle w:val="Numberedlist"/>
        <w:numPr>
          <w:ilvl w:val="0"/>
          <w:numId w:val="12"/>
        </w:numPr>
        <w:spacing w:before="60" w:after="60"/>
        <w:ind w:left="1134" w:hanging="340"/>
      </w:pPr>
      <w:proofErr w:type="gramStart"/>
      <w:r w:rsidRPr="00A84AEF">
        <w:t>the means by which</w:t>
      </w:r>
      <w:proofErr w:type="gramEnd"/>
      <w:r w:rsidRPr="00A84AEF">
        <w:t xml:space="preserve"> the discloser was notified; and</w:t>
      </w:r>
    </w:p>
    <w:p w14:paraId="18CA2EE4" w14:textId="2FB36E40" w:rsidR="00D265D9" w:rsidRPr="00A84AEF" w:rsidRDefault="00D265D9" w:rsidP="00A84AEF">
      <w:pPr>
        <w:pStyle w:val="Numberedlist"/>
        <w:numPr>
          <w:ilvl w:val="0"/>
          <w:numId w:val="12"/>
        </w:numPr>
        <w:spacing w:before="60" w:after="60"/>
        <w:ind w:left="1134" w:hanging="340"/>
      </w:pPr>
      <w:r w:rsidRPr="00A84AEF">
        <w:t>the content of the notification.</w:t>
      </w:r>
    </w:p>
    <w:p w14:paraId="3D4C9A52" w14:textId="04914B2E" w:rsidR="00801C5C" w:rsidRPr="00713025" w:rsidRDefault="00801C5C" w:rsidP="00385B04">
      <w:pPr>
        <w:pStyle w:val="Numberedlist"/>
        <w:numPr>
          <w:ilvl w:val="1"/>
          <w:numId w:val="33"/>
        </w:numPr>
      </w:pPr>
      <w:r w:rsidRPr="00713025">
        <w:t xml:space="preserve">If it is not reasonably practicable to provide the notification to the discloser, the </w:t>
      </w:r>
      <w:r w:rsidR="00961FCF" w:rsidRPr="00713025">
        <w:t>a</w:t>
      </w:r>
      <w:r w:rsidRPr="00713025">
        <w:t xml:space="preserve">uthorised </w:t>
      </w:r>
      <w:r w:rsidR="00961FCF" w:rsidRPr="00713025">
        <w:t>o</w:t>
      </w:r>
      <w:r w:rsidRPr="00713025">
        <w:t>fficer must keep a record to indicate why, along with</w:t>
      </w:r>
      <w:r w:rsidR="00B27373" w:rsidRPr="00713025">
        <w:t xml:space="preserve"> a record</w:t>
      </w:r>
      <w:r w:rsidRPr="00713025">
        <w:t xml:space="preserve"> of the matters set out above at paragraph ‎</w:t>
      </w:r>
      <w:r w:rsidR="00F0754D" w:rsidRPr="00713025">
        <w:t>6.</w:t>
      </w:r>
      <w:r w:rsidR="00713025">
        <w:t>30</w:t>
      </w:r>
      <w:r w:rsidRPr="00713025">
        <w:t>.</w:t>
      </w:r>
    </w:p>
    <w:p w14:paraId="1F759CEC" w14:textId="335C8FB9" w:rsidR="00D265D9" w:rsidRPr="00713025" w:rsidRDefault="00D265D9" w:rsidP="00385B04">
      <w:pPr>
        <w:pStyle w:val="Numberedlist"/>
        <w:numPr>
          <w:ilvl w:val="1"/>
          <w:numId w:val="33"/>
        </w:numPr>
      </w:pPr>
      <w:r w:rsidRPr="00713025">
        <w:t xml:space="preserve">Further information on record keeping is at Section </w:t>
      </w:r>
      <w:r w:rsidR="009D7C42">
        <w:t>8</w:t>
      </w:r>
      <w:r w:rsidRPr="00713025">
        <w:t>: Records Management, Monitoring and Evaluation.</w:t>
      </w:r>
    </w:p>
    <w:p w14:paraId="5627F15B" w14:textId="39776C8F" w:rsidR="00F02482" w:rsidRPr="00713025" w:rsidRDefault="00F02482" w:rsidP="00D31CC4">
      <w:pPr>
        <w:pStyle w:val="Heading2"/>
        <w:rPr>
          <w:rFonts w:eastAsia="Arial"/>
        </w:rPr>
      </w:pPr>
      <w:bookmarkStart w:id="70" w:name="_Toc150789961"/>
      <w:r w:rsidRPr="00713025">
        <w:rPr>
          <w:rFonts w:eastAsia="Arial"/>
        </w:rPr>
        <w:t>Reprisal risk assessment</w:t>
      </w:r>
      <w:bookmarkEnd w:id="70"/>
    </w:p>
    <w:p w14:paraId="55632253" w14:textId="77777777" w:rsidR="00F02482" w:rsidRPr="00713025" w:rsidRDefault="00F02482" w:rsidP="00D31CC4">
      <w:pPr>
        <w:pStyle w:val="Heading3"/>
      </w:pPr>
      <w:bookmarkStart w:id="71" w:name="_Toc150789962"/>
      <w:r w:rsidRPr="00713025">
        <w:rPr>
          <w:rFonts w:eastAsiaTheme="minorHAnsi"/>
        </w:rPr>
        <w:t>Conducting a risk assessment</w:t>
      </w:r>
      <w:bookmarkEnd w:id="71"/>
    </w:p>
    <w:p w14:paraId="1CAE1DA4" w14:textId="03500CAF" w:rsidR="00D265D9" w:rsidRPr="00713025" w:rsidRDefault="00D265D9" w:rsidP="00385B04">
      <w:pPr>
        <w:pStyle w:val="Numberedlist"/>
        <w:numPr>
          <w:ilvl w:val="1"/>
          <w:numId w:val="33"/>
        </w:numPr>
      </w:pPr>
      <w:r w:rsidRPr="00713025">
        <w:t xml:space="preserve">Where an </w:t>
      </w:r>
      <w:r w:rsidR="00961FCF" w:rsidRPr="00713025">
        <w:t>a</w:t>
      </w:r>
      <w:r w:rsidRPr="00713025">
        <w:t xml:space="preserve">uthorised </w:t>
      </w:r>
      <w:r w:rsidR="00961FCF" w:rsidRPr="00713025">
        <w:t>o</w:t>
      </w:r>
      <w:r w:rsidRPr="00713025">
        <w:t>fficer allocates a disclosure for handling by the department, they must conduct a risk assessment on the likelihood that reprisals may be taken against the discloser.</w:t>
      </w:r>
    </w:p>
    <w:p w14:paraId="5EB3E2B6" w14:textId="43905FB1" w:rsidR="00D265D9" w:rsidRPr="00713025" w:rsidRDefault="00D265D9" w:rsidP="00385B04">
      <w:pPr>
        <w:pStyle w:val="Numberedlist"/>
        <w:numPr>
          <w:ilvl w:val="1"/>
          <w:numId w:val="33"/>
        </w:numPr>
      </w:pPr>
      <w:r w:rsidRPr="00713025">
        <w:t xml:space="preserve">The risk assessment must be undertaken based on a checklist of risk </w:t>
      </w:r>
      <w:proofErr w:type="gramStart"/>
      <w:r w:rsidRPr="00713025">
        <w:t>factors, and</w:t>
      </w:r>
      <w:proofErr w:type="gramEnd"/>
      <w:r w:rsidRPr="00713025">
        <w:t xml:space="preserve"> having regard to any assessment of risk provided under these procedures by the discloser’s supervisor or manager.  A checklist of relevant risk factors includes:</w:t>
      </w:r>
    </w:p>
    <w:p w14:paraId="360D3A8E" w14:textId="77777777" w:rsidR="00D265D9" w:rsidRPr="00566903" w:rsidRDefault="00D265D9" w:rsidP="00566903">
      <w:pPr>
        <w:pStyle w:val="Numberedlist"/>
        <w:numPr>
          <w:ilvl w:val="0"/>
          <w:numId w:val="12"/>
        </w:numPr>
        <w:spacing w:before="60" w:after="60"/>
        <w:ind w:left="1134" w:hanging="340"/>
      </w:pPr>
      <w:r w:rsidRPr="00566903">
        <w:t xml:space="preserve">the likelihood of the discloser being </w:t>
      </w:r>
      <w:proofErr w:type="gramStart"/>
      <w:r w:rsidRPr="00566903">
        <w:t>identified;</w:t>
      </w:r>
      <w:proofErr w:type="gramEnd"/>
    </w:p>
    <w:p w14:paraId="348C3CA4" w14:textId="77777777" w:rsidR="00D265D9" w:rsidRPr="00566903" w:rsidRDefault="00D265D9" w:rsidP="00566903">
      <w:pPr>
        <w:pStyle w:val="Numberedlist"/>
        <w:numPr>
          <w:ilvl w:val="0"/>
          <w:numId w:val="12"/>
        </w:numPr>
        <w:spacing w:before="60" w:after="60"/>
        <w:ind w:left="1134" w:hanging="340"/>
      </w:pPr>
      <w:r w:rsidRPr="00566903">
        <w:t xml:space="preserve">the number of people implicated in the </w:t>
      </w:r>
      <w:proofErr w:type="gramStart"/>
      <w:r w:rsidRPr="00566903">
        <w:t>disclosure;</w:t>
      </w:r>
      <w:proofErr w:type="gramEnd"/>
    </w:p>
    <w:p w14:paraId="02FF3E5E" w14:textId="77777777" w:rsidR="00D265D9" w:rsidRPr="00566903" w:rsidRDefault="00D265D9" w:rsidP="00566903">
      <w:pPr>
        <w:pStyle w:val="Numberedlist"/>
        <w:numPr>
          <w:ilvl w:val="0"/>
          <w:numId w:val="12"/>
        </w:numPr>
        <w:spacing w:before="60" w:after="60"/>
        <w:ind w:left="1134" w:hanging="340"/>
      </w:pPr>
      <w:r w:rsidRPr="00566903">
        <w:t xml:space="preserve">the subject matter of the </w:t>
      </w:r>
      <w:proofErr w:type="gramStart"/>
      <w:r w:rsidRPr="00566903">
        <w:t>disclosure;</w:t>
      </w:r>
      <w:proofErr w:type="gramEnd"/>
    </w:p>
    <w:p w14:paraId="15084703" w14:textId="77777777" w:rsidR="00D265D9" w:rsidRPr="00566903" w:rsidRDefault="00D265D9" w:rsidP="00566903">
      <w:pPr>
        <w:pStyle w:val="Numberedlist"/>
        <w:numPr>
          <w:ilvl w:val="0"/>
          <w:numId w:val="12"/>
        </w:numPr>
        <w:spacing w:before="60" w:after="60"/>
        <w:ind w:left="1134" w:hanging="340"/>
      </w:pPr>
      <w:r w:rsidRPr="00566903">
        <w:t xml:space="preserve">the number of people who are aware, or likely to become aware, of the </w:t>
      </w:r>
      <w:proofErr w:type="gramStart"/>
      <w:r w:rsidRPr="00566903">
        <w:t>disclosure;</w:t>
      </w:r>
      <w:proofErr w:type="gramEnd"/>
    </w:p>
    <w:p w14:paraId="7998EDAB" w14:textId="77777777" w:rsidR="00D265D9" w:rsidRPr="00566903" w:rsidRDefault="00D265D9" w:rsidP="00566903">
      <w:pPr>
        <w:pStyle w:val="Numberedlist"/>
        <w:numPr>
          <w:ilvl w:val="0"/>
          <w:numId w:val="12"/>
        </w:numPr>
        <w:spacing w:before="60" w:after="60"/>
        <w:ind w:left="1134" w:hanging="340"/>
      </w:pPr>
      <w:r w:rsidRPr="00566903">
        <w:t xml:space="preserve">the culture of the </w:t>
      </w:r>
      <w:proofErr w:type="gramStart"/>
      <w:r w:rsidRPr="00566903">
        <w:t>workplace;</w:t>
      </w:r>
      <w:proofErr w:type="gramEnd"/>
    </w:p>
    <w:p w14:paraId="7AE2B713" w14:textId="77777777" w:rsidR="00D265D9" w:rsidRPr="00566903" w:rsidRDefault="00D265D9" w:rsidP="00566903">
      <w:pPr>
        <w:pStyle w:val="Numberedlist"/>
        <w:numPr>
          <w:ilvl w:val="0"/>
          <w:numId w:val="12"/>
        </w:numPr>
        <w:spacing w:before="60" w:after="60"/>
        <w:ind w:left="1134" w:hanging="340"/>
      </w:pPr>
      <w:r w:rsidRPr="00566903">
        <w:t xml:space="preserve">whether any specific threats against the discloser have been </w:t>
      </w:r>
      <w:proofErr w:type="gramStart"/>
      <w:r w:rsidRPr="00566903">
        <w:t>received;</w:t>
      </w:r>
      <w:proofErr w:type="gramEnd"/>
    </w:p>
    <w:p w14:paraId="66963AC7" w14:textId="77777777" w:rsidR="00D265D9" w:rsidRPr="00566903" w:rsidRDefault="00D265D9" w:rsidP="00566903">
      <w:pPr>
        <w:pStyle w:val="Numberedlist"/>
        <w:numPr>
          <w:ilvl w:val="0"/>
          <w:numId w:val="12"/>
        </w:numPr>
        <w:spacing w:before="60" w:after="60"/>
        <w:ind w:left="1134" w:hanging="340"/>
      </w:pPr>
      <w:r w:rsidRPr="00566903">
        <w:t xml:space="preserve">whether there is a history of conflict between the </w:t>
      </w:r>
      <w:proofErr w:type="gramStart"/>
      <w:r w:rsidRPr="00566903">
        <w:t>parties;</w:t>
      </w:r>
      <w:proofErr w:type="gramEnd"/>
    </w:p>
    <w:p w14:paraId="2C59CD45" w14:textId="77777777" w:rsidR="00D265D9" w:rsidRPr="00566903" w:rsidRDefault="00D265D9" w:rsidP="00566903">
      <w:pPr>
        <w:pStyle w:val="Numberedlist"/>
        <w:numPr>
          <w:ilvl w:val="0"/>
          <w:numId w:val="12"/>
        </w:numPr>
        <w:spacing w:before="60" w:after="60"/>
        <w:ind w:left="1134" w:hanging="340"/>
      </w:pPr>
      <w:r w:rsidRPr="00566903">
        <w:t xml:space="preserve">whether the disclosure can be investigated while maintaining </w:t>
      </w:r>
      <w:proofErr w:type="gramStart"/>
      <w:r w:rsidRPr="00566903">
        <w:t>confidentiality;</w:t>
      </w:r>
      <w:proofErr w:type="gramEnd"/>
    </w:p>
    <w:p w14:paraId="0C2495E7" w14:textId="77777777" w:rsidR="00D265D9" w:rsidRPr="00566903" w:rsidRDefault="00D265D9" w:rsidP="00566903">
      <w:pPr>
        <w:pStyle w:val="Numberedlist"/>
        <w:numPr>
          <w:ilvl w:val="0"/>
          <w:numId w:val="12"/>
        </w:numPr>
        <w:spacing w:before="60" w:after="60"/>
        <w:ind w:left="1134" w:hanging="340"/>
      </w:pPr>
      <w:r w:rsidRPr="00566903">
        <w:t xml:space="preserve">the likely outcome if the conduct disclosed is </w:t>
      </w:r>
      <w:proofErr w:type="gramStart"/>
      <w:r w:rsidRPr="00566903">
        <w:t>substantiated;</w:t>
      </w:r>
      <w:proofErr w:type="gramEnd"/>
    </w:p>
    <w:p w14:paraId="72977D7B" w14:textId="77777777" w:rsidR="00D265D9" w:rsidRPr="00566903" w:rsidRDefault="00D265D9" w:rsidP="00566903">
      <w:pPr>
        <w:pStyle w:val="Numberedlist"/>
        <w:numPr>
          <w:ilvl w:val="0"/>
          <w:numId w:val="12"/>
        </w:numPr>
        <w:spacing w:before="60" w:after="60"/>
        <w:ind w:left="1134" w:hanging="340"/>
      </w:pPr>
      <w:r w:rsidRPr="00566903">
        <w:t xml:space="preserve">whether the discloser is </w:t>
      </w:r>
      <w:proofErr w:type="gramStart"/>
      <w:r w:rsidRPr="00566903">
        <w:t>isolated;</w:t>
      </w:r>
      <w:proofErr w:type="gramEnd"/>
    </w:p>
    <w:p w14:paraId="38B5CB39" w14:textId="77777777" w:rsidR="00D265D9" w:rsidRPr="00566903" w:rsidRDefault="00D265D9" w:rsidP="00566903">
      <w:pPr>
        <w:pStyle w:val="Numberedlist"/>
        <w:numPr>
          <w:ilvl w:val="0"/>
          <w:numId w:val="12"/>
        </w:numPr>
        <w:spacing w:before="60" w:after="60"/>
        <w:ind w:left="1134" w:hanging="340"/>
      </w:pPr>
      <w:r w:rsidRPr="00566903">
        <w:t>whether the discloser is employed on a full time, part time or casual basis; and</w:t>
      </w:r>
    </w:p>
    <w:p w14:paraId="51E47D53" w14:textId="356E1F10" w:rsidR="00D265D9" w:rsidRPr="00566903" w:rsidRDefault="00D265D9" w:rsidP="00566903">
      <w:pPr>
        <w:pStyle w:val="Numberedlist"/>
        <w:numPr>
          <w:ilvl w:val="0"/>
          <w:numId w:val="12"/>
        </w:numPr>
        <w:spacing w:before="60" w:after="60"/>
        <w:ind w:left="1134" w:hanging="340"/>
      </w:pPr>
      <w:r w:rsidRPr="00566903">
        <w:t>the positions of the parties.</w:t>
      </w:r>
    </w:p>
    <w:p w14:paraId="45A8AC8C" w14:textId="525892D9" w:rsidR="00D265D9" w:rsidRPr="00713025" w:rsidRDefault="00D265D9" w:rsidP="00385B04">
      <w:pPr>
        <w:pStyle w:val="Numberedlist"/>
        <w:numPr>
          <w:ilvl w:val="1"/>
          <w:numId w:val="33"/>
        </w:numPr>
      </w:pPr>
      <w:r w:rsidRPr="00713025">
        <w:t xml:space="preserve">In conducting the risk assessment, </w:t>
      </w:r>
      <w:r w:rsidR="00961FCF" w:rsidRPr="00713025">
        <w:t>a</w:t>
      </w:r>
      <w:r w:rsidRPr="00713025">
        <w:t xml:space="preserve">uthorised </w:t>
      </w:r>
      <w:r w:rsidR="00961FCF" w:rsidRPr="00713025">
        <w:t>o</w:t>
      </w:r>
      <w:r w:rsidRPr="00713025">
        <w:t>fficers will adopt the following framework which entails four steps:</w:t>
      </w:r>
    </w:p>
    <w:p w14:paraId="72F05711" w14:textId="7211F0D6" w:rsidR="00D265D9" w:rsidRPr="00566903" w:rsidRDefault="00D265D9" w:rsidP="00566903">
      <w:pPr>
        <w:pStyle w:val="Numberedlist"/>
        <w:numPr>
          <w:ilvl w:val="0"/>
          <w:numId w:val="12"/>
        </w:numPr>
        <w:spacing w:before="60" w:after="60"/>
        <w:ind w:left="1134" w:hanging="340"/>
      </w:pPr>
      <w:r w:rsidRPr="00566903">
        <w:t>Identifying</w:t>
      </w:r>
      <w:r w:rsidR="00866353">
        <w:t>: A</w:t>
      </w:r>
      <w:r w:rsidRPr="00566903">
        <w:t>re reprisals or related workplace conflict problems in the workplace, or do they have the potential to be problems?</w:t>
      </w:r>
    </w:p>
    <w:p w14:paraId="094909B6" w14:textId="18B1B3F7" w:rsidR="00D265D9" w:rsidRPr="00566903" w:rsidRDefault="00D265D9" w:rsidP="00566903">
      <w:pPr>
        <w:pStyle w:val="Numberedlist"/>
        <w:numPr>
          <w:ilvl w:val="0"/>
          <w:numId w:val="12"/>
        </w:numPr>
        <w:spacing w:before="60" w:after="60"/>
        <w:ind w:left="1134" w:hanging="340"/>
      </w:pPr>
      <w:r w:rsidRPr="00566903">
        <w:t>Assessing</w:t>
      </w:r>
      <w:r w:rsidR="00866353">
        <w:t>: W</w:t>
      </w:r>
      <w:r w:rsidRPr="00566903">
        <w:t>hat is the likelihood and consequence of reprisals or related workplace conflict?</w:t>
      </w:r>
    </w:p>
    <w:p w14:paraId="52063933" w14:textId="3F825408" w:rsidR="00D265D9" w:rsidRPr="00566903" w:rsidRDefault="00D265D9" w:rsidP="00566903">
      <w:pPr>
        <w:pStyle w:val="Numberedlist"/>
        <w:numPr>
          <w:ilvl w:val="0"/>
          <w:numId w:val="12"/>
        </w:numPr>
        <w:spacing w:before="60" w:after="60"/>
        <w:ind w:left="1134" w:hanging="340"/>
      </w:pPr>
      <w:r w:rsidRPr="00566903">
        <w:t>Controlling</w:t>
      </w:r>
      <w:r w:rsidR="00866353">
        <w:t>: W</w:t>
      </w:r>
      <w:r w:rsidRPr="00566903">
        <w:t>hat strategies should be put in place to prevent or contain reprisals or related workplace conflict?</w:t>
      </w:r>
    </w:p>
    <w:p w14:paraId="53CD2833" w14:textId="045FBA77" w:rsidR="00D265D9" w:rsidRPr="00566903" w:rsidRDefault="00D265D9" w:rsidP="00566903">
      <w:pPr>
        <w:pStyle w:val="Numberedlist"/>
        <w:numPr>
          <w:ilvl w:val="0"/>
          <w:numId w:val="12"/>
        </w:numPr>
        <w:spacing w:before="60" w:after="60"/>
        <w:ind w:left="1134" w:hanging="340"/>
      </w:pPr>
      <w:r w:rsidRPr="00566903">
        <w:lastRenderedPageBreak/>
        <w:t>Monitoring and reviewing</w:t>
      </w:r>
      <w:r w:rsidR="00866353">
        <w:t>: H</w:t>
      </w:r>
      <w:r w:rsidRPr="00566903">
        <w:t>ave the strategies been implemented and were they effective?</w:t>
      </w:r>
    </w:p>
    <w:p w14:paraId="008C2218" w14:textId="152433CE" w:rsidR="00D265D9" w:rsidRPr="00713025" w:rsidRDefault="00D265D9" w:rsidP="00385B04">
      <w:pPr>
        <w:pStyle w:val="Numberedlist"/>
        <w:numPr>
          <w:ilvl w:val="1"/>
          <w:numId w:val="33"/>
        </w:numPr>
      </w:pPr>
      <w:r w:rsidRPr="00713025">
        <w:t xml:space="preserve">Further information on how the risk assessment should be conducted is available in the department’s </w:t>
      </w:r>
      <w:hyperlink r:id="rId21" w:history="1">
        <w:r w:rsidRPr="00566903">
          <w:t>Guide to Managing Public Interest Disclosures</w:t>
        </w:r>
      </w:hyperlink>
      <w:r w:rsidRPr="00713025">
        <w:t>, available on the dedicated PID intranet site.</w:t>
      </w:r>
    </w:p>
    <w:p w14:paraId="5B4ADC05" w14:textId="62EF3233" w:rsidR="00F02482" w:rsidRPr="00713025" w:rsidRDefault="00F02482" w:rsidP="00D31CC4">
      <w:pPr>
        <w:pStyle w:val="Heading3"/>
        <w:rPr>
          <w:rFonts w:eastAsiaTheme="minorHAnsi"/>
        </w:rPr>
      </w:pPr>
      <w:bookmarkStart w:id="72" w:name="_Toc150789963"/>
      <w:r w:rsidRPr="00713025">
        <w:rPr>
          <w:rFonts w:eastAsiaTheme="minorHAnsi"/>
        </w:rPr>
        <w:t>Developing a risk mitigation plan</w:t>
      </w:r>
      <w:bookmarkEnd w:id="72"/>
    </w:p>
    <w:p w14:paraId="4DB0AB81" w14:textId="055D90E2" w:rsidR="00D265D9" w:rsidRPr="00713025" w:rsidRDefault="00D265D9" w:rsidP="00385B04">
      <w:pPr>
        <w:pStyle w:val="Numberedlist"/>
        <w:numPr>
          <w:ilvl w:val="1"/>
          <w:numId w:val="33"/>
        </w:numPr>
      </w:pPr>
      <w:r w:rsidRPr="00713025">
        <w:t>Where the risk level is assessed as anything greater than low, a risk management strategy must be developed for mitigating the risk of reprisals being taken against the discloser.</w:t>
      </w:r>
    </w:p>
    <w:p w14:paraId="0DB0581F" w14:textId="5D983D29" w:rsidR="00D265D9" w:rsidRPr="00713025" w:rsidRDefault="00D265D9" w:rsidP="00385B04">
      <w:pPr>
        <w:pStyle w:val="Numberedlist"/>
        <w:numPr>
          <w:ilvl w:val="1"/>
          <w:numId w:val="33"/>
        </w:numPr>
      </w:pPr>
      <w:r w:rsidRPr="00713025">
        <w:t xml:space="preserve">Generally, the risk management strategy would be developed by the </w:t>
      </w:r>
      <w:r w:rsidR="00961FCF" w:rsidRPr="00713025">
        <w:t>a</w:t>
      </w:r>
      <w:r w:rsidRPr="00713025">
        <w:t xml:space="preserve">uthorised </w:t>
      </w:r>
      <w:r w:rsidR="00961FCF" w:rsidRPr="00713025">
        <w:t>o</w:t>
      </w:r>
      <w:r w:rsidRPr="00713025">
        <w:t xml:space="preserve">fficer who made the allocation decision. However, an </w:t>
      </w:r>
      <w:r w:rsidR="00961FCF" w:rsidRPr="00713025">
        <w:t>a</w:t>
      </w:r>
      <w:r w:rsidRPr="00713025">
        <w:t xml:space="preserve">uthorised </w:t>
      </w:r>
      <w:r w:rsidR="00961FCF" w:rsidRPr="00713025">
        <w:t>o</w:t>
      </w:r>
      <w:r w:rsidRPr="00713025">
        <w:t>fficer may consider it more appropriate for a strategy to be developed by a separate Reprisal Manager, having regard to the assessed risk rating.</w:t>
      </w:r>
    </w:p>
    <w:p w14:paraId="41315216" w14:textId="4741AF70" w:rsidR="00D265D9" w:rsidRPr="00713025" w:rsidRDefault="00D265D9" w:rsidP="00385B04">
      <w:pPr>
        <w:pStyle w:val="Numberedlist"/>
        <w:numPr>
          <w:ilvl w:val="1"/>
          <w:numId w:val="33"/>
        </w:numPr>
      </w:pPr>
      <w:r w:rsidRPr="00713025">
        <w:t xml:space="preserve">This strategy may include some or </w:t>
      </w:r>
      <w:proofErr w:type="gramStart"/>
      <w:r w:rsidRPr="00713025">
        <w:t>all of</w:t>
      </w:r>
      <w:proofErr w:type="gramEnd"/>
      <w:r w:rsidRPr="00713025">
        <w:t xml:space="preserve"> the support measures set out at </w:t>
      </w:r>
      <w:r w:rsidR="00713025">
        <w:t xml:space="preserve">Part 3 </w:t>
      </w:r>
      <w:r w:rsidRPr="00713025">
        <w:t>of these procedures.  In some cases, where there is a serious risk of reprisal action, it may be appropriate to adjust the working and supervision arrangements to protect the discloser or other persons who are at risk of reprisal action.</w:t>
      </w:r>
    </w:p>
    <w:p w14:paraId="3C6D84F8" w14:textId="77777777" w:rsidR="00F02482" w:rsidRPr="00713025" w:rsidRDefault="00F02482" w:rsidP="00D31CC4">
      <w:pPr>
        <w:pStyle w:val="Heading3"/>
        <w:rPr>
          <w:rFonts w:eastAsiaTheme="minorHAnsi"/>
        </w:rPr>
      </w:pPr>
      <w:bookmarkStart w:id="73" w:name="_Toc150789964"/>
      <w:r w:rsidRPr="00713025">
        <w:rPr>
          <w:rFonts w:eastAsiaTheme="minorHAnsi"/>
        </w:rPr>
        <w:t>Monitoring and reviewing risks</w:t>
      </w:r>
      <w:bookmarkEnd w:id="73"/>
    </w:p>
    <w:p w14:paraId="7DD01796" w14:textId="485F8BB6" w:rsidR="00D265D9" w:rsidRPr="00713025" w:rsidRDefault="00D265D9" w:rsidP="00385B04">
      <w:pPr>
        <w:pStyle w:val="Numberedlist"/>
        <w:numPr>
          <w:ilvl w:val="1"/>
          <w:numId w:val="33"/>
        </w:numPr>
      </w:pPr>
      <w:bookmarkStart w:id="74" w:name="_Toc49525285"/>
      <w:r w:rsidRPr="00713025">
        <w:t xml:space="preserve">The </w:t>
      </w:r>
      <w:r w:rsidR="00961FCF" w:rsidRPr="00713025">
        <w:t>a</w:t>
      </w:r>
      <w:r w:rsidRPr="00713025">
        <w:t xml:space="preserve">uthorised </w:t>
      </w:r>
      <w:r w:rsidR="00961FCF" w:rsidRPr="00713025">
        <w:t>o</w:t>
      </w:r>
      <w:r w:rsidRPr="00713025">
        <w:t xml:space="preserve">fficer or </w:t>
      </w:r>
      <w:r w:rsidR="00866353">
        <w:t>r</w:t>
      </w:r>
      <w:r w:rsidRPr="00713025">
        <w:t xml:space="preserve">eprisal </w:t>
      </w:r>
      <w:r w:rsidR="00866353">
        <w:t>m</w:t>
      </w:r>
      <w:r w:rsidRPr="00713025">
        <w:t>anager (as applicable) should monitor and review the risk assessment and any mitigation plan as necessary throughout the investigation process.</w:t>
      </w:r>
    </w:p>
    <w:p w14:paraId="3325D64C" w14:textId="386D5E56" w:rsidR="00D265D9" w:rsidRPr="00713025" w:rsidRDefault="00D265D9" w:rsidP="00385B04">
      <w:pPr>
        <w:pStyle w:val="Numberedlist"/>
        <w:numPr>
          <w:ilvl w:val="1"/>
          <w:numId w:val="33"/>
        </w:numPr>
      </w:pPr>
      <w:r w:rsidRPr="00713025">
        <w:t>The investigator may be able to provide useful information about the risk environment over the course of the investigation.</w:t>
      </w:r>
    </w:p>
    <w:p w14:paraId="5AE71ECE" w14:textId="77777777" w:rsidR="005D31B7" w:rsidRPr="00713025" w:rsidRDefault="005D31B7">
      <w:pPr>
        <w:spacing w:before="0" w:after="0"/>
        <w:rPr>
          <w:rFonts w:cs="Arial"/>
          <w:b/>
          <w:bCs/>
          <w:color w:val="3F4A75"/>
          <w:kern w:val="28"/>
          <w:sz w:val="32"/>
          <w:szCs w:val="36"/>
        </w:rPr>
      </w:pPr>
      <w:r w:rsidRPr="00713025">
        <w:br w:type="page"/>
      </w:r>
    </w:p>
    <w:p w14:paraId="7CF3A083" w14:textId="663EB502" w:rsidR="00F02482" w:rsidRPr="00713025" w:rsidRDefault="00F02482" w:rsidP="00385B04">
      <w:pPr>
        <w:pStyle w:val="Heading1"/>
        <w:numPr>
          <w:ilvl w:val="0"/>
          <w:numId w:val="37"/>
        </w:numPr>
      </w:pPr>
      <w:bookmarkStart w:id="75" w:name="_Toc150789965"/>
      <w:r w:rsidRPr="00713025">
        <w:lastRenderedPageBreak/>
        <w:t>PROCEDURES FOR THE PRINCIPAL OFFICER (AND DELEGATES)</w:t>
      </w:r>
      <w:bookmarkEnd w:id="74"/>
      <w:bookmarkEnd w:id="75"/>
    </w:p>
    <w:p w14:paraId="2961AA31" w14:textId="0772AAB4" w:rsidR="00F02482" w:rsidRPr="00713025" w:rsidRDefault="007F16E0" w:rsidP="00803159">
      <w:r w:rsidRPr="00713025">
        <w:rPr>
          <w:noProof/>
          <w:lang w:eastAsia="en-AU"/>
        </w:rPr>
        <w:drawing>
          <wp:inline distT="0" distB="0" distL="0" distR="0" wp14:anchorId="027EF7D2" wp14:editId="5BF5EF61">
            <wp:extent cx="6426835" cy="126365"/>
            <wp:effectExtent l="0" t="0" r="0" b="6985"/>
            <wp:docPr id="168" name="Picture 16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inline>
        </w:drawing>
      </w:r>
    </w:p>
    <w:p w14:paraId="22CAE328" w14:textId="3586899C" w:rsidR="00F02482" w:rsidRPr="00713025" w:rsidRDefault="00F02482" w:rsidP="00D31CC4">
      <w:pPr>
        <w:pStyle w:val="Heading2"/>
        <w:rPr>
          <w:rFonts w:eastAsia="Arial"/>
        </w:rPr>
      </w:pPr>
      <w:bookmarkStart w:id="76" w:name="_Toc150789966"/>
      <w:r w:rsidRPr="00713025">
        <w:rPr>
          <w:rFonts w:eastAsia="Arial"/>
        </w:rPr>
        <w:t xml:space="preserve">Deciding </w:t>
      </w:r>
      <w:proofErr w:type="gramStart"/>
      <w:r w:rsidRPr="00713025">
        <w:rPr>
          <w:rFonts w:eastAsia="Arial"/>
        </w:rPr>
        <w:t>whether or not</w:t>
      </w:r>
      <w:proofErr w:type="gramEnd"/>
      <w:r w:rsidRPr="00713025">
        <w:rPr>
          <w:rFonts w:eastAsia="Arial"/>
        </w:rPr>
        <w:t xml:space="preserve"> to investigate</w:t>
      </w:r>
      <w:bookmarkEnd w:id="76"/>
    </w:p>
    <w:p w14:paraId="73F3C263" w14:textId="77777777" w:rsidR="004149C6" w:rsidRPr="004149C6" w:rsidRDefault="004149C6" w:rsidP="00385B04">
      <w:pPr>
        <w:pStyle w:val="ListParagraph"/>
        <w:numPr>
          <w:ilvl w:val="0"/>
          <w:numId w:val="33"/>
        </w:numPr>
        <w:spacing w:after="120"/>
        <w:rPr>
          <w:rFonts w:cs="Arial"/>
          <w:vanish/>
          <w:sz w:val="21"/>
          <w:szCs w:val="21"/>
        </w:rPr>
      </w:pPr>
      <w:bookmarkStart w:id="77" w:name="_Toc49525286"/>
    </w:p>
    <w:p w14:paraId="6387E2DC" w14:textId="0521923C" w:rsidR="00E87DEA" w:rsidRPr="00713025" w:rsidRDefault="00E87DEA" w:rsidP="00385B04">
      <w:pPr>
        <w:pStyle w:val="Numberedlist"/>
        <w:numPr>
          <w:ilvl w:val="1"/>
          <w:numId w:val="33"/>
        </w:numPr>
      </w:pPr>
      <w:r w:rsidRPr="00713025">
        <w:t xml:space="preserve">The </w:t>
      </w:r>
      <w:r w:rsidR="00841FEF" w:rsidRPr="00713025">
        <w:t>p</w:t>
      </w:r>
      <w:r w:rsidRPr="00713025">
        <w:t xml:space="preserve">rincipal </w:t>
      </w:r>
      <w:r w:rsidR="00841FEF" w:rsidRPr="00713025">
        <w:t>o</w:t>
      </w:r>
      <w:r w:rsidRPr="00713025">
        <w:t xml:space="preserve">fficer or </w:t>
      </w:r>
      <w:r w:rsidR="00841FEF" w:rsidRPr="00713025">
        <w:t xml:space="preserve">their </w:t>
      </w:r>
      <w:r w:rsidRPr="00713025">
        <w:t xml:space="preserve">delegate must, where it is reasonably practicable to do so, within 14 days after a disclosure is allocated to the department, inform the discloser in writing that, under section 48 of the </w:t>
      </w:r>
      <w:r w:rsidR="00B23BE3" w:rsidRPr="00713025">
        <w:t xml:space="preserve">PID </w:t>
      </w:r>
      <w:r w:rsidRPr="00713025">
        <w:t xml:space="preserve">Act, the </w:t>
      </w:r>
      <w:r w:rsidR="00841FEF" w:rsidRPr="00713025">
        <w:t>p</w:t>
      </w:r>
      <w:r w:rsidRPr="00713025">
        <w:t xml:space="preserve">rincipal </w:t>
      </w:r>
      <w:r w:rsidR="00841FEF" w:rsidRPr="00713025">
        <w:t>o</w:t>
      </w:r>
      <w:r w:rsidRPr="00713025">
        <w:t>fficer or delegate may decide:</w:t>
      </w:r>
    </w:p>
    <w:p w14:paraId="6F16ED42" w14:textId="6D73FD54" w:rsidR="00E87DEA" w:rsidRPr="005C1C7D" w:rsidRDefault="00E87DEA" w:rsidP="005C1C7D">
      <w:pPr>
        <w:pStyle w:val="Numberedlist"/>
        <w:numPr>
          <w:ilvl w:val="0"/>
          <w:numId w:val="12"/>
        </w:numPr>
        <w:spacing w:before="60" w:after="60"/>
        <w:ind w:left="1134" w:hanging="340"/>
      </w:pPr>
      <w:r w:rsidRPr="005C1C7D">
        <w:t>not to investigate the disclosure; or</w:t>
      </w:r>
    </w:p>
    <w:p w14:paraId="4983E94A" w14:textId="77777777" w:rsidR="00387E2B" w:rsidRPr="005C1C7D" w:rsidRDefault="00E87DEA" w:rsidP="005C1C7D">
      <w:pPr>
        <w:pStyle w:val="Numberedlist"/>
        <w:numPr>
          <w:ilvl w:val="0"/>
          <w:numId w:val="12"/>
        </w:numPr>
        <w:spacing w:before="60" w:after="60"/>
        <w:ind w:left="1134" w:hanging="340"/>
      </w:pPr>
      <w:r w:rsidRPr="005C1C7D">
        <w:t>not to investigate the disclosure further</w:t>
      </w:r>
      <w:r w:rsidR="00457445" w:rsidRPr="005C1C7D">
        <w:t>; or</w:t>
      </w:r>
    </w:p>
    <w:p w14:paraId="5D98E6EC" w14:textId="1A6D2459" w:rsidR="00E87DEA" w:rsidRPr="005C1C7D" w:rsidRDefault="00387E2B" w:rsidP="005C1C7D">
      <w:pPr>
        <w:pStyle w:val="Numberedlist"/>
        <w:numPr>
          <w:ilvl w:val="0"/>
          <w:numId w:val="12"/>
        </w:numPr>
        <w:spacing w:before="60" w:after="60"/>
        <w:ind w:left="1134" w:hanging="340"/>
      </w:pPr>
      <w:r w:rsidRPr="005C1C7D">
        <w:t>that the conduct disclosed would be more appropriately investigated under another law or power</w:t>
      </w:r>
      <w:r w:rsidR="00E87DEA" w:rsidRPr="005C1C7D">
        <w:t>.</w:t>
      </w:r>
    </w:p>
    <w:p w14:paraId="4DDFE5F1" w14:textId="17E61904" w:rsidR="00E87DEA" w:rsidRPr="00713025" w:rsidRDefault="00E87DEA" w:rsidP="00385B04">
      <w:pPr>
        <w:pStyle w:val="Numberedlist"/>
        <w:numPr>
          <w:ilvl w:val="1"/>
          <w:numId w:val="33"/>
        </w:numPr>
      </w:pPr>
      <w:r w:rsidRPr="00713025">
        <w:t xml:space="preserve">The discloser must also be informed of the grounds on which that decision can be taken. Ordinarily, this information will have been provided to the discloser by the </w:t>
      </w:r>
      <w:r w:rsidR="00841FEF" w:rsidRPr="00713025">
        <w:t>a</w:t>
      </w:r>
      <w:r w:rsidRPr="00713025">
        <w:t xml:space="preserve">uthorised </w:t>
      </w:r>
      <w:r w:rsidR="00841FEF" w:rsidRPr="00713025">
        <w:t>o</w:t>
      </w:r>
      <w:r w:rsidRPr="00713025">
        <w:t>fficer at the time of allocation.</w:t>
      </w:r>
    </w:p>
    <w:p w14:paraId="21853235" w14:textId="276EA22F" w:rsidR="00E87DEA" w:rsidRPr="00713025" w:rsidRDefault="00E87DEA" w:rsidP="00385B04">
      <w:pPr>
        <w:pStyle w:val="Numberedlist"/>
        <w:numPr>
          <w:ilvl w:val="1"/>
          <w:numId w:val="33"/>
        </w:numPr>
      </w:pPr>
      <w:r w:rsidRPr="00713025">
        <w:t xml:space="preserve">The </w:t>
      </w:r>
      <w:r w:rsidR="00841FEF" w:rsidRPr="00713025">
        <w:t>p</w:t>
      </w:r>
      <w:r w:rsidRPr="00713025">
        <w:t xml:space="preserve">rincipal </w:t>
      </w:r>
      <w:r w:rsidR="00841FEF" w:rsidRPr="00713025">
        <w:t>o</w:t>
      </w:r>
      <w:r w:rsidRPr="00713025">
        <w:t xml:space="preserve">fficer or delegate must, as soon as practicable after receiving an allocation of a disclosure from an </w:t>
      </w:r>
      <w:r w:rsidR="00841FEF" w:rsidRPr="00713025">
        <w:t>a</w:t>
      </w:r>
      <w:r w:rsidRPr="00713025">
        <w:t xml:space="preserve">uthorised </w:t>
      </w:r>
      <w:r w:rsidR="00841FEF" w:rsidRPr="00713025">
        <w:t>o</w:t>
      </w:r>
      <w:r w:rsidRPr="00713025">
        <w:t>fficer consider whether to exercise the discretion under s</w:t>
      </w:r>
      <w:r w:rsidR="00CA0384" w:rsidRPr="00713025">
        <w:t>ection</w:t>
      </w:r>
      <w:r w:rsidRPr="00713025">
        <w:t xml:space="preserve"> 48 of the </w:t>
      </w:r>
      <w:r w:rsidR="00B23BE3" w:rsidRPr="00713025">
        <w:t xml:space="preserve">PID </w:t>
      </w:r>
      <w:r w:rsidRPr="00713025">
        <w:t xml:space="preserve">Act not to investigate the disclosure under the </w:t>
      </w:r>
      <w:r w:rsidR="00B23BE3" w:rsidRPr="00713025">
        <w:t>PI</w:t>
      </w:r>
      <w:r w:rsidR="00F47D09" w:rsidRPr="00713025">
        <w:t xml:space="preserve">D </w:t>
      </w:r>
      <w:r w:rsidRPr="00713025">
        <w:t>Act.</w:t>
      </w:r>
    </w:p>
    <w:p w14:paraId="0DE3E510" w14:textId="2C81C5AF" w:rsidR="00E87DEA" w:rsidRPr="00713025" w:rsidRDefault="00E87DEA" w:rsidP="00385B04">
      <w:pPr>
        <w:pStyle w:val="Numberedlist"/>
        <w:numPr>
          <w:ilvl w:val="1"/>
          <w:numId w:val="33"/>
        </w:numPr>
      </w:pPr>
      <w:r w:rsidRPr="00713025">
        <w:t xml:space="preserve">In broad terms, the </w:t>
      </w:r>
      <w:r w:rsidR="00B23BE3" w:rsidRPr="00713025">
        <w:t>p</w:t>
      </w:r>
      <w:r w:rsidRPr="00713025">
        <w:t xml:space="preserve">rincipal </w:t>
      </w:r>
      <w:r w:rsidR="00B23BE3" w:rsidRPr="00713025">
        <w:t>o</w:t>
      </w:r>
      <w:r w:rsidRPr="00713025">
        <w:t>fficer or delegate may decide not to investigate if:</w:t>
      </w:r>
    </w:p>
    <w:p w14:paraId="7AD74710" w14:textId="5C5245C8" w:rsidR="00E87DEA" w:rsidRPr="005C1C7D" w:rsidRDefault="00E87DEA" w:rsidP="005C1C7D">
      <w:pPr>
        <w:pStyle w:val="Numberedlist"/>
        <w:numPr>
          <w:ilvl w:val="0"/>
          <w:numId w:val="12"/>
        </w:numPr>
        <w:spacing w:before="60" w:after="60"/>
        <w:ind w:left="1134" w:hanging="340"/>
      </w:pPr>
      <w:r w:rsidRPr="005C1C7D">
        <w:t xml:space="preserve">the discloser is not a current or former public official (and a determination has not been made under section 70 of the </w:t>
      </w:r>
      <w:r w:rsidR="000F258D" w:rsidRPr="005C1C7D">
        <w:t xml:space="preserve">PID </w:t>
      </w:r>
      <w:r w:rsidRPr="005C1C7D">
        <w:t>Act); or</w:t>
      </w:r>
    </w:p>
    <w:p w14:paraId="2FCE301E" w14:textId="0AB02060" w:rsidR="00E87DEA" w:rsidRPr="005C1C7D" w:rsidRDefault="00E87DEA" w:rsidP="005C1C7D">
      <w:pPr>
        <w:pStyle w:val="Numberedlist"/>
        <w:numPr>
          <w:ilvl w:val="0"/>
          <w:numId w:val="12"/>
        </w:numPr>
        <w:spacing w:before="60" w:after="60"/>
        <w:ind w:left="1134" w:hanging="340"/>
      </w:pPr>
      <w:r w:rsidRPr="005C1C7D">
        <w:t>the information does not to any extent concern serious disclosable conduct; or</w:t>
      </w:r>
    </w:p>
    <w:p w14:paraId="1418B9C1" w14:textId="0DB07A79" w:rsidR="00E87DEA" w:rsidRPr="005C1C7D" w:rsidRDefault="00E87DEA" w:rsidP="005C1C7D">
      <w:pPr>
        <w:pStyle w:val="Numberedlist"/>
        <w:numPr>
          <w:ilvl w:val="0"/>
          <w:numId w:val="12"/>
        </w:numPr>
        <w:spacing w:before="60" w:after="60"/>
        <w:ind w:left="1134" w:hanging="340"/>
      </w:pPr>
      <w:r w:rsidRPr="005C1C7D">
        <w:t>the disclosure is frivolous or vexatious; or</w:t>
      </w:r>
    </w:p>
    <w:p w14:paraId="6D320A53" w14:textId="2D7EDD52" w:rsidR="0096130F" w:rsidRPr="002F37B9" w:rsidRDefault="00E87DEA" w:rsidP="002F37B9">
      <w:pPr>
        <w:pStyle w:val="Numberedlist"/>
        <w:numPr>
          <w:ilvl w:val="0"/>
          <w:numId w:val="12"/>
        </w:numPr>
        <w:spacing w:before="60" w:after="60"/>
        <w:ind w:left="1134" w:hanging="340"/>
      </w:pPr>
      <w:r w:rsidRPr="002F37B9">
        <w:t>the information is the same or substantially the same as a disclosure that has been investigated under the</w:t>
      </w:r>
      <w:r w:rsidR="003C25F9" w:rsidRPr="002F37B9">
        <w:t xml:space="preserve"> PID</w:t>
      </w:r>
      <w:r w:rsidRPr="002F37B9">
        <w:t xml:space="preserve"> Act; </w:t>
      </w:r>
      <w:r w:rsidR="0096130F" w:rsidRPr="002F37B9">
        <w:t>and</w:t>
      </w:r>
    </w:p>
    <w:p w14:paraId="75D2FA60" w14:textId="5FEE851F" w:rsidR="00131E5F" w:rsidRPr="005C1C7D" w:rsidRDefault="00131E5F" w:rsidP="005C1C7D">
      <w:pPr>
        <w:pStyle w:val="ListBullet"/>
        <w:ind w:left="1548" w:hanging="357"/>
        <w:rPr>
          <w:szCs w:val="21"/>
        </w:rPr>
      </w:pPr>
      <w:r w:rsidRPr="005C1C7D">
        <w:rPr>
          <w:szCs w:val="21"/>
        </w:rPr>
        <w:t>a decision was previously made under to not investigate the earlier disclosure, or not to investigate the earlier disclosure further; or</w:t>
      </w:r>
    </w:p>
    <w:p w14:paraId="139AE633" w14:textId="57A1D3B3" w:rsidR="00E87DEA" w:rsidRPr="002F37B9" w:rsidRDefault="00131E5F" w:rsidP="002F37B9">
      <w:pPr>
        <w:pStyle w:val="ListBullet"/>
        <w:ind w:left="1548" w:hanging="357"/>
        <w:rPr>
          <w:szCs w:val="21"/>
        </w:rPr>
      </w:pPr>
      <w:r w:rsidRPr="002F37B9">
        <w:rPr>
          <w:szCs w:val="21"/>
        </w:rPr>
        <w:t xml:space="preserve">the earlier disclosure has been, or is being, investigated as a disclosure investigation; </w:t>
      </w:r>
      <w:r w:rsidR="00E87DEA" w:rsidRPr="002F37B9">
        <w:rPr>
          <w:szCs w:val="21"/>
        </w:rPr>
        <w:t>or</w:t>
      </w:r>
    </w:p>
    <w:p w14:paraId="6A41C834" w14:textId="4CE036AE" w:rsidR="007C5835" w:rsidRPr="00C8187C" w:rsidRDefault="007C5835" w:rsidP="00C8187C">
      <w:pPr>
        <w:pStyle w:val="Numberedlist"/>
        <w:numPr>
          <w:ilvl w:val="0"/>
          <w:numId w:val="12"/>
        </w:numPr>
        <w:spacing w:before="60" w:after="60"/>
        <w:ind w:left="1134" w:hanging="340"/>
      </w:pPr>
      <w:r w:rsidRPr="00C8187C">
        <w:t xml:space="preserve">the conduct disclosed, or substantially the same conduct, is being investigated under another law or power, and the principal officer is satisfied, on reasonable grounds, that it would be inappropriate to </w:t>
      </w:r>
      <w:proofErr w:type="gramStart"/>
      <w:r w:rsidRPr="00C8187C">
        <w:t>conduct an investigation</w:t>
      </w:r>
      <w:proofErr w:type="gramEnd"/>
      <w:r w:rsidRPr="00C8187C">
        <w:t xml:space="preserve"> under th</w:t>
      </w:r>
      <w:r w:rsidR="00886AFD" w:rsidRPr="00C8187C">
        <w:t>e PID</w:t>
      </w:r>
      <w:r w:rsidRPr="00C8187C">
        <w:t xml:space="preserve"> Act at the same time; or</w:t>
      </w:r>
    </w:p>
    <w:p w14:paraId="78AA568B" w14:textId="064C5EA2" w:rsidR="007C5835" w:rsidRPr="00C8187C" w:rsidRDefault="007C5835" w:rsidP="00C8187C">
      <w:pPr>
        <w:pStyle w:val="Numberedlist"/>
        <w:numPr>
          <w:ilvl w:val="0"/>
          <w:numId w:val="12"/>
        </w:numPr>
        <w:spacing w:before="60" w:after="60"/>
        <w:ind w:left="1134" w:hanging="340"/>
      </w:pPr>
      <w:r w:rsidRPr="00C8187C">
        <w:t xml:space="preserve">the conduct disclosed, or substantially the same conduct, has been investigated under another law or power, and the </w:t>
      </w:r>
      <w:r w:rsidR="00246C83" w:rsidRPr="00C8187C">
        <w:t>p</w:t>
      </w:r>
      <w:r w:rsidRPr="00C8187C">
        <w:t xml:space="preserve">rincipal </w:t>
      </w:r>
      <w:r w:rsidR="00246C83" w:rsidRPr="00C8187C">
        <w:t>o</w:t>
      </w:r>
      <w:r w:rsidRPr="00C8187C">
        <w:t>fficer is satisfied, on reasonable grounds, that there are no further matters concerning the conduct that warrant investigation; or</w:t>
      </w:r>
    </w:p>
    <w:p w14:paraId="39C702AA" w14:textId="2C56D76E" w:rsidR="007C5835" w:rsidRPr="00C8187C" w:rsidRDefault="007C5835" w:rsidP="00C8187C">
      <w:pPr>
        <w:pStyle w:val="Numberedlist"/>
        <w:numPr>
          <w:ilvl w:val="0"/>
          <w:numId w:val="12"/>
        </w:numPr>
        <w:spacing w:before="60" w:after="60"/>
        <w:ind w:left="1134" w:hanging="340"/>
      </w:pPr>
      <w:r w:rsidRPr="00C8187C">
        <w:t xml:space="preserve">the </w:t>
      </w:r>
      <w:r w:rsidR="00246C83" w:rsidRPr="00C8187C">
        <w:t>p</w:t>
      </w:r>
      <w:r w:rsidRPr="00C8187C">
        <w:t xml:space="preserve">rincipal </w:t>
      </w:r>
      <w:r w:rsidR="00246C83" w:rsidRPr="00C8187C">
        <w:t>o</w:t>
      </w:r>
      <w:r w:rsidRPr="00C8187C">
        <w:t>fficer is satisfied, on reasonable grounds, that the conduct disclosed would be more appropriately investigated under another law or power (but not only because the conduct disclosed raises a corruption issue); or</w:t>
      </w:r>
    </w:p>
    <w:p w14:paraId="22BE0A74" w14:textId="3A63D2B4" w:rsidR="007C5835" w:rsidRPr="00C8187C" w:rsidRDefault="00BE2A82" w:rsidP="00C8187C">
      <w:pPr>
        <w:pStyle w:val="Numberedlist"/>
        <w:numPr>
          <w:ilvl w:val="0"/>
          <w:numId w:val="12"/>
        </w:numPr>
        <w:spacing w:before="60" w:after="60"/>
        <w:ind w:left="1134" w:hanging="340"/>
      </w:pPr>
      <w:r w:rsidRPr="00C8187C">
        <w:t>b</w:t>
      </w:r>
      <w:r w:rsidR="007C5835" w:rsidRPr="00C8187C">
        <w:t>oth:</w:t>
      </w:r>
    </w:p>
    <w:p w14:paraId="6FA3BDAF" w14:textId="596FA21F" w:rsidR="007C5835" w:rsidRPr="00C8187C" w:rsidRDefault="00BE2A82" w:rsidP="00C8187C">
      <w:pPr>
        <w:pStyle w:val="ListBullet"/>
        <w:ind w:left="1548" w:hanging="357"/>
        <w:rPr>
          <w:szCs w:val="21"/>
        </w:rPr>
      </w:pPr>
      <w:r w:rsidRPr="00C8187C">
        <w:rPr>
          <w:szCs w:val="21"/>
        </w:rPr>
        <w:t>t</w:t>
      </w:r>
      <w:r w:rsidR="007C5835" w:rsidRPr="00C8187C">
        <w:rPr>
          <w:szCs w:val="21"/>
        </w:rPr>
        <w:t xml:space="preserve">he </w:t>
      </w:r>
      <w:r w:rsidR="00246C83" w:rsidRPr="00C8187C">
        <w:rPr>
          <w:szCs w:val="21"/>
        </w:rPr>
        <w:t>p</w:t>
      </w:r>
      <w:r w:rsidR="007C5835" w:rsidRPr="00C8187C">
        <w:rPr>
          <w:szCs w:val="21"/>
        </w:rPr>
        <w:t xml:space="preserve">rincipal </w:t>
      </w:r>
      <w:r w:rsidR="00246C83" w:rsidRPr="00C8187C">
        <w:rPr>
          <w:szCs w:val="21"/>
        </w:rPr>
        <w:t>o</w:t>
      </w:r>
      <w:r w:rsidR="007C5835" w:rsidRPr="00C8187C">
        <w:rPr>
          <w:szCs w:val="21"/>
        </w:rPr>
        <w:t xml:space="preserve">fficer has been informed by the discloser, an </w:t>
      </w:r>
      <w:r w:rsidR="00246C83" w:rsidRPr="00C8187C">
        <w:rPr>
          <w:szCs w:val="21"/>
        </w:rPr>
        <w:t>a</w:t>
      </w:r>
      <w:r w:rsidR="007C5835" w:rsidRPr="00C8187C">
        <w:rPr>
          <w:szCs w:val="21"/>
        </w:rPr>
        <w:t xml:space="preserve">uthorised </w:t>
      </w:r>
      <w:r w:rsidR="00246C83" w:rsidRPr="00C8187C">
        <w:rPr>
          <w:szCs w:val="21"/>
        </w:rPr>
        <w:t>o</w:t>
      </w:r>
      <w:r w:rsidR="007C5835" w:rsidRPr="00C8187C">
        <w:rPr>
          <w:szCs w:val="21"/>
        </w:rPr>
        <w:t xml:space="preserve">fficer of the department or a </w:t>
      </w:r>
      <w:r w:rsidR="00246C83" w:rsidRPr="00C8187C">
        <w:rPr>
          <w:szCs w:val="21"/>
        </w:rPr>
        <w:t>p</w:t>
      </w:r>
      <w:r w:rsidR="007C5835" w:rsidRPr="00C8187C">
        <w:rPr>
          <w:szCs w:val="21"/>
        </w:rPr>
        <w:t xml:space="preserve">rincipal </w:t>
      </w:r>
      <w:r w:rsidR="00246C83" w:rsidRPr="00C8187C">
        <w:rPr>
          <w:szCs w:val="21"/>
        </w:rPr>
        <w:t>o</w:t>
      </w:r>
      <w:r w:rsidR="007C5835" w:rsidRPr="00C8187C">
        <w:rPr>
          <w:szCs w:val="21"/>
        </w:rPr>
        <w:t xml:space="preserve">fficer or </w:t>
      </w:r>
      <w:r w:rsidR="00246C83" w:rsidRPr="00C8187C">
        <w:rPr>
          <w:szCs w:val="21"/>
        </w:rPr>
        <w:t>a</w:t>
      </w:r>
      <w:r w:rsidR="007C5835" w:rsidRPr="00C8187C">
        <w:rPr>
          <w:szCs w:val="21"/>
        </w:rPr>
        <w:t xml:space="preserve">uthorised </w:t>
      </w:r>
      <w:r w:rsidR="00246C83" w:rsidRPr="00C8187C">
        <w:rPr>
          <w:szCs w:val="21"/>
        </w:rPr>
        <w:t>o</w:t>
      </w:r>
      <w:r w:rsidR="007C5835" w:rsidRPr="00C8187C">
        <w:rPr>
          <w:szCs w:val="21"/>
        </w:rPr>
        <w:t>fficer of another agency that the discloser does not wish the investigation of the disclosure to be pursued; and</w:t>
      </w:r>
    </w:p>
    <w:p w14:paraId="094A52B1" w14:textId="566E3758" w:rsidR="00E87DEA" w:rsidRPr="006C5243" w:rsidRDefault="00BE2A82" w:rsidP="006C5243">
      <w:pPr>
        <w:pStyle w:val="ListBullet"/>
        <w:ind w:left="1548" w:hanging="357"/>
        <w:rPr>
          <w:szCs w:val="21"/>
        </w:rPr>
      </w:pPr>
      <w:r w:rsidRPr="006C5243">
        <w:rPr>
          <w:szCs w:val="21"/>
        </w:rPr>
        <w:t>t</w:t>
      </w:r>
      <w:r w:rsidR="007C5835" w:rsidRPr="006C5243">
        <w:rPr>
          <w:szCs w:val="21"/>
        </w:rPr>
        <w:t>he first-mentioned principal officer is satisfied, on reasonable grounds, that there are no matters concerning the disclosure that warrant investigation; or</w:t>
      </w:r>
      <w:r w:rsidRPr="006C5243">
        <w:rPr>
          <w:szCs w:val="21"/>
        </w:rPr>
        <w:t xml:space="preserve"> </w:t>
      </w:r>
    </w:p>
    <w:p w14:paraId="035313D1" w14:textId="3A6A9E8D" w:rsidR="00E87DEA" w:rsidRPr="006C5243" w:rsidRDefault="00E87DEA" w:rsidP="006C5243">
      <w:pPr>
        <w:pStyle w:val="Numberedlist"/>
        <w:numPr>
          <w:ilvl w:val="0"/>
          <w:numId w:val="12"/>
        </w:numPr>
        <w:spacing w:before="60" w:after="60"/>
        <w:ind w:left="1134" w:hanging="340"/>
      </w:pPr>
      <w:r w:rsidRPr="006C5243">
        <w:t>it is impracticable to investigate the disclosure because:</w:t>
      </w:r>
    </w:p>
    <w:p w14:paraId="252BF649" w14:textId="5D4DFC31" w:rsidR="00E87DEA" w:rsidRPr="006C5243" w:rsidRDefault="00E87DEA" w:rsidP="006C5243">
      <w:pPr>
        <w:pStyle w:val="ListBullet"/>
        <w:ind w:left="1548" w:hanging="357"/>
        <w:rPr>
          <w:szCs w:val="21"/>
        </w:rPr>
      </w:pPr>
      <w:r w:rsidRPr="006C5243">
        <w:rPr>
          <w:szCs w:val="21"/>
        </w:rPr>
        <w:lastRenderedPageBreak/>
        <w:t>the discloser</w:t>
      </w:r>
      <w:r w:rsidR="00886AFD" w:rsidRPr="006C5243">
        <w:rPr>
          <w:szCs w:val="21"/>
        </w:rPr>
        <w:t>’</w:t>
      </w:r>
      <w:r w:rsidRPr="006C5243">
        <w:rPr>
          <w:szCs w:val="21"/>
        </w:rPr>
        <w:t>s name and contact details have not been disclosed; or</w:t>
      </w:r>
    </w:p>
    <w:p w14:paraId="2294100A" w14:textId="2952F49E" w:rsidR="00E87DEA" w:rsidRPr="006C5243" w:rsidRDefault="00E87DEA" w:rsidP="006C5243">
      <w:pPr>
        <w:pStyle w:val="ListBullet"/>
        <w:ind w:left="1548" w:hanging="357"/>
        <w:rPr>
          <w:szCs w:val="21"/>
        </w:rPr>
      </w:pPr>
      <w:r w:rsidRPr="006C5243">
        <w:rPr>
          <w:szCs w:val="21"/>
        </w:rPr>
        <w:t>the discloser has refused or has failed or is unable to give the investigator the information or assistance the investigator has requested; or</w:t>
      </w:r>
    </w:p>
    <w:p w14:paraId="25381817" w14:textId="03D14C21" w:rsidR="00E87DEA" w:rsidRPr="006C5243" w:rsidRDefault="00E87DEA" w:rsidP="006C5243">
      <w:pPr>
        <w:pStyle w:val="ListBullet"/>
        <w:ind w:left="1548" w:hanging="357"/>
        <w:rPr>
          <w:szCs w:val="21"/>
        </w:rPr>
      </w:pPr>
      <w:r w:rsidRPr="006C5243">
        <w:rPr>
          <w:szCs w:val="21"/>
        </w:rPr>
        <w:t>of the age of the information.</w:t>
      </w:r>
    </w:p>
    <w:p w14:paraId="7400F6A1" w14:textId="01CD3880" w:rsidR="00E87DEA" w:rsidRPr="00713025" w:rsidRDefault="00E87DEA" w:rsidP="00385B04">
      <w:pPr>
        <w:pStyle w:val="Numberedlist"/>
        <w:numPr>
          <w:ilvl w:val="1"/>
          <w:numId w:val="33"/>
        </w:numPr>
      </w:pPr>
      <w:r w:rsidRPr="00713025">
        <w:t xml:space="preserve">If none of the above grounds apply, the </w:t>
      </w:r>
      <w:r w:rsidR="00246C83" w:rsidRPr="00713025">
        <w:t>p</w:t>
      </w:r>
      <w:r w:rsidRPr="00713025">
        <w:t xml:space="preserve">rincipal </w:t>
      </w:r>
      <w:r w:rsidR="00246C83" w:rsidRPr="00713025">
        <w:t>o</w:t>
      </w:r>
      <w:r w:rsidRPr="00713025">
        <w:t xml:space="preserve">fficer (or delegate) is required to </w:t>
      </w:r>
      <w:proofErr w:type="gramStart"/>
      <w:r w:rsidRPr="00713025">
        <w:t>conduct an investigation</w:t>
      </w:r>
      <w:proofErr w:type="gramEnd"/>
      <w:r w:rsidRPr="00713025">
        <w:t>.</w:t>
      </w:r>
    </w:p>
    <w:p w14:paraId="1BCFB507" w14:textId="4A7F75C3" w:rsidR="00F97ED4" w:rsidRPr="00713025" w:rsidRDefault="00246C83" w:rsidP="00385B04">
      <w:pPr>
        <w:pStyle w:val="Numberedlist"/>
        <w:numPr>
          <w:ilvl w:val="1"/>
          <w:numId w:val="33"/>
        </w:numPr>
      </w:pPr>
      <w:r w:rsidRPr="00713025">
        <w:t>Section 73 of the PID Act provides that the Secretary is the</w:t>
      </w:r>
      <w:r w:rsidR="00356284" w:rsidRPr="00713025">
        <w:t xml:space="preserve"> </w:t>
      </w:r>
      <w:r w:rsidRPr="00713025">
        <w:t>p</w:t>
      </w:r>
      <w:r w:rsidR="00356284" w:rsidRPr="00713025">
        <w:t xml:space="preserve">rincipal </w:t>
      </w:r>
      <w:r w:rsidRPr="00713025">
        <w:t>o</w:t>
      </w:r>
      <w:r w:rsidR="00356284" w:rsidRPr="00713025">
        <w:t xml:space="preserve">fficer </w:t>
      </w:r>
      <w:r w:rsidRPr="00713025">
        <w:t>of the department. The principal officer, in addition to authorised officers, must</w:t>
      </w:r>
      <w:r w:rsidR="00356284" w:rsidRPr="00713025">
        <w:t xml:space="preserve"> also consider whether </w:t>
      </w:r>
      <w:r w:rsidR="00F97ED4" w:rsidRPr="00713025">
        <w:t>a</w:t>
      </w:r>
      <w:r w:rsidR="00356284" w:rsidRPr="00713025">
        <w:t xml:space="preserve"> disclosure must be referred to the </w:t>
      </w:r>
      <w:r w:rsidR="00F97ED4" w:rsidRPr="00713025">
        <w:t xml:space="preserve">NACC if the principal officer becomes aware of a corruption issue </w:t>
      </w:r>
      <w:proofErr w:type="gramStart"/>
      <w:r w:rsidR="00F97ED4" w:rsidRPr="00713025">
        <w:t>in the course of</w:t>
      </w:r>
      <w:proofErr w:type="gramEnd"/>
      <w:r w:rsidR="00F97ED4" w:rsidRPr="00713025">
        <w:t xml:space="preserve"> performing or exercising functions or powers under the PID Act. To enliven the mandatory referral obligation, the corruption issue must be one that: </w:t>
      </w:r>
    </w:p>
    <w:p w14:paraId="01C96C3B" w14:textId="31F7E178" w:rsidR="00F97ED4" w:rsidRPr="00713025" w:rsidRDefault="00F97ED4" w:rsidP="003F70A8">
      <w:pPr>
        <w:pStyle w:val="Numberedlist"/>
        <w:numPr>
          <w:ilvl w:val="0"/>
          <w:numId w:val="12"/>
        </w:numPr>
        <w:spacing w:before="60" w:after="60"/>
        <w:ind w:left="1134" w:hanging="340"/>
      </w:pPr>
      <w:r w:rsidRPr="00713025">
        <w:t>concerns the</w:t>
      </w:r>
      <w:r w:rsidR="00431D62" w:rsidRPr="00713025">
        <w:t xml:space="preserve"> conduct of a person who is or was a </w:t>
      </w:r>
      <w:r w:rsidR="00431D62" w:rsidRPr="003F70A8">
        <w:rPr>
          <w:b/>
          <w:bCs/>
        </w:rPr>
        <w:t>member of staff</w:t>
      </w:r>
      <w:r w:rsidR="00431D62" w:rsidRPr="00713025">
        <w:t xml:space="preserve"> at the department, at the time of the conduct</w:t>
      </w:r>
      <w:r w:rsidRPr="00713025">
        <w:t xml:space="preserve">; and </w:t>
      </w:r>
    </w:p>
    <w:p w14:paraId="61425AF4" w14:textId="3912B6FD" w:rsidR="00431D62" w:rsidRPr="00713025" w:rsidRDefault="00F97ED4" w:rsidP="003F70A8">
      <w:pPr>
        <w:pStyle w:val="Numberedlist"/>
        <w:numPr>
          <w:ilvl w:val="0"/>
          <w:numId w:val="12"/>
        </w:numPr>
        <w:spacing w:before="60" w:after="60"/>
        <w:ind w:left="1134" w:hanging="340"/>
      </w:pPr>
      <w:r w:rsidRPr="00713025">
        <w:t xml:space="preserve">the principal officer suspects the issue could involve </w:t>
      </w:r>
      <w:r w:rsidRPr="003F70A8">
        <w:rPr>
          <w:b/>
          <w:bCs/>
        </w:rPr>
        <w:t>serious or systemic corrupt conduct</w:t>
      </w:r>
      <w:r w:rsidRPr="00713025">
        <w:t>.</w:t>
      </w:r>
    </w:p>
    <w:p w14:paraId="06F99116" w14:textId="0C9354AD" w:rsidR="00F97ED4" w:rsidRPr="00713025" w:rsidRDefault="00F97ED4" w:rsidP="00385B04">
      <w:pPr>
        <w:pStyle w:val="Numberedlist"/>
        <w:numPr>
          <w:ilvl w:val="1"/>
          <w:numId w:val="33"/>
        </w:numPr>
      </w:pPr>
      <w:r w:rsidRPr="00713025">
        <w:t xml:space="preserve">The obligation to refer certain corruption issues to the NACC is a continuing obligation that applies throughout the course of the PID matter (see </w:t>
      </w:r>
      <w:r w:rsidR="00713025">
        <w:t xml:space="preserve">Part </w:t>
      </w:r>
      <w:r w:rsidRPr="00713025">
        <w:t xml:space="preserve">4 of these </w:t>
      </w:r>
      <w:r w:rsidR="00713025">
        <w:t>p</w:t>
      </w:r>
      <w:r w:rsidRPr="00713025">
        <w:t>rocedures).</w:t>
      </w:r>
    </w:p>
    <w:p w14:paraId="49A82A45" w14:textId="46E42EB9" w:rsidR="00431D62" w:rsidRPr="00713025" w:rsidRDefault="004B3979" w:rsidP="00385B04">
      <w:pPr>
        <w:pStyle w:val="Numberedlist"/>
        <w:numPr>
          <w:ilvl w:val="1"/>
          <w:numId w:val="33"/>
        </w:numPr>
      </w:pPr>
      <w:r w:rsidRPr="00713025">
        <w:t xml:space="preserve">This obligation is separate to the obligation under section 33 under the NACC Act </w:t>
      </w:r>
      <w:r w:rsidR="007572EF" w:rsidRPr="00713025">
        <w:t>for agency heads to refer corruption issues to the NACC. The</w:t>
      </w:r>
      <w:r w:rsidR="003912A6" w:rsidRPr="00713025">
        <w:t xml:space="preserve"> </w:t>
      </w:r>
      <w:r w:rsidR="00431D62" w:rsidRPr="00713025">
        <w:t>Secretary</w:t>
      </w:r>
      <w:r w:rsidR="007572EF" w:rsidRPr="00713025">
        <w:t>, as the department’s agency head</w:t>
      </w:r>
      <w:r w:rsidR="00431D62" w:rsidRPr="00713025">
        <w:t xml:space="preserve"> must </w:t>
      </w:r>
      <w:r w:rsidR="007572EF" w:rsidRPr="00713025">
        <w:t>also refer certain</w:t>
      </w:r>
      <w:r w:rsidR="00431D62" w:rsidRPr="00713025">
        <w:t xml:space="preserve"> corruption issue</w:t>
      </w:r>
      <w:r w:rsidR="007572EF" w:rsidRPr="00713025">
        <w:t>s</w:t>
      </w:r>
      <w:r w:rsidR="00431D62" w:rsidRPr="00713025">
        <w:t xml:space="preserve"> to the NACC</w:t>
      </w:r>
      <w:r w:rsidR="007572EF" w:rsidRPr="00713025">
        <w:t xml:space="preserve">. </w:t>
      </w:r>
      <w:r w:rsidR="00431D62" w:rsidRPr="00713025">
        <w:t xml:space="preserve"> </w:t>
      </w:r>
    </w:p>
    <w:p w14:paraId="15475205" w14:textId="3D2C5D58" w:rsidR="00F02482" w:rsidRPr="00713025" w:rsidRDefault="00F02482" w:rsidP="00D31CC4">
      <w:pPr>
        <w:pStyle w:val="Heading2"/>
        <w:rPr>
          <w:rFonts w:eastAsia="Arial"/>
        </w:rPr>
      </w:pPr>
      <w:bookmarkStart w:id="78" w:name="_Toc150789967"/>
      <w:r w:rsidRPr="00713025">
        <w:rPr>
          <w:rFonts w:eastAsia="Arial"/>
        </w:rPr>
        <w:t>Notifying the discloser and the Ombudsman</w:t>
      </w:r>
      <w:bookmarkEnd w:id="77"/>
      <w:bookmarkEnd w:id="78"/>
    </w:p>
    <w:p w14:paraId="6C223858" w14:textId="77777777" w:rsidR="00F02482" w:rsidRPr="00713025" w:rsidRDefault="00F02482" w:rsidP="00D31CC4">
      <w:pPr>
        <w:pStyle w:val="Heading3"/>
        <w:rPr>
          <w:szCs w:val="22"/>
        </w:rPr>
      </w:pPr>
      <w:bookmarkStart w:id="79" w:name="_Toc150789968"/>
      <w:r w:rsidRPr="00713025">
        <w:rPr>
          <w:rFonts w:eastAsiaTheme="minorHAnsi"/>
        </w:rPr>
        <w:t xml:space="preserve">Decision not to </w:t>
      </w:r>
      <w:proofErr w:type="gramStart"/>
      <w:r w:rsidRPr="00713025">
        <w:rPr>
          <w:rFonts w:eastAsiaTheme="minorHAnsi"/>
        </w:rPr>
        <w:t>investigate</w:t>
      </w:r>
      <w:bookmarkEnd w:id="79"/>
      <w:proofErr w:type="gramEnd"/>
      <w:r w:rsidRPr="00713025">
        <w:rPr>
          <w:rFonts w:eastAsiaTheme="minorHAnsi"/>
        </w:rPr>
        <w:t xml:space="preserve"> </w:t>
      </w:r>
    </w:p>
    <w:p w14:paraId="73DF822C" w14:textId="3F6DD419" w:rsidR="00E87DEA" w:rsidRPr="00713025" w:rsidRDefault="00E87DEA" w:rsidP="00385B04">
      <w:pPr>
        <w:pStyle w:val="Numberedlist"/>
        <w:numPr>
          <w:ilvl w:val="1"/>
          <w:numId w:val="33"/>
        </w:numPr>
      </w:pPr>
      <w:r w:rsidRPr="00713025">
        <w:t xml:space="preserve">Where the </w:t>
      </w:r>
      <w:r w:rsidR="00F97ED4" w:rsidRPr="00713025">
        <w:t>p</w:t>
      </w:r>
      <w:r w:rsidRPr="00713025">
        <w:t xml:space="preserve">rincipal </w:t>
      </w:r>
      <w:r w:rsidR="00F97ED4" w:rsidRPr="00713025">
        <w:t>o</w:t>
      </w:r>
      <w:r w:rsidRPr="00713025">
        <w:t>fficer or</w:t>
      </w:r>
      <w:r w:rsidR="00F97ED4" w:rsidRPr="00713025">
        <w:t xml:space="preserve"> their</w:t>
      </w:r>
      <w:r w:rsidRPr="00713025">
        <w:t xml:space="preserve"> delegate decides under section 48 of the </w:t>
      </w:r>
      <w:r w:rsidR="00886AFD" w:rsidRPr="00713025">
        <w:t xml:space="preserve">PID </w:t>
      </w:r>
      <w:r w:rsidRPr="00713025">
        <w:t>Act not to investigate a disclosure, they must:</w:t>
      </w:r>
    </w:p>
    <w:p w14:paraId="6D85E046" w14:textId="56661803" w:rsidR="002A0FE8" w:rsidRPr="00980FF4" w:rsidRDefault="00E87DEA" w:rsidP="00980FF4">
      <w:pPr>
        <w:pStyle w:val="Numberedlist"/>
        <w:numPr>
          <w:ilvl w:val="0"/>
          <w:numId w:val="12"/>
        </w:numPr>
        <w:spacing w:before="60" w:after="60"/>
        <w:ind w:left="1134" w:hanging="340"/>
      </w:pPr>
      <w:r w:rsidRPr="00980FF4">
        <w:t xml:space="preserve">if it is reasonably practicable to contact the discloser−as soon as reasonably practicable, inform the discloser that they have decided not to investigate the disclosure, and identify the reasons for that decision (other than those reasons that may be deleted pursuant to section 50(3) of the </w:t>
      </w:r>
      <w:r w:rsidR="00F97ED4" w:rsidRPr="00980FF4">
        <w:t xml:space="preserve">PID </w:t>
      </w:r>
      <w:r w:rsidRPr="00980FF4">
        <w:t>Act)</w:t>
      </w:r>
      <w:r w:rsidR="002A0FE8" w:rsidRPr="00980FF4">
        <w:t>;</w:t>
      </w:r>
      <w:r w:rsidRPr="00980FF4">
        <w:t xml:space="preserve"> and </w:t>
      </w:r>
    </w:p>
    <w:p w14:paraId="0DBADE4C" w14:textId="736D43DC" w:rsidR="00F97ED4" w:rsidRPr="00980FF4" w:rsidRDefault="00F97ED4" w:rsidP="00980FF4">
      <w:pPr>
        <w:pStyle w:val="ListBullet"/>
        <w:ind w:left="1548" w:hanging="357"/>
        <w:rPr>
          <w:szCs w:val="21"/>
        </w:rPr>
      </w:pPr>
      <w:r w:rsidRPr="00980FF4">
        <w:rPr>
          <w:szCs w:val="21"/>
        </w:rPr>
        <w:t xml:space="preserve">provide reasons for the </w:t>
      </w:r>
      <w:proofErr w:type="gramStart"/>
      <w:r w:rsidRPr="00980FF4">
        <w:rPr>
          <w:szCs w:val="21"/>
        </w:rPr>
        <w:t>decision;</w:t>
      </w:r>
      <w:proofErr w:type="gramEnd"/>
    </w:p>
    <w:p w14:paraId="2F322E85" w14:textId="1C91D86A" w:rsidR="00F97ED4" w:rsidRPr="00980FF4" w:rsidRDefault="00F97ED4" w:rsidP="00980FF4">
      <w:pPr>
        <w:pStyle w:val="ListBullet"/>
        <w:ind w:left="1548" w:hanging="357"/>
        <w:rPr>
          <w:szCs w:val="21"/>
        </w:rPr>
      </w:pPr>
      <w:r w:rsidRPr="00980FF4">
        <w:rPr>
          <w:szCs w:val="21"/>
        </w:rPr>
        <w:t xml:space="preserve">if </w:t>
      </w:r>
      <w:r w:rsidR="00E8734C" w:rsidRPr="00980FF4">
        <w:rPr>
          <w:szCs w:val="21"/>
        </w:rPr>
        <w:t xml:space="preserve">the </w:t>
      </w:r>
      <w:r w:rsidRPr="00980FF4">
        <w:rPr>
          <w:szCs w:val="21"/>
        </w:rPr>
        <w:t>p</w:t>
      </w:r>
      <w:r w:rsidR="00E8734C" w:rsidRPr="00980FF4">
        <w:rPr>
          <w:szCs w:val="21"/>
        </w:rPr>
        <w:t xml:space="preserve">rincipal </w:t>
      </w:r>
      <w:r w:rsidRPr="00980FF4">
        <w:rPr>
          <w:szCs w:val="21"/>
        </w:rPr>
        <w:t>o</w:t>
      </w:r>
      <w:r w:rsidR="00E8734C" w:rsidRPr="00980FF4">
        <w:rPr>
          <w:szCs w:val="21"/>
        </w:rPr>
        <w:t xml:space="preserve">fficer has </w:t>
      </w:r>
      <w:proofErr w:type="gramStart"/>
      <w:r w:rsidR="00E8734C" w:rsidRPr="00980FF4">
        <w:rPr>
          <w:szCs w:val="21"/>
        </w:rPr>
        <w:t>taken action</w:t>
      </w:r>
      <w:proofErr w:type="gramEnd"/>
      <w:r w:rsidR="00E8734C" w:rsidRPr="00980FF4">
        <w:rPr>
          <w:szCs w:val="21"/>
        </w:rPr>
        <w:t xml:space="preserve">, or proposes to take action, under section 50AA in relation to the referral of conduct disclosed for investigation under another law or power, </w:t>
      </w:r>
      <w:r w:rsidRPr="00980FF4">
        <w:rPr>
          <w:szCs w:val="21"/>
        </w:rPr>
        <w:t xml:space="preserve">they must: </w:t>
      </w:r>
    </w:p>
    <w:p w14:paraId="08BAF03A" w14:textId="03473067" w:rsidR="00F97ED4" w:rsidRPr="00713025" w:rsidRDefault="00E8734C" w:rsidP="00385B04">
      <w:pPr>
        <w:pStyle w:val="ListParagraph"/>
        <w:numPr>
          <w:ilvl w:val="1"/>
          <w:numId w:val="40"/>
        </w:numPr>
        <w:autoSpaceDE w:val="0"/>
        <w:autoSpaceDN w:val="0"/>
        <w:adjustRightInd w:val="0"/>
        <w:spacing w:before="60" w:after="60"/>
        <w:rPr>
          <w:rFonts w:eastAsiaTheme="minorHAnsi" w:cs="Arial"/>
          <w:color w:val="000000"/>
          <w:sz w:val="21"/>
          <w:szCs w:val="21"/>
        </w:rPr>
      </w:pPr>
      <w:r w:rsidRPr="00713025">
        <w:rPr>
          <w:rFonts w:eastAsiaTheme="minorHAnsi" w:cs="Arial"/>
          <w:color w:val="000000"/>
          <w:sz w:val="21"/>
          <w:szCs w:val="21"/>
        </w:rPr>
        <w:t>includ</w:t>
      </w:r>
      <w:r w:rsidR="00F97ED4" w:rsidRPr="00713025">
        <w:rPr>
          <w:rFonts w:eastAsiaTheme="minorHAnsi" w:cs="Arial"/>
          <w:color w:val="000000"/>
          <w:sz w:val="21"/>
          <w:szCs w:val="21"/>
        </w:rPr>
        <w:t>e</w:t>
      </w:r>
      <w:r w:rsidRPr="00713025">
        <w:rPr>
          <w:rFonts w:eastAsiaTheme="minorHAnsi" w:cs="Arial"/>
          <w:color w:val="000000"/>
          <w:sz w:val="21"/>
          <w:szCs w:val="21"/>
        </w:rPr>
        <w:t xml:space="preserve"> details of the other law or power, </w:t>
      </w:r>
    </w:p>
    <w:p w14:paraId="3F927885" w14:textId="77777777" w:rsidR="00F97ED4" w:rsidRPr="00713025" w:rsidRDefault="00E8734C" w:rsidP="00385B04">
      <w:pPr>
        <w:pStyle w:val="ListParagraph"/>
        <w:numPr>
          <w:ilvl w:val="1"/>
          <w:numId w:val="40"/>
        </w:numPr>
        <w:autoSpaceDE w:val="0"/>
        <w:autoSpaceDN w:val="0"/>
        <w:adjustRightInd w:val="0"/>
        <w:spacing w:before="60" w:after="60"/>
        <w:rPr>
          <w:rFonts w:eastAsiaTheme="minorHAnsi" w:cs="Arial"/>
          <w:color w:val="000000"/>
          <w:sz w:val="21"/>
          <w:szCs w:val="21"/>
        </w:rPr>
      </w:pPr>
      <w:r w:rsidRPr="00713025">
        <w:rPr>
          <w:rFonts w:eastAsiaTheme="minorHAnsi" w:cs="Arial"/>
          <w:color w:val="000000"/>
          <w:sz w:val="21"/>
          <w:szCs w:val="21"/>
        </w:rPr>
        <w:t>the agency or other person or body to which the conduct has been, or is to be, referred</w:t>
      </w:r>
      <w:r w:rsidR="00F97ED4" w:rsidRPr="00713025">
        <w:rPr>
          <w:rFonts w:eastAsiaTheme="minorHAnsi" w:cs="Arial"/>
          <w:color w:val="000000"/>
          <w:sz w:val="21"/>
          <w:szCs w:val="21"/>
        </w:rPr>
        <w:t>,</w:t>
      </w:r>
      <w:r w:rsidRPr="00713025">
        <w:rPr>
          <w:rFonts w:eastAsiaTheme="minorHAnsi" w:cs="Arial"/>
          <w:color w:val="000000"/>
          <w:sz w:val="21"/>
          <w:szCs w:val="21"/>
        </w:rPr>
        <w:t xml:space="preserve"> and </w:t>
      </w:r>
    </w:p>
    <w:p w14:paraId="7C7D248E" w14:textId="54C25DBA" w:rsidR="002A0FE8" w:rsidRPr="00713025" w:rsidRDefault="00E8734C" w:rsidP="00385B04">
      <w:pPr>
        <w:pStyle w:val="ListParagraph"/>
        <w:numPr>
          <w:ilvl w:val="1"/>
          <w:numId w:val="40"/>
        </w:numPr>
        <w:autoSpaceDE w:val="0"/>
        <w:autoSpaceDN w:val="0"/>
        <w:adjustRightInd w:val="0"/>
        <w:spacing w:before="60" w:after="60"/>
        <w:rPr>
          <w:rFonts w:eastAsiaTheme="minorHAnsi" w:cs="Arial"/>
          <w:color w:val="000000"/>
          <w:sz w:val="21"/>
          <w:szCs w:val="21"/>
        </w:rPr>
      </w:pPr>
      <w:r w:rsidRPr="00713025">
        <w:rPr>
          <w:rFonts w:eastAsiaTheme="minorHAnsi" w:cs="Arial"/>
          <w:color w:val="000000"/>
          <w:sz w:val="21"/>
          <w:szCs w:val="21"/>
        </w:rPr>
        <w:t>the steps taken, or proposed to be taken, for the conduct to be referred or to facilitate its referral</w:t>
      </w:r>
      <w:r w:rsidR="002A0FE8" w:rsidRPr="00713025">
        <w:rPr>
          <w:rFonts w:eastAsiaTheme="minorHAnsi" w:cs="Arial"/>
          <w:color w:val="000000"/>
          <w:sz w:val="21"/>
          <w:szCs w:val="21"/>
        </w:rPr>
        <w:t>; or</w:t>
      </w:r>
    </w:p>
    <w:p w14:paraId="6091C393" w14:textId="33270F27" w:rsidR="00E87DEA" w:rsidRPr="00980FF4" w:rsidRDefault="00E87DEA" w:rsidP="00980FF4">
      <w:pPr>
        <w:pStyle w:val="ListBullet"/>
        <w:ind w:left="1548" w:hanging="357"/>
        <w:rPr>
          <w:szCs w:val="21"/>
        </w:rPr>
      </w:pPr>
      <w:r w:rsidRPr="00980FF4">
        <w:rPr>
          <w:szCs w:val="21"/>
        </w:rPr>
        <w:t>any other courses of action that may be available to the discloser under other laws of the Commonwealth; and</w:t>
      </w:r>
    </w:p>
    <w:p w14:paraId="753A63C1" w14:textId="2262CAAF" w:rsidR="0096181F" w:rsidRPr="00980FF4" w:rsidRDefault="00E87DEA" w:rsidP="00980FF4">
      <w:pPr>
        <w:pStyle w:val="Numberedlist"/>
        <w:numPr>
          <w:ilvl w:val="0"/>
          <w:numId w:val="12"/>
        </w:numPr>
        <w:spacing w:before="60" w:after="60"/>
        <w:ind w:left="1134" w:hanging="340"/>
      </w:pPr>
      <w:r w:rsidRPr="00980FF4">
        <w:t>inform the Ombudsman of the decision not to investigate and the reasons for that decision</w:t>
      </w:r>
      <w:r w:rsidR="00BF6A81" w:rsidRPr="00980FF4">
        <w:t xml:space="preserve"> and</w:t>
      </w:r>
      <w:r w:rsidR="0096181F" w:rsidRPr="00980FF4">
        <w:t xml:space="preserve">: </w:t>
      </w:r>
    </w:p>
    <w:p w14:paraId="78F1497B" w14:textId="55A6365B" w:rsidR="0096181F" w:rsidRPr="00980FF4" w:rsidRDefault="00BF6A81" w:rsidP="00980FF4">
      <w:pPr>
        <w:pStyle w:val="ListBullet"/>
        <w:ind w:left="1548" w:hanging="357"/>
        <w:rPr>
          <w:szCs w:val="21"/>
        </w:rPr>
      </w:pPr>
      <w:r w:rsidRPr="00980FF4">
        <w:rPr>
          <w:szCs w:val="21"/>
        </w:rPr>
        <w:t xml:space="preserve">whether the </w:t>
      </w:r>
      <w:r w:rsidR="0096181F" w:rsidRPr="00980FF4">
        <w:rPr>
          <w:szCs w:val="21"/>
        </w:rPr>
        <w:t>p</w:t>
      </w:r>
      <w:r w:rsidRPr="00980FF4">
        <w:rPr>
          <w:szCs w:val="21"/>
        </w:rPr>
        <w:t xml:space="preserve">rincipal </w:t>
      </w:r>
      <w:r w:rsidR="0096181F" w:rsidRPr="00980FF4">
        <w:rPr>
          <w:szCs w:val="21"/>
        </w:rPr>
        <w:t>o</w:t>
      </w:r>
      <w:r w:rsidRPr="00980FF4">
        <w:rPr>
          <w:szCs w:val="21"/>
        </w:rPr>
        <w:t xml:space="preserve">fficer has </w:t>
      </w:r>
      <w:proofErr w:type="gramStart"/>
      <w:r w:rsidRPr="00980FF4">
        <w:rPr>
          <w:szCs w:val="21"/>
        </w:rPr>
        <w:t>taken action</w:t>
      </w:r>
      <w:proofErr w:type="gramEnd"/>
      <w:r w:rsidRPr="00980FF4">
        <w:rPr>
          <w:szCs w:val="21"/>
        </w:rPr>
        <w:t>, or proposes to take action, under section 50AA in relation to the referral of conduct disclosed for investigation under another law or power</w:t>
      </w:r>
      <w:r w:rsidR="0096181F" w:rsidRPr="00980FF4">
        <w:rPr>
          <w:szCs w:val="21"/>
        </w:rPr>
        <w:t xml:space="preserve"> and, if so, </w:t>
      </w:r>
    </w:p>
    <w:p w14:paraId="09D8A35B" w14:textId="56AF976A" w:rsidR="0096181F" w:rsidRPr="00713025" w:rsidRDefault="00BF6A81" w:rsidP="00385B04">
      <w:pPr>
        <w:pStyle w:val="ListParagraph"/>
        <w:numPr>
          <w:ilvl w:val="1"/>
          <w:numId w:val="40"/>
        </w:numPr>
        <w:autoSpaceDE w:val="0"/>
        <w:autoSpaceDN w:val="0"/>
        <w:adjustRightInd w:val="0"/>
        <w:spacing w:before="60" w:after="60"/>
        <w:rPr>
          <w:rFonts w:eastAsiaTheme="minorHAnsi" w:cs="Arial"/>
          <w:color w:val="000000"/>
          <w:sz w:val="21"/>
          <w:szCs w:val="21"/>
        </w:rPr>
      </w:pPr>
      <w:r w:rsidRPr="00713025">
        <w:rPr>
          <w:rFonts w:eastAsiaTheme="minorHAnsi" w:cs="Arial"/>
          <w:color w:val="000000"/>
          <w:sz w:val="21"/>
          <w:szCs w:val="21"/>
        </w:rPr>
        <w:t xml:space="preserve"> including details of the other law or power, </w:t>
      </w:r>
    </w:p>
    <w:p w14:paraId="416FA1E8" w14:textId="336887C4" w:rsidR="0096181F" w:rsidRPr="00713025" w:rsidRDefault="00BF6A81" w:rsidP="00385B04">
      <w:pPr>
        <w:pStyle w:val="ListParagraph"/>
        <w:numPr>
          <w:ilvl w:val="1"/>
          <w:numId w:val="40"/>
        </w:numPr>
        <w:autoSpaceDE w:val="0"/>
        <w:autoSpaceDN w:val="0"/>
        <w:adjustRightInd w:val="0"/>
        <w:spacing w:before="60" w:after="60"/>
        <w:rPr>
          <w:rFonts w:eastAsiaTheme="minorHAnsi" w:cs="Arial"/>
          <w:color w:val="000000"/>
          <w:sz w:val="21"/>
          <w:szCs w:val="21"/>
        </w:rPr>
      </w:pPr>
      <w:r w:rsidRPr="00713025">
        <w:rPr>
          <w:rFonts w:eastAsiaTheme="minorHAnsi" w:cs="Arial"/>
          <w:color w:val="000000"/>
          <w:sz w:val="21"/>
          <w:szCs w:val="21"/>
        </w:rPr>
        <w:lastRenderedPageBreak/>
        <w:t>the agency or other person or body to which the conduct has been, or is to be, referred</w:t>
      </w:r>
      <w:r w:rsidR="0096181F" w:rsidRPr="00713025">
        <w:rPr>
          <w:rFonts w:eastAsiaTheme="minorHAnsi" w:cs="Arial"/>
          <w:color w:val="000000"/>
          <w:sz w:val="21"/>
          <w:szCs w:val="21"/>
        </w:rPr>
        <w:t>,</w:t>
      </w:r>
      <w:r w:rsidRPr="00713025">
        <w:rPr>
          <w:rFonts w:eastAsiaTheme="minorHAnsi" w:cs="Arial"/>
          <w:color w:val="000000"/>
          <w:sz w:val="21"/>
          <w:szCs w:val="21"/>
        </w:rPr>
        <w:t xml:space="preserve"> and </w:t>
      </w:r>
    </w:p>
    <w:p w14:paraId="5308C654" w14:textId="3A7AA2EF" w:rsidR="00E87DEA" w:rsidRPr="00713025" w:rsidRDefault="00BF6A81" w:rsidP="00385B04">
      <w:pPr>
        <w:pStyle w:val="ListParagraph"/>
        <w:numPr>
          <w:ilvl w:val="1"/>
          <w:numId w:val="40"/>
        </w:numPr>
        <w:autoSpaceDE w:val="0"/>
        <w:autoSpaceDN w:val="0"/>
        <w:adjustRightInd w:val="0"/>
        <w:spacing w:before="60" w:after="60"/>
        <w:rPr>
          <w:rFonts w:eastAsiaTheme="minorHAnsi" w:cs="Arial"/>
          <w:color w:val="000000"/>
          <w:sz w:val="21"/>
          <w:szCs w:val="21"/>
        </w:rPr>
      </w:pPr>
      <w:r w:rsidRPr="00713025">
        <w:rPr>
          <w:rFonts w:eastAsiaTheme="minorHAnsi" w:cs="Arial"/>
          <w:color w:val="000000"/>
          <w:sz w:val="21"/>
          <w:szCs w:val="21"/>
        </w:rPr>
        <w:t>the steps taken, or proposed to be taken, for the conduct to be referred or to facilitate its referral.</w:t>
      </w:r>
    </w:p>
    <w:p w14:paraId="505CDF72" w14:textId="7F2B6D1A" w:rsidR="00F02482" w:rsidRPr="00713025" w:rsidRDefault="00F02482" w:rsidP="00D31CC4">
      <w:pPr>
        <w:pStyle w:val="Heading3"/>
        <w:rPr>
          <w:szCs w:val="22"/>
        </w:rPr>
      </w:pPr>
      <w:bookmarkStart w:id="80" w:name="_Toc150789969"/>
      <w:r w:rsidRPr="00713025">
        <w:rPr>
          <w:rFonts w:eastAsiaTheme="minorHAnsi"/>
        </w:rPr>
        <w:t>Where the disclosure is to be investigated</w:t>
      </w:r>
      <w:bookmarkEnd w:id="80"/>
      <w:r w:rsidRPr="00713025">
        <w:rPr>
          <w:rFonts w:eastAsiaTheme="minorHAnsi"/>
        </w:rPr>
        <w:t xml:space="preserve"> </w:t>
      </w:r>
    </w:p>
    <w:p w14:paraId="2DD92D70" w14:textId="6E134E7B" w:rsidR="00E87DEA" w:rsidRPr="00713025" w:rsidRDefault="00E87DEA" w:rsidP="00385B04">
      <w:pPr>
        <w:pStyle w:val="Numberedlist"/>
        <w:numPr>
          <w:ilvl w:val="1"/>
          <w:numId w:val="33"/>
        </w:numPr>
      </w:pPr>
      <w:bookmarkStart w:id="81" w:name="_Toc49525287"/>
      <w:r w:rsidRPr="00713025">
        <w:t xml:space="preserve">Where a matter is required to be investigated, the </w:t>
      </w:r>
      <w:r w:rsidR="00D12408" w:rsidRPr="00713025">
        <w:t>p</w:t>
      </w:r>
      <w:r w:rsidRPr="00713025">
        <w:t xml:space="preserve">rincipal </w:t>
      </w:r>
      <w:r w:rsidR="00D12408" w:rsidRPr="00713025">
        <w:t>o</w:t>
      </w:r>
      <w:r w:rsidRPr="00713025">
        <w:t xml:space="preserve">fficer or </w:t>
      </w:r>
      <w:r w:rsidR="00D12408" w:rsidRPr="00713025">
        <w:t xml:space="preserve">their </w:t>
      </w:r>
      <w:r w:rsidRPr="00713025">
        <w:t xml:space="preserve">delegate must inform the discloser as soon as reasonably practicable (and where it is reasonably practicable to do so) that they are required to investigate the </w:t>
      </w:r>
      <w:proofErr w:type="gramStart"/>
      <w:r w:rsidRPr="00713025">
        <w:t>disclosure, and</w:t>
      </w:r>
      <w:proofErr w:type="gramEnd"/>
      <w:r w:rsidRPr="00713025">
        <w:t xml:space="preserve"> inform the discloser of the estimated length of the investigation.</w:t>
      </w:r>
    </w:p>
    <w:p w14:paraId="7FB0FBD3" w14:textId="4383BC25" w:rsidR="00E87DEA" w:rsidRPr="00713025" w:rsidRDefault="00E87DEA" w:rsidP="00385B04">
      <w:pPr>
        <w:pStyle w:val="Numberedlist"/>
        <w:numPr>
          <w:ilvl w:val="1"/>
          <w:numId w:val="33"/>
        </w:numPr>
      </w:pPr>
      <w:r w:rsidRPr="00713025">
        <w:t xml:space="preserve">If </w:t>
      </w:r>
      <w:proofErr w:type="gramStart"/>
      <w:r w:rsidRPr="00713025">
        <w:t>during the course of</w:t>
      </w:r>
      <w:proofErr w:type="gramEnd"/>
      <w:r w:rsidRPr="00713025">
        <w:t xml:space="preserve"> the investigation the </w:t>
      </w:r>
      <w:r w:rsidR="00D12408" w:rsidRPr="00713025">
        <w:t>p</w:t>
      </w:r>
      <w:r w:rsidRPr="00713025">
        <w:t xml:space="preserve">rincipal </w:t>
      </w:r>
      <w:r w:rsidR="00D12408" w:rsidRPr="00713025">
        <w:t>o</w:t>
      </w:r>
      <w:r w:rsidRPr="00713025">
        <w:t xml:space="preserve">fficer or delegate decides not to investigate the disclosure further under section 48 of the </w:t>
      </w:r>
      <w:r w:rsidR="003C25F9">
        <w:t xml:space="preserve">PID </w:t>
      </w:r>
      <w:r w:rsidRPr="00713025">
        <w:t xml:space="preserve">Act, the </w:t>
      </w:r>
      <w:r w:rsidR="00D12408" w:rsidRPr="00713025">
        <w:t>p</w:t>
      </w:r>
      <w:r w:rsidRPr="00713025">
        <w:t xml:space="preserve">rincipal </w:t>
      </w:r>
      <w:r w:rsidR="00D12408" w:rsidRPr="00713025">
        <w:t>o</w:t>
      </w:r>
      <w:r w:rsidRPr="00713025">
        <w:t>fficer or delegate must:</w:t>
      </w:r>
    </w:p>
    <w:p w14:paraId="0E4B28E8" w14:textId="77777777" w:rsidR="00E36FE4" w:rsidRPr="00D14EF9" w:rsidRDefault="00E87DEA" w:rsidP="00D14EF9">
      <w:pPr>
        <w:pStyle w:val="Numberedlist"/>
        <w:numPr>
          <w:ilvl w:val="0"/>
          <w:numId w:val="12"/>
        </w:numPr>
        <w:spacing w:before="60" w:after="60"/>
        <w:ind w:left="1134" w:hanging="340"/>
      </w:pPr>
      <w:r w:rsidRPr="00D14EF9">
        <w:t>if it is reasonably practicable to contact the discloser−as soon as reasonably practicable, inform the discloser</w:t>
      </w:r>
      <w:r w:rsidR="00E36FE4" w:rsidRPr="00D14EF9">
        <w:t>:</w:t>
      </w:r>
    </w:p>
    <w:p w14:paraId="6FDBBC47" w14:textId="40531B0C" w:rsidR="00501A7A" w:rsidRPr="00B12BB2" w:rsidRDefault="00E87DEA" w:rsidP="00B12BB2">
      <w:pPr>
        <w:pStyle w:val="ListBullet"/>
        <w:ind w:left="1548" w:hanging="357"/>
        <w:rPr>
          <w:szCs w:val="21"/>
        </w:rPr>
      </w:pPr>
      <w:r w:rsidRPr="00B12BB2">
        <w:rPr>
          <w:szCs w:val="21"/>
        </w:rPr>
        <w:t>that they have decided not to investigate the disclosure further</w:t>
      </w:r>
      <w:r w:rsidR="00F47D09" w:rsidRPr="00B12BB2">
        <w:rPr>
          <w:szCs w:val="21"/>
        </w:rPr>
        <w:t>,</w:t>
      </w:r>
    </w:p>
    <w:p w14:paraId="5354AD01" w14:textId="5A4E2B92" w:rsidR="00501A7A" w:rsidRPr="00B12BB2" w:rsidRDefault="00E87DEA" w:rsidP="00B12BB2">
      <w:pPr>
        <w:pStyle w:val="ListBullet"/>
        <w:ind w:left="1548" w:hanging="357"/>
        <w:rPr>
          <w:szCs w:val="21"/>
        </w:rPr>
      </w:pPr>
      <w:r w:rsidRPr="00B12BB2">
        <w:rPr>
          <w:szCs w:val="21"/>
        </w:rPr>
        <w:t xml:space="preserve">the reasons for the decision (other than those reasons that may be deleted pursuant to section 50(3) of the </w:t>
      </w:r>
      <w:r w:rsidR="003C25F9" w:rsidRPr="00B12BB2">
        <w:rPr>
          <w:szCs w:val="21"/>
        </w:rPr>
        <w:t xml:space="preserve">PID </w:t>
      </w:r>
      <w:r w:rsidRPr="00B12BB2">
        <w:rPr>
          <w:szCs w:val="21"/>
        </w:rPr>
        <w:t>Act)</w:t>
      </w:r>
      <w:r w:rsidR="00A845CA" w:rsidRPr="00B12BB2">
        <w:rPr>
          <w:szCs w:val="21"/>
        </w:rPr>
        <w:t>,</w:t>
      </w:r>
    </w:p>
    <w:p w14:paraId="3204F336" w14:textId="4F580480" w:rsidR="00A845CA" w:rsidRPr="00B12BB2" w:rsidRDefault="00C2172D" w:rsidP="00B12BB2">
      <w:pPr>
        <w:pStyle w:val="ListBullet"/>
        <w:ind w:left="1548" w:hanging="357"/>
        <w:rPr>
          <w:szCs w:val="21"/>
        </w:rPr>
      </w:pPr>
      <w:r w:rsidRPr="00B12BB2">
        <w:rPr>
          <w:szCs w:val="21"/>
        </w:rPr>
        <w:t xml:space="preserve">whether the </w:t>
      </w:r>
      <w:r w:rsidR="00AC75FF" w:rsidRPr="00B12BB2">
        <w:rPr>
          <w:szCs w:val="21"/>
        </w:rPr>
        <w:t>p</w:t>
      </w:r>
      <w:r w:rsidR="003212D8" w:rsidRPr="00B12BB2">
        <w:rPr>
          <w:szCs w:val="21"/>
        </w:rPr>
        <w:t xml:space="preserve">rincipal </w:t>
      </w:r>
      <w:r w:rsidR="00AC75FF" w:rsidRPr="00B12BB2">
        <w:rPr>
          <w:szCs w:val="21"/>
        </w:rPr>
        <w:t>o</w:t>
      </w:r>
      <w:r w:rsidR="003212D8" w:rsidRPr="00B12BB2">
        <w:rPr>
          <w:szCs w:val="21"/>
        </w:rPr>
        <w:t xml:space="preserve">fficer has </w:t>
      </w:r>
      <w:proofErr w:type="gramStart"/>
      <w:r w:rsidR="003212D8" w:rsidRPr="00B12BB2">
        <w:rPr>
          <w:szCs w:val="21"/>
        </w:rPr>
        <w:t>taken action</w:t>
      </w:r>
      <w:proofErr w:type="gramEnd"/>
      <w:r w:rsidR="003212D8" w:rsidRPr="00B12BB2">
        <w:rPr>
          <w:szCs w:val="21"/>
        </w:rPr>
        <w:t>, or proposes to take action</w:t>
      </w:r>
      <w:r w:rsidR="0027799E" w:rsidRPr="00B12BB2">
        <w:rPr>
          <w:szCs w:val="21"/>
        </w:rPr>
        <w:t>, under section 50AA</w:t>
      </w:r>
      <w:r w:rsidR="003212D8" w:rsidRPr="00B12BB2">
        <w:rPr>
          <w:szCs w:val="21"/>
        </w:rPr>
        <w:t xml:space="preserve"> in relation to the referral of conduct disclosed for investigation under another law or power</w:t>
      </w:r>
      <w:r w:rsidR="00501A7A" w:rsidRPr="00B12BB2">
        <w:rPr>
          <w:szCs w:val="21"/>
        </w:rPr>
        <w:t xml:space="preserve">, </w:t>
      </w:r>
      <w:r w:rsidR="007562A8" w:rsidRPr="00B12BB2">
        <w:rPr>
          <w:szCs w:val="21"/>
        </w:rPr>
        <w:t xml:space="preserve">including </w:t>
      </w:r>
      <w:r w:rsidR="00635D27" w:rsidRPr="00B12BB2">
        <w:rPr>
          <w:szCs w:val="21"/>
        </w:rPr>
        <w:t>details of</w:t>
      </w:r>
      <w:r w:rsidR="00A845CA" w:rsidRPr="00B12BB2">
        <w:rPr>
          <w:szCs w:val="21"/>
        </w:rPr>
        <w:t>:</w:t>
      </w:r>
    </w:p>
    <w:p w14:paraId="44A9F17D" w14:textId="4F41684F" w:rsidR="00A845CA" w:rsidRPr="00713025" w:rsidRDefault="00635D27" w:rsidP="00385B04">
      <w:pPr>
        <w:pStyle w:val="ListParagraph"/>
        <w:numPr>
          <w:ilvl w:val="1"/>
          <w:numId w:val="40"/>
        </w:numPr>
        <w:autoSpaceDE w:val="0"/>
        <w:autoSpaceDN w:val="0"/>
        <w:adjustRightInd w:val="0"/>
        <w:spacing w:before="60" w:after="60"/>
        <w:rPr>
          <w:rFonts w:eastAsiaTheme="minorHAnsi" w:cs="Arial"/>
          <w:color w:val="000000"/>
          <w:sz w:val="21"/>
          <w:szCs w:val="21"/>
        </w:rPr>
      </w:pPr>
      <w:r w:rsidRPr="00713025">
        <w:rPr>
          <w:rFonts w:eastAsiaTheme="minorHAnsi" w:cs="Arial"/>
          <w:color w:val="000000"/>
          <w:sz w:val="21"/>
          <w:szCs w:val="21"/>
        </w:rPr>
        <w:t xml:space="preserve">the other law or power, </w:t>
      </w:r>
    </w:p>
    <w:p w14:paraId="7AADF43A" w14:textId="4AD8378F" w:rsidR="00A845CA" w:rsidRPr="00713025" w:rsidRDefault="00635D27" w:rsidP="00385B04">
      <w:pPr>
        <w:pStyle w:val="ListParagraph"/>
        <w:numPr>
          <w:ilvl w:val="1"/>
          <w:numId w:val="40"/>
        </w:numPr>
        <w:autoSpaceDE w:val="0"/>
        <w:autoSpaceDN w:val="0"/>
        <w:adjustRightInd w:val="0"/>
        <w:spacing w:before="60" w:after="60"/>
        <w:rPr>
          <w:rFonts w:eastAsiaTheme="minorHAnsi" w:cs="Arial"/>
          <w:color w:val="000000"/>
          <w:sz w:val="21"/>
          <w:szCs w:val="21"/>
        </w:rPr>
      </w:pPr>
      <w:r w:rsidRPr="00713025">
        <w:rPr>
          <w:rFonts w:eastAsiaTheme="minorHAnsi" w:cs="Arial"/>
          <w:color w:val="000000"/>
          <w:sz w:val="21"/>
          <w:szCs w:val="21"/>
        </w:rPr>
        <w:t>the agency or other person or body to which the conduct has been, or is to be, referred</w:t>
      </w:r>
      <w:r w:rsidR="00A845CA" w:rsidRPr="00713025">
        <w:rPr>
          <w:rFonts w:eastAsiaTheme="minorHAnsi" w:cs="Arial"/>
          <w:color w:val="000000"/>
          <w:sz w:val="21"/>
          <w:szCs w:val="21"/>
        </w:rPr>
        <w:t xml:space="preserve">, </w:t>
      </w:r>
      <w:r w:rsidRPr="00713025">
        <w:rPr>
          <w:rFonts w:eastAsiaTheme="minorHAnsi" w:cs="Arial"/>
          <w:color w:val="000000"/>
          <w:sz w:val="21"/>
          <w:szCs w:val="21"/>
        </w:rPr>
        <w:t xml:space="preserve">and </w:t>
      </w:r>
    </w:p>
    <w:p w14:paraId="61B72719" w14:textId="24FD7158" w:rsidR="00501A7A" w:rsidRPr="00713025" w:rsidRDefault="00635D27" w:rsidP="00385B04">
      <w:pPr>
        <w:pStyle w:val="ListParagraph"/>
        <w:numPr>
          <w:ilvl w:val="1"/>
          <w:numId w:val="40"/>
        </w:numPr>
        <w:autoSpaceDE w:val="0"/>
        <w:autoSpaceDN w:val="0"/>
        <w:adjustRightInd w:val="0"/>
        <w:spacing w:before="60" w:after="60"/>
        <w:rPr>
          <w:rFonts w:eastAsiaTheme="minorHAnsi" w:cs="Arial"/>
          <w:color w:val="000000"/>
          <w:sz w:val="21"/>
          <w:szCs w:val="21"/>
        </w:rPr>
      </w:pPr>
      <w:r w:rsidRPr="00713025">
        <w:rPr>
          <w:rFonts w:eastAsiaTheme="minorHAnsi" w:cs="Arial"/>
          <w:color w:val="000000"/>
          <w:sz w:val="21"/>
          <w:szCs w:val="21"/>
        </w:rPr>
        <w:t xml:space="preserve">the steps taken, or proposed to be taken, for the conduct to be referred or to facilitate its referral. </w:t>
      </w:r>
    </w:p>
    <w:p w14:paraId="43B9BB33" w14:textId="603EBBCA" w:rsidR="00E87DEA" w:rsidRPr="00B12BB2" w:rsidRDefault="00E87DEA" w:rsidP="00B12BB2">
      <w:pPr>
        <w:pStyle w:val="ListBullet"/>
        <w:ind w:left="1548" w:hanging="357"/>
        <w:rPr>
          <w:szCs w:val="21"/>
        </w:rPr>
      </w:pPr>
      <w:r w:rsidRPr="00B12BB2">
        <w:rPr>
          <w:szCs w:val="21"/>
        </w:rPr>
        <w:t>any other courses of action that might be available to the discloser under other laws of the Commonwealth; and</w:t>
      </w:r>
    </w:p>
    <w:p w14:paraId="474F5C95" w14:textId="55EFC820" w:rsidR="00E87DEA" w:rsidRPr="00D14EF9" w:rsidRDefault="00E87DEA" w:rsidP="00D14EF9">
      <w:pPr>
        <w:pStyle w:val="Numberedlist"/>
        <w:numPr>
          <w:ilvl w:val="0"/>
          <w:numId w:val="12"/>
        </w:numPr>
        <w:spacing w:before="60" w:after="60"/>
        <w:ind w:left="1134" w:hanging="340"/>
      </w:pPr>
      <w:r w:rsidRPr="00D14EF9">
        <w:t>inform the Ombudsman of the decision not to investigate the disclosure further and the reasons for that decision.</w:t>
      </w:r>
    </w:p>
    <w:p w14:paraId="205713A0" w14:textId="014D7E8A" w:rsidR="00EF4F11" w:rsidRPr="00713025" w:rsidRDefault="00EF4F11" w:rsidP="00EF4F11">
      <w:pPr>
        <w:pStyle w:val="Heading3"/>
        <w:rPr>
          <w:szCs w:val="22"/>
        </w:rPr>
      </w:pPr>
      <w:bookmarkStart w:id="82" w:name="_Toc150789970"/>
      <w:r w:rsidRPr="00713025">
        <w:rPr>
          <w:rFonts w:eastAsiaTheme="minorHAnsi"/>
        </w:rPr>
        <w:t>Stop action direction</w:t>
      </w:r>
      <w:r w:rsidR="00E40A47" w:rsidRPr="00713025">
        <w:rPr>
          <w:rFonts w:eastAsiaTheme="minorHAnsi"/>
        </w:rPr>
        <w:t xml:space="preserve"> from the </w:t>
      </w:r>
      <w:proofErr w:type="gramStart"/>
      <w:r w:rsidR="00E40A47" w:rsidRPr="00713025">
        <w:rPr>
          <w:rFonts w:eastAsiaTheme="minorHAnsi"/>
        </w:rPr>
        <w:t>NACC</w:t>
      </w:r>
      <w:bookmarkEnd w:id="82"/>
      <w:proofErr w:type="gramEnd"/>
    </w:p>
    <w:p w14:paraId="153977C1" w14:textId="7B66E866" w:rsidR="00A845CA" w:rsidRPr="00713025" w:rsidRDefault="00A845CA" w:rsidP="00385B04">
      <w:pPr>
        <w:pStyle w:val="Numberedlist"/>
        <w:numPr>
          <w:ilvl w:val="1"/>
          <w:numId w:val="33"/>
        </w:numPr>
      </w:pPr>
      <w:r w:rsidRPr="00713025">
        <w:t xml:space="preserve">The Commissioner can direct the department to stop </w:t>
      </w:r>
      <w:proofErr w:type="gramStart"/>
      <w:r w:rsidRPr="00713025">
        <w:t>taking action</w:t>
      </w:r>
      <w:proofErr w:type="gramEnd"/>
      <w:r w:rsidRPr="00713025">
        <w:t xml:space="preserve"> in relation to a corruption issue. This is called a stop action direction. A stop action direction can prevent the department from taking particular action in relation to the issue, or from taking any action at all.</w:t>
      </w:r>
    </w:p>
    <w:p w14:paraId="4B84B9D6" w14:textId="1DFC666A" w:rsidR="00EF4F11" w:rsidRPr="00713025" w:rsidRDefault="007370B6" w:rsidP="00385B04">
      <w:pPr>
        <w:pStyle w:val="Numberedlist"/>
        <w:numPr>
          <w:ilvl w:val="1"/>
          <w:numId w:val="33"/>
        </w:numPr>
      </w:pPr>
      <w:r w:rsidRPr="00713025">
        <w:t xml:space="preserve">Where the </w:t>
      </w:r>
      <w:r w:rsidR="00A845CA" w:rsidRPr="00713025">
        <w:t>p</w:t>
      </w:r>
      <w:r w:rsidRPr="00713025">
        <w:t xml:space="preserve">rincipal </w:t>
      </w:r>
      <w:r w:rsidR="00A845CA" w:rsidRPr="00713025">
        <w:t>o</w:t>
      </w:r>
      <w:r w:rsidRPr="00713025">
        <w:t>fficer</w:t>
      </w:r>
      <w:r w:rsidR="00A845CA" w:rsidRPr="00713025">
        <w:t xml:space="preserve"> or their delegate</w:t>
      </w:r>
      <w:r w:rsidRPr="00713025">
        <w:t xml:space="preserve"> cannot investigate, or further investigate, the disclosure because of a stop action direction under the NACC Act, the </w:t>
      </w:r>
      <w:r w:rsidR="00A845CA" w:rsidRPr="00713025">
        <w:t>p</w:t>
      </w:r>
      <w:r w:rsidRPr="00713025">
        <w:t xml:space="preserve">rincipal </w:t>
      </w:r>
      <w:r w:rsidR="00A845CA" w:rsidRPr="00713025">
        <w:t>o</w:t>
      </w:r>
      <w:r w:rsidRPr="00713025">
        <w:t xml:space="preserve">fficer </w:t>
      </w:r>
      <w:r w:rsidR="00B47310" w:rsidRPr="00713025">
        <w:t xml:space="preserve">or delegate must </w:t>
      </w:r>
      <w:r w:rsidR="00BF6032" w:rsidRPr="00713025">
        <w:t xml:space="preserve">give written notice to </w:t>
      </w:r>
      <w:r w:rsidR="00B47310" w:rsidRPr="00713025">
        <w:t xml:space="preserve">the </w:t>
      </w:r>
      <w:r w:rsidR="00157FE5" w:rsidRPr="00713025">
        <w:t>Ombu</w:t>
      </w:r>
      <w:r w:rsidR="00F47D09" w:rsidRPr="00713025">
        <w:t>d</w:t>
      </w:r>
      <w:r w:rsidR="00157FE5" w:rsidRPr="00713025">
        <w:t xml:space="preserve">sman and </w:t>
      </w:r>
      <w:r w:rsidR="00BD2BD5" w:rsidRPr="00713025">
        <w:t xml:space="preserve">the </w:t>
      </w:r>
      <w:r w:rsidR="00B47310" w:rsidRPr="00713025">
        <w:t xml:space="preserve">discloser-as soon as reasonably </w:t>
      </w:r>
      <w:r w:rsidR="009F1696" w:rsidRPr="00713025">
        <w:t>practicable</w:t>
      </w:r>
      <w:r w:rsidR="002D6C00" w:rsidRPr="00713025">
        <w:t xml:space="preserve"> (and where it is reasonably practicable to do so)</w:t>
      </w:r>
      <w:r w:rsidR="009F1696" w:rsidRPr="00713025">
        <w:t>.</w:t>
      </w:r>
    </w:p>
    <w:p w14:paraId="3197FF1B" w14:textId="1DC2473C" w:rsidR="00EF4F11" w:rsidRPr="00713025" w:rsidRDefault="00CA6D02" w:rsidP="00385B04">
      <w:pPr>
        <w:pStyle w:val="Numberedlist"/>
        <w:numPr>
          <w:ilvl w:val="1"/>
          <w:numId w:val="33"/>
        </w:numPr>
      </w:pPr>
      <w:r w:rsidRPr="00713025">
        <w:t>If a disclosure is no longer subject to a stop action direction</w:t>
      </w:r>
      <w:r w:rsidR="00381C83" w:rsidRPr="00713025">
        <w:t xml:space="preserve"> under the NACC Act, </w:t>
      </w:r>
      <w:r w:rsidR="00C651CB" w:rsidRPr="00713025">
        <w:t xml:space="preserve">the </w:t>
      </w:r>
      <w:r w:rsidR="00A845CA" w:rsidRPr="00713025">
        <w:t>p</w:t>
      </w:r>
      <w:r w:rsidR="00C651CB" w:rsidRPr="00713025">
        <w:t xml:space="preserve">rincipal </w:t>
      </w:r>
      <w:r w:rsidR="00A845CA" w:rsidRPr="00713025">
        <w:t>o</w:t>
      </w:r>
      <w:r w:rsidR="00C651CB" w:rsidRPr="00713025">
        <w:t>fficer</w:t>
      </w:r>
      <w:r w:rsidR="00A845CA" w:rsidRPr="00713025">
        <w:t xml:space="preserve"> or delegate</w:t>
      </w:r>
      <w:r w:rsidR="00C651CB" w:rsidRPr="00713025">
        <w:t xml:space="preserve"> must, as soon as reasonably practicable</w:t>
      </w:r>
      <w:r w:rsidR="002D6C00" w:rsidRPr="00713025">
        <w:t xml:space="preserve"> (and where it is reasonably practicable to do so)</w:t>
      </w:r>
      <w:r w:rsidR="00C651CB" w:rsidRPr="00713025">
        <w:t>, give written notice to the discloser if t</w:t>
      </w:r>
      <w:r w:rsidR="005E36A9" w:rsidRPr="00713025">
        <w:t xml:space="preserve">he </w:t>
      </w:r>
      <w:r w:rsidR="00A845CA" w:rsidRPr="00713025">
        <w:t>p</w:t>
      </w:r>
      <w:r w:rsidR="005E36A9" w:rsidRPr="00713025">
        <w:t xml:space="preserve">rincipal </w:t>
      </w:r>
      <w:r w:rsidR="00A845CA" w:rsidRPr="00713025">
        <w:t>o</w:t>
      </w:r>
      <w:r w:rsidR="005E36A9" w:rsidRPr="00713025">
        <w:t>fficer investigates, or further investigates, the disclosure.</w:t>
      </w:r>
      <w:r w:rsidR="00EF4F11" w:rsidRPr="00713025">
        <w:t xml:space="preserve">  </w:t>
      </w:r>
    </w:p>
    <w:p w14:paraId="66D701AF" w14:textId="35EE9800" w:rsidR="00E40A47" w:rsidRPr="00713025" w:rsidRDefault="00E40A47" w:rsidP="00385B04">
      <w:pPr>
        <w:pStyle w:val="Numberedlist"/>
        <w:numPr>
          <w:ilvl w:val="1"/>
          <w:numId w:val="33"/>
        </w:numPr>
      </w:pPr>
      <w:r w:rsidRPr="00713025">
        <w:t xml:space="preserve">The Commissioner will consult with the Secretary prior to issuing any direction to stop </w:t>
      </w:r>
      <w:proofErr w:type="gramStart"/>
      <w:r w:rsidRPr="00713025">
        <w:t>taking action</w:t>
      </w:r>
      <w:proofErr w:type="gramEnd"/>
      <w:r w:rsidRPr="00713025">
        <w:t xml:space="preserve"> in relation to a PID. </w:t>
      </w:r>
    </w:p>
    <w:p w14:paraId="567DC401" w14:textId="489C6CB4" w:rsidR="00F02482" w:rsidRPr="00713025" w:rsidRDefault="00F02482" w:rsidP="00D31CC4">
      <w:pPr>
        <w:pStyle w:val="Heading2"/>
        <w:rPr>
          <w:rFonts w:eastAsia="Arial"/>
        </w:rPr>
      </w:pPr>
      <w:bookmarkStart w:id="83" w:name="_Toc150789971"/>
      <w:r w:rsidRPr="00713025">
        <w:rPr>
          <w:rFonts w:eastAsia="Arial"/>
        </w:rPr>
        <w:t>Conducting the investigation</w:t>
      </w:r>
      <w:bookmarkEnd w:id="81"/>
      <w:bookmarkEnd w:id="83"/>
    </w:p>
    <w:p w14:paraId="27377F4B" w14:textId="6A729488" w:rsidR="00E87DEA" w:rsidRPr="00713025" w:rsidRDefault="00E87DEA" w:rsidP="00385B04">
      <w:pPr>
        <w:pStyle w:val="Numberedlist"/>
        <w:numPr>
          <w:ilvl w:val="1"/>
          <w:numId w:val="33"/>
        </w:numPr>
      </w:pPr>
      <w:r w:rsidRPr="00713025">
        <w:t xml:space="preserve">If the </w:t>
      </w:r>
      <w:r w:rsidR="00A845CA" w:rsidRPr="00713025">
        <w:t>p</w:t>
      </w:r>
      <w:r w:rsidRPr="00713025">
        <w:t xml:space="preserve">rincipal </w:t>
      </w:r>
      <w:r w:rsidR="00A845CA" w:rsidRPr="00713025">
        <w:t>o</w:t>
      </w:r>
      <w:r w:rsidRPr="00713025">
        <w:t xml:space="preserve">fficer (or delegate) decides to investigate, the </w:t>
      </w:r>
      <w:r w:rsidR="00A845CA" w:rsidRPr="00713025">
        <w:t>p</w:t>
      </w:r>
      <w:r w:rsidRPr="00713025">
        <w:t xml:space="preserve">rincipal </w:t>
      </w:r>
      <w:r w:rsidR="00A845CA" w:rsidRPr="00713025">
        <w:t>o</w:t>
      </w:r>
      <w:r w:rsidRPr="00713025">
        <w:t>fficer (or delegate) will investigate whether one or more instances of disclosable conduct has occurred.</w:t>
      </w:r>
    </w:p>
    <w:p w14:paraId="171B32AC" w14:textId="7204429A" w:rsidR="00E87DEA" w:rsidRPr="00713025" w:rsidRDefault="00E87DEA" w:rsidP="00385B04">
      <w:pPr>
        <w:pStyle w:val="Numberedlist"/>
        <w:numPr>
          <w:ilvl w:val="1"/>
          <w:numId w:val="33"/>
        </w:numPr>
      </w:pPr>
      <w:r w:rsidRPr="00713025">
        <w:lastRenderedPageBreak/>
        <w:t xml:space="preserve">The </w:t>
      </w:r>
      <w:r w:rsidR="00A845CA" w:rsidRPr="00713025">
        <w:t>p</w:t>
      </w:r>
      <w:r w:rsidRPr="00713025">
        <w:t xml:space="preserve">rincipal </w:t>
      </w:r>
      <w:r w:rsidR="00A845CA" w:rsidRPr="00713025">
        <w:t>o</w:t>
      </w:r>
      <w:r w:rsidRPr="00713025">
        <w:t>fficer (or delegate) may conduct the investigation as they see fit</w:t>
      </w:r>
      <w:r w:rsidR="00251C33" w:rsidRPr="00713025">
        <w:t xml:space="preserve">, </w:t>
      </w:r>
      <w:r w:rsidR="00C045E1" w:rsidRPr="00713025">
        <w:t>provided it is not inconsistent</w:t>
      </w:r>
      <w:r w:rsidR="00251C33" w:rsidRPr="00713025">
        <w:t xml:space="preserve"> with </w:t>
      </w:r>
      <w:r w:rsidR="00C045E1" w:rsidRPr="00713025">
        <w:t xml:space="preserve">the </w:t>
      </w:r>
      <w:r w:rsidR="00213155" w:rsidRPr="00713025">
        <w:t>PID Standards</w:t>
      </w:r>
      <w:r w:rsidRPr="00713025">
        <w:t>. This may include appointing an investigator to assist them to conduct the investigation.</w:t>
      </w:r>
    </w:p>
    <w:p w14:paraId="043233D6" w14:textId="77777777" w:rsidR="00473090" w:rsidRPr="00713025" w:rsidRDefault="00473090" w:rsidP="00A845CA">
      <w:pPr>
        <w:pStyle w:val="Heading3"/>
        <w:rPr>
          <w:rFonts w:eastAsia="Arial"/>
        </w:rPr>
      </w:pPr>
      <w:bookmarkStart w:id="84" w:name="_Toc150789972"/>
      <w:r w:rsidRPr="00713025">
        <w:rPr>
          <w:rFonts w:eastAsia="Arial"/>
        </w:rPr>
        <w:t>Provision of APP 5 Notice to the discloser</w:t>
      </w:r>
      <w:bookmarkEnd w:id="84"/>
    </w:p>
    <w:p w14:paraId="025B6D04" w14:textId="0B9A44DE" w:rsidR="00473090" w:rsidRPr="001C346B" w:rsidRDefault="00473090" w:rsidP="00385B04">
      <w:pPr>
        <w:pStyle w:val="Numberedlist"/>
        <w:numPr>
          <w:ilvl w:val="1"/>
          <w:numId w:val="33"/>
        </w:numPr>
      </w:pPr>
      <w:r w:rsidRPr="001C346B">
        <w:t xml:space="preserve">Following the disclosure, the discloser should be provided with an </w:t>
      </w:r>
      <w:hyperlink r:id="rId22" w:history="1">
        <w:r w:rsidRPr="00F610E3">
          <w:t>APP 5 Notice</w:t>
        </w:r>
      </w:hyperlink>
      <w:r w:rsidRPr="001C346B">
        <w:t>.</w:t>
      </w:r>
    </w:p>
    <w:p w14:paraId="7D98F9D0" w14:textId="77777777" w:rsidR="00F02482" w:rsidRPr="00713025" w:rsidRDefault="00F02482" w:rsidP="00886662">
      <w:pPr>
        <w:pStyle w:val="Heading3"/>
        <w:rPr>
          <w:rFonts w:eastAsia="Arial"/>
        </w:rPr>
      </w:pPr>
      <w:bookmarkStart w:id="85" w:name="_Toc150789973"/>
      <w:r w:rsidRPr="00713025">
        <w:rPr>
          <w:rFonts w:eastAsia="Arial"/>
        </w:rPr>
        <w:t>General principles</w:t>
      </w:r>
      <w:bookmarkEnd w:id="85"/>
    </w:p>
    <w:p w14:paraId="6DBF1BF1" w14:textId="0E2FA10A" w:rsidR="00E87DEA" w:rsidRPr="00713025" w:rsidRDefault="00E87DEA" w:rsidP="00385B04">
      <w:pPr>
        <w:pStyle w:val="Numberedlist"/>
        <w:numPr>
          <w:ilvl w:val="1"/>
          <w:numId w:val="33"/>
        </w:numPr>
      </w:pPr>
      <w:bookmarkStart w:id="86" w:name="_Toc49525289"/>
      <w:r w:rsidRPr="00713025">
        <w:t xml:space="preserve">The </w:t>
      </w:r>
      <w:r w:rsidRPr="00F610E3">
        <w:t>following</w:t>
      </w:r>
      <w:r w:rsidRPr="00713025">
        <w:t xml:space="preserve"> general principles apply to the conduct of investigations:</w:t>
      </w:r>
    </w:p>
    <w:p w14:paraId="579FED34" w14:textId="04DA3298" w:rsidR="00E87DEA" w:rsidRPr="00F610E3" w:rsidRDefault="00E87DEA" w:rsidP="00F610E3">
      <w:pPr>
        <w:pStyle w:val="Numberedlist"/>
        <w:numPr>
          <w:ilvl w:val="0"/>
          <w:numId w:val="12"/>
        </w:numPr>
        <w:spacing w:before="60" w:after="60"/>
        <w:ind w:left="1134" w:hanging="340"/>
      </w:pPr>
      <w:r w:rsidRPr="00F610E3">
        <w:t xml:space="preserve">maintaining the confidentiality of the identity of the discloser will be paramount when conducting the investigation (see </w:t>
      </w:r>
      <w:r w:rsidR="00713025" w:rsidRPr="00F610E3">
        <w:t>P</w:t>
      </w:r>
      <w:r w:rsidRPr="00F610E3">
        <w:t xml:space="preserve">art </w:t>
      </w:r>
      <w:r w:rsidRPr="00F610E3">
        <w:fldChar w:fldCharType="begin"/>
      </w:r>
      <w:r w:rsidRPr="00F610E3">
        <w:instrText xml:space="preserve"> REF _Ref45959071 \r \h  \* MERGEFORMAT </w:instrText>
      </w:r>
      <w:r w:rsidRPr="00F610E3">
        <w:fldChar w:fldCharType="separate"/>
      </w:r>
      <w:r w:rsidRPr="00F610E3">
        <w:rPr>
          <w:cs/>
        </w:rPr>
        <w:t>‎</w:t>
      </w:r>
      <w:r w:rsidRPr="00F610E3">
        <w:t>3</w:t>
      </w:r>
      <w:r w:rsidRPr="00F610E3">
        <w:fldChar w:fldCharType="end"/>
      </w:r>
      <w:r w:rsidRPr="00F610E3">
        <w:t xml:space="preserve"> of these procedures for further information on confidentiality</w:t>
      </w:r>
      <w:proofErr w:type="gramStart"/>
      <w:r w:rsidRPr="00F610E3">
        <w:t>);</w:t>
      </w:r>
      <w:proofErr w:type="gramEnd"/>
    </w:p>
    <w:p w14:paraId="2D5BB916" w14:textId="77777777" w:rsidR="00E87DEA" w:rsidRPr="00F610E3" w:rsidRDefault="00E87DEA" w:rsidP="00F610E3">
      <w:pPr>
        <w:pStyle w:val="Numberedlist"/>
        <w:numPr>
          <w:ilvl w:val="0"/>
          <w:numId w:val="12"/>
        </w:numPr>
        <w:spacing w:before="60" w:after="60"/>
        <w:ind w:left="1134" w:hanging="340"/>
      </w:pPr>
      <w:r w:rsidRPr="00F610E3">
        <w:t>a decision whether evidence is sufficient to prove a fact must be determined on the balance of probabilities;</w:t>
      </w:r>
      <w:r w:rsidRPr="00F610E3">
        <w:footnoteReference w:id="2"/>
      </w:r>
      <w:r w:rsidRPr="00F610E3">
        <w:t xml:space="preserve"> </w:t>
      </w:r>
    </w:p>
    <w:p w14:paraId="32D848A0" w14:textId="047E7BAF" w:rsidR="00E87DEA" w:rsidRPr="00F610E3" w:rsidRDefault="00E87DEA" w:rsidP="00F610E3">
      <w:pPr>
        <w:pStyle w:val="Numberedlist"/>
        <w:numPr>
          <w:ilvl w:val="0"/>
          <w:numId w:val="12"/>
        </w:numPr>
        <w:spacing w:before="60" w:after="60"/>
        <w:ind w:left="1134" w:hanging="340"/>
      </w:pPr>
      <w:r w:rsidRPr="00F610E3">
        <w:t xml:space="preserve">the </w:t>
      </w:r>
      <w:r w:rsidR="00A845CA" w:rsidRPr="00F610E3">
        <w:t>p</w:t>
      </w:r>
      <w:r w:rsidRPr="00F610E3">
        <w:t xml:space="preserve">rincipal </w:t>
      </w:r>
      <w:r w:rsidR="00A845CA" w:rsidRPr="00F610E3">
        <w:t>o</w:t>
      </w:r>
      <w:r w:rsidRPr="00F610E3">
        <w:t xml:space="preserve">fficer or delegate must be independent and unbiased in investigating the matter. They must ensure that they do not have an actual or perceived conflict of </w:t>
      </w:r>
      <w:proofErr w:type="gramStart"/>
      <w:r w:rsidRPr="00F610E3">
        <w:t>interest;</w:t>
      </w:r>
      <w:proofErr w:type="gramEnd"/>
    </w:p>
    <w:p w14:paraId="2E66EE7A" w14:textId="6EC2B3A4" w:rsidR="00E87DEA" w:rsidRPr="00F610E3" w:rsidRDefault="00E87DEA" w:rsidP="00F610E3">
      <w:pPr>
        <w:pStyle w:val="Numberedlist"/>
        <w:numPr>
          <w:ilvl w:val="0"/>
          <w:numId w:val="12"/>
        </w:numPr>
        <w:spacing w:before="60" w:after="60"/>
        <w:ind w:left="1134" w:hanging="340"/>
      </w:pPr>
      <w:r w:rsidRPr="00F610E3">
        <w:t xml:space="preserve">the </w:t>
      </w:r>
      <w:r w:rsidR="00A845CA" w:rsidRPr="00F610E3">
        <w:t>p</w:t>
      </w:r>
      <w:r w:rsidRPr="00F610E3">
        <w:t xml:space="preserve">rincipal </w:t>
      </w:r>
      <w:r w:rsidR="00A845CA" w:rsidRPr="00F610E3">
        <w:t>o</w:t>
      </w:r>
      <w:r w:rsidRPr="00F610E3">
        <w:t>fficer or delegate may, for the purposes of the investigation, obtain information from such persons, and make such inquiries, as they think fit.</w:t>
      </w:r>
    </w:p>
    <w:p w14:paraId="27B359E6" w14:textId="43829168" w:rsidR="00F02482" w:rsidRPr="00713025" w:rsidRDefault="00F02482" w:rsidP="00D31CC4">
      <w:pPr>
        <w:pStyle w:val="Heading3"/>
      </w:pPr>
      <w:bookmarkStart w:id="87" w:name="_Toc150789974"/>
      <w:r w:rsidRPr="00713025">
        <w:t xml:space="preserve">Additional procedures required in particular </w:t>
      </w:r>
      <w:proofErr w:type="gramStart"/>
      <w:r w:rsidRPr="00713025">
        <w:t>circumstances</w:t>
      </w:r>
      <w:bookmarkEnd w:id="86"/>
      <w:bookmarkEnd w:id="87"/>
      <w:proofErr w:type="gramEnd"/>
    </w:p>
    <w:p w14:paraId="1314E93C" w14:textId="5D98D3ED" w:rsidR="00E87DEA" w:rsidRPr="00713025" w:rsidRDefault="00E87DEA" w:rsidP="00385B04">
      <w:pPr>
        <w:pStyle w:val="Numberedlist"/>
        <w:numPr>
          <w:ilvl w:val="1"/>
          <w:numId w:val="33"/>
        </w:numPr>
      </w:pPr>
      <w:r w:rsidRPr="00713025">
        <w:t xml:space="preserve">The </w:t>
      </w:r>
      <w:r w:rsidR="00E40A47" w:rsidRPr="00713025">
        <w:t>p</w:t>
      </w:r>
      <w:r w:rsidRPr="00713025">
        <w:t xml:space="preserve">rincipal </w:t>
      </w:r>
      <w:r w:rsidR="00E40A47" w:rsidRPr="00713025">
        <w:t>o</w:t>
      </w:r>
      <w:r w:rsidRPr="00713025">
        <w:t xml:space="preserve">fficer or delegate, in </w:t>
      </w:r>
      <w:proofErr w:type="gramStart"/>
      <w:r w:rsidRPr="00713025">
        <w:t>conducting an investigation</w:t>
      </w:r>
      <w:proofErr w:type="gramEnd"/>
      <w:r w:rsidRPr="00713025">
        <w:t xml:space="preserve"> under these procedures, must also comply with:</w:t>
      </w:r>
    </w:p>
    <w:p w14:paraId="7C4C236E" w14:textId="6E68DE10" w:rsidR="00512535" w:rsidRPr="00F610E3" w:rsidRDefault="00512535" w:rsidP="00F610E3">
      <w:pPr>
        <w:pStyle w:val="Numberedlist"/>
        <w:numPr>
          <w:ilvl w:val="0"/>
          <w:numId w:val="12"/>
        </w:numPr>
        <w:spacing w:before="60" w:after="60"/>
        <w:ind w:left="1134" w:hanging="340"/>
      </w:pPr>
      <w:r w:rsidRPr="00F610E3">
        <w:t xml:space="preserve">the PID </w:t>
      </w:r>
      <w:proofErr w:type="gramStart"/>
      <w:r w:rsidRPr="00F610E3">
        <w:t>Act</w:t>
      </w:r>
      <w:r w:rsidR="00E40A47" w:rsidRPr="00F610E3">
        <w:t>;</w:t>
      </w:r>
      <w:proofErr w:type="gramEnd"/>
    </w:p>
    <w:p w14:paraId="76A48964" w14:textId="4899E6E2" w:rsidR="00512535" w:rsidRPr="00F610E3" w:rsidRDefault="00512535" w:rsidP="00F610E3">
      <w:pPr>
        <w:pStyle w:val="Numberedlist"/>
        <w:numPr>
          <w:ilvl w:val="0"/>
          <w:numId w:val="12"/>
        </w:numPr>
        <w:spacing w:before="60" w:after="60"/>
        <w:ind w:left="1134" w:hanging="340"/>
      </w:pPr>
      <w:r w:rsidRPr="00F610E3">
        <w:t xml:space="preserve">the PID </w:t>
      </w:r>
      <w:proofErr w:type="gramStart"/>
      <w:r w:rsidRPr="00F610E3">
        <w:t>Standard</w:t>
      </w:r>
      <w:r w:rsidR="00E40A47" w:rsidRPr="00F610E3">
        <w:t>;</w:t>
      </w:r>
      <w:proofErr w:type="gramEnd"/>
    </w:p>
    <w:p w14:paraId="24A4A7B2" w14:textId="3C794943" w:rsidR="00512535" w:rsidRPr="00F610E3" w:rsidRDefault="00E87DEA" w:rsidP="00F610E3">
      <w:pPr>
        <w:pStyle w:val="Numberedlist"/>
        <w:numPr>
          <w:ilvl w:val="0"/>
          <w:numId w:val="12"/>
        </w:numPr>
        <w:spacing w:before="60" w:after="60"/>
        <w:ind w:left="1134" w:hanging="340"/>
      </w:pPr>
      <w:r w:rsidRPr="00F610E3">
        <w:t xml:space="preserve">these </w:t>
      </w:r>
      <w:proofErr w:type="gramStart"/>
      <w:r w:rsidRPr="00F610E3">
        <w:t>procedures;</w:t>
      </w:r>
      <w:proofErr w:type="gramEnd"/>
      <w:r w:rsidR="00512535" w:rsidRPr="00F610E3">
        <w:t xml:space="preserve"> the NACC Act (and any directions made by the Commissioner)</w:t>
      </w:r>
      <w:r w:rsidR="00E40A47" w:rsidRPr="00F610E3">
        <w:t>;</w:t>
      </w:r>
    </w:p>
    <w:p w14:paraId="32CCF335" w14:textId="20C9F109" w:rsidR="00E87DEA" w:rsidRPr="00F610E3" w:rsidRDefault="00E87DEA" w:rsidP="00F610E3">
      <w:pPr>
        <w:pStyle w:val="Numberedlist"/>
        <w:numPr>
          <w:ilvl w:val="0"/>
          <w:numId w:val="12"/>
        </w:numPr>
        <w:spacing w:before="60" w:after="60"/>
        <w:ind w:left="1134" w:hanging="340"/>
      </w:pPr>
      <w:r w:rsidRPr="00F610E3">
        <w:t xml:space="preserve">any rules relating to fraud that are made for the purposes of the Public Governance, Performance and Accountability Act 2013 </w:t>
      </w:r>
      <w:r w:rsidR="00886AFD" w:rsidRPr="00F610E3">
        <w:t xml:space="preserve">(Cth) </w:t>
      </w:r>
      <w:r w:rsidRPr="00F610E3">
        <w:t>and the Australian Government Investigation Standards (</w:t>
      </w:r>
      <w:r w:rsidRPr="00F610E3">
        <w:rPr>
          <w:b/>
          <w:bCs/>
        </w:rPr>
        <w:t>AGIS</w:t>
      </w:r>
      <w:r w:rsidRPr="00F610E3">
        <w:t>) (if relevant to the matter being investigated</w:t>
      </w:r>
      <w:proofErr w:type="gramStart"/>
      <w:r w:rsidRPr="00F610E3">
        <w:t>);</w:t>
      </w:r>
      <w:proofErr w:type="gramEnd"/>
    </w:p>
    <w:p w14:paraId="7B9B05F4" w14:textId="5AE4B553" w:rsidR="00E87DEA" w:rsidRPr="00F610E3" w:rsidRDefault="00E87DEA" w:rsidP="00F610E3">
      <w:pPr>
        <w:pStyle w:val="Numberedlist"/>
        <w:numPr>
          <w:ilvl w:val="0"/>
          <w:numId w:val="12"/>
        </w:numPr>
        <w:spacing w:before="60" w:after="60"/>
        <w:ind w:left="1134" w:hanging="340"/>
      </w:pPr>
      <w:r w:rsidRPr="00F610E3">
        <w:t xml:space="preserve">the department’s procedures for determining breaches of the APS Code of Conduct, established under s 15(3) of the Public Service Act 1999 </w:t>
      </w:r>
      <w:r w:rsidR="00886AFD" w:rsidRPr="00F610E3">
        <w:t xml:space="preserve">(Cth) </w:t>
      </w:r>
      <w:r w:rsidRPr="00F610E3">
        <w:t>(if relevant to the matter being investigated).</w:t>
      </w:r>
    </w:p>
    <w:p w14:paraId="0E4A776F" w14:textId="7DDADA3D" w:rsidR="00E87DEA" w:rsidRPr="00713025" w:rsidRDefault="00E87DEA" w:rsidP="00385B04">
      <w:pPr>
        <w:pStyle w:val="Numberedlist"/>
        <w:numPr>
          <w:ilvl w:val="1"/>
          <w:numId w:val="33"/>
        </w:numPr>
      </w:pPr>
      <w:r w:rsidRPr="00713025">
        <w:t xml:space="preserve">As part of the investigation, the </w:t>
      </w:r>
      <w:r w:rsidR="00E40A47" w:rsidRPr="00713025">
        <w:t>p</w:t>
      </w:r>
      <w:r w:rsidRPr="00713025">
        <w:t xml:space="preserve">rincipal </w:t>
      </w:r>
      <w:r w:rsidR="00E40A47" w:rsidRPr="00713025">
        <w:t>o</w:t>
      </w:r>
      <w:r w:rsidRPr="00713025">
        <w:t>fficer (or delegate) may consider whether a different investigation should be conducted by the department or another body under another law of the Commonwealth. In particular:</w:t>
      </w:r>
    </w:p>
    <w:p w14:paraId="59D49538" w14:textId="7853E20B" w:rsidR="00E87DEA" w:rsidRPr="00F610E3" w:rsidRDefault="00E87DEA" w:rsidP="00F610E3">
      <w:pPr>
        <w:pStyle w:val="Numberedlist"/>
        <w:numPr>
          <w:ilvl w:val="0"/>
          <w:numId w:val="12"/>
        </w:numPr>
        <w:spacing w:before="60" w:after="60"/>
        <w:ind w:left="1134" w:hanging="340"/>
      </w:pPr>
      <w:r w:rsidRPr="00F610E3">
        <w:t>If the suspected disclosable conduct relates to fraud, the disclosure should be referred to the department</w:t>
      </w:r>
      <w:r w:rsidR="00886AFD" w:rsidRPr="00F610E3">
        <w:t>’</w:t>
      </w:r>
      <w:r w:rsidRPr="00F610E3">
        <w:t xml:space="preserve">s </w:t>
      </w:r>
      <w:r w:rsidR="00993214">
        <w:t>Internal Investigations and Capability Section</w:t>
      </w:r>
      <w:r w:rsidRPr="00F610E3">
        <w:t xml:space="preserve"> for investigation pursuant to the Commonwealth Fraud Control Policy; and/or</w:t>
      </w:r>
    </w:p>
    <w:p w14:paraId="7D6BC58D" w14:textId="5E4A15EF" w:rsidR="00C81360" w:rsidRPr="00F610E3" w:rsidRDefault="00E87DEA" w:rsidP="00F610E3">
      <w:pPr>
        <w:pStyle w:val="Numberedlist"/>
        <w:numPr>
          <w:ilvl w:val="0"/>
          <w:numId w:val="12"/>
        </w:numPr>
        <w:spacing w:before="60" w:after="60"/>
        <w:ind w:left="1134" w:hanging="340"/>
      </w:pPr>
      <w:r w:rsidRPr="00F610E3">
        <w:t>If the suspected disclosable conduct relates to alleged breaches of the APS Code of Conduct, the disclosure should be referred to the department</w:t>
      </w:r>
      <w:r w:rsidR="00886AFD" w:rsidRPr="00F610E3">
        <w:t>’</w:t>
      </w:r>
      <w:r w:rsidRPr="00F610E3">
        <w:t>s People Branch for investigation pursuant to the department</w:t>
      </w:r>
      <w:r w:rsidR="00886AFD" w:rsidRPr="00F610E3">
        <w:t>’</w:t>
      </w:r>
      <w:r w:rsidRPr="00F610E3">
        <w:t>s Code of Conduct procedures.</w:t>
      </w:r>
    </w:p>
    <w:p w14:paraId="7B74BD82" w14:textId="044F68C3" w:rsidR="00C654BF" w:rsidRPr="00F610E3" w:rsidRDefault="008E7521" w:rsidP="00385B04">
      <w:pPr>
        <w:pStyle w:val="Numberedlist"/>
        <w:numPr>
          <w:ilvl w:val="1"/>
          <w:numId w:val="33"/>
        </w:numPr>
      </w:pPr>
      <w:r w:rsidRPr="00F610E3">
        <w:lastRenderedPageBreak/>
        <w:t xml:space="preserve">The principal officer </w:t>
      </w:r>
      <w:proofErr w:type="gramStart"/>
      <w:r w:rsidRPr="00F610E3">
        <w:t>conducting an investigation</w:t>
      </w:r>
      <w:proofErr w:type="gramEnd"/>
      <w:r w:rsidRPr="00F610E3">
        <w:t xml:space="preserve"> may</w:t>
      </w:r>
      <w:r w:rsidR="00E40A47" w:rsidRPr="00F610E3">
        <w:t>,</w:t>
      </w:r>
      <w:r w:rsidRPr="00F610E3">
        <w:t xml:space="preserve"> for the purposes of the investigation, adopt a finding set out in the report of an investigation or inquiry under another law or power, or another investigation under the </w:t>
      </w:r>
      <w:r w:rsidR="00E40A47" w:rsidRPr="00F610E3">
        <w:t xml:space="preserve">PID </w:t>
      </w:r>
      <w:r w:rsidRPr="00F610E3">
        <w:t xml:space="preserve">Act. </w:t>
      </w:r>
    </w:p>
    <w:p w14:paraId="310E87CE" w14:textId="2EAF08A6" w:rsidR="00F02482" w:rsidRPr="00713025" w:rsidRDefault="00F02482" w:rsidP="00D31CC4">
      <w:pPr>
        <w:pStyle w:val="Heading3"/>
        <w:rPr>
          <w:rFonts w:eastAsiaTheme="minorHAnsi"/>
        </w:rPr>
      </w:pPr>
      <w:bookmarkStart w:id="88" w:name="_Toc150789975"/>
      <w:r w:rsidRPr="00713025">
        <w:rPr>
          <w:rFonts w:eastAsiaTheme="minorHAnsi"/>
        </w:rPr>
        <w:t>Interviewing witnesses</w:t>
      </w:r>
      <w:bookmarkEnd w:id="88"/>
    </w:p>
    <w:p w14:paraId="22A04F04" w14:textId="7B6417EC" w:rsidR="001F3196" w:rsidRPr="00713025" w:rsidRDefault="001F3196" w:rsidP="00385B04">
      <w:pPr>
        <w:pStyle w:val="Numberedlist"/>
        <w:numPr>
          <w:ilvl w:val="1"/>
          <w:numId w:val="33"/>
        </w:numPr>
      </w:pPr>
      <w:bookmarkStart w:id="89" w:name="_Toc49525290"/>
      <w:r w:rsidRPr="00713025">
        <w:t xml:space="preserve">Subject to any restrictions imposed by a law of the Commonwealth other than the </w:t>
      </w:r>
      <w:r w:rsidR="00632254" w:rsidRPr="00713025">
        <w:t xml:space="preserve">PID </w:t>
      </w:r>
      <w:r w:rsidRPr="00713025">
        <w:t xml:space="preserve">Act, the </w:t>
      </w:r>
      <w:r w:rsidRPr="00993214">
        <w:t>investigator</w:t>
      </w:r>
      <w:r w:rsidRPr="00713025">
        <w:t xml:space="preserve"> must ensure that, if a person is interviewed as part of the investigation of a public interest disclosure, that person is informed of the following matters:</w:t>
      </w:r>
    </w:p>
    <w:p w14:paraId="7B041907" w14:textId="77777777" w:rsidR="001F3196" w:rsidRPr="00993214" w:rsidRDefault="001F3196" w:rsidP="00993214">
      <w:pPr>
        <w:pStyle w:val="Numberedlist"/>
        <w:numPr>
          <w:ilvl w:val="0"/>
          <w:numId w:val="12"/>
        </w:numPr>
        <w:spacing w:before="60" w:after="60"/>
        <w:ind w:left="1134" w:hanging="340"/>
      </w:pPr>
      <w:r w:rsidRPr="00993214">
        <w:t>the identity and function of each person conducting the interview, and</w:t>
      </w:r>
    </w:p>
    <w:p w14:paraId="674113CE" w14:textId="77777777" w:rsidR="001F3196" w:rsidRPr="00993214" w:rsidRDefault="001F3196" w:rsidP="00993214">
      <w:pPr>
        <w:pStyle w:val="Numberedlist"/>
        <w:numPr>
          <w:ilvl w:val="0"/>
          <w:numId w:val="12"/>
        </w:numPr>
        <w:spacing w:before="60" w:after="60"/>
        <w:ind w:left="1134" w:hanging="340"/>
      </w:pPr>
      <w:r w:rsidRPr="00993214">
        <w:t xml:space="preserve">the process of </w:t>
      </w:r>
      <w:proofErr w:type="gramStart"/>
      <w:r w:rsidRPr="00993214">
        <w:t>conducting an investigation</w:t>
      </w:r>
      <w:proofErr w:type="gramEnd"/>
      <w:r w:rsidRPr="00993214">
        <w:t>, and</w:t>
      </w:r>
    </w:p>
    <w:p w14:paraId="46A1C630" w14:textId="2FBF9A85" w:rsidR="001F3196" w:rsidRPr="00993214" w:rsidRDefault="001F3196" w:rsidP="00993214">
      <w:pPr>
        <w:pStyle w:val="Numberedlist"/>
        <w:numPr>
          <w:ilvl w:val="0"/>
          <w:numId w:val="12"/>
        </w:numPr>
        <w:spacing w:before="60" w:after="60"/>
        <w:ind w:left="1134" w:hanging="340"/>
      </w:pPr>
      <w:r w:rsidRPr="00993214">
        <w:t xml:space="preserve">the authority of the investigator under the </w:t>
      </w:r>
      <w:r w:rsidR="00632254" w:rsidRPr="00993214">
        <w:t xml:space="preserve">PID </w:t>
      </w:r>
      <w:r w:rsidRPr="00993214">
        <w:t xml:space="preserve">Act to </w:t>
      </w:r>
      <w:proofErr w:type="gramStart"/>
      <w:r w:rsidRPr="00993214">
        <w:t>conduct an investigation</w:t>
      </w:r>
      <w:proofErr w:type="gramEnd"/>
      <w:r w:rsidRPr="00993214">
        <w:t>, and</w:t>
      </w:r>
    </w:p>
    <w:p w14:paraId="473CFF0C" w14:textId="7572A6D3" w:rsidR="001F3196" w:rsidRPr="00993214" w:rsidRDefault="001F3196" w:rsidP="00993214">
      <w:pPr>
        <w:pStyle w:val="Numberedlist"/>
        <w:numPr>
          <w:ilvl w:val="0"/>
          <w:numId w:val="12"/>
        </w:numPr>
        <w:spacing w:before="60" w:after="60"/>
        <w:ind w:left="1134" w:hanging="340"/>
      </w:pPr>
      <w:r w:rsidRPr="00993214">
        <w:t xml:space="preserve">the protections provided to the witnesses under section </w:t>
      </w:r>
      <w:r w:rsidR="00422827" w:rsidRPr="00993214">
        <w:t xml:space="preserve">12A </w:t>
      </w:r>
      <w:r w:rsidRPr="00993214">
        <w:t xml:space="preserve">of the </w:t>
      </w:r>
      <w:r w:rsidR="00632254" w:rsidRPr="00993214">
        <w:t xml:space="preserve">PID </w:t>
      </w:r>
      <w:r w:rsidRPr="00993214">
        <w:t>Act, and</w:t>
      </w:r>
    </w:p>
    <w:p w14:paraId="3A1B7553" w14:textId="0B9BD9F9" w:rsidR="00FB7758" w:rsidRPr="00993214" w:rsidRDefault="00EA1CAF" w:rsidP="00993214">
      <w:pPr>
        <w:pStyle w:val="Numberedlist"/>
        <w:numPr>
          <w:ilvl w:val="0"/>
          <w:numId w:val="12"/>
        </w:numPr>
        <w:spacing w:before="60" w:after="60"/>
        <w:ind w:left="1134" w:hanging="340"/>
      </w:pPr>
      <w:r w:rsidRPr="00993214">
        <w:t>whether an audio or visual recording of the interview will be made, and</w:t>
      </w:r>
    </w:p>
    <w:p w14:paraId="0A114083" w14:textId="4D44E6B4" w:rsidR="001F3196" w:rsidRPr="00993214" w:rsidRDefault="001F3196" w:rsidP="00993214">
      <w:pPr>
        <w:pStyle w:val="Numberedlist"/>
        <w:numPr>
          <w:ilvl w:val="0"/>
          <w:numId w:val="12"/>
        </w:numPr>
        <w:spacing w:before="60" w:after="60"/>
        <w:ind w:left="1134" w:hanging="340"/>
      </w:pPr>
      <w:r w:rsidRPr="00993214">
        <w:t>the interviewee</w:t>
      </w:r>
      <w:r w:rsidR="00886AFD" w:rsidRPr="00993214">
        <w:t>’</w:t>
      </w:r>
      <w:r w:rsidRPr="00993214">
        <w:t>s duty as follows:</w:t>
      </w:r>
    </w:p>
    <w:p w14:paraId="52E48A33" w14:textId="05E05588" w:rsidR="001F3196" w:rsidRPr="00993214" w:rsidRDefault="001F3196" w:rsidP="00993214">
      <w:pPr>
        <w:pStyle w:val="ListBullet"/>
        <w:ind w:left="1548" w:hanging="357"/>
        <w:rPr>
          <w:szCs w:val="21"/>
        </w:rPr>
      </w:pPr>
      <w:r w:rsidRPr="00993214">
        <w:rPr>
          <w:szCs w:val="21"/>
        </w:rPr>
        <w:t xml:space="preserve">if they are a public official, to use their best endeavours to assist the investigator in the conduct of an investigation under the </w:t>
      </w:r>
      <w:r w:rsidR="00632254" w:rsidRPr="00993214">
        <w:rPr>
          <w:szCs w:val="21"/>
        </w:rPr>
        <w:t xml:space="preserve">PID </w:t>
      </w:r>
      <w:r w:rsidRPr="00993214">
        <w:rPr>
          <w:szCs w:val="21"/>
        </w:rPr>
        <w:t>Act (subject to the public official’s privilege against self-incrimination or exposing themselves to a penalty); and</w:t>
      </w:r>
    </w:p>
    <w:p w14:paraId="2496B19A" w14:textId="77777777" w:rsidR="001F3196" w:rsidRPr="00993214" w:rsidRDefault="001F3196" w:rsidP="00993214">
      <w:pPr>
        <w:pStyle w:val="ListBullet"/>
        <w:ind w:left="1548" w:hanging="357"/>
        <w:rPr>
          <w:szCs w:val="21"/>
        </w:rPr>
      </w:pPr>
      <w:r w:rsidRPr="00993214">
        <w:rPr>
          <w:szCs w:val="21"/>
        </w:rPr>
        <w:t>not to take or threaten to take reprisal action against the discloser; and</w:t>
      </w:r>
    </w:p>
    <w:p w14:paraId="5BACDAF1" w14:textId="5872F000" w:rsidR="002D3568" w:rsidRPr="00993214" w:rsidRDefault="001F3196" w:rsidP="00993214">
      <w:pPr>
        <w:pStyle w:val="ListBullet"/>
        <w:ind w:left="1548" w:hanging="357"/>
        <w:rPr>
          <w:szCs w:val="21"/>
        </w:rPr>
      </w:pPr>
      <w:r w:rsidRPr="00993214">
        <w:rPr>
          <w:szCs w:val="21"/>
        </w:rPr>
        <w:t xml:space="preserve">subject to the </w:t>
      </w:r>
      <w:r w:rsidR="00632254" w:rsidRPr="00993214">
        <w:rPr>
          <w:szCs w:val="21"/>
        </w:rPr>
        <w:t xml:space="preserve">PID </w:t>
      </w:r>
      <w:r w:rsidRPr="00993214">
        <w:rPr>
          <w:szCs w:val="21"/>
        </w:rPr>
        <w:t>Act, not to disclose the identity of the person who made the disclosure.</w:t>
      </w:r>
    </w:p>
    <w:p w14:paraId="5F67A566" w14:textId="324D69CD" w:rsidR="0051370F" w:rsidRPr="00713025" w:rsidRDefault="0051370F" w:rsidP="00385B04">
      <w:pPr>
        <w:pStyle w:val="Numberedlist"/>
        <w:numPr>
          <w:ilvl w:val="1"/>
          <w:numId w:val="33"/>
        </w:numPr>
      </w:pPr>
      <w:r w:rsidRPr="00713025">
        <w:t xml:space="preserve">Prior to interviewing a witness, investigators should provide the witness with an </w:t>
      </w:r>
      <w:hyperlink r:id="rId23" w:history="1">
        <w:r w:rsidRPr="00993214">
          <w:t>APP 5 Notice</w:t>
        </w:r>
      </w:hyperlink>
      <w:r w:rsidRPr="00713025">
        <w:t xml:space="preserve">. </w:t>
      </w:r>
    </w:p>
    <w:p w14:paraId="53E2FF88" w14:textId="4DDA2BAF" w:rsidR="001F3196" w:rsidRPr="00713025" w:rsidRDefault="001F3196" w:rsidP="00385B04">
      <w:pPr>
        <w:pStyle w:val="Numberedlist"/>
        <w:numPr>
          <w:ilvl w:val="1"/>
          <w:numId w:val="33"/>
        </w:numPr>
      </w:pPr>
      <w:r w:rsidRPr="00713025">
        <w:t xml:space="preserve">At the end of any interview, the interviewee must be given an opportunity to make a final statement or comment or express an opinion.  The investigator must include any final statement, </w:t>
      </w:r>
      <w:proofErr w:type="gramStart"/>
      <w:r w:rsidRPr="00713025">
        <w:t>comment</w:t>
      </w:r>
      <w:proofErr w:type="gramEnd"/>
      <w:r w:rsidRPr="00713025">
        <w:t xml:space="preserve"> or position in the record of interview.</w:t>
      </w:r>
    </w:p>
    <w:p w14:paraId="4671DC13" w14:textId="6F57E943" w:rsidR="001F3196" w:rsidRPr="00713025" w:rsidRDefault="001F3196" w:rsidP="00385B04">
      <w:pPr>
        <w:pStyle w:val="Numberedlist"/>
        <w:numPr>
          <w:ilvl w:val="1"/>
          <w:numId w:val="33"/>
        </w:numPr>
      </w:pPr>
      <w:r w:rsidRPr="00713025">
        <w:t xml:space="preserve">Any interviews conducted with the discloser should be conducted in private and should be arranged </w:t>
      </w:r>
      <w:proofErr w:type="gramStart"/>
      <w:r w:rsidRPr="00713025">
        <w:t>so as to</w:t>
      </w:r>
      <w:proofErr w:type="gramEnd"/>
      <w:r w:rsidRPr="00713025">
        <w:t xml:space="preserve"> avoid the identification of the discloser by other staff of the department.</w:t>
      </w:r>
    </w:p>
    <w:p w14:paraId="0A0A4FFF" w14:textId="6EA7167C" w:rsidR="00F02482" w:rsidRPr="00713025" w:rsidRDefault="00F02482" w:rsidP="00D31CC4">
      <w:pPr>
        <w:pStyle w:val="Heading3"/>
      </w:pPr>
      <w:bookmarkStart w:id="90" w:name="_Toc150789976"/>
      <w:r w:rsidRPr="00713025">
        <w:rPr>
          <w:rFonts w:eastAsia="Arial"/>
        </w:rPr>
        <w:t>Procedural fairness</w:t>
      </w:r>
      <w:bookmarkEnd w:id="89"/>
      <w:bookmarkEnd w:id="90"/>
    </w:p>
    <w:p w14:paraId="7B576E64" w14:textId="4F145EE0" w:rsidR="00735466" w:rsidRPr="00713025" w:rsidRDefault="00735466" w:rsidP="00385B04">
      <w:pPr>
        <w:pStyle w:val="Numberedlist"/>
        <w:numPr>
          <w:ilvl w:val="1"/>
          <w:numId w:val="33"/>
        </w:numPr>
      </w:pPr>
      <w:bookmarkStart w:id="91" w:name="_Toc49525291"/>
      <w:r w:rsidRPr="00713025">
        <w:t>Procedural fairness does not require that a person against whom allegations are made be advised as soon as the disclosure is received or as soon as an investigation is commenced.</w:t>
      </w:r>
    </w:p>
    <w:p w14:paraId="6432E87D" w14:textId="549D4DC7" w:rsidR="00735466" w:rsidRPr="00713025" w:rsidRDefault="00735466" w:rsidP="00385B04">
      <w:pPr>
        <w:pStyle w:val="Numberedlist"/>
        <w:numPr>
          <w:ilvl w:val="1"/>
          <w:numId w:val="33"/>
        </w:numPr>
      </w:pPr>
      <w:r w:rsidRPr="00713025">
        <w:t>Procedural fairness may require that the discloser’s identity be revealed to the person who is subject of the disclosure so that the subject can meaningfully understand the allegations being made against them.</w:t>
      </w:r>
    </w:p>
    <w:p w14:paraId="100DEE7C" w14:textId="534A15B6" w:rsidR="00735466" w:rsidRPr="00713025" w:rsidRDefault="00735466" w:rsidP="00385B04">
      <w:pPr>
        <w:pStyle w:val="Numberedlist"/>
        <w:numPr>
          <w:ilvl w:val="1"/>
          <w:numId w:val="33"/>
        </w:numPr>
      </w:pPr>
      <w:r w:rsidRPr="00713025">
        <w:t>Where the investigator proposes to make a finding of fact or express an opinion that is adverse to the discloser, or to a public official who is a subject of the disclosure, the investigator must advise the person who is the subject of the proposed finding or opinion of the adverse material that is relevant to that proposed finding or opinion and must give the person a reasonable opportunity to respond to it.</w:t>
      </w:r>
      <w:r w:rsidRPr="00713025">
        <w:rPr>
          <w:vertAlign w:val="superscript"/>
        </w:rPr>
        <w:footnoteReference w:id="3"/>
      </w:r>
    </w:p>
    <w:p w14:paraId="51F49D0B" w14:textId="02D38F6C" w:rsidR="009026EA" w:rsidRPr="00993214" w:rsidRDefault="00735466" w:rsidP="00385B04">
      <w:pPr>
        <w:pStyle w:val="Numberedlist"/>
        <w:numPr>
          <w:ilvl w:val="1"/>
          <w:numId w:val="33"/>
        </w:numPr>
      </w:pPr>
      <w:r w:rsidRPr="00713025">
        <w:t xml:space="preserve">If it appears that the proposed finding or opinion would affect adversely the rights or interests of someone other than the discloser or a public official who is subject of the </w:t>
      </w:r>
      <w:r w:rsidRPr="00713025">
        <w:lastRenderedPageBreak/>
        <w:t>disclosure, then the investigator should consider (including by consulting with Legal) whether that person should be given the opportunity to comment.</w:t>
      </w:r>
    </w:p>
    <w:p w14:paraId="749B7775" w14:textId="5C1CA50C" w:rsidR="00F02482" w:rsidRPr="00713025" w:rsidRDefault="00F02482" w:rsidP="00D31CC4">
      <w:pPr>
        <w:pStyle w:val="Heading3"/>
        <w:rPr>
          <w:rFonts w:eastAsia="Arial"/>
        </w:rPr>
      </w:pPr>
      <w:bookmarkStart w:id="92" w:name="_Toc150789977"/>
      <w:r w:rsidRPr="00713025">
        <w:rPr>
          <w:rFonts w:eastAsia="Arial"/>
        </w:rPr>
        <w:t>Timeframe</w:t>
      </w:r>
      <w:bookmarkEnd w:id="91"/>
      <w:r w:rsidR="009026EA" w:rsidRPr="00713025">
        <w:rPr>
          <w:rFonts w:eastAsia="Arial"/>
        </w:rPr>
        <w:t xml:space="preserve"> for completion of an investigation</w:t>
      </w:r>
      <w:bookmarkEnd w:id="92"/>
    </w:p>
    <w:p w14:paraId="121FC627" w14:textId="42F7CF06" w:rsidR="00422790" w:rsidRPr="00713025" w:rsidRDefault="00422790" w:rsidP="00385B04">
      <w:pPr>
        <w:pStyle w:val="Numberedlist"/>
        <w:numPr>
          <w:ilvl w:val="1"/>
          <w:numId w:val="33"/>
        </w:numPr>
      </w:pPr>
      <w:bookmarkStart w:id="93" w:name="_Toc49525292"/>
      <w:bookmarkStart w:id="94" w:name="_Toc392852326"/>
      <w:r w:rsidRPr="00713025">
        <w:t>An investigation must be completed within 90 days after</w:t>
      </w:r>
      <w:r w:rsidR="00B32F74" w:rsidRPr="00713025">
        <w:t xml:space="preserve"> the day</w:t>
      </w:r>
      <w:r w:rsidRPr="00713025">
        <w:t>:</w:t>
      </w:r>
    </w:p>
    <w:p w14:paraId="03287B73" w14:textId="7F891868" w:rsidR="00150EB4" w:rsidRPr="00993214" w:rsidRDefault="00357236" w:rsidP="00993214">
      <w:pPr>
        <w:pStyle w:val="Numberedlist"/>
        <w:numPr>
          <w:ilvl w:val="0"/>
          <w:numId w:val="12"/>
        </w:numPr>
        <w:spacing w:before="60" w:after="60"/>
        <w:ind w:left="1134" w:hanging="340"/>
      </w:pPr>
      <w:r w:rsidRPr="00993214">
        <w:t>a</w:t>
      </w:r>
      <w:r w:rsidR="00150EB4" w:rsidRPr="00993214">
        <w:t xml:space="preserve"> disclosure </w:t>
      </w:r>
      <w:r w:rsidRPr="00993214">
        <w:t>was</w:t>
      </w:r>
      <w:r w:rsidR="00150EB4" w:rsidRPr="00993214">
        <w:t xml:space="preserve"> initially allocated</w:t>
      </w:r>
      <w:r w:rsidR="00510B6C" w:rsidRPr="00993214">
        <w:t>; or</w:t>
      </w:r>
    </w:p>
    <w:p w14:paraId="4D29ED43" w14:textId="466769F2" w:rsidR="00357236" w:rsidRPr="00993214" w:rsidRDefault="00357236" w:rsidP="00993214">
      <w:pPr>
        <w:pStyle w:val="Numberedlist"/>
        <w:numPr>
          <w:ilvl w:val="0"/>
          <w:numId w:val="12"/>
        </w:numPr>
        <w:spacing w:before="60" w:after="60"/>
        <w:ind w:left="1134" w:hanging="340"/>
      </w:pPr>
      <w:r w:rsidRPr="00993214">
        <w:t>a disclosure was reallocated</w:t>
      </w:r>
      <w:r w:rsidR="00510B6C" w:rsidRPr="00993214">
        <w:t>; or</w:t>
      </w:r>
    </w:p>
    <w:p w14:paraId="1486505A" w14:textId="40B0B374" w:rsidR="00B32F74" w:rsidRPr="00993214" w:rsidRDefault="00806397" w:rsidP="00993214">
      <w:pPr>
        <w:pStyle w:val="Numberedlist"/>
        <w:numPr>
          <w:ilvl w:val="0"/>
          <w:numId w:val="12"/>
        </w:numPr>
        <w:spacing w:before="60" w:after="60"/>
        <w:ind w:left="1134" w:hanging="340"/>
      </w:pPr>
      <w:r w:rsidRPr="00993214">
        <w:t xml:space="preserve">the principal officer of the department decided to reinvestigate the relevant </w:t>
      </w:r>
      <w:r w:rsidR="00B32F74" w:rsidRPr="00993214">
        <w:t>disclosure</w:t>
      </w:r>
      <w:r w:rsidR="00510B6C" w:rsidRPr="00993214">
        <w:t>; or</w:t>
      </w:r>
    </w:p>
    <w:p w14:paraId="4D8FCD41" w14:textId="71200BE7" w:rsidR="00A501DF" w:rsidRPr="00993214" w:rsidRDefault="00B32F74" w:rsidP="00993214">
      <w:pPr>
        <w:pStyle w:val="Numberedlist"/>
        <w:numPr>
          <w:ilvl w:val="0"/>
          <w:numId w:val="12"/>
        </w:numPr>
        <w:spacing w:before="60" w:after="60"/>
        <w:ind w:left="1134" w:hanging="340"/>
      </w:pPr>
      <w:r w:rsidRPr="00993214">
        <w:t xml:space="preserve">the principal officers </w:t>
      </w:r>
      <w:proofErr w:type="gramStart"/>
      <w:r w:rsidRPr="00993214">
        <w:t>becomes</w:t>
      </w:r>
      <w:proofErr w:type="gramEnd"/>
      <w:r w:rsidRPr="00993214">
        <w:t xml:space="preserve"> aware that a stop action direction under the NACC Act no longer applies.</w:t>
      </w:r>
    </w:p>
    <w:p w14:paraId="0A38C727" w14:textId="5916BB50" w:rsidR="00735466" w:rsidRPr="00713025" w:rsidRDefault="00735466" w:rsidP="00385B04">
      <w:pPr>
        <w:pStyle w:val="Numberedlist"/>
        <w:numPr>
          <w:ilvl w:val="1"/>
          <w:numId w:val="33"/>
        </w:numPr>
      </w:pPr>
      <w:r w:rsidRPr="00713025">
        <w:t xml:space="preserve">The investigation is completed when the </w:t>
      </w:r>
      <w:r w:rsidR="009026EA" w:rsidRPr="00713025">
        <w:t>p</w:t>
      </w:r>
      <w:r w:rsidRPr="00713025">
        <w:t xml:space="preserve">rincipal </w:t>
      </w:r>
      <w:r w:rsidR="009026EA" w:rsidRPr="00713025">
        <w:t>o</w:t>
      </w:r>
      <w:r w:rsidRPr="00713025">
        <w:t>fficer (or delegate) has prepared the report of the investigation.</w:t>
      </w:r>
    </w:p>
    <w:p w14:paraId="3F3CD5E5" w14:textId="1EB2C140" w:rsidR="00735466" w:rsidRPr="00713025" w:rsidRDefault="00735466" w:rsidP="00385B04">
      <w:pPr>
        <w:pStyle w:val="Numberedlist"/>
        <w:numPr>
          <w:ilvl w:val="1"/>
          <w:numId w:val="33"/>
        </w:numPr>
      </w:pPr>
      <w:r w:rsidRPr="00713025">
        <w:t>It is possible to seek one or more extensions of time from the Ombudsman.</w:t>
      </w:r>
    </w:p>
    <w:p w14:paraId="6905FF21" w14:textId="40E27E3E" w:rsidR="001A2951" w:rsidRPr="00713025" w:rsidRDefault="00735466" w:rsidP="00385B04">
      <w:pPr>
        <w:pStyle w:val="Numberedlist"/>
        <w:numPr>
          <w:ilvl w:val="1"/>
          <w:numId w:val="33"/>
        </w:numPr>
      </w:pPr>
      <w:r w:rsidRPr="00713025">
        <w:t xml:space="preserve">Extension applications must be made at least 10 days before the </w:t>
      </w:r>
      <w:r w:rsidR="00965C30" w:rsidRPr="00713025">
        <w:t>90-day</w:t>
      </w:r>
      <w:r w:rsidRPr="00713025">
        <w:t xml:space="preserve"> period expires. The Ombudsman cannot grant an extension after the </w:t>
      </w:r>
      <w:r w:rsidR="00965C30" w:rsidRPr="00713025">
        <w:t>90-day</w:t>
      </w:r>
      <w:r w:rsidRPr="00713025">
        <w:t xml:space="preserve"> deadline has passed</w:t>
      </w:r>
      <w:r w:rsidR="00127E21" w:rsidRPr="00713025">
        <w:t>.</w:t>
      </w:r>
    </w:p>
    <w:p w14:paraId="1277697D" w14:textId="77777777" w:rsidR="0051370F" w:rsidRPr="00713025" w:rsidRDefault="0051370F" w:rsidP="00A20754">
      <w:pPr>
        <w:pStyle w:val="Heading3"/>
        <w:rPr>
          <w:rFonts w:eastAsia="Arial"/>
        </w:rPr>
      </w:pPr>
      <w:bookmarkStart w:id="95" w:name="_Toc150789978"/>
      <w:bookmarkStart w:id="96" w:name="_Hlk137225761"/>
      <w:r w:rsidRPr="00713025">
        <w:rPr>
          <w:rFonts w:eastAsia="Arial"/>
        </w:rPr>
        <w:t>Privacy of witnesses</w:t>
      </w:r>
      <w:bookmarkEnd w:id="95"/>
    </w:p>
    <w:p w14:paraId="358E40E5" w14:textId="62CA49B6" w:rsidR="0051370F" w:rsidRPr="00713025" w:rsidRDefault="0051370F" w:rsidP="00385B04">
      <w:pPr>
        <w:pStyle w:val="Numberedlist"/>
        <w:numPr>
          <w:ilvl w:val="1"/>
          <w:numId w:val="33"/>
        </w:numPr>
      </w:pPr>
      <w:r w:rsidRPr="00713025">
        <w:t xml:space="preserve">Where practicable, the department should provide witnesses (including the discloser, where relevant) the option to deal with the department anonymously or pseudonymously </w:t>
      </w:r>
      <w:proofErr w:type="gramStart"/>
      <w:r w:rsidRPr="00713025">
        <w:t>during the course of</w:t>
      </w:r>
      <w:proofErr w:type="gramEnd"/>
      <w:r w:rsidRPr="00713025">
        <w:t xml:space="preserve"> an investigation.</w:t>
      </w:r>
    </w:p>
    <w:p w14:paraId="21030851" w14:textId="057AA4A9" w:rsidR="0051370F" w:rsidRPr="00713025" w:rsidRDefault="0051370F" w:rsidP="00385B04">
      <w:pPr>
        <w:pStyle w:val="Numberedlist"/>
        <w:numPr>
          <w:ilvl w:val="1"/>
          <w:numId w:val="33"/>
        </w:numPr>
      </w:pPr>
      <w:r w:rsidRPr="00713025">
        <w:t xml:space="preserve">Where, as part of an investigation, the department is otherwise required to collect or disclose personal information (as defined in the </w:t>
      </w:r>
      <w:r w:rsidRPr="00DD451D">
        <w:t>Privacy Act 1988</w:t>
      </w:r>
      <w:r w:rsidRPr="00713025">
        <w:t xml:space="preserve"> (Cth)) the department should only collect or disclose the minimum amount of personal information necessary to effectively carry out the investigation.</w:t>
      </w:r>
    </w:p>
    <w:p w14:paraId="6077DCD7" w14:textId="5C609B17" w:rsidR="00337009" w:rsidRPr="00713025" w:rsidRDefault="00337009" w:rsidP="00385B04">
      <w:pPr>
        <w:pStyle w:val="Numberedlist"/>
        <w:numPr>
          <w:ilvl w:val="1"/>
          <w:numId w:val="33"/>
        </w:numPr>
      </w:pPr>
      <w:r w:rsidRPr="00713025">
        <w:t xml:space="preserve">With respect to a PID which has been mandatorily referred to the NACC as a NACC disclosure, the </w:t>
      </w:r>
      <w:r w:rsidR="0067293F" w:rsidRPr="00713025">
        <w:t xml:space="preserve">PID officer </w:t>
      </w:r>
      <w:r w:rsidRPr="00713025">
        <w:t>is required to disclose all information which is relevant to the complaint and is within the</w:t>
      </w:r>
      <w:r w:rsidR="0067293F" w:rsidRPr="00713025">
        <w:t>ir</w:t>
      </w:r>
      <w:r w:rsidRPr="00713025">
        <w:t xml:space="preserve"> possession and control at the time of the referral. Relevantly, if the information before the</w:t>
      </w:r>
      <w:r w:rsidR="0067293F" w:rsidRPr="00713025">
        <w:t>m</w:t>
      </w:r>
      <w:r w:rsidRPr="00713025">
        <w:t xml:space="preserve"> at the time of referral includes the discloser</w:t>
      </w:r>
      <w:r w:rsidR="0067293F" w:rsidRPr="00713025">
        <w:t>’</w:t>
      </w:r>
      <w:r w:rsidRPr="00713025">
        <w:t xml:space="preserve">s </w:t>
      </w:r>
      <w:r w:rsidR="00DE0CC4" w:rsidRPr="00713025">
        <w:t>identity,</w:t>
      </w:r>
      <w:r w:rsidRPr="00713025">
        <w:t xml:space="preserve"> then the discloser’s identity (and the identify of any named witnesses etc) </w:t>
      </w:r>
      <w:r w:rsidR="00127E21" w:rsidRPr="00713025">
        <w:t>may be ‘relevant information’ that needs to</w:t>
      </w:r>
      <w:r w:rsidRPr="00713025">
        <w:t xml:space="preserve"> be provided to NACC as part of the referral. </w:t>
      </w:r>
      <w:r w:rsidR="00127E21" w:rsidRPr="00713025">
        <w:t xml:space="preserve">This may be necessary even where the disclosure of identifying information is otherwise prohibited under the PID Act because the obligation to make a referral to the NACC applies despite any secrecy provision other than exempt secrecy provisions.  </w:t>
      </w:r>
    </w:p>
    <w:p w14:paraId="2A8FECCA" w14:textId="3E646DBA" w:rsidR="00337009" w:rsidRPr="00713025" w:rsidRDefault="00BF6F38" w:rsidP="00385B04">
      <w:pPr>
        <w:pStyle w:val="Numberedlist"/>
        <w:numPr>
          <w:ilvl w:val="1"/>
          <w:numId w:val="33"/>
        </w:numPr>
      </w:pPr>
      <w:r w:rsidRPr="00713025">
        <w:t xml:space="preserve">The NACC Act also vests the Commissioner with the powers to make any necessary arrangements to protect the safety of any person who is, or was, called as a witness in relation to </w:t>
      </w:r>
      <w:r w:rsidR="0067293F" w:rsidRPr="00713025">
        <w:t xml:space="preserve">the </w:t>
      </w:r>
      <w:r w:rsidRPr="00713025">
        <w:t>NACC disclosure or who is or has been called to respond to notice to produce to the same. The Commissioner ca</w:t>
      </w:r>
      <w:r w:rsidR="00127E21" w:rsidRPr="00713025">
        <w:t>n</w:t>
      </w:r>
      <w:r w:rsidRPr="00713025">
        <w:t xml:space="preserve"> also protect a witness or responder to a notice to produce from intimidation or harassment by, if necessary, making arrangements with the Minister, AFP Commissioner or the police force of any state or territory (</w:t>
      </w:r>
      <w:proofErr w:type="gramStart"/>
      <w:r w:rsidRPr="00713025">
        <w:t>see:</w:t>
      </w:r>
      <w:proofErr w:type="gramEnd"/>
      <w:r w:rsidRPr="00713025">
        <w:t xml:space="preserve"> s</w:t>
      </w:r>
      <w:r w:rsidR="00127E21" w:rsidRPr="00713025">
        <w:t>ection</w:t>
      </w:r>
      <w:r w:rsidRPr="00713025">
        <w:t xml:space="preserve"> 116 of the NACC Act).  </w:t>
      </w:r>
    </w:p>
    <w:p w14:paraId="0C62D981" w14:textId="66D6A223" w:rsidR="0051370F" w:rsidRPr="00713025" w:rsidRDefault="0051370F" w:rsidP="00A20754">
      <w:pPr>
        <w:pStyle w:val="Heading3"/>
        <w:rPr>
          <w:rFonts w:eastAsia="Arial"/>
        </w:rPr>
      </w:pPr>
      <w:bookmarkStart w:id="97" w:name="_Toc150789979"/>
      <w:r w:rsidRPr="00713025">
        <w:rPr>
          <w:rFonts w:eastAsia="Arial"/>
        </w:rPr>
        <w:t>Accuracy</w:t>
      </w:r>
      <w:r w:rsidR="00A171C1" w:rsidRPr="00713025">
        <w:rPr>
          <w:rFonts w:eastAsia="Arial"/>
        </w:rPr>
        <w:t xml:space="preserve"> </w:t>
      </w:r>
      <w:r w:rsidRPr="00713025">
        <w:rPr>
          <w:rFonts w:eastAsia="Arial"/>
        </w:rPr>
        <w:t>of personal information</w:t>
      </w:r>
      <w:bookmarkEnd w:id="97"/>
    </w:p>
    <w:p w14:paraId="003D3259" w14:textId="7FBA698B" w:rsidR="0051370F" w:rsidRPr="00713025" w:rsidRDefault="0051370F" w:rsidP="00385B04">
      <w:pPr>
        <w:pStyle w:val="Numberedlist"/>
        <w:numPr>
          <w:ilvl w:val="1"/>
          <w:numId w:val="33"/>
        </w:numPr>
      </w:pPr>
      <w:r w:rsidRPr="00713025">
        <w:t xml:space="preserve">Investigators should continually assess (for so long as a public interest disclosure investigation is ongoing) whether personal information collected as part of a public interest disclosure is inaccurate, incomplete, </w:t>
      </w:r>
      <w:proofErr w:type="gramStart"/>
      <w:r w:rsidRPr="00713025">
        <w:t>irrelevant</w:t>
      </w:r>
      <w:proofErr w:type="gramEnd"/>
      <w:r w:rsidRPr="00713025">
        <w:t xml:space="preserve"> or not up to date, in light of new information arising. Where personal information has been found to be inaccurate, incomplete, irrelevant, or not up to date, the investigator should not use or disclose the personal information, unless required to do so under the </w:t>
      </w:r>
      <w:r w:rsidR="003C25F9">
        <w:t xml:space="preserve">PID </w:t>
      </w:r>
      <w:r w:rsidRPr="00713025">
        <w:t>Act.</w:t>
      </w:r>
    </w:p>
    <w:p w14:paraId="2C84ED88" w14:textId="436BB843" w:rsidR="00702BCF" w:rsidRPr="00713025" w:rsidRDefault="0051370F" w:rsidP="00385B04">
      <w:pPr>
        <w:pStyle w:val="Numberedlist"/>
        <w:numPr>
          <w:ilvl w:val="1"/>
          <w:numId w:val="33"/>
        </w:numPr>
      </w:pPr>
      <w:r w:rsidRPr="00713025">
        <w:lastRenderedPageBreak/>
        <w:t xml:space="preserve">Investigators should record any decision to not use or disclose personal information contained in a public interest disclosure </w:t>
      </w:r>
      <w:proofErr w:type="gramStart"/>
      <w:r w:rsidRPr="00713025">
        <w:t>as a result of</w:t>
      </w:r>
      <w:proofErr w:type="gramEnd"/>
      <w:r w:rsidRPr="00713025">
        <w:t xml:space="preserve"> these procedures.</w:t>
      </w:r>
    </w:p>
    <w:p w14:paraId="01934DB1" w14:textId="24E0AE76" w:rsidR="00C81360" w:rsidRPr="00713025" w:rsidRDefault="00C81360" w:rsidP="00A20754">
      <w:pPr>
        <w:pStyle w:val="Heading3"/>
        <w:rPr>
          <w:rFonts w:eastAsia="Arial"/>
        </w:rPr>
      </w:pPr>
      <w:bookmarkStart w:id="98" w:name="_Toc150789980"/>
      <w:r w:rsidRPr="00713025">
        <w:rPr>
          <w:rFonts w:eastAsia="Arial"/>
        </w:rPr>
        <w:t>Correction of personal information</w:t>
      </w:r>
      <w:bookmarkEnd w:id="98"/>
    </w:p>
    <w:p w14:paraId="319E6984" w14:textId="00B4AC8D" w:rsidR="00A171C1" w:rsidRPr="00713025" w:rsidRDefault="00A171C1" w:rsidP="00385B04">
      <w:pPr>
        <w:pStyle w:val="Numberedlist"/>
        <w:numPr>
          <w:ilvl w:val="1"/>
          <w:numId w:val="33"/>
        </w:numPr>
      </w:pPr>
      <w:r w:rsidRPr="00713025">
        <w:t xml:space="preserve">Having regard to the purpose for which the personal information is held, the </w:t>
      </w:r>
      <w:r w:rsidR="0067293F" w:rsidRPr="00713025">
        <w:t>p</w:t>
      </w:r>
      <w:r w:rsidRPr="00713025">
        <w:t xml:space="preserve">rincipal </w:t>
      </w:r>
      <w:r w:rsidR="0067293F" w:rsidRPr="00713025">
        <w:t>o</w:t>
      </w:r>
      <w:r w:rsidRPr="00713025">
        <w:t>fficer must:</w:t>
      </w:r>
    </w:p>
    <w:p w14:paraId="2542C8F8" w14:textId="2885FF05" w:rsidR="00A171C1" w:rsidRPr="00713025" w:rsidRDefault="00A171C1" w:rsidP="00DD451D">
      <w:pPr>
        <w:pStyle w:val="Numberedlist"/>
        <w:numPr>
          <w:ilvl w:val="0"/>
          <w:numId w:val="12"/>
        </w:numPr>
        <w:spacing w:before="60" w:after="60"/>
        <w:ind w:left="1134" w:hanging="340"/>
      </w:pPr>
      <w:r w:rsidRPr="00713025">
        <w:t xml:space="preserve">ensure that personal information in a record of a public interest disclosure is corrected where the </w:t>
      </w:r>
      <w:r w:rsidR="0067293F" w:rsidRPr="00713025">
        <w:t>p</w:t>
      </w:r>
      <w:r w:rsidRPr="00713025">
        <w:t xml:space="preserve">rincipal </w:t>
      </w:r>
      <w:r w:rsidR="0067293F" w:rsidRPr="00713025">
        <w:t>o</w:t>
      </w:r>
      <w:r w:rsidRPr="00713025">
        <w:t xml:space="preserve">fficer becomes aware that the information is inaccurate, out of date, incomplete, </w:t>
      </w:r>
      <w:proofErr w:type="gramStart"/>
      <w:r w:rsidRPr="00713025">
        <w:t>irrelevant</w:t>
      </w:r>
      <w:proofErr w:type="gramEnd"/>
      <w:r w:rsidRPr="00713025">
        <w:t xml:space="preserve"> or misleading; and</w:t>
      </w:r>
    </w:p>
    <w:p w14:paraId="0E2487AC" w14:textId="77777777" w:rsidR="00A171C1" w:rsidRPr="00713025" w:rsidRDefault="00A171C1" w:rsidP="00DD451D">
      <w:pPr>
        <w:pStyle w:val="Numberedlist"/>
        <w:numPr>
          <w:ilvl w:val="0"/>
          <w:numId w:val="12"/>
        </w:numPr>
        <w:spacing w:before="60" w:after="60"/>
        <w:ind w:left="1134" w:hanging="340"/>
      </w:pPr>
      <w:r w:rsidRPr="00713025">
        <w:t>ensure that requests for the correction of personal information in a record of a public interest disclosure are implemented.</w:t>
      </w:r>
    </w:p>
    <w:p w14:paraId="520578A4" w14:textId="1EE60AC1" w:rsidR="00A171C1" w:rsidRPr="00713025" w:rsidRDefault="00A171C1" w:rsidP="00385B04">
      <w:pPr>
        <w:pStyle w:val="Numberedlist"/>
        <w:numPr>
          <w:ilvl w:val="1"/>
          <w:numId w:val="33"/>
        </w:numPr>
      </w:pPr>
      <w:proofErr w:type="gramStart"/>
      <w:r w:rsidRPr="00713025">
        <w:t>In particular, names</w:t>
      </w:r>
      <w:proofErr w:type="gramEnd"/>
      <w:r w:rsidRPr="00713025">
        <w:t xml:space="preserve"> and email addresses should be monitored for accuracy so that information is not inadvertently sent or shared to the incorrect recipient. If incorrect information was identified, this must be noted in TRIM and shared with those working on the matter.</w:t>
      </w:r>
    </w:p>
    <w:p w14:paraId="17FB8D17" w14:textId="2FC8E33C" w:rsidR="00A171C1" w:rsidRPr="00713025" w:rsidRDefault="00A171C1" w:rsidP="00385B04">
      <w:pPr>
        <w:pStyle w:val="Numberedlist"/>
        <w:numPr>
          <w:ilvl w:val="1"/>
          <w:numId w:val="33"/>
        </w:numPr>
      </w:pPr>
      <w:r w:rsidRPr="00713025">
        <w:t xml:space="preserve">Where the </w:t>
      </w:r>
      <w:r w:rsidR="0067293F" w:rsidRPr="00713025">
        <w:t>p</w:t>
      </w:r>
      <w:r w:rsidRPr="00713025">
        <w:t xml:space="preserve">rincipal </w:t>
      </w:r>
      <w:r w:rsidR="0067293F" w:rsidRPr="00713025">
        <w:t>o</w:t>
      </w:r>
      <w:r w:rsidRPr="00713025">
        <w:t xml:space="preserve">fficer becomes aware of personal information in a record of a PID being inaccurate, out of date, incomplete, </w:t>
      </w:r>
      <w:proofErr w:type="gramStart"/>
      <w:r w:rsidRPr="00713025">
        <w:t>irrelevant</w:t>
      </w:r>
      <w:proofErr w:type="gramEnd"/>
      <w:r w:rsidRPr="00713025">
        <w:t xml:space="preserve"> or misleading, and the relevant PID has been disclosed to another agency, the </w:t>
      </w:r>
      <w:r w:rsidR="0067293F" w:rsidRPr="00713025">
        <w:t>p</w:t>
      </w:r>
      <w:r w:rsidRPr="00713025">
        <w:t xml:space="preserve">rincipal </w:t>
      </w:r>
      <w:r w:rsidR="0067293F" w:rsidRPr="00713025">
        <w:t>o</w:t>
      </w:r>
      <w:r w:rsidRPr="00713025">
        <w:t xml:space="preserve">fficer must notify relevant agencies of the correction of personal information. </w:t>
      </w:r>
    </w:p>
    <w:p w14:paraId="45729C53" w14:textId="7B016194" w:rsidR="00F02482" w:rsidRPr="00713025" w:rsidRDefault="00F02482" w:rsidP="00D31CC4">
      <w:pPr>
        <w:pStyle w:val="Heading2"/>
        <w:rPr>
          <w:rFonts w:eastAsia="Arial"/>
        </w:rPr>
      </w:pPr>
      <w:bookmarkStart w:id="99" w:name="_Toc150789981"/>
      <w:bookmarkEnd w:id="96"/>
      <w:r w:rsidRPr="00713025">
        <w:rPr>
          <w:rFonts w:eastAsia="Arial"/>
        </w:rPr>
        <w:t>Report of investigation</w:t>
      </w:r>
      <w:bookmarkEnd w:id="93"/>
      <w:bookmarkEnd w:id="99"/>
    </w:p>
    <w:p w14:paraId="494B924B" w14:textId="172D3CA5" w:rsidR="00735466" w:rsidRPr="00713025" w:rsidRDefault="00735466" w:rsidP="00385B04">
      <w:pPr>
        <w:pStyle w:val="Numberedlist"/>
        <w:numPr>
          <w:ilvl w:val="1"/>
          <w:numId w:val="33"/>
        </w:numPr>
      </w:pPr>
      <w:bookmarkStart w:id="100" w:name="_Toc49525293"/>
      <w:bookmarkEnd w:id="94"/>
      <w:r w:rsidRPr="00713025">
        <w:t xml:space="preserve">In preparing a report of a public interest disclosure investigation, the investigator must comply with the </w:t>
      </w:r>
      <w:r w:rsidR="002A4CB6" w:rsidRPr="00713025">
        <w:t xml:space="preserve">PID </w:t>
      </w:r>
      <w:r w:rsidRPr="00713025">
        <w:t xml:space="preserve">Act, the PID Standard and these procedures. A report of an investigation conducted under the </w:t>
      </w:r>
      <w:r w:rsidR="002A4CB6" w:rsidRPr="00713025">
        <w:t xml:space="preserve">PID </w:t>
      </w:r>
      <w:r w:rsidRPr="00713025">
        <w:t>Act must set out:</w:t>
      </w:r>
    </w:p>
    <w:p w14:paraId="733817CB" w14:textId="77777777" w:rsidR="00735466" w:rsidRPr="00DD451D" w:rsidRDefault="00735466" w:rsidP="00DD451D">
      <w:pPr>
        <w:pStyle w:val="Numberedlist"/>
        <w:numPr>
          <w:ilvl w:val="0"/>
          <w:numId w:val="12"/>
        </w:numPr>
        <w:spacing w:before="60" w:after="60"/>
        <w:ind w:left="1134" w:hanging="340"/>
      </w:pPr>
      <w:r w:rsidRPr="00DD451D">
        <w:t xml:space="preserve">the matters considered in the course of the </w:t>
      </w:r>
      <w:proofErr w:type="gramStart"/>
      <w:r w:rsidRPr="00DD451D">
        <w:t>investigation;</w:t>
      </w:r>
      <w:proofErr w:type="gramEnd"/>
    </w:p>
    <w:p w14:paraId="49F5AAB3" w14:textId="77777777" w:rsidR="00735466" w:rsidRPr="00DD451D" w:rsidRDefault="00735466" w:rsidP="00DD451D">
      <w:pPr>
        <w:pStyle w:val="Numberedlist"/>
        <w:numPr>
          <w:ilvl w:val="0"/>
          <w:numId w:val="12"/>
        </w:numPr>
        <w:spacing w:before="60" w:after="60"/>
        <w:ind w:left="1134" w:hanging="340"/>
      </w:pPr>
      <w:r w:rsidRPr="00DD451D">
        <w:t xml:space="preserve">the duration of the </w:t>
      </w:r>
      <w:proofErr w:type="gramStart"/>
      <w:r w:rsidRPr="00DD451D">
        <w:t>investigation;</w:t>
      </w:r>
      <w:proofErr w:type="gramEnd"/>
    </w:p>
    <w:p w14:paraId="70A27ADA" w14:textId="139AA995" w:rsidR="00735466" w:rsidRPr="00DD451D" w:rsidRDefault="00735466" w:rsidP="00DD451D">
      <w:pPr>
        <w:pStyle w:val="Numberedlist"/>
        <w:numPr>
          <w:ilvl w:val="0"/>
          <w:numId w:val="12"/>
        </w:numPr>
        <w:spacing w:before="60" w:after="60"/>
        <w:ind w:left="1134" w:hanging="340"/>
      </w:pPr>
      <w:r w:rsidRPr="00DD451D">
        <w:t xml:space="preserve">the </w:t>
      </w:r>
      <w:r w:rsidR="002A4CB6" w:rsidRPr="00DD451D">
        <w:t>p</w:t>
      </w:r>
      <w:r w:rsidRPr="00DD451D">
        <w:t>rincip</w:t>
      </w:r>
      <w:r w:rsidR="00831112" w:rsidRPr="00DD451D">
        <w:t xml:space="preserve">al </w:t>
      </w:r>
      <w:r w:rsidR="002A4CB6" w:rsidRPr="00DD451D">
        <w:t>o</w:t>
      </w:r>
      <w:r w:rsidR="00831112" w:rsidRPr="00DD451D">
        <w:t>fficer</w:t>
      </w:r>
      <w:r w:rsidR="00886AFD" w:rsidRPr="00DD451D">
        <w:t>’</w:t>
      </w:r>
      <w:r w:rsidR="00831112" w:rsidRPr="00DD451D">
        <w:t>s findings (if any</w:t>
      </w:r>
      <w:proofErr w:type="gramStart"/>
      <w:r w:rsidR="00831112" w:rsidRPr="00DD451D">
        <w:t>);</w:t>
      </w:r>
      <w:proofErr w:type="gramEnd"/>
    </w:p>
    <w:p w14:paraId="244FF7A1" w14:textId="77777777" w:rsidR="00735466" w:rsidRPr="00DD451D" w:rsidRDefault="00735466" w:rsidP="00DD451D">
      <w:pPr>
        <w:pStyle w:val="Numberedlist"/>
        <w:numPr>
          <w:ilvl w:val="0"/>
          <w:numId w:val="12"/>
        </w:numPr>
        <w:spacing w:before="60" w:after="60"/>
        <w:ind w:left="1134" w:hanging="340"/>
      </w:pPr>
      <w:r w:rsidRPr="00DD451D">
        <w:t>the action (if any) that has been, is being or is recommended to be taken; and</w:t>
      </w:r>
    </w:p>
    <w:p w14:paraId="2ADBADD6" w14:textId="6CBC6C62" w:rsidR="00735466" w:rsidRPr="00DD451D" w:rsidRDefault="00735466" w:rsidP="00DD451D">
      <w:pPr>
        <w:pStyle w:val="Numberedlist"/>
        <w:numPr>
          <w:ilvl w:val="0"/>
          <w:numId w:val="12"/>
        </w:numPr>
        <w:spacing w:before="60" w:after="60"/>
        <w:ind w:left="1134" w:hanging="340"/>
      </w:pPr>
      <w:r w:rsidRPr="00DD451D">
        <w:t xml:space="preserve">claims </w:t>
      </w:r>
      <w:r w:rsidR="002C4E3E" w:rsidRPr="00DD451D">
        <w:t xml:space="preserve">of any reprisal taken against the discloser, or any other person, that relates to the matters considered </w:t>
      </w:r>
      <w:proofErr w:type="gramStart"/>
      <w:r w:rsidR="002C4E3E" w:rsidRPr="00DD451D">
        <w:t>in the course of</w:t>
      </w:r>
      <w:proofErr w:type="gramEnd"/>
      <w:r w:rsidR="002C4E3E" w:rsidRPr="00DD451D">
        <w:t xml:space="preserve"> the investigation, together wi</w:t>
      </w:r>
      <w:r w:rsidR="005A5E16" w:rsidRPr="00DD451D">
        <w:t>th any related evidence</w:t>
      </w:r>
      <w:r w:rsidR="006428AB" w:rsidRPr="00DD451D">
        <w:t xml:space="preserve">; and </w:t>
      </w:r>
    </w:p>
    <w:p w14:paraId="4D47EA8D" w14:textId="67425A42" w:rsidR="006428AB" w:rsidRPr="00DD451D" w:rsidRDefault="007E1916" w:rsidP="00DD451D">
      <w:pPr>
        <w:pStyle w:val="Numberedlist"/>
        <w:numPr>
          <w:ilvl w:val="0"/>
          <w:numId w:val="12"/>
        </w:numPr>
        <w:spacing w:before="60" w:after="60"/>
        <w:ind w:left="1134" w:hanging="340"/>
      </w:pPr>
      <w:r w:rsidRPr="00DD451D">
        <w:t>t</w:t>
      </w:r>
      <w:r w:rsidR="006428AB" w:rsidRPr="00DD451D">
        <w:t xml:space="preserve">he department’s response to any claims or evidence </w:t>
      </w:r>
      <w:r w:rsidR="007502C8" w:rsidRPr="00DD451D">
        <w:t>of any reprisal taken against the discloser</w:t>
      </w:r>
      <w:r w:rsidRPr="00DD451D">
        <w:t>.</w:t>
      </w:r>
    </w:p>
    <w:p w14:paraId="48A8B61F" w14:textId="369A0F79" w:rsidR="00735466" w:rsidRPr="00713025" w:rsidRDefault="00735466" w:rsidP="00385B04">
      <w:pPr>
        <w:pStyle w:val="Numberedlist"/>
        <w:numPr>
          <w:ilvl w:val="1"/>
          <w:numId w:val="33"/>
        </w:numPr>
      </w:pPr>
      <w:r w:rsidRPr="00713025">
        <w:t>The report must also:</w:t>
      </w:r>
    </w:p>
    <w:p w14:paraId="0B5F92C4" w14:textId="0B0419AA" w:rsidR="00735466" w:rsidRPr="00DD451D" w:rsidRDefault="00735466" w:rsidP="00DD451D">
      <w:pPr>
        <w:pStyle w:val="Numberedlist"/>
        <w:numPr>
          <w:ilvl w:val="0"/>
          <w:numId w:val="12"/>
        </w:numPr>
        <w:spacing w:before="60" w:after="60"/>
        <w:ind w:left="1134" w:hanging="340"/>
      </w:pPr>
      <w:r w:rsidRPr="00DD451D">
        <w:t>identify, where relevant, whether there have been one or more in</w:t>
      </w:r>
      <w:r w:rsidR="00831112" w:rsidRPr="00DD451D">
        <w:t xml:space="preserve">stances of disclosable </w:t>
      </w:r>
      <w:proofErr w:type="gramStart"/>
      <w:r w:rsidR="00831112" w:rsidRPr="00DD451D">
        <w:t>conduct;</w:t>
      </w:r>
      <w:proofErr w:type="gramEnd"/>
    </w:p>
    <w:p w14:paraId="6C8E11F6" w14:textId="77777777" w:rsidR="00735466" w:rsidRPr="00DD451D" w:rsidRDefault="00735466" w:rsidP="00DD451D">
      <w:pPr>
        <w:pStyle w:val="Numberedlist"/>
        <w:numPr>
          <w:ilvl w:val="0"/>
          <w:numId w:val="12"/>
        </w:numPr>
        <w:spacing w:before="60" w:after="60"/>
        <w:ind w:left="1134" w:hanging="340"/>
      </w:pPr>
      <w:r w:rsidRPr="00DD451D">
        <w:t xml:space="preserve">identify, where relevant, any regulations, rules, administrative requirements or similar matters to which the disclosable conduct (if any) </w:t>
      </w:r>
      <w:proofErr w:type="gramStart"/>
      <w:r w:rsidRPr="00DD451D">
        <w:t>relates;</w:t>
      </w:r>
      <w:proofErr w:type="gramEnd"/>
    </w:p>
    <w:p w14:paraId="21540361" w14:textId="77777777" w:rsidR="00735466" w:rsidRPr="00DD451D" w:rsidRDefault="00735466" w:rsidP="00DD451D">
      <w:pPr>
        <w:pStyle w:val="Numberedlist"/>
        <w:numPr>
          <w:ilvl w:val="0"/>
          <w:numId w:val="12"/>
        </w:numPr>
        <w:spacing w:before="60" w:after="60"/>
        <w:ind w:left="1134" w:hanging="340"/>
      </w:pPr>
      <w:r w:rsidRPr="00DD451D">
        <w:t>explain the steps taken to gather evidence; and</w:t>
      </w:r>
    </w:p>
    <w:p w14:paraId="2F126134" w14:textId="2BBC2A36" w:rsidR="00735466" w:rsidRPr="00DD451D" w:rsidRDefault="00735466" w:rsidP="00DD451D">
      <w:pPr>
        <w:pStyle w:val="Numberedlist"/>
        <w:numPr>
          <w:ilvl w:val="0"/>
          <w:numId w:val="12"/>
        </w:numPr>
        <w:spacing w:before="60" w:after="60"/>
        <w:ind w:left="1134" w:hanging="340"/>
      </w:pPr>
      <w:r w:rsidRPr="00DD451D">
        <w:t>set out a summary of the evidence used to make a finding or recommendation, as well as any findings and recommendations made based on that evidence.</w:t>
      </w:r>
    </w:p>
    <w:p w14:paraId="4DD5B33F" w14:textId="4EC3D601" w:rsidR="005E0A4B" w:rsidRPr="00713025" w:rsidRDefault="00735466" w:rsidP="00385B04">
      <w:pPr>
        <w:pStyle w:val="Numberedlist"/>
        <w:numPr>
          <w:ilvl w:val="1"/>
          <w:numId w:val="33"/>
        </w:numPr>
      </w:pPr>
      <w:r w:rsidRPr="00713025">
        <w:t xml:space="preserve">Where the </w:t>
      </w:r>
      <w:r w:rsidR="00173BBF" w:rsidRPr="00713025">
        <w:t>p</w:t>
      </w:r>
      <w:r w:rsidRPr="00713025">
        <w:t xml:space="preserve">rincipal </w:t>
      </w:r>
      <w:r w:rsidR="00173BBF" w:rsidRPr="00713025">
        <w:t>o</w:t>
      </w:r>
      <w:r w:rsidRPr="00713025">
        <w:t>fficer (or delegate) has completed a report of an investigation under the</w:t>
      </w:r>
      <w:r w:rsidR="00173BBF" w:rsidRPr="00713025">
        <w:t xml:space="preserve"> PID</w:t>
      </w:r>
      <w:r w:rsidRPr="00713025">
        <w:t xml:space="preserve"> Act, within a reasonable time after preparing the report, the </w:t>
      </w:r>
      <w:r w:rsidR="00173BBF" w:rsidRPr="00713025">
        <w:t>p</w:t>
      </w:r>
      <w:r w:rsidRPr="00713025">
        <w:t xml:space="preserve">rincipal </w:t>
      </w:r>
      <w:r w:rsidR="00173BBF" w:rsidRPr="00713025">
        <w:t>o</w:t>
      </w:r>
      <w:r w:rsidRPr="00713025">
        <w:t>fficer (or delegate) must give a copy of the report to the discloser (where reasonably practicable)</w:t>
      </w:r>
      <w:r w:rsidR="00613B96" w:rsidRPr="00713025">
        <w:t xml:space="preserve">, and </w:t>
      </w:r>
      <w:proofErr w:type="spellStart"/>
      <w:r w:rsidR="00613B96" w:rsidRPr="00713025">
        <w:t>theOmbudsman</w:t>
      </w:r>
      <w:proofErr w:type="spellEnd"/>
      <w:r w:rsidRPr="00713025">
        <w:t>.</w:t>
      </w:r>
    </w:p>
    <w:p w14:paraId="786D3ABE" w14:textId="6CF12C31" w:rsidR="00735466" w:rsidRPr="00713025" w:rsidRDefault="00735466" w:rsidP="00385B04">
      <w:pPr>
        <w:pStyle w:val="Numberedlist"/>
        <w:numPr>
          <w:ilvl w:val="1"/>
          <w:numId w:val="33"/>
        </w:numPr>
      </w:pPr>
      <w:r w:rsidRPr="00713025">
        <w:t>The investigator may delete from the copy of the report given to the discloser any material:</w:t>
      </w:r>
    </w:p>
    <w:p w14:paraId="11739665" w14:textId="77777777" w:rsidR="00735466" w:rsidRPr="00DD451D" w:rsidRDefault="00735466" w:rsidP="00DD451D">
      <w:pPr>
        <w:pStyle w:val="Numberedlist"/>
        <w:numPr>
          <w:ilvl w:val="0"/>
          <w:numId w:val="12"/>
        </w:numPr>
        <w:spacing w:before="60" w:after="60"/>
        <w:ind w:left="1134" w:hanging="340"/>
      </w:pPr>
      <w:r w:rsidRPr="00DD451D">
        <w:t xml:space="preserve">that is likely to enable the identification of the discloser or another person, or </w:t>
      </w:r>
    </w:p>
    <w:p w14:paraId="1A5D4E7A" w14:textId="77777777" w:rsidR="00735466" w:rsidRPr="00DD451D" w:rsidRDefault="00735466" w:rsidP="00DD451D">
      <w:pPr>
        <w:pStyle w:val="Numberedlist"/>
        <w:numPr>
          <w:ilvl w:val="0"/>
          <w:numId w:val="12"/>
        </w:numPr>
        <w:spacing w:before="60" w:after="60"/>
        <w:ind w:left="1134" w:hanging="340"/>
      </w:pPr>
      <w:r w:rsidRPr="00DD451D">
        <w:lastRenderedPageBreak/>
        <w:t>the inclusion of which would:</w:t>
      </w:r>
    </w:p>
    <w:p w14:paraId="08985120" w14:textId="27D30921" w:rsidR="00735466" w:rsidRPr="00DD451D" w:rsidRDefault="00735466" w:rsidP="00DD451D">
      <w:pPr>
        <w:pStyle w:val="ListBullet"/>
        <w:ind w:left="1548" w:hanging="357"/>
        <w:rPr>
          <w:szCs w:val="21"/>
        </w:rPr>
      </w:pPr>
      <w:r w:rsidRPr="00DD451D">
        <w:rPr>
          <w:szCs w:val="21"/>
        </w:rPr>
        <w:t xml:space="preserve">result in the copy being a document that is exempt for the purposes of Part IV of the </w:t>
      </w:r>
      <w:r w:rsidRPr="00DD451D">
        <w:rPr>
          <w:i/>
          <w:iCs/>
          <w:szCs w:val="21"/>
        </w:rPr>
        <w:t>Freedom of Information Act 1982</w:t>
      </w:r>
      <w:r w:rsidR="00886AFD" w:rsidRPr="00DD451D">
        <w:rPr>
          <w:szCs w:val="21"/>
        </w:rPr>
        <w:t xml:space="preserve"> (Cth)</w:t>
      </w:r>
      <w:r w:rsidRPr="00DD451D">
        <w:rPr>
          <w:szCs w:val="21"/>
        </w:rPr>
        <w:t>; or</w:t>
      </w:r>
    </w:p>
    <w:p w14:paraId="566CF1F2" w14:textId="77777777" w:rsidR="00735466" w:rsidRPr="00DD451D" w:rsidRDefault="00735466" w:rsidP="00DD451D">
      <w:pPr>
        <w:pStyle w:val="ListBullet"/>
        <w:ind w:left="1548" w:hanging="357"/>
        <w:rPr>
          <w:szCs w:val="21"/>
        </w:rPr>
      </w:pPr>
      <w:r w:rsidRPr="00DD451D">
        <w:rPr>
          <w:szCs w:val="21"/>
        </w:rPr>
        <w:t>result in the copy being a document having, or being required to have, a national security or other protective security classification; or</w:t>
      </w:r>
    </w:p>
    <w:p w14:paraId="2C8AA908" w14:textId="77777777" w:rsidR="00735466" w:rsidRPr="00DD451D" w:rsidRDefault="00735466" w:rsidP="00DD451D">
      <w:pPr>
        <w:pStyle w:val="ListBullet"/>
        <w:ind w:left="1548" w:hanging="357"/>
        <w:rPr>
          <w:szCs w:val="21"/>
        </w:rPr>
      </w:pPr>
      <w:r w:rsidRPr="00DD451D">
        <w:rPr>
          <w:szCs w:val="21"/>
        </w:rPr>
        <w:t>result in the copy being a document containing intelligence information; or</w:t>
      </w:r>
    </w:p>
    <w:p w14:paraId="4BC6382F" w14:textId="515635C2" w:rsidR="00A171C1" w:rsidRPr="00DD451D" w:rsidRDefault="00735466" w:rsidP="00DD451D">
      <w:pPr>
        <w:pStyle w:val="ListBullet"/>
        <w:ind w:left="1548" w:hanging="357"/>
        <w:rPr>
          <w:szCs w:val="21"/>
        </w:rPr>
      </w:pPr>
      <w:r w:rsidRPr="00DD451D">
        <w:rPr>
          <w:szCs w:val="21"/>
        </w:rPr>
        <w:t>contravene a designated publication restriction</w:t>
      </w:r>
      <w:r w:rsidR="00DD451D">
        <w:rPr>
          <w:szCs w:val="21"/>
        </w:rPr>
        <w:t>.</w:t>
      </w:r>
    </w:p>
    <w:p w14:paraId="77A131D7" w14:textId="105ECE17" w:rsidR="003360CE" w:rsidRPr="00713025" w:rsidRDefault="003360CE" w:rsidP="00385B04">
      <w:pPr>
        <w:pStyle w:val="Numberedlist"/>
        <w:numPr>
          <w:ilvl w:val="1"/>
          <w:numId w:val="33"/>
        </w:numPr>
      </w:pPr>
      <w:r w:rsidRPr="00713025">
        <w:t>The investigator may delete from the copy of the report given to the Ombudsman</w:t>
      </w:r>
      <w:r w:rsidR="00450406" w:rsidRPr="00713025">
        <w:t xml:space="preserve"> any material:</w:t>
      </w:r>
    </w:p>
    <w:p w14:paraId="0CB0A523" w14:textId="2D4FB330" w:rsidR="00450406" w:rsidRPr="00DD451D" w:rsidRDefault="00450406" w:rsidP="00DD451D">
      <w:pPr>
        <w:pStyle w:val="Numberedlist"/>
        <w:numPr>
          <w:ilvl w:val="0"/>
          <w:numId w:val="12"/>
        </w:numPr>
        <w:spacing w:before="60" w:after="60"/>
        <w:ind w:left="1134" w:hanging="340"/>
      </w:pPr>
      <w:r w:rsidRPr="00DD451D">
        <w:t>that is likely to enable the identification of the discloser or another person; or</w:t>
      </w:r>
    </w:p>
    <w:p w14:paraId="7084C483" w14:textId="507C4F23" w:rsidR="00450406" w:rsidRPr="00DD451D" w:rsidRDefault="00450406" w:rsidP="00DD451D">
      <w:pPr>
        <w:pStyle w:val="Numberedlist"/>
        <w:numPr>
          <w:ilvl w:val="0"/>
          <w:numId w:val="12"/>
        </w:numPr>
        <w:spacing w:before="60" w:after="60"/>
        <w:ind w:left="1134" w:hanging="340"/>
      </w:pPr>
      <w:r w:rsidRPr="00DD451D">
        <w:t xml:space="preserve">the inclusion of which would contravene a designated publication restriction. </w:t>
      </w:r>
    </w:p>
    <w:p w14:paraId="085276F4" w14:textId="3B8DE147" w:rsidR="00A171C1" w:rsidRPr="00713025" w:rsidRDefault="00A171C1" w:rsidP="00385B04">
      <w:pPr>
        <w:pStyle w:val="Numberedlist"/>
        <w:numPr>
          <w:ilvl w:val="1"/>
          <w:numId w:val="33"/>
        </w:numPr>
      </w:pPr>
      <w:r w:rsidRPr="00713025">
        <w:t xml:space="preserve">If a </w:t>
      </w:r>
      <w:r w:rsidR="00173BBF" w:rsidRPr="00713025">
        <w:t>p</w:t>
      </w:r>
      <w:r w:rsidRPr="00713025">
        <w:t xml:space="preserve">rincipal </w:t>
      </w:r>
      <w:r w:rsidR="00173BBF" w:rsidRPr="00713025">
        <w:t>o</w:t>
      </w:r>
      <w:r w:rsidRPr="00713025">
        <w:t xml:space="preserve">fficer </w:t>
      </w:r>
      <w:r w:rsidR="00173BBF" w:rsidRPr="00713025">
        <w:t xml:space="preserve">or their delegate </w:t>
      </w:r>
      <w:r w:rsidRPr="00713025">
        <w:t xml:space="preserve">is relying on section </w:t>
      </w:r>
      <w:r w:rsidR="00BF6F38" w:rsidRPr="00713025">
        <w:t>43</w:t>
      </w:r>
      <w:r w:rsidRPr="00713025">
        <w:t xml:space="preserve"> to refer a matter raised during a PID investigation to another agency, the </w:t>
      </w:r>
      <w:r w:rsidR="00173BBF" w:rsidRPr="00713025">
        <w:t>p</w:t>
      </w:r>
      <w:r w:rsidRPr="00713025">
        <w:t xml:space="preserve">rincipal </w:t>
      </w:r>
      <w:r w:rsidR="00173BBF" w:rsidRPr="00713025">
        <w:t>o</w:t>
      </w:r>
      <w:r w:rsidRPr="00713025">
        <w:t xml:space="preserve">fficer </w:t>
      </w:r>
      <w:r w:rsidR="00D562D8" w:rsidRPr="00713025">
        <w:t xml:space="preserve">(or delegate) </w:t>
      </w:r>
      <w:r w:rsidRPr="00713025">
        <w:t>must ensure that any disclosure occurs in accordance with applicable Secrecy Provisions (see Annexure A).</w:t>
      </w:r>
      <w:bookmarkStart w:id="101" w:name="_Hlk137225929"/>
    </w:p>
    <w:bookmarkEnd w:id="101"/>
    <w:p w14:paraId="618854C7" w14:textId="77777777" w:rsidR="00FB3FF3" w:rsidRPr="00713025" w:rsidRDefault="00FB3FF3" w:rsidP="00FB3FF3">
      <w:pPr>
        <w:pStyle w:val="ListBullet"/>
        <w:numPr>
          <w:ilvl w:val="0"/>
          <w:numId w:val="0"/>
        </w:numPr>
        <w:ind w:left="720" w:hanging="720"/>
      </w:pPr>
    </w:p>
    <w:p w14:paraId="379384C8" w14:textId="7818C44E" w:rsidR="00F02482" w:rsidRPr="00713025" w:rsidRDefault="00F02482" w:rsidP="00385B04">
      <w:pPr>
        <w:pStyle w:val="Heading1"/>
        <w:pageBreakBefore/>
        <w:numPr>
          <w:ilvl w:val="0"/>
          <w:numId w:val="38"/>
        </w:numPr>
      </w:pPr>
      <w:bookmarkStart w:id="102" w:name="_Toc150789982"/>
      <w:r w:rsidRPr="00713025">
        <w:lastRenderedPageBreak/>
        <w:t>RECORDS MANAGEMENT, MONITORING AND EVALUATION</w:t>
      </w:r>
      <w:bookmarkEnd w:id="100"/>
      <w:bookmarkEnd w:id="102"/>
    </w:p>
    <w:p w14:paraId="586672BE" w14:textId="1CE40915" w:rsidR="00F02482" w:rsidRPr="00713025" w:rsidRDefault="007F16E0" w:rsidP="001107E9">
      <w:pPr>
        <w:pStyle w:val="Heading2"/>
        <w:rPr>
          <w:rFonts w:eastAsia="Arial"/>
        </w:rPr>
      </w:pPr>
      <w:bookmarkStart w:id="103" w:name="_Toc150789983"/>
      <w:r w:rsidRPr="00713025">
        <w:rPr>
          <w:noProof/>
          <w:lang w:eastAsia="en-AU"/>
        </w:rPr>
        <w:drawing>
          <wp:anchor distT="0" distB="0" distL="114300" distR="114300" simplePos="0" relativeHeight="251658245" behindDoc="1" locked="0" layoutInCell="1" allowOverlap="1" wp14:anchorId="620AB4E7" wp14:editId="1E70A1FC">
            <wp:simplePos x="0" y="0"/>
            <wp:positionH relativeFrom="column">
              <wp:posOffset>0</wp:posOffset>
            </wp:positionH>
            <wp:positionV relativeFrom="paragraph">
              <wp:posOffset>160020</wp:posOffset>
            </wp:positionV>
            <wp:extent cx="6426835" cy="126365"/>
            <wp:effectExtent l="0" t="0" r="0" b="6985"/>
            <wp:wrapTight wrapText="bothSides">
              <wp:wrapPolygon edited="0">
                <wp:start x="0" y="0"/>
                <wp:lineTo x="0" y="19538"/>
                <wp:lineTo x="21512" y="19538"/>
                <wp:lineTo x="21512" y="0"/>
                <wp:lineTo x="0" y="0"/>
              </wp:wrapPolygon>
            </wp:wrapTight>
            <wp:docPr id="169" name="Picture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t="89147"/>
                    <a:stretch/>
                  </pic:blipFill>
                  <pic:spPr bwMode="auto">
                    <a:xfrm>
                      <a:off x="0" y="0"/>
                      <a:ext cx="6426835" cy="126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04" w:name="_Toc49525294"/>
      <w:r w:rsidR="00F02482" w:rsidRPr="00713025">
        <w:rPr>
          <w:rFonts w:eastAsia="Arial"/>
        </w:rPr>
        <w:t>Records management</w:t>
      </w:r>
      <w:bookmarkEnd w:id="103"/>
      <w:bookmarkEnd w:id="104"/>
    </w:p>
    <w:p w14:paraId="7C76C2AF" w14:textId="77777777" w:rsidR="00C82796" w:rsidRPr="00C82796" w:rsidRDefault="00C82796" w:rsidP="00C82796">
      <w:pPr>
        <w:pStyle w:val="ListParagraph"/>
        <w:numPr>
          <w:ilvl w:val="0"/>
          <w:numId w:val="33"/>
        </w:numPr>
        <w:spacing w:after="120"/>
        <w:rPr>
          <w:rFonts w:cs="Arial"/>
          <w:vanish/>
          <w:sz w:val="21"/>
          <w:szCs w:val="21"/>
        </w:rPr>
      </w:pPr>
    </w:p>
    <w:p w14:paraId="51A0017C" w14:textId="08493B5B" w:rsidR="00735466" w:rsidRPr="00713025" w:rsidRDefault="00735466" w:rsidP="00C82796">
      <w:pPr>
        <w:pStyle w:val="Numberedlist"/>
        <w:numPr>
          <w:ilvl w:val="1"/>
          <w:numId w:val="33"/>
        </w:numPr>
      </w:pPr>
      <w:r w:rsidRPr="00713025">
        <w:t xml:space="preserve">The PID </w:t>
      </w:r>
      <w:r w:rsidR="00B730B3" w:rsidRPr="00713025">
        <w:t xml:space="preserve">Management </w:t>
      </w:r>
      <w:r w:rsidRPr="00713025">
        <w:t>Unit maintains the PID Records Management structure in TRIM including digital containers for</w:t>
      </w:r>
      <w:r w:rsidR="00917A4C" w:rsidRPr="00713025">
        <w:t xml:space="preserve"> a</w:t>
      </w:r>
      <w:r w:rsidRPr="00713025">
        <w:t xml:space="preserve">uthorised </w:t>
      </w:r>
      <w:r w:rsidR="00917A4C" w:rsidRPr="00713025">
        <w:t>o</w:t>
      </w:r>
      <w:r w:rsidRPr="00713025">
        <w:t xml:space="preserve">fficers and </w:t>
      </w:r>
      <w:r w:rsidR="00917A4C" w:rsidRPr="00713025">
        <w:t>p</w:t>
      </w:r>
      <w:r w:rsidRPr="00713025">
        <w:t xml:space="preserve">rincipal </w:t>
      </w:r>
      <w:r w:rsidR="00917A4C" w:rsidRPr="00713025">
        <w:t>o</w:t>
      </w:r>
      <w:r w:rsidRPr="00713025">
        <w:t>fficers.</w:t>
      </w:r>
    </w:p>
    <w:p w14:paraId="0265DC99" w14:textId="3B7C0EC0" w:rsidR="00735466" w:rsidRPr="00713025" w:rsidRDefault="009D0460" w:rsidP="00385B04">
      <w:pPr>
        <w:pStyle w:val="Numberedlist"/>
        <w:numPr>
          <w:ilvl w:val="1"/>
          <w:numId w:val="33"/>
        </w:numPr>
      </w:pPr>
      <w:r>
        <w:t>A</w:t>
      </w:r>
      <w:r w:rsidR="00735466" w:rsidRPr="00713025">
        <w:t xml:space="preserve">uthorised </w:t>
      </w:r>
      <w:r w:rsidR="00917A4C" w:rsidRPr="00713025">
        <w:t>o</w:t>
      </w:r>
      <w:r w:rsidR="00735466" w:rsidRPr="00713025">
        <w:t xml:space="preserve">fficers and </w:t>
      </w:r>
      <w:r w:rsidR="00917A4C" w:rsidRPr="00713025">
        <w:t>p</w:t>
      </w:r>
      <w:r w:rsidR="00735466" w:rsidRPr="00713025">
        <w:t xml:space="preserve">rincipal </w:t>
      </w:r>
      <w:r w:rsidR="00917A4C" w:rsidRPr="00713025">
        <w:t>o</w:t>
      </w:r>
      <w:r w:rsidR="00735466" w:rsidRPr="00713025">
        <w:t xml:space="preserve">fficers are to contact the PID </w:t>
      </w:r>
      <w:r w:rsidR="00B730B3" w:rsidRPr="00713025">
        <w:t xml:space="preserve">Management </w:t>
      </w:r>
      <w:r w:rsidR="00735466" w:rsidRPr="00713025">
        <w:t>Unit when dealing with a PID. A TRIM Digital Container will be allocated for the storing of records relating to the PID.</w:t>
      </w:r>
    </w:p>
    <w:p w14:paraId="18CC984D" w14:textId="13469889" w:rsidR="00735466" w:rsidRPr="00713025" w:rsidRDefault="00735466" w:rsidP="00385B04">
      <w:pPr>
        <w:pStyle w:val="Numberedlist"/>
        <w:numPr>
          <w:ilvl w:val="1"/>
          <w:numId w:val="33"/>
        </w:numPr>
      </w:pPr>
      <w:r w:rsidRPr="00713025">
        <w:t xml:space="preserve">Where an </w:t>
      </w:r>
      <w:r w:rsidR="00917A4C" w:rsidRPr="00713025">
        <w:t>a</w:t>
      </w:r>
      <w:r w:rsidRPr="00713025">
        <w:t xml:space="preserve">uthorised </w:t>
      </w:r>
      <w:r w:rsidR="00917A4C" w:rsidRPr="00713025">
        <w:t>o</w:t>
      </w:r>
      <w:r w:rsidRPr="00713025">
        <w:t>fficer is required to keep a record under these procedures, the record is to be in an electronic form and stored in TRIM.</w:t>
      </w:r>
    </w:p>
    <w:p w14:paraId="7BFB76B9" w14:textId="4A149BB5" w:rsidR="00735466" w:rsidRPr="00713025" w:rsidRDefault="00735466" w:rsidP="00385B04">
      <w:pPr>
        <w:pStyle w:val="Numberedlist"/>
        <w:numPr>
          <w:ilvl w:val="1"/>
          <w:numId w:val="33"/>
        </w:numPr>
      </w:pPr>
      <w:r w:rsidRPr="00713025">
        <w:t xml:space="preserve">Access to these records must be restricted to the </w:t>
      </w:r>
      <w:r w:rsidR="00917A4C" w:rsidRPr="00713025">
        <w:t>a</w:t>
      </w:r>
      <w:r w:rsidRPr="00713025">
        <w:t xml:space="preserve">uthorised </w:t>
      </w:r>
      <w:r w:rsidR="00917A4C" w:rsidRPr="00713025">
        <w:t>o</w:t>
      </w:r>
      <w:r w:rsidRPr="00713025">
        <w:t xml:space="preserve">fficer, delegates of the </w:t>
      </w:r>
      <w:r w:rsidR="00917A4C" w:rsidRPr="00713025">
        <w:t>p</w:t>
      </w:r>
      <w:r w:rsidRPr="00713025">
        <w:t xml:space="preserve">rincipal </w:t>
      </w:r>
      <w:r w:rsidR="00917A4C" w:rsidRPr="00713025">
        <w:t>o</w:t>
      </w:r>
      <w:r w:rsidRPr="00713025">
        <w:t xml:space="preserve">fficer and other employees in the department who require access </w:t>
      </w:r>
      <w:proofErr w:type="gramStart"/>
      <w:r w:rsidRPr="00713025">
        <w:t>in order to</w:t>
      </w:r>
      <w:proofErr w:type="gramEnd"/>
      <w:r w:rsidRPr="00713025">
        <w:t xml:space="preserve"> perform some function under the </w:t>
      </w:r>
      <w:r w:rsidR="00917A4C" w:rsidRPr="00713025">
        <w:t xml:space="preserve">PID </w:t>
      </w:r>
      <w:r w:rsidRPr="00713025">
        <w:t xml:space="preserve">Act or for the purposes of another law of the Commonwealth (for example under the </w:t>
      </w:r>
      <w:r w:rsidRPr="009D0460">
        <w:rPr>
          <w:i/>
          <w:iCs/>
        </w:rPr>
        <w:t>Work Health and Safety Act 2011</w:t>
      </w:r>
      <w:r w:rsidRPr="00713025">
        <w:t xml:space="preserve"> </w:t>
      </w:r>
      <w:r w:rsidR="00886AFD" w:rsidRPr="00713025">
        <w:t xml:space="preserve">(Cth) </w:t>
      </w:r>
      <w:r w:rsidRPr="00713025">
        <w:t xml:space="preserve">or the </w:t>
      </w:r>
      <w:r w:rsidRPr="009D0460">
        <w:rPr>
          <w:i/>
          <w:iCs/>
        </w:rPr>
        <w:t>Public Service Act 1999</w:t>
      </w:r>
      <w:r w:rsidR="00886AFD" w:rsidRPr="00FD4210">
        <w:t xml:space="preserve"> </w:t>
      </w:r>
      <w:r w:rsidR="00886AFD" w:rsidRPr="00713025">
        <w:t>(Cth)</w:t>
      </w:r>
      <w:r w:rsidRPr="00713025">
        <w:t>).</w:t>
      </w:r>
    </w:p>
    <w:p w14:paraId="79068340" w14:textId="2BECB525" w:rsidR="00735466" w:rsidRPr="00713025" w:rsidRDefault="00735466" w:rsidP="00385B04">
      <w:pPr>
        <w:pStyle w:val="Numberedlist"/>
        <w:numPr>
          <w:ilvl w:val="1"/>
          <w:numId w:val="33"/>
        </w:numPr>
      </w:pPr>
      <w:r w:rsidRPr="00713025">
        <w:t>Where a form or notification is required to be sent under these procedures, a copy of the form or notification must be kept.</w:t>
      </w:r>
    </w:p>
    <w:p w14:paraId="09E62BC2" w14:textId="53F009E0" w:rsidR="00735466" w:rsidRPr="00713025" w:rsidRDefault="00735466" w:rsidP="00385B04">
      <w:pPr>
        <w:pStyle w:val="Numberedlist"/>
        <w:numPr>
          <w:ilvl w:val="1"/>
          <w:numId w:val="33"/>
        </w:numPr>
      </w:pPr>
      <w:r w:rsidRPr="00713025">
        <w:t xml:space="preserve">Any email messages sent by </w:t>
      </w:r>
      <w:r w:rsidR="00917A4C" w:rsidRPr="00713025">
        <w:t>a</w:t>
      </w:r>
      <w:r w:rsidRPr="00713025">
        <w:t xml:space="preserve">uthorised </w:t>
      </w:r>
      <w:r w:rsidR="00917A4C" w:rsidRPr="00713025">
        <w:t>o</w:t>
      </w:r>
      <w:r w:rsidRPr="00713025">
        <w:t>fficers or delegates that contain identifying information must be clearly marked ‘for addressee</w:t>
      </w:r>
      <w:r w:rsidR="00D97591">
        <w:t>’</w:t>
      </w:r>
      <w:r w:rsidRPr="00713025">
        <w:t>s eyes only’.</w:t>
      </w:r>
    </w:p>
    <w:p w14:paraId="5E296E8B" w14:textId="3C8CEFC0" w:rsidR="00735466" w:rsidRPr="00713025" w:rsidRDefault="00735466" w:rsidP="00385B04">
      <w:pPr>
        <w:pStyle w:val="Numberedlist"/>
        <w:numPr>
          <w:ilvl w:val="1"/>
          <w:numId w:val="33"/>
        </w:numPr>
      </w:pPr>
      <w:r w:rsidRPr="00713025">
        <w:t xml:space="preserve">Where a person will cease being an </w:t>
      </w:r>
      <w:r w:rsidR="00917A4C" w:rsidRPr="00713025">
        <w:t>a</w:t>
      </w:r>
      <w:r w:rsidRPr="00713025">
        <w:t xml:space="preserve">uthorised </w:t>
      </w:r>
      <w:r w:rsidR="00917A4C" w:rsidRPr="00713025">
        <w:t>o</w:t>
      </w:r>
      <w:r w:rsidRPr="00713025">
        <w:t xml:space="preserve">fficer in the department (including because of resignation or movement to another agency), their PID records must be transferred to another </w:t>
      </w:r>
      <w:r w:rsidR="00917A4C" w:rsidRPr="00713025">
        <w:t>a</w:t>
      </w:r>
      <w:r w:rsidRPr="00713025">
        <w:t xml:space="preserve">uthorised </w:t>
      </w:r>
      <w:r w:rsidR="00917A4C" w:rsidRPr="00713025">
        <w:t>o</w:t>
      </w:r>
      <w:r w:rsidRPr="00713025">
        <w:t>fficer in the department.</w:t>
      </w:r>
    </w:p>
    <w:p w14:paraId="7682A5C1" w14:textId="350F819B" w:rsidR="00735466" w:rsidRPr="00713025" w:rsidRDefault="00735466" w:rsidP="00385B04">
      <w:pPr>
        <w:pStyle w:val="Numberedlist"/>
        <w:numPr>
          <w:ilvl w:val="1"/>
          <w:numId w:val="33"/>
        </w:numPr>
      </w:pPr>
      <w:r w:rsidRPr="00713025">
        <w:t xml:space="preserve">Authorised </w:t>
      </w:r>
      <w:r w:rsidR="00917A4C" w:rsidRPr="00713025">
        <w:t>o</w:t>
      </w:r>
      <w:r w:rsidRPr="00713025">
        <w:t xml:space="preserve">fficers and delegates of the </w:t>
      </w:r>
      <w:r w:rsidR="00917A4C" w:rsidRPr="00713025">
        <w:t>p</w:t>
      </w:r>
      <w:r w:rsidRPr="00713025">
        <w:t xml:space="preserve">rincipal </w:t>
      </w:r>
      <w:r w:rsidR="00917A4C" w:rsidRPr="00713025">
        <w:t>o</w:t>
      </w:r>
      <w:r w:rsidRPr="00713025">
        <w:t>fficer should, where they are aware of the fact, ensure they maintain records of:</w:t>
      </w:r>
    </w:p>
    <w:p w14:paraId="0D1DE676" w14:textId="77777777" w:rsidR="00735466" w:rsidRPr="00FD4210" w:rsidRDefault="00735466" w:rsidP="00132F8F">
      <w:pPr>
        <w:pStyle w:val="Numberedlist"/>
        <w:numPr>
          <w:ilvl w:val="0"/>
          <w:numId w:val="12"/>
        </w:numPr>
        <w:spacing w:before="60" w:after="60"/>
        <w:ind w:left="1134" w:hanging="340"/>
      </w:pPr>
      <w:r w:rsidRPr="00FD4210">
        <w:t>any claims made about, and evidence of, reprisal or threatened reprisal; and</w:t>
      </w:r>
    </w:p>
    <w:p w14:paraId="4F1EEE65" w14:textId="7E974C51" w:rsidR="00735466" w:rsidRPr="00FD4210" w:rsidRDefault="00735466" w:rsidP="00132F8F">
      <w:pPr>
        <w:pStyle w:val="Numberedlist"/>
        <w:numPr>
          <w:ilvl w:val="0"/>
          <w:numId w:val="12"/>
        </w:numPr>
        <w:spacing w:before="60" w:after="60"/>
        <w:ind w:left="1134" w:hanging="340"/>
      </w:pPr>
      <w:r w:rsidRPr="00FD4210">
        <w:t>any actions taken by the department to address such claims.</w:t>
      </w:r>
    </w:p>
    <w:p w14:paraId="0D57BC69" w14:textId="45026F7A" w:rsidR="00FB3FF3" w:rsidRPr="00FD4210" w:rsidRDefault="000D4F15" w:rsidP="00385B04">
      <w:pPr>
        <w:pStyle w:val="Numberedlist"/>
        <w:numPr>
          <w:ilvl w:val="1"/>
          <w:numId w:val="33"/>
        </w:numPr>
      </w:pPr>
      <w:r w:rsidRPr="00FD4210">
        <w:t xml:space="preserve">Records must </w:t>
      </w:r>
      <w:r w:rsidRPr="00713025">
        <w:t>only</w:t>
      </w:r>
      <w:r w:rsidRPr="00FD4210">
        <w:t xml:space="preserve"> be disposed of in a manner consistent with the General Records Authority 39 2016/00471400.</w:t>
      </w:r>
    </w:p>
    <w:p w14:paraId="3A221102" w14:textId="0DBEA9E5" w:rsidR="00F02482" w:rsidRPr="00713025" w:rsidRDefault="00F02482" w:rsidP="00D31CC4">
      <w:pPr>
        <w:pStyle w:val="Heading2"/>
      </w:pPr>
      <w:bookmarkStart w:id="105" w:name="_Toc150789984"/>
      <w:r w:rsidRPr="00713025">
        <w:t>Monitoring and Evaluation</w:t>
      </w:r>
      <w:bookmarkEnd w:id="105"/>
    </w:p>
    <w:p w14:paraId="1EC84B51" w14:textId="5D4DACB3" w:rsidR="00735466" w:rsidRPr="00713025" w:rsidRDefault="00735466" w:rsidP="00385B04">
      <w:pPr>
        <w:pStyle w:val="Numberedlist"/>
        <w:numPr>
          <w:ilvl w:val="1"/>
          <w:numId w:val="33"/>
        </w:numPr>
      </w:pPr>
      <w:r w:rsidRPr="00713025">
        <w:t xml:space="preserve">For the purposes of assurance and tracking that the department is complying with its obligations under the </w:t>
      </w:r>
      <w:r w:rsidR="00917A4C" w:rsidRPr="00713025">
        <w:t xml:space="preserve">PID </w:t>
      </w:r>
      <w:r w:rsidRPr="00713025">
        <w:t>Act, regular updates on the progress of PIDs will be provided to the</w:t>
      </w:r>
      <w:r w:rsidR="00917A4C" w:rsidRPr="00713025">
        <w:t xml:space="preserve"> </w:t>
      </w:r>
      <w:r w:rsidR="00367760" w:rsidRPr="00713025">
        <w:t xml:space="preserve">AS, </w:t>
      </w:r>
      <w:r w:rsidR="00A9479A" w:rsidRPr="00713025">
        <w:t xml:space="preserve">Fraud </w:t>
      </w:r>
      <w:proofErr w:type="gramStart"/>
      <w:r w:rsidR="00A9479A" w:rsidRPr="00713025">
        <w:t>Control</w:t>
      </w:r>
      <w:proofErr w:type="gramEnd"/>
      <w:r w:rsidR="00A9479A" w:rsidRPr="00713025">
        <w:t xml:space="preserve"> and Investigations Branch</w:t>
      </w:r>
      <w:r w:rsidRPr="00713025">
        <w:t>.</w:t>
      </w:r>
    </w:p>
    <w:p w14:paraId="04FE2797" w14:textId="64511ED1" w:rsidR="00735466" w:rsidRPr="00713025" w:rsidRDefault="00735466" w:rsidP="00385B04">
      <w:pPr>
        <w:pStyle w:val="Numberedlist"/>
        <w:numPr>
          <w:ilvl w:val="1"/>
          <w:numId w:val="33"/>
        </w:numPr>
      </w:pPr>
      <w:r w:rsidRPr="00713025">
        <w:t xml:space="preserve">Investigators and </w:t>
      </w:r>
      <w:r w:rsidR="00917A4C" w:rsidRPr="00713025">
        <w:t>a</w:t>
      </w:r>
      <w:r w:rsidRPr="00713025">
        <w:t xml:space="preserve">uthorised </w:t>
      </w:r>
      <w:r w:rsidR="00917A4C" w:rsidRPr="00713025">
        <w:t>o</w:t>
      </w:r>
      <w:r w:rsidRPr="00713025">
        <w:t xml:space="preserve">fficers are required to provide regular updates on the progress of their assessments or PID investigations, to the PID </w:t>
      </w:r>
      <w:r w:rsidR="00A9479A" w:rsidRPr="00713025">
        <w:t xml:space="preserve">Management </w:t>
      </w:r>
      <w:r w:rsidRPr="00713025">
        <w:t>Unit.</w:t>
      </w:r>
    </w:p>
    <w:p w14:paraId="25417212" w14:textId="0DE940A4" w:rsidR="00735466" w:rsidRPr="00713025" w:rsidRDefault="00735466" w:rsidP="00385B04">
      <w:pPr>
        <w:pStyle w:val="Numberedlist"/>
        <w:numPr>
          <w:ilvl w:val="1"/>
          <w:numId w:val="33"/>
        </w:numPr>
      </w:pPr>
      <w:r w:rsidRPr="00713025">
        <w:t xml:space="preserve">Authorised </w:t>
      </w:r>
      <w:r w:rsidR="00917A4C" w:rsidRPr="00713025">
        <w:t>o</w:t>
      </w:r>
      <w:r w:rsidRPr="00713025">
        <w:t xml:space="preserve">fficers are required to inform the PID </w:t>
      </w:r>
      <w:r w:rsidR="00A9479A" w:rsidRPr="00713025">
        <w:t xml:space="preserve">Management </w:t>
      </w:r>
      <w:r w:rsidRPr="00713025">
        <w:t xml:space="preserve">Unit, as soon as reasonably practicable, when they receive a potential PID. Due to the </w:t>
      </w:r>
      <w:r w:rsidR="00B51FCE" w:rsidRPr="00713025">
        <w:t xml:space="preserve">confidentiality </w:t>
      </w:r>
      <w:r w:rsidRPr="00713025">
        <w:t xml:space="preserve">provisions of the </w:t>
      </w:r>
      <w:r w:rsidR="00917A4C" w:rsidRPr="00713025">
        <w:t xml:space="preserve">PID </w:t>
      </w:r>
      <w:r w:rsidRPr="00713025">
        <w:t xml:space="preserve">Act, the PID </w:t>
      </w:r>
      <w:r w:rsidR="00ED31DE" w:rsidRPr="00713025">
        <w:t xml:space="preserve">Management </w:t>
      </w:r>
      <w:r w:rsidRPr="00713025">
        <w:t>Unit is only to be notified of the date the potential PID was received, not of the contents of the disclosure or the identity of the discloser.</w:t>
      </w:r>
    </w:p>
    <w:p w14:paraId="5AC1E871" w14:textId="24D015DF" w:rsidR="00735466" w:rsidRPr="00713025" w:rsidRDefault="00735466" w:rsidP="00385B04">
      <w:pPr>
        <w:pStyle w:val="Numberedlist"/>
        <w:numPr>
          <w:ilvl w:val="1"/>
          <w:numId w:val="33"/>
        </w:numPr>
      </w:pPr>
      <w:r w:rsidRPr="00713025">
        <w:t xml:space="preserve">Authorised </w:t>
      </w:r>
      <w:r w:rsidR="00917A4C" w:rsidRPr="00713025">
        <w:t>o</w:t>
      </w:r>
      <w:r w:rsidRPr="00713025">
        <w:t xml:space="preserve">fficers are also required to notify the PID </w:t>
      </w:r>
      <w:r w:rsidR="000007FF" w:rsidRPr="00713025">
        <w:t xml:space="preserve">Management </w:t>
      </w:r>
      <w:r w:rsidRPr="00713025">
        <w:t xml:space="preserve">Unit when they </w:t>
      </w:r>
      <w:proofErr w:type="gramStart"/>
      <w:r w:rsidRPr="00713025">
        <w:t>make a decision</w:t>
      </w:r>
      <w:proofErr w:type="gramEnd"/>
      <w:r w:rsidRPr="00713025">
        <w:t xml:space="preserve"> regarding the PID and</w:t>
      </w:r>
      <w:r w:rsidR="00831112" w:rsidRPr="00713025">
        <w:t xml:space="preserve"> the outcome of that decision.</w:t>
      </w:r>
    </w:p>
    <w:p w14:paraId="5BFF10F7" w14:textId="48FE8349" w:rsidR="00735466" w:rsidRPr="00713025" w:rsidRDefault="00735466" w:rsidP="00385B04">
      <w:pPr>
        <w:pStyle w:val="Numberedlist"/>
        <w:numPr>
          <w:ilvl w:val="1"/>
          <w:numId w:val="33"/>
        </w:numPr>
      </w:pPr>
      <w:r w:rsidRPr="00713025">
        <w:lastRenderedPageBreak/>
        <w:t xml:space="preserve">The </w:t>
      </w:r>
      <w:r w:rsidR="00917A4C" w:rsidRPr="00713025">
        <w:t>p</w:t>
      </w:r>
      <w:r w:rsidRPr="00713025">
        <w:t xml:space="preserve">rincipal </w:t>
      </w:r>
      <w:r w:rsidR="00917A4C" w:rsidRPr="00713025">
        <w:t>o</w:t>
      </w:r>
      <w:r w:rsidRPr="00713025">
        <w:t xml:space="preserve">fficer and section </w:t>
      </w:r>
      <w:r w:rsidR="00763964" w:rsidRPr="00713025">
        <w:t>77</w:t>
      </w:r>
      <w:r w:rsidRPr="00713025">
        <w:t xml:space="preserve"> delegated </w:t>
      </w:r>
      <w:r w:rsidR="00917A4C" w:rsidRPr="00713025">
        <w:t>o</w:t>
      </w:r>
      <w:r w:rsidRPr="00713025">
        <w:t xml:space="preserve">fficers are required to inform the PID </w:t>
      </w:r>
      <w:r w:rsidR="000007FF" w:rsidRPr="00713025">
        <w:t xml:space="preserve">Management </w:t>
      </w:r>
      <w:r w:rsidRPr="00713025">
        <w:t>Unit when they are notified that a PID has been allocated to the department.</w:t>
      </w:r>
    </w:p>
    <w:p w14:paraId="2A9B706F" w14:textId="1C4ABFFB" w:rsidR="00BA3826" w:rsidRPr="00713025" w:rsidRDefault="009D6EDC" w:rsidP="00385B04">
      <w:pPr>
        <w:pStyle w:val="Numberedlist"/>
        <w:numPr>
          <w:ilvl w:val="1"/>
          <w:numId w:val="33"/>
        </w:numPr>
      </w:pPr>
      <w:r w:rsidRPr="00713025">
        <w:t xml:space="preserve">PID </w:t>
      </w:r>
      <w:r w:rsidR="0067293F" w:rsidRPr="00713025">
        <w:t>o</w:t>
      </w:r>
      <w:r w:rsidRPr="00713025">
        <w:t xml:space="preserve">fficers </w:t>
      </w:r>
      <w:r w:rsidR="00987C80" w:rsidRPr="00713025">
        <w:t>(being staff members of a Com</w:t>
      </w:r>
      <w:r w:rsidR="0067293F" w:rsidRPr="00713025">
        <w:t>m</w:t>
      </w:r>
      <w:r w:rsidR="00987C80" w:rsidRPr="00713025">
        <w:t xml:space="preserve">onwealth agency) </w:t>
      </w:r>
      <w:r w:rsidRPr="00713025">
        <w:t xml:space="preserve">have ongoing mandatory referral obligations to the NACC under sections 35 and 38 of the NACC Act. If information is provided at any stage during the handling of a PID, and that information </w:t>
      </w:r>
      <w:r w:rsidR="00987C80" w:rsidRPr="00713025">
        <w:t xml:space="preserve">concerns conduct of a person who was or is a staff member of the department and the issue </w:t>
      </w:r>
      <w:r w:rsidRPr="00713025">
        <w:t xml:space="preserve">may </w:t>
      </w:r>
      <w:r w:rsidR="00987C80" w:rsidRPr="00713025">
        <w:t>involve</w:t>
      </w:r>
      <w:r w:rsidRPr="00713025">
        <w:t xml:space="preserve"> serious or systemic corrupt conduct, the PID </w:t>
      </w:r>
      <w:r w:rsidR="0067293F" w:rsidRPr="00713025">
        <w:t>o</w:t>
      </w:r>
      <w:r w:rsidRPr="00713025">
        <w:t xml:space="preserve">fficer </w:t>
      </w:r>
      <w:r w:rsidR="00135CDF" w:rsidRPr="00713025">
        <w:t>must</w:t>
      </w:r>
      <w:r w:rsidRPr="00713025">
        <w:t xml:space="preserve"> refer the matter to the NACC. </w:t>
      </w:r>
      <w:r w:rsidR="00BA3826" w:rsidRPr="00713025">
        <w:t xml:space="preserve"> </w:t>
      </w:r>
    </w:p>
    <w:p w14:paraId="6B31D5DD" w14:textId="77777777" w:rsidR="00F02482" w:rsidRPr="00713025" w:rsidRDefault="00F02482" w:rsidP="00D31CC4">
      <w:pPr>
        <w:pStyle w:val="Heading2"/>
        <w:rPr>
          <w:szCs w:val="22"/>
        </w:rPr>
      </w:pPr>
      <w:bookmarkStart w:id="106" w:name="_Toc150789985"/>
      <w:r w:rsidRPr="00713025">
        <w:rPr>
          <w:rFonts w:eastAsia="Arial"/>
        </w:rPr>
        <w:t>Information and assistance to the Ombudsman</w:t>
      </w:r>
      <w:bookmarkEnd w:id="106"/>
    </w:p>
    <w:p w14:paraId="245E6467" w14:textId="49EB2CD7" w:rsidR="00735466" w:rsidRPr="00713025" w:rsidRDefault="00735466" w:rsidP="00385B04">
      <w:pPr>
        <w:pStyle w:val="Numberedlist"/>
        <w:numPr>
          <w:ilvl w:val="1"/>
          <w:numId w:val="33"/>
        </w:numPr>
      </w:pPr>
      <w:r w:rsidRPr="00713025">
        <w:t xml:space="preserve">The </w:t>
      </w:r>
      <w:r w:rsidR="00987C80" w:rsidRPr="00713025">
        <w:t>p</w:t>
      </w:r>
      <w:r w:rsidRPr="00713025">
        <w:t xml:space="preserve">rincipal </w:t>
      </w:r>
      <w:r w:rsidR="00987C80" w:rsidRPr="00713025">
        <w:t>o</w:t>
      </w:r>
      <w:r w:rsidRPr="00713025">
        <w:t xml:space="preserve">fficer </w:t>
      </w:r>
      <w:r w:rsidR="00987C80" w:rsidRPr="00713025">
        <w:t xml:space="preserve">(or a delegate) </w:t>
      </w:r>
      <w:r w:rsidRPr="00713025">
        <w:t xml:space="preserve">must provide a report on disclosures received by the department for the purpose of preparing the Ombudsman’s </w:t>
      </w:r>
      <w:r w:rsidR="003C2F24" w:rsidRPr="00713025">
        <w:t xml:space="preserve">six-monthly report and </w:t>
      </w:r>
      <w:r w:rsidRPr="00713025">
        <w:t xml:space="preserve">annual report under the </w:t>
      </w:r>
      <w:r w:rsidR="00987C80" w:rsidRPr="00713025">
        <w:t xml:space="preserve">PID </w:t>
      </w:r>
      <w:r w:rsidRPr="00713025">
        <w:t>Act.</w:t>
      </w:r>
    </w:p>
    <w:p w14:paraId="543E7971" w14:textId="4C1E8708" w:rsidR="00735466" w:rsidRPr="00713025" w:rsidRDefault="00735466" w:rsidP="00385B04">
      <w:pPr>
        <w:pStyle w:val="Numberedlist"/>
        <w:numPr>
          <w:ilvl w:val="1"/>
          <w:numId w:val="33"/>
        </w:numPr>
      </w:pPr>
      <w:r w:rsidRPr="00713025">
        <w:t xml:space="preserve">The PID </w:t>
      </w:r>
      <w:r w:rsidR="009E25A8" w:rsidRPr="00713025">
        <w:t xml:space="preserve">Management </w:t>
      </w:r>
      <w:r w:rsidRPr="00713025">
        <w:t>Unit will prepare report</w:t>
      </w:r>
      <w:r w:rsidR="00044F62" w:rsidRPr="00713025">
        <w:t>s</w:t>
      </w:r>
      <w:r w:rsidRPr="00713025">
        <w:t xml:space="preserve"> on behalf of the department on all disclosures made during the financial year. For this purpose:</w:t>
      </w:r>
    </w:p>
    <w:p w14:paraId="7BC5BC76" w14:textId="7D776DCA" w:rsidR="00735466" w:rsidRPr="00713025" w:rsidRDefault="00735466" w:rsidP="00636C8D">
      <w:pPr>
        <w:pStyle w:val="Numberedlist"/>
        <w:numPr>
          <w:ilvl w:val="0"/>
          <w:numId w:val="12"/>
        </w:numPr>
        <w:spacing w:before="60" w:after="60"/>
        <w:ind w:left="1134" w:hanging="340"/>
      </w:pPr>
      <w:r w:rsidRPr="00713025">
        <w:t xml:space="preserve">Authorised </w:t>
      </w:r>
      <w:r w:rsidR="00987C80" w:rsidRPr="00713025">
        <w:t>o</w:t>
      </w:r>
      <w:r w:rsidRPr="00713025">
        <w:t xml:space="preserve">fficers must provide a report to the PID </w:t>
      </w:r>
      <w:r w:rsidR="00B25B0C" w:rsidRPr="00713025">
        <w:t xml:space="preserve">Management </w:t>
      </w:r>
      <w:r w:rsidRPr="00713025">
        <w:t xml:space="preserve">Unit specifying the number of public interest disclosures received by the </w:t>
      </w:r>
      <w:r w:rsidR="00987C80" w:rsidRPr="00713025">
        <w:t>a</w:t>
      </w:r>
      <w:r w:rsidRPr="00713025">
        <w:t xml:space="preserve">uthorised </w:t>
      </w:r>
      <w:r w:rsidR="00987C80" w:rsidRPr="00713025">
        <w:t>o</w:t>
      </w:r>
      <w:r w:rsidRPr="00713025">
        <w:t xml:space="preserve">fficer and the nature of the disclosable conduct for each disclosure (by reference to the relevant item or paragraph in the definition in section 29 of the </w:t>
      </w:r>
      <w:r w:rsidR="00987C80" w:rsidRPr="00713025">
        <w:t xml:space="preserve">PID </w:t>
      </w:r>
      <w:r w:rsidRPr="00713025">
        <w:t>Act).</w:t>
      </w:r>
    </w:p>
    <w:p w14:paraId="6BDC07F4" w14:textId="41313837" w:rsidR="00735466" w:rsidRPr="00713025" w:rsidRDefault="00735466" w:rsidP="00636C8D">
      <w:pPr>
        <w:pStyle w:val="Numberedlist"/>
        <w:numPr>
          <w:ilvl w:val="0"/>
          <w:numId w:val="12"/>
        </w:numPr>
        <w:spacing w:before="60" w:after="60"/>
        <w:ind w:left="1134" w:hanging="340"/>
      </w:pPr>
      <w:r w:rsidRPr="00713025">
        <w:t xml:space="preserve">The report must also include any disclosures that have been allocated to the department by another agency’s </w:t>
      </w:r>
      <w:r w:rsidR="00987C80" w:rsidRPr="00713025">
        <w:t>a</w:t>
      </w:r>
      <w:r w:rsidRPr="00713025">
        <w:t xml:space="preserve">uthorised </w:t>
      </w:r>
      <w:r w:rsidR="00987C80" w:rsidRPr="00713025">
        <w:t>o</w:t>
      </w:r>
      <w:r w:rsidRPr="00713025">
        <w:t>fficer.</w:t>
      </w:r>
    </w:p>
    <w:p w14:paraId="732A1D0A" w14:textId="18467F42" w:rsidR="00735466" w:rsidRPr="00713025" w:rsidRDefault="00735466" w:rsidP="00636C8D">
      <w:pPr>
        <w:pStyle w:val="Numberedlist"/>
        <w:numPr>
          <w:ilvl w:val="0"/>
          <w:numId w:val="12"/>
        </w:numPr>
        <w:spacing w:before="60" w:after="60"/>
        <w:ind w:left="1134" w:hanging="340"/>
      </w:pPr>
      <w:r w:rsidRPr="00713025">
        <w:t xml:space="preserve">Delegates within the department must advise the PID </w:t>
      </w:r>
      <w:r w:rsidR="00EF12AF" w:rsidRPr="00713025">
        <w:t xml:space="preserve">Management </w:t>
      </w:r>
      <w:r w:rsidRPr="00713025">
        <w:t xml:space="preserve">Unit of all decisions made to not investigate a disclosure or not investigate a disclosure further under section 48 of the </w:t>
      </w:r>
      <w:r w:rsidR="00886AFD" w:rsidRPr="00713025">
        <w:t xml:space="preserve">PID </w:t>
      </w:r>
      <w:r w:rsidRPr="00713025">
        <w:t>Act during the financial year.</w:t>
      </w:r>
    </w:p>
    <w:p w14:paraId="31A8FD26" w14:textId="07FE34F7" w:rsidR="00735466" w:rsidRPr="00713025" w:rsidRDefault="00735466" w:rsidP="00636C8D">
      <w:pPr>
        <w:pStyle w:val="Numberedlist"/>
        <w:numPr>
          <w:ilvl w:val="0"/>
          <w:numId w:val="12"/>
        </w:numPr>
        <w:spacing w:before="60" w:after="60"/>
        <w:ind w:left="1134" w:hanging="340"/>
      </w:pPr>
      <w:r w:rsidRPr="00713025">
        <w:t xml:space="preserve">Investigators must provide a report to the PID </w:t>
      </w:r>
      <w:r w:rsidR="00EF12AF" w:rsidRPr="00713025">
        <w:t xml:space="preserve">Management </w:t>
      </w:r>
      <w:r w:rsidRPr="00713025">
        <w:t xml:space="preserve">Unit specifying the number of investigations they have </w:t>
      </w:r>
      <w:proofErr w:type="gramStart"/>
      <w:r w:rsidRPr="00713025">
        <w:t>completed, or</w:t>
      </w:r>
      <w:proofErr w:type="gramEnd"/>
      <w:r w:rsidRPr="00713025">
        <w:t xml:space="preserve"> are in the process of conducting. For completed investigations, the report must include whether a finding of disclosable conduct was made and what recommendations were made, if any, in response to such findings.</w:t>
      </w:r>
    </w:p>
    <w:p w14:paraId="3B045FAA" w14:textId="09ADFD1E" w:rsidR="00735466" w:rsidRPr="00713025" w:rsidRDefault="00735466" w:rsidP="00636C8D">
      <w:pPr>
        <w:pStyle w:val="Numberedlist"/>
        <w:numPr>
          <w:ilvl w:val="0"/>
          <w:numId w:val="12"/>
        </w:numPr>
        <w:spacing w:before="60" w:after="60"/>
        <w:ind w:left="1134" w:hanging="340"/>
      </w:pPr>
      <w:r w:rsidRPr="00713025">
        <w:t xml:space="preserve">Reports, upon request, must also be made to the PID </w:t>
      </w:r>
      <w:r w:rsidR="00EF12AF" w:rsidRPr="00713025">
        <w:t xml:space="preserve">Management </w:t>
      </w:r>
      <w:r w:rsidRPr="00713025">
        <w:t xml:space="preserve">Unit by each delegate of the </w:t>
      </w:r>
      <w:r w:rsidR="00987C80" w:rsidRPr="00713025">
        <w:t>p</w:t>
      </w:r>
      <w:r w:rsidRPr="00713025">
        <w:t xml:space="preserve">rincipal </w:t>
      </w:r>
      <w:r w:rsidR="00987C80" w:rsidRPr="00713025">
        <w:t>o</w:t>
      </w:r>
      <w:r w:rsidRPr="00713025">
        <w:t xml:space="preserve">fficer who </w:t>
      </w:r>
      <w:proofErr w:type="gramStart"/>
      <w:r w:rsidRPr="00713025">
        <w:t>takes action</w:t>
      </w:r>
      <w:proofErr w:type="gramEnd"/>
      <w:r w:rsidRPr="00713025">
        <w:t xml:space="preserve"> in response to a recommendation made in an investigation report.</w:t>
      </w:r>
    </w:p>
    <w:p w14:paraId="31D6D3D3" w14:textId="4305EFCA" w:rsidR="00735466" w:rsidRPr="00713025" w:rsidRDefault="00735466" w:rsidP="00636C8D">
      <w:pPr>
        <w:pStyle w:val="Numberedlist"/>
        <w:numPr>
          <w:ilvl w:val="0"/>
          <w:numId w:val="12"/>
        </w:numPr>
        <w:spacing w:before="60" w:after="60"/>
        <w:ind w:left="1134" w:hanging="340"/>
      </w:pPr>
      <w:r w:rsidRPr="00713025">
        <w:t xml:space="preserve">The </w:t>
      </w:r>
      <w:r w:rsidR="00987C80" w:rsidRPr="00713025">
        <w:t>p</w:t>
      </w:r>
      <w:r w:rsidRPr="00713025">
        <w:t xml:space="preserve">rincipal </w:t>
      </w:r>
      <w:r w:rsidR="00987C80" w:rsidRPr="00713025">
        <w:t>o</w:t>
      </w:r>
      <w:r w:rsidRPr="00713025">
        <w:t xml:space="preserve">fficer or their delegate will give the Ombudsman such information and assistance as the Ombudsman reasonably requires </w:t>
      </w:r>
      <w:proofErr w:type="gramStart"/>
      <w:r w:rsidRPr="00713025">
        <w:t>in order to</w:t>
      </w:r>
      <w:proofErr w:type="gramEnd"/>
      <w:r w:rsidRPr="00713025">
        <w:t xml:space="preserve"> prepare the </w:t>
      </w:r>
      <w:r w:rsidR="00A41B21" w:rsidRPr="00713025">
        <w:t xml:space="preserve">six-monthly report and the </w:t>
      </w:r>
      <w:r w:rsidRPr="00713025">
        <w:t>annual report under section</w:t>
      </w:r>
      <w:r w:rsidR="00A41B21" w:rsidRPr="00713025">
        <w:t>s</w:t>
      </w:r>
      <w:r w:rsidRPr="00713025">
        <w:t xml:space="preserve"> 76 </w:t>
      </w:r>
      <w:r w:rsidR="00A41B21" w:rsidRPr="00713025">
        <w:t xml:space="preserve">and 76A </w:t>
      </w:r>
      <w:r w:rsidRPr="00713025">
        <w:t>of the</w:t>
      </w:r>
      <w:r w:rsidR="00987C80" w:rsidRPr="00713025">
        <w:t xml:space="preserve"> PID</w:t>
      </w:r>
      <w:r w:rsidRPr="00713025">
        <w:t xml:space="preserve"> Act.</w:t>
      </w:r>
    </w:p>
    <w:p w14:paraId="1D3230D6" w14:textId="77777777" w:rsidR="00F02482" w:rsidRPr="00713025" w:rsidRDefault="00F02482" w:rsidP="00316C36">
      <w:pPr>
        <w:pStyle w:val="Heading2"/>
        <w:pageBreakBefore/>
      </w:pPr>
      <w:bookmarkStart w:id="107" w:name="_Toc150789986"/>
      <w:r w:rsidRPr="00713025">
        <w:rPr>
          <w:lang w:val="en-US"/>
        </w:rPr>
        <w:lastRenderedPageBreak/>
        <w:t>Key Legislation and Policy</w:t>
      </w:r>
      <w:bookmarkEnd w:id="107"/>
    </w:p>
    <w:p w14:paraId="298842B5" w14:textId="2E54DDB6" w:rsidR="00F02482" w:rsidRPr="00713025" w:rsidRDefault="00F02482" w:rsidP="00AE72A5">
      <w:r w:rsidRPr="00713025">
        <w:rPr>
          <w:rFonts w:eastAsia="Calibri"/>
        </w:rPr>
        <w:t>The following documents directly relate these procedures and must be reviewed in context to this document:</w:t>
      </w:r>
    </w:p>
    <w:p w14:paraId="70C40F44" w14:textId="6CAF9FC6" w:rsidR="00646098" w:rsidRPr="00244C0D" w:rsidRDefault="00646098" w:rsidP="00244C0D">
      <w:pPr>
        <w:pStyle w:val="Numberedlist"/>
        <w:numPr>
          <w:ilvl w:val="0"/>
          <w:numId w:val="12"/>
        </w:numPr>
        <w:spacing w:before="60" w:after="60"/>
        <w:ind w:left="1134" w:hanging="340"/>
      </w:pPr>
      <w:r w:rsidRPr="00244C0D">
        <w:t>Commonwealth Ombudsman’s Agency Guide to the PID Act</w:t>
      </w:r>
      <w:r w:rsidR="00D204EC" w:rsidRPr="00244C0D">
        <w:t xml:space="preserve"> (Cth)</w:t>
      </w:r>
    </w:p>
    <w:p w14:paraId="2C8A9CDD" w14:textId="2C00C324" w:rsidR="00646098" w:rsidRPr="00244C0D" w:rsidRDefault="00646098" w:rsidP="00244C0D">
      <w:pPr>
        <w:pStyle w:val="Numberedlist"/>
        <w:numPr>
          <w:ilvl w:val="0"/>
          <w:numId w:val="12"/>
        </w:numPr>
        <w:spacing w:before="60" w:after="60"/>
        <w:ind w:left="1134" w:hanging="340"/>
      </w:pPr>
      <w:r w:rsidRPr="007047E2">
        <w:rPr>
          <w:i/>
          <w:iCs/>
        </w:rPr>
        <w:t>Public Interest Disclosure Act 2013</w:t>
      </w:r>
      <w:r w:rsidR="00D204EC" w:rsidRPr="00244C0D">
        <w:t xml:space="preserve"> (Cth)</w:t>
      </w:r>
    </w:p>
    <w:p w14:paraId="5CB0992F" w14:textId="023F1240" w:rsidR="00646098" w:rsidRPr="00244C0D" w:rsidRDefault="00646098" w:rsidP="00244C0D">
      <w:pPr>
        <w:pStyle w:val="Numberedlist"/>
        <w:numPr>
          <w:ilvl w:val="0"/>
          <w:numId w:val="12"/>
        </w:numPr>
        <w:spacing w:before="60" w:after="60"/>
        <w:ind w:left="1134" w:hanging="340"/>
      </w:pPr>
      <w:r w:rsidRPr="007047E2">
        <w:rPr>
          <w:i/>
          <w:iCs/>
        </w:rPr>
        <w:t>Public Interest Disclosure Standard 2013</w:t>
      </w:r>
      <w:r w:rsidR="00D204EC" w:rsidRPr="00244C0D">
        <w:t xml:space="preserve"> (Cth)</w:t>
      </w:r>
    </w:p>
    <w:p w14:paraId="5B46EAD1" w14:textId="39AF4A65" w:rsidR="009D6EDC" w:rsidRPr="00244C0D" w:rsidRDefault="009D6EDC" w:rsidP="00244C0D">
      <w:pPr>
        <w:pStyle w:val="Numberedlist"/>
        <w:numPr>
          <w:ilvl w:val="0"/>
          <w:numId w:val="12"/>
        </w:numPr>
        <w:spacing w:before="60" w:after="60"/>
        <w:ind w:left="1134" w:hanging="340"/>
      </w:pPr>
      <w:r w:rsidRPr="007047E2">
        <w:rPr>
          <w:i/>
          <w:iCs/>
        </w:rPr>
        <w:t>National Anti-Corruption Commission Act 2022</w:t>
      </w:r>
      <w:r w:rsidR="00D204EC" w:rsidRPr="00244C0D">
        <w:t xml:space="preserve"> (Cth)</w:t>
      </w:r>
    </w:p>
    <w:p w14:paraId="7DF1842D" w14:textId="5FD51321" w:rsidR="00646098" w:rsidRPr="00244C0D" w:rsidRDefault="00646098" w:rsidP="00244C0D">
      <w:pPr>
        <w:pStyle w:val="Numberedlist"/>
        <w:numPr>
          <w:ilvl w:val="0"/>
          <w:numId w:val="12"/>
        </w:numPr>
        <w:spacing w:before="60" w:after="60"/>
        <w:ind w:left="1134" w:hanging="340"/>
      </w:pPr>
      <w:r w:rsidRPr="007047E2">
        <w:rPr>
          <w:i/>
          <w:iCs/>
        </w:rPr>
        <w:t>Public Governance, Performance and Accountability Act 2013</w:t>
      </w:r>
      <w:r w:rsidR="00D204EC" w:rsidRPr="00244C0D">
        <w:t xml:space="preserve"> (Cth)</w:t>
      </w:r>
    </w:p>
    <w:p w14:paraId="3568A5F7" w14:textId="756EFE66" w:rsidR="00646098" w:rsidRPr="00244C0D" w:rsidRDefault="00646098" w:rsidP="00244C0D">
      <w:pPr>
        <w:pStyle w:val="Numberedlist"/>
        <w:numPr>
          <w:ilvl w:val="0"/>
          <w:numId w:val="12"/>
        </w:numPr>
        <w:spacing w:before="60" w:after="60"/>
        <w:ind w:left="1134" w:hanging="340"/>
      </w:pPr>
      <w:r w:rsidRPr="007047E2">
        <w:rPr>
          <w:i/>
          <w:iCs/>
        </w:rPr>
        <w:t>Public Governance, Performance and Accountability Act Rule 2014</w:t>
      </w:r>
      <w:r w:rsidR="00D204EC" w:rsidRPr="00244C0D">
        <w:t xml:space="preserve"> (Cth)</w:t>
      </w:r>
    </w:p>
    <w:p w14:paraId="0AB3B2B3" w14:textId="6C264570" w:rsidR="00646098" w:rsidRPr="00173A52" w:rsidRDefault="00646098" w:rsidP="00244C0D">
      <w:pPr>
        <w:pStyle w:val="Numberedlist"/>
        <w:numPr>
          <w:ilvl w:val="0"/>
          <w:numId w:val="12"/>
        </w:numPr>
        <w:spacing w:before="60" w:after="60"/>
        <w:ind w:left="1134" w:hanging="340"/>
        <w:rPr>
          <w:i/>
          <w:iCs/>
        </w:rPr>
      </w:pPr>
      <w:r w:rsidRPr="00173A52">
        <w:rPr>
          <w:i/>
          <w:iCs/>
        </w:rPr>
        <w:t>Commonwealth Fraud Control Framework 2017</w:t>
      </w:r>
      <w:r w:rsidR="00D204EC" w:rsidRPr="00173A52">
        <w:rPr>
          <w:i/>
          <w:iCs/>
        </w:rPr>
        <w:t xml:space="preserve"> (Cth)</w:t>
      </w:r>
    </w:p>
    <w:p w14:paraId="2ADB38D2" w14:textId="3C922ED5" w:rsidR="00646098" w:rsidRPr="00173A52" w:rsidRDefault="00646098" w:rsidP="00244C0D">
      <w:pPr>
        <w:pStyle w:val="Numberedlist"/>
        <w:numPr>
          <w:ilvl w:val="0"/>
          <w:numId w:val="12"/>
        </w:numPr>
        <w:spacing w:before="60" w:after="60"/>
        <w:ind w:left="1134" w:hanging="340"/>
        <w:rPr>
          <w:i/>
          <w:iCs/>
        </w:rPr>
      </w:pPr>
      <w:r w:rsidRPr="00173A52">
        <w:rPr>
          <w:i/>
          <w:iCs/>
        </w:rPr>
        <w:t>Australian Government Investigation Standards 20</w:t>
      </w:r>
      <w:r w:rsidR="00BF10F2" w:rsidRPr="00173A52">
        <w:rPr>
          <w:i/>
          <w:iCs/>
        </w:rPr>
        <w:t>22</w:t>
      </w:r>
      <w:r w:rsidR="00D204EC" w:rsidRPr="00173A52">
        <w:rPr>
          <w:i/>
          <w:iCs/>
        </w:rPr>
        <w:t xml:space="preserve"> (Cth)</w:t>
      </w:r>
    </w:p>
    <w:p w14:paraId="580073FB" w14:textId="77777777" w:rsidR="00B1712B" w:rsidRPr="00173A52" w:rsidRDefault="00646098" w:rsidP="00B1712B">
      <w:pPr>
        <w:pStyle w:val="Numberedlist"/>
        <w:numPr>
          <w:ilvl w:val="0"/>
          <w:numId w:val="12"/>
        </w:numPr>
        <w:spacing w:before="60" w:after="60"/>
        <w:ind w:left="1134" w:hanging="340"/>
        <w:rPr>
          <w:i/>
          <w:iCs/>
        </w:rPr>
      </w:pPr>
      <w:r w:rsidRPr="00173A52">
        <w:rPr>
          <w:i/>
          <w:iCs/>
        </w:rPr>
        <w:t>Public Service Act 1999</w:t>
      </w:r>
      <w:r w:rsidR="00D204EC" w:rsidRPr="00173A52">
        <w:rPr>
          <w:i/>
          <w:iCs/>
        </w:rPr>
        <w:t xml:space="preserve"> (Cth)</w:t>
      </w:r>
    </w:p>
    <w:p w14:paraId="12ECAD0E" w14:textId="5D13B480" w:rsidR="00B1712B" w:rsidRPr="00B1712B" w:rsidRDefault="00B1712B" w:rsidP="00B1712B">
      <w:pPr>
        <w:pStyle w:val="Numberedlist"/>
        <w:numPr>
          <w:ilvl w:val="0"/>
          <w:numId w:val="12"/>
        </w:numPr>
        <w:spacing w:before="60" w:after="60"/>
        <w:ind w:left="1134" w:hanging="340"/>
      </w:pPr>
      <w:r w:rsidRPr="00B1712B">
        <w:t xml:space="preserve">Department’s Intranet: </w:t>
      </w:r>
      <w:hyperlink r:id="rId24" w:history="1">
        <w:r w:rsidRPr="00B1712B">
          <w:rPr>
            <w:rStyle w:val="Hyperlink"/>
            <w:color w:val="0000FF"/>
          </w:rPr>
          <w:t>Public Internet Disclosures</w:t>
        </w:r>
      </w:hyperlink>
      <w:r w:rsidRPr="00B1712B">
        <w:rPr>
          <w:rStyle w:val="Hyperlink"/>
          <w:color w:val="0000FF"/>
        </w:rPr>
        <w:t xml:space="preserve"> </w:t>
      </w:r>
    </w:p>
    <w:p w14:paraId="5483C906" w14:textId="37555F9F" w:rsidR="00646098" w:rsidRPr="00244C0D" w:rsidRDefault="002E3901" w:rsidP="00244C0D">
      <w:pPr>
        <w:pStyle w:val="Numberedlist"/>
        <w:numPr>
          <w:ilvl w:val="0"/>
          <w:numId w:val="12"/>
        </w:numPr>
        <w:spacing w:before="60" w:after="60"/>
        <w:ind w:left="1134" w:hanging="340"/>
        <w:rPr>
          <w:rStyle w:val="Hyperlink"/>
          <w:color w:val="auto"/>
          <w:u w:val="none"/>
        </w:rPr>
      </w:pPr>
      <w:r w:rsidRPr="00B1712B">
        <w:fldChar w:fldCharType="begin"/>
      </w:r>
      <w:r w:rsidRPr="00244C0D">
        <w:instrText xml:space="preserve"> HYPERLINK "https://healthgov.sharepoint.com/:w:/r/sites/employee-conditions/_layouts/15/Doc.aspx?sourcedoc=%7B870edffc-3908-4b72-876e-7c193707be24%7D&amp;action=default&amp;mobileredirect=true" </w:instrText>
      </w:r>
      <w:r w:rsidRPr="00B1712B">
        <w:fldChar w:fldCharType="separate"/>
      </w:r>
      <w:r w:rsidR="00EB319E" w:rsidRPr="00244C0D">
        <w:rPr>
          <w:rStyle w:val="Hyperlink"/>
        </w:rPr>
        <w:t>Department of Health and Aged Care</w:t>
      </w:r>
      <w:r w:rsidR="00646098" w:rsidRPr="00244C0D">
        <w:rPr>
          <w:rStyle w:val="Hyperlink"/>
        </w:rPr>
        <w:t xml:space="preserve"> Procedures for Determining Breaches of the APS Code of Conduct</w:t>
      </w:r>
      <w:r w:rsidR="0075367D">
        <w:rPr>
          <w:rStyle w:val="Hyperlink"/>
        </w:rPr>
        <w:t xml:space="preserve">  </w:t>
      </w:r>
    </w:p>
    <w:p w14:paraId="287B4C5B" w14:textId="38C836E3" w:rsidR="00F02482" w:rsidRPr="00B1712B" w:rsidRDefault="002E3901" w:rsidP="007047E2">
      <w:pPr>
        <w:pStyle w:val="Heading2"/>
        <w:pageBreakBefore/>
        <w:rPr>
          <w:lang w:val="en-US"/>
        </w:rPr>
      </w:pPr>
      <w:r w:rsidRPr="00B1712B">
        <w:rPr>
          <w:sz w:val="21"/>
          <w:szCs w:val="21"/>
        </w:rPr>
        <w:lastRenderedPageBreak/>
        <w:fldChar w:fldCharType="end"/>
      </w:r>
      <w:bookmarkStart w:id="108" w:name="_Toc150789987"/>
      <w:r w:rsidR="00F02482" w:rsidRPr="00B1712B">
        <w:rPr>
          <w:lang w:val="en-US"/>
        </w:rPr>
        <w:t xml:space="preserve">PID </w:t>
      </w:r>
      <w:r w:rsidR="574783B4" w:rsidRPr="00B1712B">
        <w:rPr>
          <w:lang w:val="en-US"/>
        </w:rPr>
        <w:t xml:space="preserve">Management </w:t>
      </w:r>
      <w:r w:rsidR="00F02482" w:rsidRPr="00B1712B">
        <w:rPr>
          <w:lang w:val="en-US"/>
        </w:rPr>
        <w:t>Unit</w:t>
      </w:r>
      <w:bookmarkEnd w:id="108"/>
    </w:p>
    <w:p w14:paraId="1A2093D0" w14:textId="76BB5737" w:rsidR="008401C3" w:rsidRPr="00713025" w:rsidRDefault="008401C3" w:rsidP="00AE72A5">
      <w:r w:rsidRPr="00713025">
        <w:t>For more information on these Procedures contact:</w:t>
      </w:r>
    </w:p>
    <w:p w14:paraId="05BBEF98" w14:textId="383A1EF7" w:rsidR="001C61F2" w:rsidRPr="00713025" w:rsidRDefault="00646098" w:rsidP="00AE72A5">
      <w:r w:rsidRPr="00713025">
        <w:t xml:space="preserve">PID </w:t>
      </w:r>
      <w:r w:rsidR="00CC444C" w:rsidRPr="00713025">
        <w:t xml:space="preserve">Management </w:t>
      </w:r>
      <w:r w:rsidRPr="00713025">
        <w:t>Unit</w:t>
      </w:r>
      <w:r w:rsidR="00713025" w:rsidRPr="00713025">
        <w:t xml:space="preserve">: </w:t>
      </w:r>
      <w:hyperlink r:id="rId25" w:history="1">
        <w:r w:rsidRPr="00713025">
          <w:rPr>
            <w:rStyle w:val="Hyperlink"/>
          </w:rPr>
          <w:t>PIDCoordination@health.gov.au</w:t>
        </w:r>
      </w:hyperlink>
    </w:p>
    <w:p w14:paraId="5AD39D8C" w14:textId="2E104BDD" w:rsidR="00752DB5" w:rsidRPr="00713025" w:rsidRDefault="00C725B1" w:rsidP="007E7684">
      <w:pPr>
        <w:rPr>
          <w:rStyle w:val="Hyperlink"/>
        </w:rPr>
        <w:sectPr w:rsidR="00752DB5" w:rsidRPr="00713025" w:rsidSect="007461D6">
          <w:headerReference w:type="even" r:id="rId26"/>
          <w:headerReference w:type="default" r:id="rId27"/>
          <w:footerReference w:type="default" r:id="rId28"/>
          <w:headerReference w:type="first" r:id="rId29"/>
          <w:type w:val="oddPage"/>
          <w:pgSz w:w="11906" w:h="16838"/>
          <w:pgMar w:top="1134" w:right="1418" w:bottom="1418" w:left="1418" w:header="426" w:footer="709" w:gutter="0"/>
          <w:pgNumType w:start="1"/>
          <w:cols w:space="708"/>
          <w:docGrid w:linePitch="360"/>
        </w:sectPr>
      </w:pPr>
      <w:r w:rsidRPr="00713025">
        <w:rPr>
          <w:rStyle w:val="Hyperlink"/>
        </w:rPr>
        <w:br w:type="page"/>
      </w:r>
    </w:p>
    <w:p w14:paraId="5637A068" w14:textId="77777777" w:rsidR="007E7684" w:rsidRPr="00713025" w:rsidRDefault="007E7684" w:rsidP="00107EA1">
      <w:pPr>
        <w:pStyle w:val="Heading1"/>
        <w:rPr>
          <w:color w:val="333F48"/>
        </w:rPr>
      </w:pPr>
      <w:bookmarkStart w:id="109" w:name="_Ref137226680"/>
      <w:bookmarkStart w:id="110" w:name="_Toc138233638"/>
      <w:bookmarkStart w:id="111" w:name="_Toc150789988"/>
      <w:bookmarkStart w:id="112" w:name="_Hlk137224268"/>
      <w:r w:rsidRPr="00713025">
        <w:rPr>
          <w:lang w:val="en-US"/>
        </w:rPr>
        <w:lastRenderedPageBreak/>
        <w:t>Annex A – Secrecy Provisions</w:t>
      </w:r>
      <w:bookmarkEnd w:id="109"/>
      <w:bookmarkEnd w:id="110"/>
      <w:bookmarkEnd w:id="111"/>
    </w:p>
    <w:p w14:paraId="2F118DD3" w14:textId="77777777" w:rsidR="007E7684" w:rsidRPr="00713025" w:rsidRDefault="007E7684" w:rsidP="007E7684">
      <w:r w:rsidRPr="00713025">
        <w:t xml:space="preserve">This table sets out a summary of the key secrecy provisions that may apply to departmental officials when handling PID matters.  This is not an exhaustive list of all secrecy </w:t>
      </w:r>
      <w:proofErr w:type="gramStart"/>
      <w:r w:rsidRPr="00713025">
        <w:t>provisions</w:t>
      </w:r>
      <w:proofErr w:type="gramEnd"/>
      <w:r w:rsidRPr="00713025">
        <w:t xml:space="preserve"> and that care needs to be taken to identify any other secrecy provisions that may apply in particular circumstances.</w:t>
      </w:r>
    </w:p>
    <w:p w14:paraId="4F7A9B89" w14:textId="77777777" w:rsidR="007E7684" w:rsidRPr="00713025" w:rsidRDefault="007E7684" w:rsidP="007E7684">
      <w:r w:rsidRPr="00713025">
        <w:br/>
        <w:t xml:space="preserve">This table does not contain an assessment as to </w:t>
      </w:r>
      <w:proofErr w:type="gramStart"/>
      <w:r w:rsidRPr="00713025">
        <w:t>whether or not</w:t>
      </w:r>
      <w:proofErr w:type="gramEnd"/>
      <w:r w:rsidRPr="00713025">
        <w:t xml:space="preserve"> the relevant obligation is enlivened in any specific circumstances.</w:t>
      </w:r>
    </w:p>
    <w:p w14:paraId="2DADC657" w14:textId="77777777" w:rsidR="007E7684" w:rsidRPr="00713025" w:rsidRDefault="007E7684" w:rsidP="007E7684"/>
    <w:tbl>
      <w:tblPr>
        <w:tblStyle w:val="MPTTable21"/>
        <w:tblW w:w="0" w:type="auto"/>
        <w:tblLook w:val="04A0" w:firstRow="1" w:lastRow="0" w:firstColumn="1" w:lastColumn="0" w:noHBand="0" w:noVBand="1"/>
      </w:tblPr>
      <w:tblGrid>
        <w:gridCol w:w="3276"/>
        <w:gridCol w:w="1490"/>
        <w:gridCol w:w="4687"/>
        <w:gridCol w:w="4356"/>
      </w:tblGrid>
      <w:tr w:rsidR="009E422B" w:rsidRPr="00713025" w14:paraId="3F93C603" w14:textId="77777777" w:rsidTr="00454BDE">
        <w:trPr>
          <w:cnfStyle w:val="100000000000" w:firstRow="1" w:lastRow="0" w:firstColumn="0" w:lastColumn="0" w:oddVBand="0" w:evenVBand="0" w:oddHBand="0" w:evenHBand="0" w:firstRowFirstColumn="0" w:firstRowLastColumn="0" w:lastRowFirstColumn="0" w:lastRowLastColumn="0"/>
          <w:tblHeader/>
        </w:trPr>
        <w:tc>
          <w:tcPr>
            <w:tcW w:w="3276" w:type="dxa"/>
            <w:tcBorders>
              <w:top w:val="single" w:sz="8" w:space="0" w:color="658D1B"/>
              <w:left w:val="nil"/>
              <w:bottom w:val="single" w:sz="8" w:space="0" w:color="658D1B"/>
              <w:right w:val="nil"/>
            </w:tcBorders>
            <w:hideMark/>
          </w:tcPr>
          <w:p w14:paraId="7E9EBCD6" w14:textId="77777777" w:rsidR="007E7684" w:rsidRPr="00713025" w:rsidRDefault="007E7684" w:rsidP="006669F1">
            <w:pPr>
              <w:ind w:left="113" w:right="-113"/>
            </w:pPr>
            <w:r w:rsidRPr="00713025">
              <w:t>aCT</w:t>
            </w:r>
          </w:p>
        </w:tc>
        <w:tc>
          <w:tcPr>
            <w:tcW w:w="1490" w:type="dxa"/>
            <w:tcBorders>
              <w:top w:val="single" w:sz="8" w:space="0" w:color="658D1B"/>
              <w:left w:val="nil"/>
              <w:bottom w:val="single" w:sz="8" w:space="0" w:color="658D1B"/>
              <w:right w:val="nil"/>
            </w:tcBorders>
            <w:hideMark/>
          </w:tcPr>
          <w:p w14:paraId="2ABF57A7" w14:textId="77777777" w:rsidR="007E7684" w:rsidRPr="00713025" w:rsidRDefault="007E7684" w:rsidP="006669F1">
            <w:pPr>
              <w:ind w:left="113" w:right="-113"/>
            </w:pPr>
            <w:r w:rsidRPr="00713025">
              <w:t>Ref.</w:t>
            </w:r>
          </w:p>
        </w:tc>
        <w:tc>
          <w:tcPr>
            <w:tcW w:w="4687" w:type="dxa"/>
            <w:tcBorders>
              <w:top w:val="single" w:sz="8" w:space="0" w:color="658D1B"/>
              <w:left w:val="nil"/>
              <w:bottom w:val="single" w:sz="8" w:space="0" w:color="658D1B"/>
              <w:right w:val="nil"/>
            </w:tcBorders>
            <w:hideMark/>
          </w:tcPr>
          <w:p w14:paraId="09926987" w14:textId="77777777" w:rsidR="007E7684" w:rsidRPr="00713025" w:rsidRDefault="007E7684" w:rsidP="006669F1">
            <w:pPr>
              <w:ind w:left="113" w:right="-113"/>
            </w:pPr>
            <w:r w:rsidRPr="00713025">
              <w:t>obligation</w:t>
            </w:r>
          </w:p>
        </w:tc>
        <w:tc>
          <w:tcPr>
            <w:tcW w:w="4356" w:type="dxa"/>
            <w:tcBorders>
              <w:top w:val="single" w:sz="8" w:space="0" w:color="658D1B"/>
              <w:left w:val="nil"/>
              <w:bottom w:val="single" w:sz="8" w:space="0" w:color="658D1B"/>
              <w:right w:val="nil"/>
            </w:tcBorders>
            <w:hideMark/>
          </w:tcPr>
          <w:p w14:paraId="50E71AF0" w14:textId="77777777" w:rsidR="007E7684" w:rsidRPr="00713025" w:rsidRDefault="007E7684" w:rsidP="006669F1">
            <w:pPr>
              <w:ind w:left="113" w:right="-113"/>
            </w:pPr>
            <w:r w:rsidRPr="00713025">
              <w:t>summary of exceptions</w:t>
            </w:r>
          </w:p>
        </w:tc>
      </w:tr>
      <w:tr w:rsidR="0067293F" w:rsidRPr="00713025" w14:paraId="010F92B4" w14:textId="77777777" w:rsidTr="007E7684">
        <w:tc>
          <w:tcPr>
            <w:tcW w:w="3276" w:type="dxa"/>
            <w:vMerge w:val="restart"/>
            <w:tcBorders>
              <w:top w:val="single" w:sz="8" w:space="0" w:color="658D1B"/>
              <w:left w:val="nil"/>
              <w:bottom w:val="single" w:sz="8" w:space="0" w:color="658D1B"/>
              <w:right w:val="nil"/>
            </w:tcBorders>
          </w:tcPr>
          <w:p w14:paraId="4322047A" w14:textId="4B3D0567" w:rsidR="007E7684" w:rsidRPr="00713025" w:rsidRDefault="007E7684" w:rsidP="006669F1">
            <w:pPr>
              <w:rPr>
                <w:b/>
                <w:bCs/>
              </w:rPr>
            </w:pPr>
            <w:r w:rsidRPr="001E6689">
              <w:rPr>
                <w:b/>
                <w:bCs/>
                <w:i/>
                <w:iCs/>
              </w:rPr>
              <w:t>Public Interest Disclosure Act 2013</w:t>
            </w:r>
            <w:r w:rsidR="001E6689">
              <w:rPr>
                <w:b/>
                <w:bCs/>
              </w:rPr>
              <w:t xml:space="preserve"> (Cth)</w:t>
            </w:r>
          </w:p>
        </w:tc>
        <w:tc>
          <w:tcPr>
            <w:tcW w:w="1490" w:type="dxa"/>
            <w:tcBorders>
              <w:top w:val="single" w:sz="8" w:space="0" w:color="658D1B"/>
              <w:left w:val="nil"/>
              <w:bottom w:val="single" w:sz="8" w:space="0" w:color="658D1B"/>
              <w:right w:val="nil"/>
            </w:tcBorders>
            <w:hideMark/>
          </w:tcPr>
          <w:p w14:paraId="0B128946" w14:textId="77777777" w:rsidR="007E7684" w:rsidRPr="00713025" w:rsidRDefault="007E7684" w:rsidP="006669F1">
            <w:r w:rsidRPr="00713025">
              <w:t>s 20</w:t>
            </w:r>
          </w:p>
        </w:tc>
        <w:tc>
          <w:tcPr>
            <w:tcW w:w="4687" w:type="dxa"/>
            <w:tcBorders>
              <w:top w:val="single" w:sz="8" w:space="0" w:color="658D1B"/>
              <w:left w:val="nil"/>
              <w:bottom w:val="single" w:sz="8" w:space="0" w:color="658D1B"/>
              <w:right w:val="nil"/>
            </w:tcBorders>
            <w:hideMark/>
          </w:tcPr>
          <w:p w14:paraId="61290ACF" w14:textId="77777777" w:rsidR="007E7684" w:rsidRPr="00713025" w:rsidRDefault="007E7684" w:rsidP="006669F1">
            <w:r w:rsidRPr="00713025">
              <w:t xml:space="preserve">A person must not disclose or use identifying information relating to another person's public interest disclosure. </w:t>
            </w:r>
          </w:p>
        </w:tc>
        <w:tc>
          <w:tcPr>
            <w:tcW w:w="4356" w:type="dxa"/>
            <w:tcBorders>
              <w:top w:val="single" w:sz="8" w:space="0" w:color="658D1B"/>
              <w:left w:val="nil"/>
              <w:bottom w:val="single" w:sz="8" w:space="0" w:color="658D1B"/>
              <w:right w:val="nil"/>
            </w:tcBorders>
            <w:hideMark/>
          </w:tcPr>
          <w:p w14:paraId="7E9092DE" w14:textId="77777777" w:rsidR="007E7684" w:rsidRPr="00713025" w:rsidRDefault="007E7684" w:rsidP="00385B04">
            <w:pPr>
              <w:pStyle w:val="ListParagraph"/>
              <w:numPr>
                <w:ilvl w:val="0"/>
                <w:numId w:val="20"/>
              </w:numPr>
              <w:spacing w:after="120"/>
              <w:ind w:left="417"/>
            </w:pPr>
            <w:r w:rsidRPr="00713025">
              <w:t xml:space="preserve">the disclosure or use of the identifying information is for the purposes of the PID </w:t>
            </w:r>
            <w:proofErr w:type="gramStart"/>
            <w:r w:rsidRPr="00713025">
              <w:t>Act;</w:t>
            </w:r>
            <w:proofErr w:type="gramEnd"/>
          </w:p>
          <w:p w14:paraId="0B5F4F87" w14:textId="5BC1197E" w:rsidR="007E7684" w:rsidRPr="00713025" w:rsidRDefault="007E7684" w:rsidP="00385B04">
            <w:pPr>
              <w:pStyle w:val="ListParagraph"/>
              <w:numPr>
                <w:ilvl w:val="0"/>
                <w:numId w:val="20"/>
              </w:numPr>
              <w:spacing w:after="120"/>
              <w:ind w:left="417"/>
            </w:pPr>
            <w:r w:rsidRPr="00713025">
              <w:t xml:space="preserve">the disclosure or use of the identifying information is in connection with the performance of a function conferred on the Ombudsman by section 5A of the </w:t>
            </w:r>
            <w:r w:rsidRPr="00713025">
              <w:rPr>
                <w:i/>
                <w:iCs/>
              </w:rPr>
              <w:t>Ombudsman Act 1976</w:t>
            </w:r>
            <w:r w:rsidR="00886AFD" w:rsidRPr="00713025">
              <w:t xml:space="preserve"> (Cth</w:t>
            </w:r>
            <w:proofErr w:type="gramStart"/>
            <w:r w:rsidR="00886AFD" w:rsidRPr="00713025">
              <w:t>)</w:t>
            </w:r>
            <w:r w:rsidRPr="00713025">
              <w:t>;</w:t>
            </w:r>
            <w:proofErr w:type="gramEnd"/>
          </w:p>
          <w:p w14:paraId="627AB1B4" w14:textId="4FF34F9E" w:rsidR="007E7684" w:rsidRPr="00713025" w:rsidRDefault="007E7684" w:rsidP="00385B04">
            <w:pPr>
              <w:pStyle w:val="ListParagraph"/>
              <w:numPr>
                <w:ilvl w:val="0"/>
                <w:numId w:val="20"/>
              </w:numPr>
              <w:spacing w:after="120"/>
              <w:ind w:left="417"/>
            </w:pPr>
            <w:r w:rsidRPr="00713025">
              <w:t xml:space="preserve">the disclosure or use of the identifying information is in connection with the performance of a function conferred on the IGIS by section 8A of the </w:t>
            </w:r>
            <w:r w:rsidRPr="00713025">
              <w:rPr>
                <w:i/>
                <w:iCs/>
              </w:rPr>
              <w:t>Inspector</w:t>
            </w:r>
            <w:r w:rsidRPr="00713025">
              <w:rPr>
                <w:rFonts w:ascii="Cambria Math" w:hAnsi="Cambria Math" w:cs="Cambria Math"/>
                <w:i/>
                <w:iCs/>
              </w:rPr>
              <w:t>‑</w:t>
            </w:r>
            <w:r w:rsidRPr="00713025">
              <w:rPr>
                <w:i/>
                <w:iCs/>
              </w:rPr>
              <w:t>General of Intelligence and Security Act 1986</w:t>
            </w:r>
            <w:r w:rsidR="00886AFD" w:rsidRPr="00713025">
              <w:t xml:space="preserve"> (Cth</w:t>
            </w:r>
            <w:proofErr w:type="gramStart"/>
            <w:r w:rsidR="00886AFD" w:rsidRPr="00713025">
              <w:t>)</w:t>
            </w:r>
            <w:r w:rsidRPr="00713025">
              <w:t>;</w:t>
            </w:r>
            <w:proofErr w:type="gramEnd"/>
          </w:p>
          <w:p w14:paraId="1800210E" w14:textId="77777777" w:rsidR="007E7684" w:rsidRPr="00713025" w:rsidRDefault="007E7684" w:rsidP="00385B04">
            <w:pPr>
              <w:pStyle w:val="ListParagraph"/>
              <w:numPr>
                <w:ilvl w:val="0"/>
                <w:numId w:val="20"/>
              </w:numPr>
              <w:spacing w:after="120"/>
              <w:ind w:left="417"/>
            </w:pPr>
            <w:r w:rsidRPr="00713025">
              <w:t>the disclosure or use of the identifying information is for the purposes of:</w:t>
            </w:r>
          </w:p>
          <w:p w14:paraId="5800E7AF" w14:textId="77777777" w:rsidR="007E7684" w:rsidRPr="00713025" w:rsidRDefault="007E7684" w:rsidP="00385B04">
            <w:pPr>
              <w:pStyle w:val="ListParagraph"/>
              <w:numPr>
                <w:ilvl w:val="0"/>
                <w:numId w:val="24"/>
              </w:numPr>
              <w:spacing w:after="120"/>
            </w:pPr>
            <w:r w:rsidRPr="00713025">
              <w:t>a law of the Commonwealth; or</w:t>
            </w:r>
          </w:p>
          <w:p w14:paraId="35C4F6FF" w14:textId="77777777" w:rsidR="007E7684" w:rsidRPr="00713025" w:rsidRDefault="007E7684" w:rsidP="00385B04">
            <w:pPr>
              <w:pStyle w:val="ListParagraph"/>
              <w:numPr>
                <w:ilvl w:val="0"/>
                <w:numId w:val="24"/>
              </w:numPr>
              <w:spacing w:after="120"/>
            </w:pPr>
            <w:r w:rsidRPr="00713025">
              <w:lastRenderedPageBreak/>
              <w:t xml:space="preserve">a prescribed law of a State or a </w:t>
            </w:r>
            <w:proofErr w:type="gramStart"/>
            <w:r w:rsidRPr="00713025">
              <w:t>Territory;</w:t>
            </w:r>
            <w:proofErr w:type="gramEnd"/>
          </w:p>
          <w:p w14:paraId="604466FB" w14:textId="62DD5142" w:rsidR="007E7684" w:rsidRPr="00713025" w:rsidRDefault="007E7684" w:rsidP="00385B04">
            <w:pPr>
              <w:pStyle w:val="ListParagraph"/>
              <w:numPr>
                <w:ilvl w:val="0"/>
                <w:numId w:val="20"/>
              </w:numPr>
              <w:spacing w:after="120"/>
              <w:ind w:left="417"/>
            </w:pPr>
            <w:r w:rsidRPr="00713025">
              <w:t xml:space="preserve">the person who is </w:t>
            </w:r>
            <w:r w:rsidR="00D204EC" w:rsidRPr="00713025">
              <w:t xml:space="preserve">likely to be identified by </w:t>
            </w:r>
            <w:r w:rsidRPr="00713025">
              <w:t>the identifying information has consented to the disclosure or use of the identifying information</w:t>
            </w:r>
            <w:r w:rsidR="00D204EC" w:rsidRPr="00713025">
              <w:t xml:space="preserve">, or acted in a way that is inconsistent with keeping that person’s identity </w:t>
            </w:r>
            <w:proofErr w:type="gramStart"/>
            <w:r w:rsidR="00D204EC" w:rsidRPr="00713025">
              <w:t>confidential</w:t>
            </w:r>
            <w:r w:rsidRPr="00713025">
              <w:t>;</w:t>
            </w:r>
            <w:proofErr w:type="gramEnd"/>
          </w:p>
          <w:p w14:paraId="3B2F9CED" w14:textId="77777777" w:rsidR="007E7684" w:rsidRPr="00713025" w:rsidRDefault="007E7684" w:rsidP="00385B04">
            <w:pPr>
              <w:pStyle w:val="ListParagraph"/>
              <w:numPr>
                <w:ilvl w:val="0"/>
                <w:numId w:val="20"/>
              </w:numPr>
              <w:spacing w:after="120"/>
              <w:ind w:left="417"/>
            </w:pPr>
            <w:r w:rsidRPr="00713025">
              <w:t>the identifying information has previously been lawfully published.</w:t>
            </w:r>
          </w:p>
        </w:tc>
      </w:tr>
      <w:tr w:rsidR="0067293F" w:rsidRPr="00713025" w14:paraId="30E19D27" w14:textId="77777777" w:rsidTr="007E7684">
        <w:tc>
          <w:tcPr>
            <w:tcW w:w="3276" w:type="dxa"/>
            <w:vMerge/>
            <w:tcBorders>
              <w:top w:val="single" w:sz="8" w:space="0" w:color="658D1B"/>
              <w:left w:val="nil"/>
              <w:bottom w:val="single" w:sz="8" w:space="0" w:color="658D1B"/>
              <w:right w:val="nil"/>
            </w:tcBorders>
            <w:vAlign w:val="center"/>
            <w:hideMark/>
          </w:tcPr>
          <w:p w14:paraId="362C336D" w14:textId="77777777" w:rsidR="007E7684" w:rsidRPr="00713025" w:rsidRDefault="007E7684" w:rsidP="006669F1">
            <w:pPr>
              <w:spacing w:after="0"/>
            </w:pPr>
          </w:p>
        </w:tc>
        <w:tc>
          <w:tcPr>
            <w:tcW w:w="1490" w:type="dxa"/>
            <w:tcBorders>
              <w:top w:val="single" w:sz="8" w:space="0" w:color="658D1B"/>
              <w:left w:val="nil"/>
              <w:bottom w:val="single" w:sz="8" w:space="0" w:color="658D1B"/>
              <w:right w:val="nil"/>
            </w:tcBorders>
            <w:hideMark/>
          </w:tcPr>
          <w:p w14:paraId="58BDBD41" w14:textId="77777777" w:rsidR="007E7684" w:rsidRPr="00713025" w:rsidRDefault="007E7684" w:rsidP="006669F1">
            <w:r w:rsidRPr="00713025">
              <w:t>s 67</w:t>
            </w:r>
          </w:p>
        </w:tc>
        <w:tc>
          <w:tcPr>
            <w:tcW w:w="4687" w:type="dxa"/>
            <w:tcBorders>
              <w:top w:val="single" w:sz="8" w:space="0" w:color="658D1B"/>
              <w:left w:val="nil"/>
              <w:bottom w:val="single" w:sz="8" w:space="0" w:color="658D1B"/>
              <w:right w:val="nil"/>
            </w:tcBorders>
            <w:hideMark/>
          </w:tcPr>
          <w:p w14:paraId="02124C98" w14:textId="1295F59B" w:rsidR="007E7684" w:rsidRPr="00713025" w:rsidRDefault="007E7684" w:rsidP="006669F1">
            <w:r w:rsidRPr="00713025">
              <w:t xml:space="preserve">A person must not use or disclose information they obtained in their capacity as </w:t>
            </w:r>
            <w:r w:rsidR="00D204EC" w:rsidRPr="00713025">
              <w:t>the recipient of a legal practitioner disclosure (see s 26 of the PID Act for definition of legal practitioner disclosure)</w:t>
            </w:r>
            <w:r w:rsidRPr="00713025">
              <w:t xml:space="preserve">. </w:t>
            </w:r>
          </w:p>
        </w:tc>
        <w:tc>
          <w:tcPr>
            <w:tcW w:w="4356" w:type="dxa"/>
            <w:tcBorders>
              <w:top w:val="single" w:sz="8" w:space="0" w:color="658D1B"/>
              <w:left w:val="nil"/>
              <w:bottom w:val="single" w:sz="8" w:space="0" w:color="658D1B"/>
              <w:right w:val="nil"/>
            </w:tcBorders>
            <w:hideMark/>
          </w:tcPr>
          <w:p w14:paraId="13111EDD" w14:textId="6FD5E2E1" w:rsidR="007E7684" w:rsidRPr="00713025" w:rsidRDefault="007E7684" w:rsidP="00385B04">
            <w:pPr>
              <w:pStyle w:val="ListParagraph"/>
              <w:numPr>
                <w:ilvl w:val="0"/>
                <w:numId w:val="20"/>
              </w:numPr>
              <w:spacing w:after="120"/>
              <w:ind w:left="417"/>
            </w:pPr>
            <w:r w:rsidRPr="00713025">
              <w:t>the disclosure or use</w:t>
            </w:r>
            <w:r w:rsidR="005D6806" w:rsidRPr="00713025">
              <w:t xml:space="preserve"> of the information</w:t>
            </w:r>
            <w:r w:rsidRPr="00713025">
              <w:t xml:space="preserve"> is for the purpose of providing legal advice, or professional assistance, relating to a public interest disclosure (other than a legal practitioner disclosure) made, or proposed to be made, by the person who made the legal practitioner disclosure referred to in paragraph (1)(a); or</w:t>
            </w:r>
          </w:p>
          <w:p w14:paraId="12D9CE3F" w14:textId="77777777" w:rsidR="007E7684" w:rsidRPr="00713025" w:rsidRDefault="007E7684" w:rsidP="00385B04">
            <w:pPr>
              <w:pStyle w:val="ListParagraph"/>
              <w:numPr>
                <w:ilvl w:val="0"/>
                <w:numId w:val="20"/>
              </w:numPr>
              <w:spacing w:after="120"/>
              <w:ind w:left="417"/>
            </w:pPr>
            <w:r w:rsidRPr="00713025">
              <w:t>the information has previously been lawfully published.</w:t>
            </w:r>
          </w:p>
        </w:tc>
      </w:tr>
      <w:tr w:rsidR="0067293F" w:rsidRPr="00713025" w14:paraId="271C8F16" w14:textId="77777777" w:rsidTr="007E7684">
        <w:tc>
          <w:tcPr>
            <w:tcW w:w="3276" w:type="dxa"/>
            <w:vMerge/>
            <w:tcBorders>
              <w:top w:val="single" w:sz="8" w:space="0" w:color="658D1B"/>
              <w:left w:val="nil"/>
              <w:bottom w:val="single" w:sz="8" w:space="0" w:color="658D1B"/>
              <w:right w:val="nil"/>
            </w:tcBorders>
            <w:vAlign w:val="center"/>
            <w:hideMark/>
          </w:tcPr>
          <w:p w14:paraId="06E45B7B" w14:textId="77777777" w:rsidR="007E7684" w:rsidRPr="00713025" w:rsidRDefault="007E7684" w:rsidP="006669F1">
            <w:pPr>
              <w:spacing w:after="0"/>
            </w:pPr>
          </w:p>
        </w:tc>
        <w:tc>
          <w:tcPr>
            <w:tcW w:w="1490" w:type="dxa"/>
            <w:tcBorders>
              <w:top w:val="single" w:sz="8" w:space="0" w:color="658D1B"/>
              <w:left w:val="nil"/>
              <w:bottom w:val="single" w:sz="8" w:space="0" w:color="658D1B"/>
              <w:right w:val="nil"/>
            </w:tcBorders>
            <w:hideMark/>
          </w:tcPr>
          <w:p w14:paraId="019623AD" w14:textId="77777777" w:rsidR="007E7684" w:rsidRPr="00713025" w:rsidRDefault="007E7684" w:rsidP="006669F1">
            <w:r w:rsidRPr="00713025">
              <w:t>s 75</w:t>
            </w:r>
          </w:p>
        </w:tc>
        <w:tc>
          <w:tcPr>
            <w:tcW w:w="4687" w:type="dxa"/>
            <w:tcBorders>
              <w:top w:val="single" w:sz="8" w:space="0" w:color="658D1B"/>
              <w:left w:val="nil"/>
              <w:bottom w:val="single" w:sz="8" w:space="0" w:color="658D1B"/>
              <w:right w:val="nil"/>
            </w:tcBorders>
            <w:hideMark/>
          </w:tcPr>
          <w:p w14:paraId="77E35AD8" w14:textId="77777777" w:rsidR="007E7684" w:rsidRPr="00713025" w:rsidRDefault="007E7684" w:rsidP="006669F1">
            <w:r w:rsidRPr="00713025">
              <w:t xml:space="preserve">Not an obligation: This provision restricts the application of Commonwealth law that prohibits the disclosure, recording or use of </w:t>
            </w:r>
            <w:r w:rsidRPr="00713025">
              <w:lastRenderedPageBreak/>
              <w:t>information to the extent the disclosure, recording or use is:</w:t>
            </w:r>
          </w:p>
          <w:p w14:paraId="6820F6BF" w14:textId="77777777" w:rsidR="007E7684" w:rsidRPr="00713025" w:rsidRDefault="007E7684" w:rsidP="00385B04">
            <w:pPr>
              <w:pStyle w:val="ListParagraph"/>
              <w:numPr>
                <w:ilvl w:val="0"/>
                <w:numId w:val="17"/>
              </w:numPr>
              <w:spacing w:before="0" w:after="120"/>
              <w:contextualSpacing/>
            </w:pPr>
            <w:r w:rsidRPr="00713025">
              <w:t>in connection with the conduct of a disclosure investigation,</w:t>
            </w:r>
          </w:p>
          <w:p w14:paraId="62E2C4F1" w14:textId="0DD66FF9" w:rsidR="005D6806" w:rsidRPr="00713025" w:rsidRDefault="007E7684" w:rsidP="00385B04">
            <w:pPr>
              <w:pStyle w:val="ListParagraph"/>
              <w:numPr>
                <w:ilvl w:val="0"/>
                <w:numId w:val="17"/>
              </w:numPr>
              <w:spacing w:before="0" w:after="120"/>
              <w:contextualSpacing/>
            </w:pPr>
            <w:r w:rsidRPr="00713025">
              <w:t>for the purpose of the performance of the functions, or exercise or powers conferred on a person by Part 3 or section</w:t>
            </w:r>
            <w:r w:rsidR="005D6806" w:rsidRPr="00713025">
              <w:t>s</w:t>
            </w:r>
            <w:r w:rsidRPr="00713025">
              <w:t xml:space="preserve"> 61</w:t>
            </w:r>
            <w:r w:rsidR="005D6806" w:rsidRPr="00713025">
              <w:t xml:space="preserve"> or 65</w:t>
            </w:r>
            <w:r w:rsidR="00D204EC" w:rsidRPr="00713025">
              <w:t xml:space="preserve"> of the PID Act</w:t>
            </w:r>
            <w:r w:rsidRPr="00713025">
              <w:t xml:space="preserve">, </w:t>
            </w:r>
          </w:p>
          <w:p w14:paraId="17C7659B" w14:textId="7DB9586E" w:rsidR="00D204EC" w:rsidRPr="00713025" w:rsidRDefault="005D6806" w:rsidP="00385B04">
            <w:pPr>
              <w:pStyle w:val="ListParagraph"/>
              <w:numPr>
                <w:ilvl w:val="0"/>
                <w:numId w:val="17"/>
              </w:numPr>
              <w:spacing w:before="0" w:after="120"/>
              <w:contextualSpacing/>
            </w:pPr>
            <w:r w:rsidRPr="00713025">
              <w:t xml:space="preserve">in connection with giving a person access to information for the purposes of, or in connection with, the performance of the functions, or the exercise of the powers, conferred on </w:t>
            </w:r>
            <w:r w:rsidR="00D204EC" w:rsidRPr="00713025">
              <w:t xml:space="preserve">the </w:t>
            </w:r>
            <w:r w:rsidRPr="00713025">
              <w:t>person by Part 3 or sections 61 or 65</w:t>
            </w:r>
            <w:r w:rsidR="00D204EC" w:rsidRPr="00713025">
              <w:t xml:space="preserve"> of the PID Act</w:t>
            </w:r>
            <w:r w:rsidRPr="00713025">
              <w:t xml:space="preserve">, </w:t>
            </w:r>
          </w:p>
          <w:p w14:paraId="53A6E084" w14:textId="37393B5E" w:rsidR="007E7684" w:rsidRPr="00713025" w:rsidRDefault="00D204EC" w:rsidP="00D204EC">
            <w:pPr>
              <w:spacing w:before="0"/>
              <w:ind w:left="360"/>
              <w:contextualSpacing/>
            </w:pPr>
            <w:r w:rsidRPr="00713025">
              <w:t xml:space="preserve">AND </w:t>
            </w:r>
          </w:p>
          <w:p w14:paraId="44000DB5" w14:textId="777EED4A" w:rsidR="007E7684" w:rsidRPr="00713025" w:rsidRDefault="00D204EC" w:rsidP="00385B04">
            <w:pPr>
              <w:pStyle w:val="ListParagraph"/>
              <w:numPr>
                <w:ilvl w:val="0"/>
                <w:numId w:val="17"/>
              </w:numPr>
              <w:spacing w:before="0" w:after="120"/>
              <w:contextualSpacing/>
            </w:pPr>
            <w:r w:rsidRPr="00713025">
              <w:t xml:space="preserve">the disclosure, recording or use is </w:t>
            </w:r>
            <w:r w:rsidR="007E7684" w:rsidRPr="00713025">
              <w:t>not contrary to a designated publication restriction.</w:t>
            </w:r>
            <w:r w:rsidR="001E6689">
              <w:t xml:space="preserve"> </w:t>
            </w:r>
          </w:p>
        </w:tc>
        <w:tc>
          <w:tcPr>
            <w:tcW w:w="4356" w:type="dxa"/>
            <w:tcBorders>
              <w:top w:val="single" w:sz="8" w:space="0" w:color="658D1B"/>
              <w:left w:val="nil"/>
              <w:bottom w:val="single" w:sz="8" w:space="0" w:color="658D1B"/>
              <w:right w:val="nil"/>
            </w:tcBorders>
            <w:hideMark/>
          </w:tcPr>
          <w:p w14:paraId="511AA5DB" w14:textId="77777777" w:rsidR="007E7684" w:rsidRPr="00713025" w:rsidRDefault="007E7684" w:rsidP="006669F1">
            <w:r w:rsidRPr="00713025">
              <w:lastRenderedPageBreak/>
              <w:t>This section does not apply if:</w:t>
            </w:r>
          </w:p>
          <w:p w14:paraId="065998E1" w14:textId="29CB76F3" w:rsidR="007E7684" w:rsidRPr="00713025" w:rsidRDefault="007E7684" w:rsidP="00385B04">
            <w:pPr>
              <w:pStyle w:val="ListParagraph"/>
              <w:numPr>
                <w:ilvl w:val="0"/>
                <w:numId w:val="20"/>
              </w:numPr>
              <w:spacing w:after="120"/>
              <w:ind w:left="417"/>
            </w:pPr>
            <w:r w:rsidRPr="00713025">
              <w:t>the provision is enacted after the commencement of this section; and</w:t>
            </w:r>
          </w:p>
          <w:p w14:paraId="364AACCE" w14:textId="7D9F1813" w:rsidR="007E7684" w:rsidRPr="00713025" w:rsidRDefault="007E7684" w:rsidP="00385B04">
            <w:pPr>
              <w:pStyle w:val="ListParagraph"/>
              <w:numPr>
                <w:ilvl w:val="0"/>
                <w:numId w:val="20"/>
              </w:numPr>
              <w:spacing w:after="120"/>
              <w:ind w:left="417"/>
              <w:rPr>
                <w:lang w:val="en-GB"/>
              </w:rPr>
            </w:pPr>
            <w:r w:rsidRPr="00713025">
              <w:lastRenderedPageBreak/>
              <w:t>the provision is expressed to have effect despite this section.</w:t>
            </w:r>
          </w:p>
        </w:tc>
      </w:tr>
      <w:tr w:rsidR="0067293F" w:rsidRPr="00713025" w14:paraId="2FDDDD69" w14:textId="77777777" w:rsidTr="007E7684">
        <w:tc>
          <w:tcPr>
            <w:tcW w:w="3276" w:type="dxa"/>
            <w:vMerge/>
            <w:tcBorders>
              <w:top w:val="single" w:sz="8" w:space="0" w:color="658D1B"/>
              <w:left w:val="nil"/>
              <w:bottom w:val="single" w:sz="8" w:space="0" w:color="658D1B"/>
              <w:right w:val="nil"/>
            </w:tcBorders>
            <w:vAlign w:val="center"/>
            <w:hideMark/>
          </w:tcPr>
          <w:p w14:paraId="0D2C4011" w14:textId="77777777" w:rsidR="007E7684" w:rsidRPr="00713025" w:rsidRDefault="007E7684" w:rsidP="006669F1">
            <w:pPr>
              <w:spacing w:after="0"/>
            </w:pPr>
          </w:p>
        </w:tc>
        <w:tc>
          <w:tcPr>
            <w:tcW w:w="1490" w:type="dxa"/>
            <w:tcBorders>
              <w:top w:val="single" w:sz="8" w:space="0" w:color="658D1B"/>
              <w:left w:val="nil"/>
              <w:bottom w:val="single" w:sz="8" w:space="0" w:color="658D1B"/>
              <w:right w:val="nil"/>
            </w:tcBorders>
            <w:hideMark/>
          </w:tcPr>
          <w:p w14:paraId="75A27DA0" w14:textId="77777777" w:rsidR="007E7684" w:rsidRPr="00713025" w:rsidRDefault="007E7684" w:rsidP="006669F1">
            <w:r w:rsidRPr="00713025">
              <w:t>s 80</w:t>
            </w:r>
          </w:p>
        </w:tc>
        <w:tc>
          <w:tcPr>
            <w:tcW w:w="4687" w:type="dxa"/>
            <w:tcBorders>
              <w:top w:val="single" w:sz="8" w:space="0" w:color="658D1B"/>
              <w:left w:val="nil"/>
              <w:bottom w:val="single" w:sz="8" w:space="0" w:color="658D1B"/>
              <w:right w:val="nil"/>
            </w:tcBorders>
            <w:hideMark/>
          </w:tcPr>
          <w:p w14:paraId="75BA5ED4" w14:textId="77777777" w:rsidR="007E7684" w:rsidRPr="00713025" w:rsidRDefault="007E7684" w:rsidP="006669F1">
            <w:r w:rsidRPr="00713025">
              <w:t xml:space="preserve">The PID Act does not affect the law relating to legal professional privilege. </w:t>
            </w:r>
          </w:p>
        </w:tc>
        <w:tc>
          <w:tcPr>
            <w:tcW w:w="4356" w:type="dxa"/>
            <w:tcBorders>
              <w:top w:val="single" w:sz="8" w:space="0" w:color="658D1B"/>
              <w:left w:val="nil"/>
              <w:bottom w:val="single" w:sz="8" w:space="0" w:color="658D1B"/>
              <w:right w:val="nil"/>
            </w:tcBorders>
            <w:hideMark/>
          </w:tcPr>
          <w:p w14:paraId="09D4E707" w14:textId="77777777" w:rsidR="007E7684" w:rsidRPr="00713025" w:rsidRDefault="007E7684" w:rsidP="006669F1">
            <w:r w:rsidRPr="00713025">
              <w:t>No</w:t>
            </w:r>
          </w:p>
        </w:tc>
      </w:tr>
      <w:tr w:rsidR="0067293F" w:rsidRPr="00713025" w14:paraId="7BBC95BB" w14:textId="77777777" w:rsidTr="007E7684">
        <w:tc>
          <w:tcPr>
            <w:tcW w:w="3276" w:type="dxa"/>
            <w:vMerge w:val="restart"/>
            <w:tcBorders>
              <w:top w:val="single" w:sz="8" w:space="0" w:color="658D1B"/>
              <w:left w:val="nil"/>
              <w:bottom w:val="single" w:sz="8" w:space="0" w:color="658D1B"/>
              <w:right w:val="nil"/>
            </w:tcBorders>
            <w:hideMark/>
          </w:tcPr>
          <w:p w14:paraId="370D49D6" w14:textId="7A321B66" w:rsidR="007E7684" w:rsidRPr="001E6689" w:rsidRDefault="007E7684" w:rsidP="006669F1">
            <w:pPr>
              <w:rPr>
                <w:b/>
                <w:bCs/>
                <w:i/>
                <w:iCs/>
              </w:rPr>
            </w:pPr>
            <w:r w:rsidRPr="001E6689">
              <w:rPr>
                <w:b/>
                <w:bCs/>
                <w:i/>
                <w:iCs/>
              </w:rPr>
              <w:t>Health Insurance Act 1973</w:t>
            </w:r>
            <w:r w:rsidR="001E6689">
              <w:rPr>
                <w:b/>
                <w:bCs/>
                <w:i/>
                <w:iCs/>
              </w:rPr>
              <w:t xml:space="preserve"> </w:t>
            </w:r>
            <w:r w:rsidR="001E6689">
              <w:rPr>
                <w:b/>
                <w:bCs/>
              </w:rPr>
              <w:t>(Cth)</w:t>
            </w:r>
          </w:p>
        </w:tc>
        <w:tc>
          <w:tcPr>
            <w:tcW w:w="1490" w:type="dxa"/>
            <w:tcBorders>
              <w:top w:val="single" w:sz="8" w:space="0" w:color="658D1B"/>
              <w:left w:val="nil"/>
              <w:bottom w:val="single" w:sz="8" w:space="0" w:color="658D1B"/>
              <w:right w:val="nil"/>
            </w:tcBorders>
            <w:hideMark/>
          </w:tcPr>
          <w:p w14:paraId="13D6723C" w14:textId="77777777" w:rsidR="007E7684" w:rsidRPr="00713025" w:rsidRDefault="007E7684" w:rsidP="006669F1">
            <w:r w:rsidRPr="00713025">
              <w:t>s 124Y</w:t>
            </w:r>
          </w:p>
        </w:tc>
        <w:tc>
          <w:tcPr>
            <w:tcW w:w="4687" w:type="dxa"/>
            <w:tcBorders>
              <w:top w:val="single" w:sz="8" w:space="0" w:color="658D1B"/>
              <w:left w:val="nil"/>
              <w:bottom w:val="single" w:sz="8" w:space="0" w:color="658D1B"/>
              <w:right w:val="nil"/>
            </w:tcBorders>
            <w:hideMark/>
          </w:tcPr>
          <w:p w14:paraId="24E912F5" w14:textId="77777777" w:rsidR="007E7684" w:rsidRPr="00713025" w:rsidRDefault="007E7684" w:rsidP="006669F1">
            <w:r w:rsidRPr="00713025">
              <w:t xml:space="preserve">A person who acquires information through a declared quality assurance activity must not disclose or record information about the declared quality assurance activity except for </w:t>
            </w:r>
            <w:r w:rsidRPr="00713025">
              <w:lastRenderedPageBreak/>
              <w:t>the purposes of the activity or in accordance with an authority given by the Minister.</w:t>
            </w:r>
          </w:p>
        </w:tc>
        <w:tc>
          <w:tcPr>
            <w:tcW w:w="4356" w:type="dxa"/>
            <w:tcBorders>
              <w:top w:val="single" w:sz="8" w:space="0" w:color="658D1B"/>
              <w:left w:val="nil"/>
              <w:bottom w:val="single" w:sz="8" w:space="0" w:color="658D1B"/>
              <w:right w:val="nil"/>
            </w:tcBorders>
            <w:hideMark/>
          </w:tcPr>
          <w:p w14:paraId="386B962D" w14:textId="244F7EA1" w:rsidR="00D204EC" w:rsidRPr="00713025" w:rsidRDefault="00D204EC" w:rsidP="00D204EC">
            <w:r w:rsidRPr="00713025">
              <w:lastRenderedPageBreak/>
              <w:t>Section 124</w:t>
            </w:r>
            <w:proofErr w:type="gramStart"/>
            <w:r w:rsidRPr="00713025">
              <w:t>Y(</w:t>
            </w:r>
            <w:proofErr w:type="gramEnd"/>
            <w:r w:rsidRPr="00713025">
              <w:t>1) does not:</w:t>
            </w:r>
          </w:p>
          <w:p w14:paraId="1C890C76" w14:textId="206A3635" w:rsidR="007E7684" w:rsidRPr="00713025" w:rsidRDefault="00D204EC" w:rsidP="00385B04">
            <w:pPr>
              <w:pStyle w:val="ListParagraph"/>
              <w:numPr>
                <w:ilvl w:val="0"/>
                <w:numId w:val="20"/>
              </w:numPr>
              <w:spacing w:after="120"/>
              <w:ind w:left="417"/>
            </w:pPr>
            <w:r w:rsidRPr="00713025">
              <w:t xml:space="preserve">apply to </w:t>
            </w:r>
            <w:r w:rsidR="007E7684" w:rsidRPr="00713025">
              <w:t xml:space="preserve">information that does not expressly or impliedly identify </w:t>
            </w:r>
            <w:r w:rsidRPr="00713025">
              <w:t>a particular individual or individuals</w:t>
            </w:r>
            <w:r w:rsidR="007E7684" w:rsidRPr="00713025">
              <w:t>.</w:t>
            </w:r>
          </w:p>
          <w:p w14:paraId="50AFBAF8" w14:textId="451E8ADD" w:rsidR="007E7684" w:rsidRPr="00713025" w:rsidRDefault="00D204EC" w:rsidP="00385B04">
            <w:pPr>
              <w:pStyle w:val="ListParagraph"/>
              <w:numPr>
                <w:ilvl w:val="0"/>
                <w:numId w:val="20"/>
              </w:numPr>
              <w:spacing w:after="120"/>
              <w:ind w:left="417"/>
            </w:pPr>
            <w:r w:rsidRPr="00713025">
              <w:lastRenderedPageBreak/>
              <w:t xml:space="preserve">prohibit </w:t>
            </w:r>
            <w:r w:rsidR="007E7684" w:rsidRPr="00713025">
              <w:t>disclosure of information</w:t>
            </w:r>
            <w:r w:rsidR="00342080" w:rsidRPr="00713025">
              <w:t xml:space="preserve"> or a document</w:t>
            </w:r>
            <w:r w:rsidR="007E7684" w:rsidRPr="00713025">
              <w:t xml:space="preserve"> if the person, or each of the persons, who would be directly or indirectly identified by the disclosure consents to that disclosure of the information</w:t>
            </w:r>
            <w:r w:rsidR="00342080" w:rsidRPr="00713025">
              <w:t xml:space="preserve"> or document</w:t>
            </w:r>
            <w:r w:rsidR="007E7684" w:rsidRPr="00713025">
              <w:t>.</w:t>
            </w:r>
          </w:p>
          <w:p w14:paraId="41F08A1A" w14:textId="16F8972D" w:rsidR="007E7684" w:rsidRPr="00713025" w:rsidRDefault="00D204EC" w:rsidP="00385B04">
            <w:pPr>
              <w:pStyle w:val="ListParagraph"/>
              <w:numPr>
                <w:ilvl w:val="0"/>
                <w:numId w:val="20"/>
              </w:numPr>
              <w:spacing w:after="120"/>
              <w:ind w:left="417"/>
            </w:pPr>
            <w:r w:rsidRPr="00713025">
              <w:t xml:space="preserve">prohibit </w:t>
            </w:r>
            <w:r w:rsidR="007E7684" w:rsidRPr="00713025">
              <w:t>disclosure of information to the Minister for the purpose of enabling the Minister to decide whether to authorise the disclosure of the information under section 124Z.</w:t>
            </w:r>
          </w:p>
          <w:p w14:paraId="00A4AD77" w14:textId="6BF2EA49" w:rsidR="00342080" w:rsidRPr="00713025" w:rsidRDefault="00342080" w:rsidP="00385B04">
            <w:pPr>
              <w:pStyle w:val="ListParagraph"/>
              <w:numPr>
                <w:ilvl w:val="0"/>
                <w:numId w:val="20"/>
              </w:numPr>
              <w:spacing w:after="120"/>
              <w:ind w:left="417"/>
            </w:pPr>
            <w:r w:rsidRPr="00713025">
              <w:t xml:space="preserve">If a quality assurance activity ceases to be a declared quality assurance activity. </w:t>
            </w:r>
          </w:p>
        </w:tc>
      </w:tr>
      <w:tr w:rsidR="0067293F" w:rsidRPr="00713025" w14:paraId="53806B1D" w14:textId="77777777" w:rsidTr="007E7684">
        <w:tc>
          <w:tcPr>
            <w:tcW w:w="3276" w:type="dxa"/>
            <w:vMerge/>
            <w:tcBorders>
              <w:top w:val="single" w:sz="8" w:space="0" w:color="658D1B"/>
              <w:left w:val="nil"/>
              <w:bottom w:val="single" w:sz="8" w:space="0" w:color="658D1B"/>
              <w:right w:val="nil"/>
            </w:tcBorders>
            <w:vAlign w:val="center"/>
            <w:hideMark/>
          </w:tcPr>
          <w:p w14:paraId="246E9A33"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421E4C67" w14:textId="77777777" w:rsidR="007E7684" w:rsidRPr="00713025" w:rsidRDefault="007E7684" w:rsidP="006669F1">
            <w:r w:rsidRPr="00713025">
              <w:t>s 130</w:t>
            </w:r>
          </w:p>
        </w:tc>
        <w:tc>
          <w:tcPr>
            <w:tcW w:w="4687" w:type="dxa"/>
            <w:tcBorders>
              <w:top w:val="single" w:sz="8" w:space="0" w:color="658D1B"/>
              <w:left w:val="nil"/>
              <w:bottom w:val="single" w:sz="8" w:space="0" w:color="658D1B"/>
              <w:right w:val="nil"/>
            </w:tcBorders>
            <w:hideMark/>
          </w:tcPr>
          <w:p w14:paraId="1F65D5E6" w14:textId="77777777" w:rsidR="007E7684" w:rsidRPr="00713025" w:rsidRDefault="007E7684" w:rsidP="006669F1">
            <w:r w:rsidRPr="00713025">
              <w:t xml:space="preserve">A person shall not, </w:t>
            </w:r>
            <w:proofErr w:type="gramStart"/>
            <w:r w:rsidRPr="00713025">
              <w:t>directly</w:t>
            </w:r>
            <w:proofErr w:type="gramEnd"/>
            <w:r w:rsidRPr="00713025">
              <w:t xml:space="preserve"> or indirectly:</w:t>
            </w:r>
          </w:p>
          <w:p w14:paraId="20CBA12A" w14:textId="1C474460" w:rsidR="007E7684" w:rsidRPr="00713025" w:rsidRDefault="007E7684" w:rsidP="00385B04">
            <w:pPr>
              <w:pStyle w:val="ListParagraph"/>
              <w:numPr>
                <w:ilvl w:val="0"/>
                <w:numId w:val="17"/>
              </w:numPr>
              <w:spacing w:before="0" w:after="120"/>
              <w:contextualSpacing/>
            </w:pPr>
            <w:r w:rsidRPr="00713025">
              <w:t xml:space="preserve">except in the performance of their duties, or in the exercise of their powers or functions, under the </w:t>
            </w:r>
            <w:r w:rsidRPr="00713025">
              <w:rPr>
                <w:i/>
                <w:iCs/>
              </w:rPr>
              <w:t>Health Insurance Act 1973</w:t>
            </w:r>
            <w:r w:rsidRPr="00713025">
              <w:t xml:space="preserve"> </w:t>
            </w:r>
            <w:r w:rsidR="00886AFD" w:rsidRPr="00713025">
              <w:t xml:space="preserve">(Cth) </w:t>
            </w:r>
            <w:r w:rsidRPr="00713025">
              <w:t xml:space="preserve">or for the purpose of enabling a person to perform functions in relation to a </w:t>
            </w:r>
            <w:r w:rsidR="006235E9" w:rsidRPr="00713025">
              <w:t>Medicare</w:t>
            </w:r>
            <w:r w:rsidRPr="00713025">
              <w:t xml:space="preserve"> program or for the purposes of enabling a person to perform functions under the </w:t>
            </w:r>
            <w:r w:rsidRPr="00713025">
              <w:rPr>
                <w:i/>
                <w:iCs/>
              </w:rPr>
              <w:t>Medicare Guarantee Act 2017</w:t>
            </w:r>
            <w:r w:rsidR="00886AFD" w:rsidRPr="00713025">
              <w:rPr>
                <w:i/>
                <w:iCs/>
              </w:rPr>
              <w:t xml:space="preserve"> </w:t>
            </w:r>
            <w:r w:rsidR="00886AFD" w:rsidRPr="00713025">
              <w:t>(Cth)</w:t>
            </w:r>
            <w:r w:rsidRPr="00713025">
              <w:t xml:space="preserve">, the </w:t>
            </w:r>
            <w:r w:rsidRPr="00713025">
              <w:rPr>
                <w:i/>
                <w:iCs/>
              </w:rPr>
              <w:t>Dental Benefits Act 2008</w:t>
            </w:r>
            <w:r w:rsidR="00886AFD" w:rsidRPr="00713025">
              <w:rPr>
                <w:i/>
                <w:iCs/>
              </w:rPr>
              <w:t xml:space="preserve"> </w:t>
            </w:r>
            <w:r w:rsidR="00886AFD" w:rsidRPr="00713025">
              <w:t>(Cth)</w:t>
            </w:r>
            <w:r w:rsidRPr="00713025">
              <w:t xml:space="preserve">, the </w:t>
            </w:r>
            <w:r w:rsidRPr="00713025">
              <w:rPr>
                <w:i/>
                <w:iCs/>
              </w:rPr>
              <w:t>My Health Records Act 2012</w:t>
            </w:r>
            <w:r w:rsidR="00886AFD" w:rsidRPr="00713025">
              <w:rPr>
                <w:i/>
                <w:iCs/>
              </w:rPr>
              <w:t xml:space="preserve"> </w:t>
            </w:r>
            <w:r w:rsidR="00886AFD" w:rsidRPr="00713025">
              <w:t>(Cth)</w:t>
            </w:r>
            <w:r w:rsidRPr="00713025">
              <w:rPr>
                <w:i/>
                <w:iCs/>
              </w:rPr>
              <w:t xml:space="preserve"> </w:t>
            </w:r>
            <w:r w:rsidRPr="00713025">
              <w:lastRenderedPageBreak/>
              <w:t xml:space="preserve">(whether as a delegate or otherwise) or the indemnity legislation, and </w:t>
            </w:r>
          </w:p>
          <w:p w14:paraId="3EF27C1C" w14:textId="77777777" w:rsidR="007E7684" w:rsidRPr="00713025" w:rsidRDefault="007E7684" w:rsidP="00385B04">
            <w:pPr>
              <w:pStyle w:val="ListParagraph"/>
              <w:numPr>
                <w:ilvl w:val="0"/>
                <w:numId w:val="17"/>
              </w:numPr>
              <w:spacing w:before="0" w:after="120"/>
              <w:contextualSpacing/>
            </w:pPr>
            <w:r w:rsidRPr="00713025">
              <w:t xml:space="preserve">while they are, or after they ceases to be, an officer, </w:t>
            </w:r>
          </w:p>
          <w:p w14:paraId="77900C52" w14:textId="77777777" w:rsidR="007E7684" w:rsidRPr="00713025" w:rsidRDefault="007E7684" w:rsidP="006669F1">
            <w:r w:rsidRPr="00713025">
              <w:t>make a record of, or divulge or communicate to any person, any information with respect to the affairs of another person acquired by them in the performance of their duties, or in the exercise of their powers or functions, under this Act.</w:t>
            </w:r>
          </w:p>
        </w:tc>
        <w:tc>
          <w:tcPr>
            <w:tcW w:w="4356" w:type="dxa"/>
            <w:tcBorders>
              <w:top w:val="single" w:sz="8" w:space="0" w:color="658D1B"/>
              <w:left w:val="nil"/>
              <w:bottom w:val="single" w:sz="8" w:space="0" w:color="658D1B"/>
              <w:right w:val="nil"/>
            </w:tcBorders>
            <w:hideMark/>
          </w:tcPr>
          <w:p w14:paraId="65131010" w14:textId="62D6FF66" w:rsidR="00D204EC" w:rsidRPr="00713025" w:rsidRDefault="00D204EC" w:rsidP="00D204EC">
            <w:r w:rsidRPr="00713025">
              <w:lastRenderedPageBreak/>
              <w:t>Exceptions:</w:t>
            </w:r>
          </w:p>
          <w:p w14:paraId="6C3590EF" w14:textId="0765BD12" w:rsidR="007E7684" w:rsidRPr="00713025" w:rsidRDefault="007E7684" w:rsidP="00385B04">
            <w:pPr>
              <w:pStyle w:val="ListParagraph"/>
              <w:numPr>
                <w:ilvl w:val="0"/>
                <w:numId w:val="20"/>
              </w:numPr>
              <w:spacing w:after="120"/>
              <w:ind w:left="417"/>
            </w:pPr>
            <w:r w:rsidRPr="00713025">
              <w:t>divulging of information by the Chief Executive Medicare which has been certified as being in the public interest.</w:t>
            </w:r>
          </w:p>
          <w:p w14:paraId="5E06176F" w14:textId="77777777" w:rsidR="007E7684" w:rsidRPr="00713025" w:rsidRDefault="007E7684" w:rsidP="00385B04">
            <w:pPr>
              <w:pStyle w:val="ListParagraph"/>
              <w:numPr>
                <w:ilvl w:val="0"/>
                <w:numId w:val="20"/>
              </w:numPr>
              <w:spacing w:after="120"/>
              <w:ind w:left="417"/>
            </w:pPr>
            <w:r w:rsidRPr="00713025">
              <w:t>divulging of information by the Chief Executive Medicare to a prescribed authority in accordance with the regulations</w:t>
            </w:r>
          </w:p>
          <w:p w14:paraId="2ABDEBD8" w14:textId="77777777" w:rsidR="007E7684" w:rsidRPr="00713025" w:rsidRDefault="007E7684" w:rsidP="00385B04">
            <w:pPr>
              <w:pStyle w:val="ListParagraph"/>
              <w:numPr>
                <w:ilvl w:val="0"/>
                <w:numId w:val="20"/>
              </w:numPr>
              <w:spacing w:after="120"/>
              <w:ind w:left="417"/>
            </w:pPr>
            <w:r w:rsidRPr="00713025">
              <w:t xml:space="preserve">divulging of information where there is express or implied authorisation of the </w:t>
            </w:r>
            <w:r w:rsidRPr="00713025">
              <w:lastRenderedPageBreak/>
              <w:t>person to whom the information relates.</w:t>
            </w:r>
          </w:p>
          <w:p w14:paraId="530D943C" w14:textId="77777777" w:rsidR="007E7684" w:rsidRPr="00713025" w:rsidRDefault="007E7684" w:rsidP="00385B04">
            <w:pPr>
              <w:pStyle w:val="ListParagraph"/>
              <w:numPr>
                <w:ilvl w:val="0"/>
                <w:numId w:val="20"/>
              </w:numPr>
              <w:spacing w:after="120"/>
              <w:ind w:left="417"/>
            </w:pPr>
            <w:r w:rsidRPr="00713025">
              <w:t xml:space="preserve">the provision to a person of a document that was provided to the Chief Executive Medicare by the person in relation to a claim for a Medicare </w:t>
            </w:r>
            <w:proofErr w:type="gramStart"/>
            <w:r w:rsidRPr="00713025">
              <w:t>benefit</w:t>
            </w:r>
            <w:proofErr w:type="gramEnd"/>
          </w:p>
          <w:p w14:paraId="4AFCA8AC" w14:textId="77777777" w:rsidR="007E7684" w:rsidRPr="00713025" w:rsidRDefault="007E7684" w:rsidP="00385B04">
            <w:pPr>
              <w:pStyle w:val="ListParagraph"/>
              <w:numPr>
                <w:ilvl w:val="0"/>
                <w:numId w:val="20"/>
              </w:numPr>
              <w:spacing w:after="120"/>
              <w:ind w:left="417"/>
            </w:pPr>
            <w:r w:rsidRPr="00713025">
              <w:t xml:space="preserve">the divulging or communicating to a person of information relating to the </w:t>
            </w:r>
            <w:proofErr w:type="gramStart"/>
            <w:r w:rsidRPr="00713025">
              <w:t>person</w:t>
            </w:r>
            <w:proofErr w:type="gramEnd"/>
          </w:p>
          <w:p w14:paraId="59DFB762" w14:textId="77777777" w:rsidR="007E7684" w:rsidRPr="00713025" w:rsidRDefault="007E7684" w:rsidP="00385B04">
            <w:pPr>
              <w:pStyle w:val="ListParagraph"/>
              <w:numPr>
                <w:ilvl w:val="0"/>
                <w:numId w:val="20"/>
              </w:numPr>
              <w:spacing w:after="120"/>
              <w:ind w:left="417"/>
            </w:pPr>
            <w:r w:rsidRPr="00713025">
              <w:t>information that has been provided to a prescribed professional disciplinary body or a prescribed professional regulatory body and was contained in a claim for a Medicare benefit being used by the body for the purpose of an investigation.</w:t>
            </w:r>
          </w:p>
          <w:p w14:paraId="768B0FD4" w14:textId="77777777" w:rsidR="007E7684" w:rsidRPr="00713025" w:rsidRDefault="007E7684" w:rsidP="00385B04">
            <w:pPr>
              <w:pStyle w:val="ListParagraph"/>
              <w:numPr>
                <w:ilvl w:val="0"/>
                <w:numId w:val="20"/>
              </w:numPr>
              <w:spacing w:after="120"/>
              <w:ind w:left="417"/>
            </w:pPr>
            <w:r w:rsidRPr="00713025">
              <w:t>publication of (de-identified) statistics by the Commonwealth, Chief Executive Medicare, or by the Commonwealth Statistician.</w:t>
            </w:r>
          </w:p>
          <w:p w14:paraId="4FEB2111" w14:textId="77777777" w:rsidR="007E7684" w:rsidRPr="00713025" w:rsidRDefault="007E7684" w:rsidP="00385B04">
            <w:pPr>
              <w:pStyle w:val="ListParagraph"/>
              <w:numPr>
                <w:ilvl w:val="0"/>
                <w:numId w:val="20"/>
              </w:numPr>
              <w:spacing w:after="120"/>
              <w:ind w:left="417"/>
            </w:pPr>
            <w:r w:rsidRPr="00713025">
              <w:t xml:space="preserve">authorised officer providing specified information about a hospital to an applicant. </w:t>
            </w:r>
          </w:p>
          <w:p w14:paraId="0A605621" w14:textId="6C04351A" w:rsidR="007E7684" w:rsidRPr="00713025" w:rsidRDefault="007E7684" w:rsidP="00385B04">
            <w:pPr>
              <w:pStyle w:val="ListParagraph"/>
              <w:numPr>
                <w:ilvl w:val="0"/>
                <w:numId w:val="20"/>
              </w:numPr>
              <w:spacing w:after="120"/>
              <w:ind w:left="417"/>
            </w:pPr>
            <w:r w:rsidRPr="00713025">
              <w:t xml:space="preserve">Chief Executive Medicare, or a Departmental employee (within the meaning of the </w:t>
            </w:r>
            <w:r w:rsidRPr="00713025">
              <w:rPr>
                <w:i/>
                <w:iCs/>
              </w:rPr>
              <w:t xml:space="preserve">Human Services </w:t>
            </w:r>
            <w:r w:rsidRPr="00713025">
              <w:rPr>
                <w:i/>
                <w:iCs/>
              </w:rPr>
              <w:lastRenderedPageBreak/>
              <w:t>(Medicare) Act 1973</w:t>
            </w:r>
            <w:r w:rsidR="00886AFD" w:rsidRPr="00713025">
              <w:rPr>
                <w:i/>
                <w:iCs/>
              </w:rPr>
              <w:t xml:space="preserve"> </w:t>
            </w:r>
            <w:r w:rsidR="00886AFD" w:rsidRPr="00713025">
              <w:t>(Cth)</w:t>
            </w:r>
            <w:r w:rsidRPr="00713025">
              <w:t>), providing to:</w:t>
            </w:r>
          </w:p>
          <w:p w14:paraId="2CD4F85F" w14:textId="77777777" w:rsidR="007E7684" w:rsidRPr="00713025" w:rsidRDefault="007E7684" w:rsidP="00385B04">
            <w:pPr>
              <w:pStyle w:val="ListParagraph"/>
              <w:numPr>
                <w:ilvl w:val="1"/>
                <w:numId w:val="20"/>
              </w:numPr>
              <w:spacing w:after="120"/>
            </w:pPr>
            <w:r w:rsidRPr="00713025">
              <w:t>the Director of Professional Services Review appointed under section 83; or</w:t>
            </w:r>
          </w:p>
          <w:p w14:paraId="014919D3" w14:textId="77777777" w:rsidR="007E7684" w:rsidRPr="00713025" w:rsidRDefault="007E7684" w:rsidP="00385B04">
            <w:pPr>
              <w:pStyle w:val="ListParagraph"/>
              <w:numPr>
                <w:ilvl w:val="1"/>
                <w:numId w:val="20"/>
              </w:numPr>
              <w:spacing w:after="120"/>
            </w:pPr>
            <w:r w:rsidRPr="00713025">
              <w:t>a Committee set up under section 93; or</w:t>
            </w:r>
          </w:p>
          <w:p w14:paraId="6C7067CD" w14:textId="77777777" w:rsidR="007E7684" w:rsidRPr="00713025" w:rsidRDefault="007E7684" w:rsidP="00385B04">
            <w:pPr>
              <w:pStyle w:val="ListParagraph"/>
              <w:numPr>
                <w:ilvl w:val="1"/>
                <w:numId w:val="20"/>
              </w:numPr>
              <w:spacing w:after="120"/>
            </w:pPr>
            <w:r w:rsidRPr="00713025">
              <w:t>the Determining Authority established by section 106Q; or</w:t>
            </w:r>
          </w:p>
          <w:p w14:paraId="2F4B0D80" w14:textId="77777777" w:rsidR="007E7684" w:rsidRPr="00713025" w:rsidRDefault="007E7684" w:rsidP="00385B04">
            <w:pPr>
              <w:pStyle w:val="ListParagraph"/>
              <w:numPr>
                <w:ilvl w:val="1"/>
                <w:numId w:val="20"/>
              </w:numPr>
              <w:spacing w:after="120"/>
            </w:pPr>
            <w:r w:rsidRPr="00713025">
              <w:t xml:space="preserve">any person providing services to any of the </w:t>
            </w:r>
            <w:proofErr w:type="gramStart"/>
            <w:r w:rsidRPr="00713025">
              <w:t>above;</w:t>
            </w:r>
            <w:proofErr w:type="gramEnd"/>
          </w:p>
          <w:p w14:paraId="6D51A769" w14:textId="77777777" w:rsidR="007E7684" w:rsidRPr="00713025" w:rsidRDefault="007E7684" w:rsidP="006669F1">
            <w:pPr>
              <w:pStyle w:val="ListParagraph"/>
              <w:ind w:left="417"/>
            </w:pPr>
            <w:r w:rsidRPr="00713025">
              <w:t>information to help the Director, Committee or Authority in the performance of functions or duties, or the exercise of powers, under Part VAA, or to assist a person referred to in paragraph (d) in the provision of services referred to in that paragraph.</w:t>
            </w:r>
          </w:p>
          <w:p w14:paraId="70906505" w14:textId="576A1575" w:rsidR="007E7684" w:rsidRPr="00713025" w:rsidRDefault="007E7684" w:rsidP="00385B04">
            <w:pPr>
              <w:pStyle w:val="ListParagraph"/>
              <w:numPr>
                <w:ilvl w:val="0"/>
                <w:numId w:val="20"/>
              </w:numPr>
              <w:spacing w:after="120"/>
              <w:ind w:left="417"/>
            </w:pPr>
            <w:r w:rsidRPr="00713025">
              <w:t xml:space="preserve">providing information for inclusion in the register kept under Part 2 of the </w:t>
            </w:r>
            <w:r w:rsidRPr="00713025">
              <w:rPr>
                <w:i/>
                <w:iCs/>
              </w:rPr>
              <w:t>Australian Immunisation Register Act 2015</w:t>
            </w:r>
            <w:r w:rsidR="00886AFD" w:rsidRPr="00713025">
              <w:t xml:space="preserve"> (Cth)</w:t>
            </w:r>
          </w:p>
          <w:p w14:paraId="6E807703" w14:textId="1BEB49F1" w:rsidR="007E7684" w:rsidRPr="00713025" w:rsidRDefault="007E7684" w:rsidP="00385B04">
            <w:pPr>
              <w:pStyle w:val="ListParagraph"/>
              <w:numPr>
                <w:ilvl w:val="0"/>
                <w:numId w:val="20"/>
              </w:numPr>
              <w:spacing w:after="120"/>
              <w:ind w:left="417"/>
            </w:pPr>
            <w:r w:rsidRPr="00713025">
              <w:t xml:space="preserve">providing information for inclusion in the register kept under Part 2 of the </w:t>
            </w:r>
            <w:r w:rsidRPr="00713025">
              <w:rPr>
                <w:i/>
                <w:iCs/>
              </w:rPr>
              <w:lastRenderedPageBreak/>
              <w:t>National Cancer Screening Register Act 2016</w:t>
            </w:r>
            <w:r w:rsidR="00886AFD" w:rsidRPr="00713025">
              <w:t xml:space="preserve"> (Cth)</w:t>
            </w:r>
          </w:p>
          <w:p w14:paraId="51629437" w14:textId="3881E7B7" w:rsidR="007E7684" w:rsidRPr="00713025" w:rsidRDefault="007E7684" w:rsidP="00385B04">
            <w:pPr>
              <w:pStyle w:val="ListParagraph"/>
              <w:numPr>
                <w:ilvl w:val="0"/>
                <w:numId w:val="20"/>
              </w:numPr>
              <w:spacing w:after="120"/>
              <w:ind w:left="417"/>
            </w:pPr>
            <w:r w:rsidRPr="00713025">
              <w:t>divulging of information to a Commonwealth entity for the purpose of facilitating the matching of that information by the Commonwealth entity under subsection 132</w:t>
            </w:r>
            <w:proofErr w:type="gramStart"/>
            <w:r w:rsidRPr="00713025">
              <w:t>B(</w:t>
            </w:r>
            <w:proofErr w:type="gramEnd"/>
            <w:r w:rsidRPr="00713025">
              <w:t xml:space="preserve">1) of the </w:t>
            </w:r>
            <w:r w:rsidRPr="00713025">
              <w:rPr>
                <w:i/>
                <w:iCs/>
              </w:rPr>
              <w:t>National Health Act 1953</w:t>
            </w:r>
            <w:r w:rsidR="00886AFD" w:rsidRPr="00713025">
              <w:t xml:space="preserve"> (Cth)</w:t>
            </w:r>
          </w:p>
          <w:p w14:paraId="4DDCF1FF" w14:textId="7BBFA7DC" w:rsidR="007E7684" w:rsidRPr="00713025" w:rsidRDefault="007E7684" w:rsidP="00385B04">
            <w:pPr>
              <w:pStyle w:val="ListParagraph"/>
              <w:numPr>
                <w:ilvl w:val="0"/>
                <w:numId w:val="20"/>
              </w:numPr>
              <w:spacing w:after="120"/>
              <w:ind w:left="417"/>
            </w:pPr>
            <w:r w:rsidRPr="00713025">
              <w:t xml:space="preserve">divulging of information by the Secretary or the Chief Executive of Medicare to specified other persons in relation to a </w:t>
            </w:r>
            <w:r w:rsidR="00D04DC9" w:rsidRPr="00713025">
              <w:t>specified offence</w:t>
            </w:r>
            <w:r w:rsidRPr="00713025">
              <w:t xml:space="preserve">. </w:t>
            </w:r>
          </w:p>
          <w:p w14:paraId="303CB2AF" w14:textId="0809FD1A" w:rsidR="007E7684" w:rsidRPr="00713025" w:rsidRDefault="006235E9" w:rsidP="00385B04">
            <w:pPr>
              <w:pStyle w:val="ListParagraph"/>
              <w:numPr>
                <w:ilvl w:val="0"/>
                <w:numId w:val="20"/>
              </w:numPr>
              <w:spacing w:after="120"/>
              <w:ind w:left="417"/>
            </w:pPr>
            <w:r w:rsidRPr="00713025">
              <w:t>divulging</w:t>
            </w:r>
            <w:r w:rsidR="007E7684" w:rsidRPr="00713025">
              <w:t xml:space="preserve"> of information which the Secretary or Chief Executive Medicare has certified.</w:t>
            </w:r>
          </w:p>
          <w:p w14:paraId="239F9E65" w14:textId="77777777" w:rsidR="007E7684" w:rsidRPr="00713025" w:rsidRDefault="007E7684" w:rsidP="00385B04">
            <w:pPr>
              <w:pStyle w:val="ListParagraph"/>
              <w:numPr>
                <w:ilvl w:val="0"/>
                <w:numId w:val="20"/>
              </w:numPr>
              <w:spacing w:after="120"/>
              <w:ind w:left="417"/>
              <w:rPr>
                <w:lang w:val="en-GB"/>
              </w:rPr>
            </w:pPr>
            <w:r w:rsidRPr="00713025">
              <w:t xml:space="preserve">an officer exercising or performing his or her duties, </w:t>
            </w:r>
            <w:proofErr w:type="gramStart"/>
            <w:r w:rsidRPr="00713025">
              <w:t>functions</w:t>
            </w:r>
            <w:proofErr w:type="gramEnd"/>
            <w:r w:rsidRPr="00713025">
              <w:t xml:space="preserve"> or powers under, or in relation to, this Act</w:t>
            </w:r>
          </w:p>
        </w:tc>
      </w:tr>
      <w:tr w:rsidR="0067293F" w:rsidRPr="00713025" w14:paraId="55A3F9CC" w14:textId="77777777" w:rsidTr="007E7684">
        <w:tc>
          <w:tcPr>
            <w:tcW w:w="3276" w:type="dxa"/>
            <w:vMerge w:val="restart"/>
            <w:tcBorders>
              <w:top w:val="single" w:sz="8" w:space="0" w:color="658D1B"/>
              <w:left w:val="nil"/>
              <w:bottom w:val="single" w:sz="8" w:space="0" w:color="658D1B"/>
              <w:right w:val="nil"/>
            </w:tcBorders>
            <w:hideMark/>
          </w:tcPr>
          <w:p w14:paraId="521E8290" w14:textId="77777777" w:rsidR="007E7684" w:rsidRDefault="007E7684" w:rsidP="006669F1">
            <w:pPr>
              <w:rPr>
                <w:b/>
                <w:bCs/>
                <w:i/>
                <w:iCs/>
              </w:rPr>
            </w:pPr>
            <w:r w:rsidRPr="001E6689">
              <w:rPr>
                <w:b/>
                <w:bCs/>
                <w:i/>
                <w:iCs/>
              </w:rPr>
              <w:lastRenderedPageBreak/>
              <w:t>National Health Act 1953</w:t>
            </w:r>
          </w:p>
          <w:p w14:paraId="4B4E485E" w14:textId="47E2867F" w:rsidR="001E6689" w:rsidRPr="001E6689" w:rsidRDefault="001E6689" w:rsidP="006669F1">
            <w:pPr>
              <w:rPr>
                <w:b/>
                <w:bCs/>
              </w:rPr>
            </w:pPr>
            <w:r w:rsidRPr="001E6689">
              <w:rPr>
                <w:b/>
                <w:bCs/>
              </w:rPr>
              <w:t>(Cth)</w:t>
            </w:r>
          </w:p>
        </w:tc>
        <w:tc>
          <w:tcPr>
            <w:tcW w:w="1490" w:type="dxa"/>
            <w:tcBorders>
              <w:top w:val="single" w:sz="8" w:space="0" w:color="658D1B"/>
              <w:left w:val="nil"/>
              <w:bottom w:val="single" w:sz="8" w:space="0" w:color="658D1B"/>
              <w:right w:val="nil"/>
            </w:tcBorders>
            <w:hideMark/>
          </w:tcPr>
          <w:p w14:paraId="153B0ABA" w14:textId="77777777" w:rsidR="007E7684" w:rsidRPr="00713025" w:rsidRDefault="007E7684" w:rsidP="006669F1">
            <w:r w:rsidRPr="00713025">
              <w:t>s 135</w:t>
            </w:r>
            <w:proofErr w:type="gramStart"/>
            <w:r w:rsidRPr="00713025">
              <w:t>A(</w:t>
            </w:r>
            <w:proofErr w:type="gramEnd"/>
            <w:r w:rsidRPr="00713025">
              <w:t>1)</w:t>
            </w:r>
          </w:p>
        </w:tc>
        <w:tc>
          <w:tcPr>
            <w:tcW w:w="4687" w:type="dxa"/>
            <w:tcBorders>
              <w:top w:val="single" w:sz="8" w:space="0" w:color="658D1B"/>
              <w:left w:val="nil"/>
              <w:bottom w:val="single" w:sz="8" w:space="0" w:color="658D1B"/>
              <w:right w:val="nil"/>
            </w:tcBorders>
            <w:hideMark/>
          </w:tcPr>
          <w:p w14:paraId="15174D7A" w14:textId="77777777" w:rsidR="007E7684" w:rsidRPr="00713025" w:rsidRDefault="007E7684" w:rsidP="006669F1">
            <w:r w:rsidRPr="00713025">
              <w:t>A person must not divulge or communicate to any person information in relation to the affairs of a third person acquired in performance of their duties under the Act.</w:t>
            </w:r>
          </w:p>
        </w:tc>
        <w:tc>
          <w:tcPr>
            <w:tcW w:w="4356" w:type="dxa"/>
            <w:tcBorders>
              <w:top w:val="single" w:sz="8" w:space="0" w:color="658D1B"/>
              <w:left w:val="nil"/>
              <w:bottom w:val="single" w:sz="8" w:space="0" w:color="658D1B"/>
              <w:right w:val="nil"/>
            </w:tcBorders>
            <w:hideMark/>
          </w:tcPr>
          <w:p w14:paraId="3A03F4DF" w14:textId="77777777" w:rsidR="007E7684" w:rsidRPr="00713025" w:rsidRDefault="007E7684" w:rsidP="00385B04">
            <w:pPr>
              <w:pStyle w:val="ListParagraph"/>
              <w:numPr>
                <w:ilvl w:val="0"/>
                <w:numId w:val="20"/>
              </w:numPr>
              <w:spacing w:after="120"/>
              <w:ind w:left="417"/>
            </w:pPr>
            <w:r w:rsidRPr="00713025">
              <w:t>disclosure to a court</w:t>
            </w:r>
          </w:p>
          <w:p w14:paraId="44D5E7A7" w14:textId="77777777" w:rsidR="007E7684" w:rsidRPr="00713025" w:rsidRDefault="007E7684" w:rsidP="00385B04">
            <w:pPr>
              <w:pStyle w:val="ListParagraph"/>
              <w:numPr>
                <w:ilvl w:val="0"/>
                <w:numId w:val="20"/>
              </w:numPr>
              <w:spacing w:after="120"/>
              <w:ind w:left="417"/>
            </w:pPr>
            <w:r w:rsidRPr="00713025">
              <w:t xml:space="preserve">disclosure of information by the Secretary certified by the </w:t>
            </w:r>
            <w:proofErr w:type="gramStart"/>
            <w:r w:rsidRPr="00713025">
              <w:t>Minister</w:t>
            </w:r>
            <w:proofErr w:type="gramEnd"/>
          </w:p>
          <w:p w14:paraId="5D24C6EF" w14:textId="77777777" w:rsidR="007E7684" w:rsidRPr="00713025" w:rsidRDefault="007E7684" w:rsidP="00385B04">
            <w:pPr>
              <w:pStyle w:val="ListParagraph"/>
              <w:numPr>
                <w:ilvl w:val="0"/>
                <w:numId w:val="20"/>
              </w:numPr>
              <w:spacing w:after="120"/>
              <w:ind w:left="417"/>
            </w:pPr>
            <w:r w:rsidRPr="00713025">
              <w:t>publication of (de-identified) statistics</w:t>
            </w:r>
          </w:p>
          <w:p w14:paraId="66F0B3C9" w14:textId="77777777" w:rsidR="007E7684" w:rsidRPr="00713025" w:rsidRDefault="007E7684" w:rsidP="00385B04">
            <w:pPr>
              <w:pStyle w:val="ListParagraph"/>
              <w:numPr>
                <w:ilvl w:val="0"/>
                <w:numId w:val="20"/>
              </w:numPr>
              <w:spacing w:after="120"/>
              <w:ind w:left="417"/>
            </w:pPr>
            <w:r w:rsidRPr="00713025">
              <w:t xml:space="preserve">providing to a person a document that was provided to the Secretary by the </w:t>
            </w:r>
            <w:r w:rsidRPr="00713025">
              <w:lastRenderedPageBreak/>
              <w:t xml:space="preserve">person in relation to a pharmaceutical benefit </w:t>
            </w:r>
            <w:proofErr w:type="gramStart"/>
            <w:r w:rsidRPr="00713025">
              <w:t>claim</w:t>
            </w:r>
            <w:proofErr w:type="gramEnd"/>
          </w:p>
          <w:p w14:paraId="3B2E149D" w14:textId="77777777" w:rsidR="007E7684" w:rsidRPr="00713025" w:rsidRDefault="007E7684" w:rsidP="00385B04">
            <w:pPr>
              <w:pStyle w:val="ListParagraph"/>
              <w:numPr>
                <w:ilvl w:val="0"/>
                <w:numId w:val="20"/>
              </w:numPr>
              <w:spacing w:after="120"/>
              <w:ind w:left="417"/>
            </w:pPr>
            <w:r w:rsidRPr="00713025">
              <w:t>divulging or communicating to a person information relating to that person</w:t>
            </w:r>
          </w:p>
          <w:p w14:paraId="71D9A8C5" w14:textId="77777777" w:rsidR="007E7684" w:rsidRPr="00713025" w:rsidRDefault="007E7684" w:rsidP="00385B04">
            <w:pPr>
              <w:pStyle w:val="ListParagraph"/>
              <w:numPr>
                <w:ilvl w:val="0"/>
                <w:numId w:val="20"/>
              </w:numPr>
              <w:spacing w:after="120"/>
              <w:ind w:left="417"/>
            </w:pPr>
            <w:r w:rsidRPr="00713025">
              <w:t>use of information in a pharmaceutical benefit claim by a prescribed professional disciplinary body or regulatory body for the purpose of an investigation</w:t>
            </w:r>
          </w:p>
          <w:p w14:paraId="462C7052" w14:textId="77777777" w:rsidR="007E7684" w:rsidRPr="00713025" w:rsidRDefault="007E7684" w:rsidP="00385B04">
            <w:pPr>
              <w:pStyle w:val="ListParagraph"/>
              <w:numPr>
                <w:ilvl w:val="0"/>
                <w:numId w:val="20"/>
              </w:numPr>
              <w:spacing w:after="120"/>
              <w:ind w:left="417"/>
            </w:pPr>
            <w:r w:rsidRPr="00713025">
              <w:t xml:space="preserve">providing information to authorised Commonwealth entities for data matching </w:t>
            </w:r>
            <w:proofErr w:type="gramStart"/>
            <w:r w:rsidRPr="00713025">
              <w:t>purposes</w:t>
            </w:r>
            <w:proofErr w:type="gramEnd"/>
          </w:p>
          <w:p w14:paraId="31DDE337" w14:textId="77777777" w:rsidR="007E7684" w:rsidRPr="00713025" w:rsidRDefault="007E7684" w:rsidP="00385B04">
            <w:pPr>
              <w:pStyle w:val="ListParagraph"/>
              <w:numPr>
                <w:ilvl w:val="0"/>
                <w:numId w:val="20"/>
              </w:numPr>
              <w:spacing w:after="120"/>
              <w:ind w:left="417"/>
            </w:pPr>
            <w:r w:rsidRPr="00713025">
              <w:t xml:space="preserve">divulging of information by the Secretary or the Chief Executive Medicare to specified persons in relation to a </w:t>
            </w:r>
            <w:proofErr w:type="gramStart"/>
            <w:r w:rsidRPr="00713025">
              <w:t>specified offences</w:t>
            </w:r>
            <w:proofErr w:type="gramEnd"/>
            <w:r w:rsidRPr="00713025">
              <w:t xml:space="preserve"> or penalties</w:t>
            </w:r>
          </w:p>
          <w:p w14:paraId="28627E43" w14:textId="77777777" w:rsidR="007E7684" w:rsidRPr="00713025" w:rsidRDefault="007E7684" w:rsidP="00385B04">
            <w:pPr>
              <w:pStyle w:val="ListParagraph"/>
              <w:numPr>
                <w:ilvl w:val="0"/>
                <w:numId w:val="20"/>
              </w:numPr>
              <w:spacing w:after="120"/>
              <w:ind w:left="417"/>
            </w:pPr>
            <w:r w:rsidRPr="00713025">
              <w:t>divulging of information as certified by the Secretary or Chief Executive Medicare</w:t>
            </w:r>
          </w:p>
          <w:p w14:paraId="65929C8A" w14:textId="77777777" w:rsidR="007E7684" w:rsidRPr="00713025" w:rsidRDefault="007E7684" w:rsidP="00385B04">
            <w:pPr>
              <w:pStyle w:val="ListParagraph"/>
              <w:numPr>
                <w:ilvl w:val="0"/>
                <w:numId w:val="20"/>
              </w:numPr>
              <w:spacing w:after="120"/>
              <w:ind w:left="417"/>
            </w:pPr>
            <w:r w:rsidRPr="00713025">
              <w:t xml:space="preserve">an officer exercising or performing his or her duties, </w:t>
            </w:r>
            <w:proofErr w:type="gramStart"/>
            <w:r w:rsidRPr="00713025">
              <w:t>functions</w:t>
            </w:r>
            <w:proofErr w:type="gramEnd"/>
            <w:r w:rsidRPr="00713025">
              <w:t xml:space="preserve"> or powers under, or in relation to, this Act</w:t>
            </w:r>
          </w:p>
        </w:tc>
      </w:tr>
      <w:tr w:rsidR="0067293F" w:rsidRPr="00713025" w14:paraId="2E843D53" w14:textId="77777777" w:rsidTr="007E7684">
        <w:tc>
          <w:tcPr>
            <w:tcW w:w="3276" w:type="dxa"/>
            <w:vMerge/>
            <w:tcBorders>
              <w:top w:val="single" w:sz="8" w:space="0" w:color="658D1B"/>
              <w:left w:val="nil"/>
              <w:bottom w:val="single" w:sz="8" w:space="0" w:color="658D1B"/>
              <w:right w:val="nil"/>
            </w:tcBorders>
            <w:vAlign w:val="center"/>
            <w:hideMark/>
          </w:tcPr>
          <w:p w14:paraId="55E2D8E4"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7AA77998" w14:textId="77777777" w:rsidR="007E7684" w:rsidRPr="00713025" w:rsidRDefault="007E7684" w:rsidP="006669F1">
            <w:r w:rsidRPr="00713025">
              <w:t>s 135</w:t>
            </w:r>
            <w:proofErr w:type="gramStart"/>
            <w:r w:rsidRPr="00713025">
              <w:t>A(</w:t>
            </w:r>
            <w:proofErr w:type="gramEnd"/>
            <w:r w:rsidRPr="00713025">
              <w:t xml:space="preserve">9) </w:t>
            </w:r>
          </w:p>
        </w:tc>
        <w:tc>
          <w:tcPr>
            <w:tcW w:w="4687" w:type="dxa"/>
            <w:tcBorders>
              <w:top w:val="single" w:sz="8" w:space="0" w:color="658D1B"/>
              <w:left w:val="nil"/>
              <w:bottom w:val="single" w:sz="8" w:space="0" w:color="658D1B"/>
              <w:right w:val="nil"/>
            </w:tcBorders>
            <w:hideMark/>
          </w:tcPr>
          <w:p w14:paraId="05F0A319" w14:textId="77777777" w:rsidR="007E7684" w:rsidRPr="00713025" w:rsidRDefault="007E7684" w:rsidP="006669F1">
            <w:r w:rsidRPr="00713025">
              <w:t xml:space="preserve">A person to whom information is divulged under subsection (6) or (7) of the same </w:t>
            </w:r>
            <w:r w:rsidRPr="00713025">
              <w:lastRenderedPageBreak/>
              <w:t xml:space="preserve">section must not (unless in performance of their duties) divulge or communicate to any other person the information divulged to them. </w:t>
            </w:r>
          </w:p>
          <w:p w14:paraId="7BADB8B1" w14:textId="77777777" w:rsidR="007E7684" w:rsidRPr="00713025" w:rsidRDefault="007E7684" w:rsidP="006669F1">
            <w:r w:rsidRPr="00713025">
              <w:t xml:space="preserve">Note: subsections (6) and (7) deal with specific circumstances in which the secretary divulges information or where the Minister may certify that information can be disclosed for specific purposes. </w:t>
            </w:r>
          </w:p>
        </w:tc>
        <w:tc>
          <w:tcPr>
            <w:tcW w:w="4356" w:type="dxa"/>
            <w:tcBorders>
              <w:top w:val="single" w:sz="8" w:space="0" w:color="658D1B"/>
              <w:left w:val="nil"/>
              <w:bottom w:val="single" w:sz="8" w:space="0" w:color="658D1B"/>
              <w:right w:val="nil"/>
            </w:tcBorders>
          </w:tcPr>
          <w:p w14:paraId="52934A7F" w14:textId="77777777" w:rsidR="007E7684" w:rsidRPr="00713025" w:rsidRDefault="007E7684" w:rsidP="006669F1"/>
        </w:tc>
      </w:tr>
      <w:tr w:rsidR="0067293F" w:rsidRPr="00713025" w14:paraId="28B2554C" w14:textId="77777777" w:rsidTr="007E7684">
        <w:tc>
          <w:tcPr>
            <w:tcW w:w="3276" w:type="dxa"/>
            <w:vMerge/>
            <w:tcBorders>
              <w:top w:val="single" w:sz="8" w:space="0" w:color="658D1B"/>
              <w:left w:val="nil"/>
              <w:bottom w:val="single" w:sz="8" w:space="0" w:color="658D1B"/>
              <w:right w:val="nil"/>
            </w:tcBorders>
            <w:vAlign w:val="center"/>
            <w:hideMark/>
          </w:tcPr>
          <w:p w14:paraId="7C1D8C59"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149E3622" w14:textId="77777777" w:rsidR="007E7684" w:rsidRPr="00713025" w:rsidRDefault="007E7684" w:rsidP="006669F1">
            <w:r w:rsidRPr="00713025">
              <w:t>s 135</w:t>
            </w:r>
            <w:proofErr w:type="gramStart"/>
            <w:r w:rsidRPr="00713025">
              <w:t>A(</w:t>
            </w:r>
            <w:proofErr w:type="gramEnd"/>
            <w:r w:rsidRPr="00713025">
              <w:t>13)</w:t>
            </w:r>
          </w:p>
          <w:p w14:paraId="148F7D50" w14:textId="77777777" w:rsidR="007E7684" w:rsidRPr="00713025" w:rsidRDefault="007E7684" w:rsidP="006669F1">
            <w:r w:rsidRPr="00713025">
              <w:t>s 135</w:t>
            </w:r>
            <w:proofErr w:type="gramStart"/>
            <w:r w:rsidRPr="00713025">
              <w:t>A(</w:t>
            </w:r>
            <w:proofErr w:type="gramEnd"/>
            <w:r w:rsidRPr="00713025">
              <w:t>16)</w:t>
            </w:r>
          </w:p>
        </w:tc>
        <w:tc>
          <w:tcPr>
            <w:tcW w:w="4687" w:type="dxa"/>
            <w:tcBorders>
              <w:top w:val="single" w:sz="8" w:space="0" w:color="658D1B"/>
              <w:left w:val="nil"/>
              <w:bottom w:val="single" w:sz="8" w:space="0" w:color="658D1B"/>
              <w:right w:val="nil"/>
            </w:tcBorders>
            <w:hideMark/>
          </w:tcPr>
          <w:p w14:paraId="5FC71A10" w14:textId="77777777" w:rsidR="007E7684" w:rsidRPr="00713025" w:rsidRDefault="007E7684" w:rsidP="006669F1">
            <w:r w:rsidRPr="00713025">
              <w:t xml:space="preserve">A person (or their employee or agent) must not solicit the disclosure of protected information from an officer or another person where the disclosure would be in contravention of </w:t>
            </w:r>
            <w:proofErr w:type="gramStart"/>
            <w:r w:rsidRPr="00713025">
              <w:t>s135A</w:t>
            </w:r>
            <w:proofErr w:type="gramEnd"/>
            <w:r w:rsidRPr="00713025">
              <w:t xml:space="preserve"> and the first mentioned person knows or ought reasonably to know that the information is protected. </w:t>
            </w:r>
          </w:p>
        </w:tc>
        <w:tc>
          <w:tcPr>
            <w:tcW w:w="4356" w:type="dxa"/>
            <w:tcBorders>
              <w:top w:val="single" w:sz="8" w:space="0" w:color="658D1B"/>
              <w:left w:val="nil"/>
              <w:bottom w:val="single" w:sz="8" w:space="0" w:color="658D1B"/>
              <w:right w:val="nil"/>
            </w:tcBorders>
          </w:tcPr>
          <w:p w14:paraId="743FB3E6" w14:textId="77777777" w:rsidR="007E7684" w:rsidRPr="00713025" w:rsidRDefault="007E7684" w:rsidP="006669F1"/>
        </w:tc>
      </w:tr>
      <w:tr w:rsidR="0067293F" w:rsidRPr="00713025" w14:paraId="3AAF536C" w14:textId="77777777" w:rsidTr="007E7684">
        <w:tc>
          <w:tcPr>
            <w:tcW w:w="3276" w:type="dxa"/>
            <w:vMerge/>
            <w:tcBorders>
              <w:top w:val="single" w:sz="8" w:space="0" w:color="658D1B"/>
              <w:left w:val="nil"/>
              <w:bottom w:val="single" w:sz="8" w:space="0" w:color="658D1B"/>
              <w:right w:val="nil"/>
            </w:tcBorders>
            <w:vAlign w:val="center"/>
            <w:hideMark/>
          </w:tcPr>
          <w:p w14:paraId="5CD8BCB7"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01CC91F3" w14:textId="77777777" w:rsidR="007E7684" w:rsidRPr="00713025" w:rsidRDefault="007E7684" w:rsidP="006669F1">
            <w:r w:rsidRPr="00713025">
              <w:t>s 135</w:t>
            </w:r>
            <w:proofErr w:type="gramStart"/>
            <w:r w:rsidRPr="00713025">
              <w:t>A(</w:t>
            </w:r>
            <w:proofErr w:type="gramEnd"/>
            <w:r w:rsidRPr="00713025">
              <w:t xml:space="preserve">14) </w:t>
            </w:r>
          </w:p>
          <w:p w14:paraId="2007C61C" w14:textId="77777777" w:rsidR="007E7684" w:rsidRPr="00713025" w:rsidRDefault="007E7684" w:rsidP="006669F1">
            <w:r w:rsidRPr="00713025">
              <w:t>s 135</w:t>
            </w:r>
            <w:proofErr w:type="gramStart"/>
            <w:r w:rsidRPr="00713025">
              <w:t>A(</w:t>
            </w:r>
            <w:proofErr w:type="gramEnd"/>
            <w:r w:rsidRPr="00713025">
              <w:t>18)</w:t>
            </w:r>
          </w:p>
        </w:tc>
        <w:tc>
          <w:tcPr>
            <w:tcW w:w="4687" w:type="dxa"/>
            <w:tcBorders>
              <w:top w:val="single" w:sz="8" w:space="0" w:color="658D1B"/>
              <w:left w:val="nil"/>
              <w:bottom w:val="single" w:sz="8" w:space="0" w:color="658D1B"/>
              <w:right w:val="nil"/>
            </w:tcBorders>
            <w:hideMark/>
          </w:tcPr>
          <w:p w14:paraId="6547E7CE" w14:textId="77777777" w:rsidR="007E7684" w:rsidRPr="00713025" w:rsidRDefault="007E7684" w:rsidP="006669F1">
            <w:r w:rsidRPr="00713025">
              <w:t>A person (or their employee or agent) who a disclosure has been made to in contravention of s 135A, and who knows or ought reasonably to know that the disclosure contravenes that provision, commits an offence if they:</w:t>
            </w:r>
          </w:p>
          <w:p w14:paraId="1294AD32" w14:textId="77777777" w:rsidR="007E7684" w:rsidRPr="00713025" w:rsidRDefault="007E7684" w:rsidP="00385B04">
            <w:pPr>
              <w:pStyle w:val="ListParagraph"/>
              <w:numPr>
                <w:ilvl w:val="0"/>
                <w:numId w:val="18"/>
              </w:numPr>
              <w:spacing w:before="0" w:after="120"/>
              <w:contextualSpacing/>
            </w:pPr>
            <w:r w:rsidRPr="00713025">
              <w:t xml:space="preserve">solicited the disclosure of the information, </w:t>
            </w:r>
          </w:p>
          <w:p w14:paraId="6CC50518" w14:textId="77777777" w:rsidR="007E7684" w:rsidRPr="00713025" w:rsidRDefault="007E7684" w:rsidP="00385B04">
            <w:pPr>
              <w:pStyle w:val="ListParagraph"/>
              <w:numPr>
                <w:ilvl w:val="0"/>
                <w:numId w:val="18"/>
              </w:numPr>
              <w:spacing w:before="0" w:after="120"/>
              <w:contextualSpacing/>
            </w:pPr>
            <w:r w:rsidRPr="00713025">
              <w:t xml:space="preserve">disclose the information, or </w:t>
            </w:r>
          </w:p>
          <w:p w14:paraId="5D6150D2" w14:textId="77777777" w:rsidR="007E7684" w:rsidRPr="00713025" w:rsidRDefault="007E7684" w:rsidP="00385B04">
            <w:pPr>
              <w:pStyle w:val="ListParagraph"/>
              <w:numPr>
                <w:ilvl w:val="0"/>
                <w:numId w:val="18"/>
              </w:numPr>
              <w:spacing w:before="0" w:after="120"/>
              <w:contextualSpacing/>
            </w:pPr>
            <w:r w:rsidRPr="00713025">
              <w:t>use the information.</w:t>
            </w:r>
          </w:p>
        </w:tc>
        <w:tc>
          <w:tcPr>
            <w:tcW w:w="4356" w:type="dxa"/>
            <w:tcBorders>
              <w:top w:val="single" w:sz="8" w:space="0" w:color="658D1B"/>
              <w:left w:val="nil"/>
              <w:bottom w:val="single" w:sz="8" w:space="0" w:color="658D1B"/>
              <w:right w:val="nil"/>
            </w:tcBorders>
          </w:tcPr>
          <w:p w14:paraId="79665FBA" w14:textId="77777777" w:rsidR="007E7684" w:rsidRPr="00713025" w:rsidRDefault="007E7684" w:rsidP="006669F1"/>
        </w:tc>
      </w:tr>
      <w:tr w:rsidR="0067293F" w:rsidRPr="00713025" w14:paraId="2B1959BE" w14:textId="77777777" w:rsidTr="007E7684">
        <w:tc>
          <w:tcPr>
            <w:tcW w:w="3276" w:type="dxa"/>
            <w:vMerge/>
            <w:tcBorders>
              <w:top w:val="single" w:sz="8" w:space="0" w:color="658D1B"/>
              <w:left w:val="nil"/>
              <w:bottom w:val="single" w:sz="8" w:space="0" w:color="658D1B"/>
              <w:right w:val="nil"/>
            </w:tcBorders>
            <w:vAlign w:val="center"/>
            <w:hideMark/>
          </w:tcPr>
          <w:p w14:paraId="507BB96F"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3585A780" w14:textId="77777777" w:rsidR="007E7684" w:rsidRPr="00713025" w:rsidRDefault="007E7684" w:rsidP="006669F1">
            <w:r w:rsidRPr="00713025">
              <w:t>s 135</w:t>
            </w:r>
            <w:proofErr w:type="gramStart"/>
            <w:r w:rsidRPr="00713025">
              <w:t>A(</w:t>
            </w:r>
            <w:proofErr w:type="gramEnd"/>
            <w:r w:rsidRPr="00713025">
              <w:t>20)</w:t>
            </w:r>
          </w:p>
          <w:p w14:paraId="63779A9C" w14:textId="77777777" w:rsidR="007E7684" w:rsidRPr="00713025" w:rsidRDefault="007E7684" w:rsidP="006669F1">
            <w:r w:rsidRPr="00713025">
              <w:t>s 135</w:t>
            </w:r>
            <w:proofErr w:type="gramStart"/>
            <w:r w:rsidRPr="00713025">
              <w:t>A(</w:t>
            </w:r>
            <w:proofErr w:type="gramEnd"/>
            <w:r w:rsidRPr="00713025">
              <w:t>21)</w:t>
            </w:r>
          </w:p>
        </w:tc>
        <w:tc>
          <w:tcPr>
            <w:tcW w:w="4687" w:type="dxa"/>
            <w:tcBorders>
              <w:top w:val="single" w:sz="8" w:space="0" w:color="658D1B"/>
              <w:left w:val="nil"/>
              <w:bottom w:val="single" w:sz="8" w:space="0" w:color="658D1B"/>
              <w:right w:val="nil"/>
            </w:tcBorders>
            <w:hideMark/>
          </w:tcPr>
          <w:p w14:paraId="7E734CF4" w14:textId="77777777" w:rsidR="007E7684" w:rsidRPr="00713025" w:rsidRDefault="007E7684" w:rsidP="006669F1">
            <w:r w:rsidRPr="00713025">
              <w:t xml:space="preserve">A person must not offer to </w:t>
            </w:r>
            <w:proofErr w:type="gramStart"/>
            <w:r w:rsidRPr="00713025">
              <w:t>supply, or</w:t>
            </w:r>
            <w:proofErr w:type="gramEnd"/>
            <w:r w:rsidRPr="00713025">
              <w:t xml:space="preserve"> hold themselves out as being able to supply protected information about another person, where they know the information is protected.</w:t>
            </w:r>
          </w:p>
        </w:tc>
        <w:tc>
          <w:tcPr>
            <w:tcW w:w="4356" w:type="dxa"/>
            <w:tcBorders>
              <w:top w:val="single" w:sz="8" w:space="0" w:color="658D1B"/>
              <w:left w:val="nil"/>
              <w:bottom w:val="single" w:sz="8" w:space="0" w:color="658D1B"/>
              <w:right w:val="nil"/>
            </w:tcBorders>
          </w:tcPr>
          <w:p w14:paraId="285C1744" w14:textId="77777777" w:rsidR="007E7684" w:rsidRPr="00713025" w:rsidRDefault="007E7684" w:rsidP="006669F1"/>
        </w:tc>
      </w:tr>
      <w:tr w:rsidR="0067293F" w:rsidRPr="00713025" w14:paraId="074DB566" w14:textId="77777777" w:rsidTr="007E7684">
        <w:tc>
          <w:tcPr>
            <w:tcW w:w="3276" w:type="dxa"/>
            <w:vMerge/>
            <w:tcBorders>
              <w:top w:val="single" w:sz="8" w:space="0" w:color="658D1B"/>
              <w:left w:val="nil"/>
              <w:bottom w:val="single" w:sz="8" w:space="0" w:color="658D1B"/>
              <w:right w:val="nil"/>
            </w:tcBorders>
            <w:vAlign w:val="center"/>
            <w:hideMark/>
          </w:tcPr>
          <w:p w14:paraId="3142F9D4"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71770B76" w14:textId="77777777" w:rsidR="007E7684" w:rsidRPr="00713025" w:rsidRDefault="007E7684" w:rsidP="006669F1">
            <w:r w:rsidRPr="00713025">
              <w:t>S 135AAA</w:t>
            </w:r>
          </w:p>
        </w:tc>
        <w:tc>
          <w:tcPr>
            <w:tcW w:w="4687" w:type="dxa"/>
            <w:tcBorders>
              <w:top w:val="single" w:sz="8" w:space="0" w:color="658D1B"/>
              <w:left w:val="nil"/>
              <w:bottom w:val="single" w:sz="8" w:space="0" w:color="658D1B"/>
              <w:right w:val="nil"/>
            </w:tcBorders>
            <w:hideMark/>
          </w:tcPr>
          <w:p w14:paraId="7EFF98B6" w14:textId="59510D71" w:rsidR="007E7684" w:rsidRPr="00713025" w:rsidRDefault="007E7684" w:rsidP="006669F1">
            <w:r w:rsidRPr="00713025">
              <w:t xml:space="preserve">Various obligations imposed on PBS prescribers and approved suppliers in relation to observing secrecy in relation to </w:t>
            </w:r>
            <w:r w:rsidR="006235E9" w:rsidRPr="00713025">
              <w:t>Medicare</w:t>
            </w:r>
            <w:r w:rsidRPr="00713025">
              <w:t xml:space="preserve"> numbers and expiry dates provided for pharmaceutical benefits scheme purposes. </w:t>
            </w:r>
          </w:p>
          <w:p w14:paraId="2E927F38" w14:textId="77777777" w:rsidR="007E7684" w:rsidRPr="00713025" w:rsidRDefault="007E7684" w:rsidP="006669F1">
            <w:r w:rsidRPr="00713025">
              <w:t>Not applicable to Department.</w:t>
            </w:r>
          </w:p>
        </w:tc>
        <w:tc>
          <w:tcPr>
            <w:tcW w:w="4356" w:type="dxa"/>
            <w:tcBorders>
              <w:top w:val="single" w:sz="8" w:space="0" w:color="658D1B"/>
              <w:left w:val="nil"/>
              <w:bottom w:val="single" w:sz="8" w:space="0" w:color="658D1B"/>
              <w:right w:val="nil"/>
            </w:tcBorders>
          </w:tcPr>
          <w:p w14:paraId="45275FFC" w14:textId="77777777" w:rsidR="007E7684" w:rsidRPr="00713025" w:rsidRDefault="007E7684" w:rsidP="006669F1"/>
        </w:tc>
      </w:tr>
      <w:tr w:rsidR="0067293F" w:rsidRPr="00713025" w14:paraId="4D3D2EF6" w14:textId="77777777" w:rsidTr="007E7684">
        <w:tc>
          <w:tcPr>
            <w:tcW w:w="3276" w:type="dxa"/>
            <w:vMerge/>
            <w:tcBorders>
              <w:top w:val="single" w:sz="8" w:space="0" w:color="658D1B"/>
              <w:left w:val="nil"/>
              <w:bottom w:val="single" w:sz="8" w:space="0" w:color="658D1B"/>
              <w:right w:val="nil"/>
            </w:tcBorders>
            <w:vAlign w:val="center"/>
            <w:hideMark/>
          </w:tcPr>
          <w:p w14:paraId="3D29EF87"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0CD6D647" w14:textId="77777777" w:rsidR="007E7684" w:rsidRPr="00713025" w:rsidRDefault="007E7684" w:rsidP="006669F1">
            <w:r w:rsidRPr="00713025">
              <w:t>s 135</w:t>
            </w:r>
            <w:proofErr w:type="gramStart"/>
            <w:r w:rsidRPr="00713025">
              <w:t>AB(</w:t>
            </w:r>
            <w:proofErr w:type="gramEnd"/>
            <w:r w:rsidRPr="00713025">
              <w:t>1)</w:t>
            </w:r>
          </w:p>
        </w:tc>
        <w:tc>
          <w:tcPr>
            <w:tcW w:w="4687" w:type="dxa"/>
            <w:tcBorders>
              <w:top w:val="single" w:sz="8" w:space="0" w:color="658D1B"/>
              <w:left w:val="nil"/>
              <w:bottom w:val="single" w:sz="8" w:space="0" w:color="658D1B"/>
              <w:right w:val="nil"/>
            </w:tcBorders>
            <w:hideMark/>
          </w:tcPr>
          <w:p w14:paraId="28E7192B" w14:textId="14EAE3DB" w:rsidR="007E7684" w:rsidRPr="00713025" w:rsidRDefault="007E7684" w:rsidP="006669F1">
            <w:r w:rsidRPr="00713025">
              <w:t xml:space="preserve">A breach of the rules issued by the Information Commissioner under section 135AA of the Act is an act or practice involving interference with the privacy of an individual for the purposes of section 13 of the </w:t>
            </w:r>
            <w:r w:rsidRPr="00713025">
              <w:rPr>
                <w:i/>
                <w:iCs/>
              </w:rPr>
              <w:t>Privacy Act 1988</w:t>
            </w:r>
            <w:r w:rsidR="00886AFD" w:rsidRPr="00713025">
              <w:rPr>
                <w:i/>
                <w:iCs/>
              </w:rPr>
              <w:t xml:space="preserve"> </w:t>
            </w:r>
            <w:r w:rsidR="00886AFD" w:rsidRPr="00713025">
              <w:t>(Cth)</w:t>
            </w:r>
            <w:r w:rsidRPr="00713025">
              <w:t>.</w:t>
            </w:r>
            <w:r w:rsidRPr="00713025">
              <w:rPr>
                <w:i/>
                <w:iCs/>
              </w:rPr>
              <w:t xml:space="preserve"> </w:t>
            </w:r>
            <w:r w:rsidRPr="00713025">
              <w:t xml:space="preserve"> </w:t>
            </w:r>
          </w:p>
          <w:p w14:paraId="44BD4303" w14:textId="77777777" w:rsidR="007E7684" w:rsidRPr="00713025" w:rsidRDefault="007E7684" w:rsidP="006669F1">
            <w:r w:rsidRPr="00713025">
              <w:t xml:space="preserve">The rules are contained in the </w:t>
            </w:r>
            <w:r w:rsidRPr="00713025">
              <w:rPr>
                <w:i/>
                <w:iCs/>
              </w:rPr>
              <w:t>National (Health) Privacy Rules 2021</w:t>
            </w:r>
            <w:r w:rsidRPr="00713025">
              <w:t xml:space="preserve">, and provide how Services Australia and the Department may use, store and link claims information from the Medicare Benefits Program and Pharmaceutical Benefits Program. </w:t>
            </w:r>
          </w:p>
        </w:tc>
        <w:tc>
          <w:tcPr>
            <w:tcW w:w="4356" w:type="dxa"/>
            <w:tcBorders>
              <w:top w:val="single" w:sz="8" w:space="0" w:color="658D1B"/>
              <w:left w:val="nil"/>
              <w:bottom w:val="single" w:sz="8" w:space="0" w:color="658D1B"/>
              <w:right w:val="nil"/>
            </w:tcBorders>
          </w:tcPr>
          <w:p w14:paraId="2BC0B35E" w14:textId="77777777" w:rsidR="007E7684" w:rsidRPr="00713025" w:rsidRDefault="007E7684" w:rsidP="006669F1"/>
        </w:tc>
      </w:tr>
      <w:tr w:rsidR="0067293F" w:rsidRPr="00713025" w14:paraId="726543DA" w14:textId="77777777" w:rsidTr="007E7684">
        <w:tc>
          <w:tcPr>
            <w:tcW w:w="3276" w:type="dxa"/>
            <w:vMerge/>
            <w:tcBorders>
              <w:top w:val="single" w:sz="8" w:space="0" w:color="658D1B"/>
              <w:left w:val="nil"/>
              <w:bottom w:val="single" w:sz="8" w:space="0" w:color="658D1B"/>
              <w:right w:val="nil"/>
            </w:tcBorders>
            <w:vAlign w:val="center"/>
            <w:hideMark/>
          </w:tcPr>
          <w:p w14:paraId="1A572E38"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1D94E905" w14:textId="77777777" w:rsidR="007E7684" w:rsidRPr="00713025" w:rsidRDefault="007E7684" w:rsidP="006669F1">
            <w:r w:rsidRPr="00713025">
              <w:t>s 132E</w:t>
            </w:r>
          </w:p>
        </w:tc>
        <w:tc>
          <w:tcPr>
            <w:tcW w:w="4687" w:type="dxa"/>
            <w:tcBorders>
              <w:top w:val="single" w:sz="8" w:space="0" w:color="658D1B"/>
              <w:left w:val="nil"/>
              <w:bottom w:val="single" w:sz="8" w:space="0" w:color="658D1B"/>
              <w:right w:val="nil"/>
            </w:tcBorders>
            <w:hideMark/>
          </w:tcPr>
          <w:p w14:paraId="74BC3403" w14:textId="2D93D345" w:rsidR="007E7684" w:rsidRPr="00713025" w:rsidRDefault="007E7684" w:rsidP="006669F1">
            <w:pPr>
              <w:rPr>
                <w:i/>
                <w:iCs/>
              </w:rPr>
            </w:pPr>
            <w:r w:rsidRPr="00713025">
              <w:t xml:space="preserve">A person must not breach the data-matching provisions found in Part VIIIA of the Act. Such a breach constitutes an act or practice </w:t>
            </w:r>
            <w:r w:rsidRPr="00713025">
              <w:lastRenderedPageBreak/>
              <w:t xml:space="preserve">involving interference with the privacy of the individual for the purposes of section 13 of the </w:t>
            </w:r>
            <w:r w:rsidRPr="00713025">
              <w:rPr>
                <w:i/>
                <w:iCs/>
              </w:rPr>
              <w:t>Privacy Act 1988</w:t>
            </w:r>
            <w:r w:rsidR="00886AFD" w:rsidRPr="00713025">
              <w:rPr>
                <w:i/>
                <w:iCs/>
              </w:rPr>
              <w:t xml:space="preserve"> </w:t>
            </w:r>
            <w:r w:rsidR="00886AFD" w:rsidRPr="00713025">
              <w:t>(Cth)</w:t>
            </w:r>
            <w:r w:rsidRPr="00713025">
              <w:t xml:space="preserve">. </w:t>
            </w:r>
          </w:p>
          <w:p w14:paraId="73245711" w14:textId="77777777" w:rsidR="007E7684" w:rsidRPr="00713025" w:rsidRDefault="007E7684" w:rsidP="006669F1">
            <w:r w:rsidRPr="00713025">
              <w:t>Note: the data matching provisions found in Part VIIIA detail when and how</w:t>
            </w:r>
          </w:p>
          <w:p w14:paraId="542D0A4E" w14:textId="77777777" w:rsidR="007E7684" w:rsidRPr="00713025" w:rsidRDefault="007E7684" w:rsidP="00385B04">
            <w:pPr>
              <w:pStyle w:val="ListParagraph"/>
              <w:numPr>
                <w:ilvl w:val="0"/>
                <w:numId w:val="19"/>
              </w:numPr>
              <w:spacing w:before="0" w:after="120"/>
              <w:contextualSpacing/>
            </w:pPr>
            <w:r w:rsidRPr="00713025">
              <w:t>Medicare information,</w:t>
            </w:r>
          </w:p>
          <w:p w14:paraId="5EF13829" w14:textId="77777777" w:rsidR="007E7684" w:rsidRPr="00713025" w:rsidRDefault="007E7684" w:rsidP="00385B04">
            <w:pPr>
              <w:pStyle w:val="ListParagraph"/>
              <w:numPr>
                <w:ilvl w:val="0"/>
                <w:numId w:val="19"/>
              </w:numPr>
              <w:spacing w:before="0" w:after="120"/>
              <w:contextualSpacing/>
            </w:pPr>
            <w:r w:rsidRPr="00713025">
              <w:t xml:space="preserve">therapeutic goods information, and </w:t>
            </w:r>
          </w:p>
          <w:p w14:paraId="67047753" w14:textId="77777777" w:rsidR="007E7684" w:rsidRPr="00713025" w:rsidRDefault="007E7684" w:rsidP="00385B04">
            <w:pPr>
              <w:pStyle w:val="ListParagraph"/>
              <w:numPr>
                <w:ilvl w:val="0"/>
                <w:numId w:val="19"/>
              </w:numPr>
              <w:spacing w:before="0" w:after="120"/>
              <w:contextualSpacing/>
            </w:pPr>
            <w:r w:rsidRPr="00713025">
              <w:t xml:space="preserve">other information disclosed or provided to the Chief Executive Medicare </w:t>
            </w:r>
          </w:p>
          <w:p w14:paraId="3162A3B7" w14:textId="77777777" w:rsidR="007E7684" w:rsidRPr="00713025" w:rsidRDefault="007E7684" w:rsidP="006669F1">
            <w:r w:rsidRPr="00713025">
              <w:t xml:space="preserve">can be matched. </w:t>
            </w:r>
          </w:p>
        </w:tc>
        <w:tc>
          <w:tcPr>
            <w:tcW w:w="4356" w:type="dxa"/>
            <w:tcBorders>
              <w:top w:val="single" w:sz="8" w:space="0" w:color="658D1B"/>
              <w:left w:val="nil"/>
              <w:bottom w:val="single" w:sz="8" w:space="0" w:color="658D1B"/>
              <w:right w:val="nil"/>
            </w:tcBorders>
          </w:tcPr>
          <w:p w14:paraId="302F60EC" w14:textId="77777777" w:rsidR="007E7684" w:rsidRPr="00713025" w:rsidRDefault="007E7684" w:rsidP="006669F1"/>
        </w:tc>
      </w:tr>
      <w:tr w:rsidR="0067293F" w:rsidRPr="00713025" w14:paraId="28011ABF" w14:textId="77777777" w:rsidTr="007E7684">
        <w:tc>
          <w:tcPr>
            <w:tcW w:w="3276" w:type="dxa"/>
            <w:vMerge w:val="restart"/>
            <w:tcBorders>
              <w:top w:val="single" w:sz="8" w:space="0" w:color="658D1B"/>
              <w:left w:val="nil"/>
              <w:bottom w:val="single" w:sz="8" w:space="0" w:color="658D1B"/>
              <w:right w:val="nil"/>
            </w:tcBorders>
            <w:hideMark/>
          </w:tcPr>
          <w:p w14:paraId="1292B7B3" w14:textId="5BBF1B6B" w:rsidR="007E7684" w:rsidRPr="00713025" w:rsidRDefault="007E7684" w:rsidP="006669F1">
            <w:pPr>
              <w:rPr>
                <w:b/>
                <w:bCs/>
              </w:rPr>
            </w:pPr>
            <w:r w:rsidRPr="001E6689">
              <w:rPr>
                <w:b/>
                <w:bCs/>
                <w:i/>
                <w:iCs/>
              </w:rPr>
              <w:t>Aged Care Act 1997</w:t>
            </w:r>
            <w:r w:rsidR="001E6689">
              <w:rPr>
                <w:b/>
                <w:bCs/>
              </w:rPr>
              <w:t xml:space="preserve"> (Cth)</w:t>
            </w:r>
          </w:p>
        </w:tc>
        <w:tc>
          <w:tcPr>
            <w:tcW w:w="1490" w:type="dxa"/>
            <w:tcBorders>
              <w:top w:val="single" w:sz="8" w:space="0" w:color="658D1B"/>
              <w:left w:val="nil"/>
              <w:bottom w:val="single" w:sz="8" w:space="0" w:color="658D1B"/>
              <w:right w:val="nil"/>
            </w:tcBorders>
            <w:hideMark/>
          </w:tcPr>
          <w:p w14:paraId="219E015B" w14:textId="77777777" w:rsidR="007E7684" w:rsidRPr="00713025" w:rsidRDefault="007E7684" w:rsidP="006669F1">
            <w:r w:rsidRPr="00713025">
              <w:t>s 86-2</w:t>
            </w:r>
          </w:p>
        </w:tc>
        <w:tc>
          <w:tcPr>
            <w:tcW w:w="4687" w:type="dxa"/>
            <w:tcBorders>
              <w:top w:val="single" w:sz="8" w:space="0" w:color="658D1B"/>
              <w:left w:val="nil"/>
              <w:bottom w:val="single" w:sz="8" w:space="0" w:color="658D1B"/>
              <w:right w:val="nil"/>
            </w:tcBorders>
            <w:hideMark/>
          </w:tcPr>
          <w:p w14:paraId="45A6C3CB" w14:textId="46DC81BC" w:rsidR="007E7684" w:rsidRPr="00713025" w:rsidRDefault="007E7684" w:rsidP="006669F1">
            <w:r w:rsidRPr="00713025">
              <w:t>A person must not record, disclose, or otherwise use protected information</w:t>
            </w:r>
            <w:r w:rsidRPr="00713025">
              <w:rPr>
                <w:i/>
                <w:iCs/>
              </w:rPr>
              <w:t xml:space="preserve"> </w:t>
            </w:r>
            <w:r w:rsidRPr="00713025">
              <w:t xml:space="preserve">acquired </w:t>
            </w:r>
            <w:proofErr w:type="gramStart"/>
            <w:r w:rsidRPr="00713025">
              <w:t>in the course of</w:t>
            </w:r>
            <w:proofErr w:type="gramEnd"/>
            <w:r w:rsidRPr="00713025">
              <w:t xml:space="preserve"> performing one's duties or exercising one's powers under the Act or the </w:t>
            </w:r>
            <w:r w:rsidRPr="00713025">
              <w:rPr>
                <w:i/>
                <w:iCs/>
              </w:rPr>
              <w:t>Aged Care (Transitional Provisions) Act 1997</w:t>
            </w:r>
            <w:r w:rsidR="00886AFD" w:rsidRPr="00713025">
              <w:rPr>
                <w:i/>
                <w:iCs/>
              </w:rPr>
              <w:t xml:space="preserve"> </w:t>
            </w:r>
            <w:r w:rsidR="00886AFD" w:rsidRPr="00713025">
              <w:t>(Cth)</w:t>
            </w:r>
            <w:r w:rsidRPr="00713025">
              <w:t xml:space="preserve">. </w:t>
            </w:r>
          </w:p>
          <w:p w14:paraId="29B22461" w14:textId="03F946E8" w:rsidR="007E7684" w:rsidRPr="00713025" w:rsidRDefault="007E7684" w:rsidP="006669F1">
            <w:r w:rsidRPr="00713025">
              <w:t xml:space="preserve">Note: protected information is defined in section 86-1 of the Act as information that was acquired under or for the purposes of this Act or the </w:t>
            </w:r>
            <w:r w:rsidRPr="00713025">
              <w:rPr>
                <w:i/>
                <w:iCs/>
              </w:rPr>
              <w:t>Aged Care (Transitional Provisions) Act 1997</w:t>
            </w:r>
            <w:r w:rsidRPr="00713025">
              <w:t xml:space="preserve"> </w:t>
            </w:r>
            <w:r w:rsidR="00886AFD" w:rsidRPr="00713025">
              <w:t xml:space="preserve">(Cth) </w:t>
            </w:r>
            <w:r w:rsidRPr="00713025">
              <w:t xml:space="preserve">and either </w:t>
            </w:r>
          </w:p>
          <w:p w14:paraId="322A6AB7" w14:textId="77777777" w:rsidR="007E7684" w:rsidRPr="00713025" w:rsidRDefault="007E7684" w:rsidP="00385B04">
            <w:pPr>
              <w:pStyle w:val="ListParagraph"/>
              <w:numPr>
                <w:ilvl w:val="0"/>
                <w:numId w:val="20"/>
              </w:numPr>
              <w:spacing w:before="0" w:after="120"/>
              <w:contextualSpacing/>
            </w:pPr>
            <w:r w:rsidRPr="00713025">
              <w:t xml:space="preserve">is personal information, </w:t>
            </w:r>
          </w:p>
          <w:p w14:paraId="204CC147" w14:textId="77777777" w:rsidR="007E7684" w:rsidRPr="00713025" w:rsidRDefault="007E7684" w:rsidP="00385B04">
            <w:pPr>
              <w:pStyle w:val="ListParagraph"/>
              <w:numPr>
                <w:ilvl w:val="0"/>
                <w:numId w:val="20"/>
              </w:numPr>
              <w:spacing w:before="0" w:after="120"/>
              <w:contextualSpacing/>
            </w:pPr>
            <w:r w:rsidRPr="00713025">
              <w:t>relates to the affairs or an approved provider, or</w:t>
            </w:r>
          </w:p>
          <w:p w14:paraId="3B9F8F9E" w14:textId="77777777" w:rsidR="007E7684" w:rsidRPr="00713025" w:rsidRDefault="007E7684" w:rsidP="00385B04">
            <w:pPr>
              <w:pStyle w:val="ListParagraph"/>
              <w:numPr>
                <w:ilvl w:val="0"/>
                <w:numId w:val="20"/>
              </w:numPr>
              <w:spacing w:before="0" w:after="120"/>
              <w:contextualSpacing/>
            </w:pPr>
            <w:r w:rsidRPr="00713025">
              <w:t xml:space="preserve">relates to the affairs of an applicant for a grant under Chapter 5.  </w:t>
            </w:r>
          </w:p>
        </w:tc>
        <w:tc>
          <w:tcPr>
            <w:tcW w:w="4356" w:type="dxa"/>
            <w:tcBorders>
              <w:top w:val="single" w:sz="8" w:space="0" w:color="658D1B"/>
              <w:left w:val="nil"/>
              <w:bottom w:val="single" w:sz="8" w:space="0" w:color="658D1B"/>
              <w:right w:val="nil"/>
            </w:tcBorders>
            <w:hideMark/>
          </w:tcPr>
          <w:p w14:paraId="73557D88" w14:textId="77777777" w:rsidR="007E7684" w:rsidRPr="00713025" w:rsidRDefault="007E7684" w:rsidP="00385B04">
            <w:pPr>
              <w:pStyle w:val="ListParagraph"/>
              <w:numPr>
                <w:ilvl w:val="0"/>
                <w:numId w:val="20"/>
              </w:numPr>
              <w:spacing w:after="120"/>
              <w:ind w:left="417"/>
            </w:pPr>
            <w:r w:rsidRPr="00713025">
              <w:t xml:space="preserve">Conduct carried out in the performance of a function or duty under this Act or the transitional </w:t>
            </w:r>
            <w:proofErr w:type="gramStart"/>
            <w:r w:rsidRPr="00713025">
              <w:t>provisions</w:t>
            </w:r>
            <w:proofErr w:type="gramEnd"/>
          </w:p>
          <w:p w14:paraId="31BDC225" w14:textId="77777777" w:rsidR="007E7684" w:rsidRPr="00713025" w:rsidRDefault="007E7684" w:rsidP="00385B04">
            <w:pPr>
              <w:pStyle w:val="ListParagraph"/>
              <w:numPr>
                <w:ilvl w:val="0"/>
                <w:numId w:val="20"/>
              </w:numPr>
              <w:spacing w:after="120"/>
              <w:ind w:left="417"/>
            </w:pPr>
            <w:r w:rsidRPr="00713025">
              <w:t xml:space="preserve">Disclosure of information to a person to whom it </w:t>
            </w:r>
            <w:proofErr w:type="gramStart"/>
            <w:r w:rsidRPr="00713025">
              <w:t>relates</w:t>
            </w:r>
            <w:proofErr w:type="gramEnd"/>
          </w:p>
          <w:p w14:paraId="57CDC31B" w14:textId="77777777" w:rsidR="007E7684" w:rsidRPr="00713025" w:rsidRDefault="007E7684" w:rsidP="00385B04">
            <w:pPr>
              <w:pStyle w:val="ListParagraph"/>
              <w:numPr>
                <w:ilvl w:val="0"/>
                <w:numId w:val="20"/>
              </w:numPr>
              <w:spacing w:after="120"/>
              <w:ind w:left="417"/>
            </w:pPr>
            <w:r w:rsidRPr="00713025">
              <w:t xml:space="preserve">Conduct carried out by an approved </w:t>
            </w:r>
            <w:proofErr w:type="gramStart"/>
            <w:r w:rsidRPr="00713025">
              <w:t>provider</w:t>
            </w:r>
            <w:proofErr w:type="gramEnd"/>
            <w:r w:rsidRPr="00713025">
              <w:t xml:space="preserve"> </w:t>
            </w:r>
          </w:p>
          <w:p w14:paraId="0BC2CF75" w14:textId="77777777" w:rsidR="007E7684" w:rsidRPr="00713025" w:rsidRDefault="007E7684" w:rsidP="00385B04">
            <w:pPr>
              <w:pStyle w:val="ListParagraph"/>
              <w:numPr>
                <w:ilvl w:val="0"/>
                <w:numId w:val="20"/>
              </w:numPr>
              <w:spacing w:after="120"/>
              <w:ind w:left="417"/>
            </w:pPr>
            <w:r w:rsidRPr="00713025">
              <w:t xml:space="preserve">Conduct that is authorised by the person to whom the information </w:t>
            </w:r>
            <w:proofErr w:type="gramStart"/>
            <w:r w:rsidRPr="00713025">
              <w:t>relates</w:t>
            </w:r>
            <w:proofErr w:type="gramEnd"/>
            <w:r w:rsidRPr="00713025">
              <w:t xml:space="preserve"> </w:t>
            </w:r>
          </w:p>
          <w:p w14:paraId="4B9D7D84" w14:textId="77777777" w:rsidR="007E7684" w:rsidRPr="00713025" w:rsidRDefault="007E7684" w:rsidP="00385B04">
            <w:pPr>
              <w:pStyle w:val="ListParagraph"/>
              <w:numPr>
                <w:ilvl w:val="0"/>
                <w:numId w:val="20"/>
              </w:numPr>
              <w:spacing w:after="120"/>
              <w:ind w:left="417"/>
            </w:pPr>
            <w:r w:rsidRPr="00713025">
              <w:t>Conduct that is otherwise authorised under this or any other Act</w:t>
            </w:r>
          </w:p>
        </w:tc>
      </w:tr>
      <w:tr w:rsidR="0067293F" w:rsidRPr="00713025" w14:paraId="1E091D2F" w14:textId="77777777" w:rsidTr="007E7684">
        <w:tc>
          <w:tcPr>
            <w:tcW w:w="3276" w:type="dxa"/>
            <w:vMerge/>
            <w:tcBorders>
              <w:top w:val="single" w:sz="8" w:space="0" w:color="658D1B"/>
              <w:left w:val="nil"/>
              <w:bottom w:val="single" w:sz="8" w:space="0" w:color="658D1B"/>
              <w:right w:val="nil"/>
            </w:tcBorders>
            <w:vAlign w:val="center"/>
            <w:hideMark/>
          </w:tcPr>
          <w:p w14:paraId="35013DBD"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0BAA45EB" w14:textId="77777777" w:rsidR="007E7684" w:rsidRPr="00713025" w:rsidRDefault="007E7684" w:rsidP="006669F1">
            <w:r w:rsidRPr="00713025">
              <w:t>s 86-5</w:t>
            </w:r>
          </w:p>
        </w:tc>
        <w:tc>
          <w:tcPr>
            <w:tcW w:w="4687" w:type="dxa"/>
            <w:tcBorders>
              <w:top w:val="single" w:sz="8" w:space="0" w:color="658D1B"/>
              <w:left w:val="nil"/>
              <w:bottom w:val="single" w:sz="8" w:space="0" w:color="658D1B"/>
              <w:right w:val="nil"/>
            </w:tcBorders>
            <w:hideMark/>
          </w:tcPr>
          <w:p w14:paraId="1E48FC13" w14:textId="77777777" w:rsidR="007E7684" w:rsidRPr="00713025" w:rsidRDefault="007E7684" w:rsidP="006669F1">
            <w:r w:rsidRPr="00713025">
              <w:t>A person must not record, disclose, or otherwise use protected information</w:t>
            </w:r>
            <w:r w:rsidRPr="00713025">
              <w:rPr>
                <w:i/>
                <w:iCs/>
              </w:rPr>
              <w:t xml:space="preserve"> </w:t>
            </w:r>
            <w:r w:rsidRPr="00713025">
              <w:t>which was disclosed to them under s 86-3 or 86-4 of the Act for a purpose other than which the information was disclosed to them.</w:t>
            </w:r>
          </w:p>
          <w:p w14:paraId="70FB251D" w14:textId="77777777" w:rsidR="007E7684" w:rsidRPr="00713025" w:rsidRDefault="007E7684" w:rsidP="006669F1">
            <w:r w:rsidRPr="00713025">
              <w:t xml:space="preserve">Note sections 86-3 and 86-4 deal with disclosure by the secretary on various grounds or disclosure by people conducting an assessment in relation to aged care. </w:t>
            </w:r>
          </w:p>
        </w:tc>
        <w:tc>
          <w:tcPr>
            <w:tcW w:w="4356" w:type="dxa"/>
            <w:tcBorders>
              <w:top w:val="single" w:sz="8" w:space="0" w:color="658D1B"/>
              <w:left w:val="nil"/>
              <w:bottom w:val="single" w:sz="8" w:space="0" w:color="658D1B"/>
              <w:right w:val="nil"/>
            </w:tcBorders>
          </w:tcPr>
          <w:p w14:paraId="6DCBBCEC" w14:textId="77777777" w:rsidR="007E7684" w:rsidRPr="00713025" w:rsidRDefault="007E7684" w:rsidP="006669F1"/>
        </w:tc>
      </w:tr>
      <w:tr w:rsidR="0067293F" w:rsidRPr="00713025" w14:paraId="5EE8E63A" w14:textId="77777777" w:rsidTr="007E7684">
        <w:tc>
          <w:tcPr>
            <w:tcW w:w="3276" w:type="dxa"/>
            <w:vMerge/>
            <w:tcBorders>
              <w:top w:val="single" w:sz="8" w:space="0" w:color="658D1B"/>
              <w:left w:val="nil"/>
              <w:bottom w:val="single" w:sz="8" w:space="0" w:color="658D1B"/>
              <w:right w:val="nil"/>
            </w:tcBorders>
            <w:vAlign w:val="center"/>
            <w:hideMark/>
          </w:tcPr>
          <w:p w14:paraId="0AC0C00B"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1F94217E" w14:textId="77777777" w:rsidR="007E7684" w:rsidRPr="00713025" w:rsidRDefault="007E7684" w:rsidP="006669F1">
            <w:r w:rsidRPr="00713025">
              <w:t>s 86-6</w:t>
            </w:r>
          </w:p>
        </w:tc>
        <w:tc>
          <w:tcPr>
            <w:tcW w:w="4687" w:type="dxa"/>
            <w:tcBorders>
              <w:top w:val="single" w:sz="8" w:space="0" w:color="658D1B"/>
              <w:left w:val="nil"/>
              <w:bottom w:val="single" w:sz="8" w:space="0" w:color="658D1B"/>
              <w:right w:val="nil"/>
            </w:tcBorders>
            <w:hideMark/>
          </w:tcPr>
          <w:p w14:paraId="10D59ACB" w14:textId="77777777" w:rsidR="007E7684" w:rsidRPr="00713025" w:rsidRDefault="007E7684" w:rsidP="006669F1">
            <w:r w:rsidRPr="00713025">
              <w:t>A person must not record, disclose, or otherwise use protected information</w:t>
            </w:r>
            <w:r w:rsidRPr="00713025">
              <w:rPr>
                <w:i/>
                <w:iCs/>
              </w:rPr>
              <w:t xml:space="preserve"> </w:t>
            </w:r>
            <w:r w:rsidRPr="00713025">
              <w:t xml:space="preserve">which was disclosed to them (or any other person) under: </w:t>
            </w:r>
          </w:p>
          <w:p w14:paraId="6DA0242D" w14:textId="4DA5FD79" w:rsidR="007E7684" w:rsidRPr="00713025" w:rsidRDefault="007E7684" w:rsidP="00385B04">
            <w:pPr>
              <w:pStyle w:val="ListParagraph"/>
              <w:numPr>
                <w:ilvl w:val="0"/>
                <w:numId w:val="21"/>
              </w:numPr>
              <w:spacing w:before="0" w:after="120"/>
              <w:contextualSpacing/>
            </w:pPr>
            <w:r w:rsidRPr="00713025">
              <w:t xml:space="preserve">section 1314 of the </w:t>
            </w:r>
            <w:r w:rsidRPr="00713025">
              <w:rPr>
                <w:i/>
                <w:iCs/>
              </w:rPr>
              <w:t>Social Security Act 1991</w:t>
            </w:r>
            <w:r w:rsidR="00886AFD" w:rsidRPr="00713025">
              <w:t xml:space="preserve"> (Cth)</w:t>
            </w:r>
            <w:r w:rsidRPr="00713025">
              <w:t xml:space="preserve">, </w:t>
            </w:r>
          </w:p>
          <w:p w14:paraId="3398C8A9" w14:textId="692B0BFE" w:rsidR="007E7684" w:rsidRPr="00713025" w:rsidRDefault="007E7684" w:rsidP="00385B04">
            <w:pPr>
              <w:pStyle w:val="ListParagraph"/>
              <w:numPr>
                <w:ilvl w:val="0"/>
                <w:numId w:val="21"/>
              </w:numPr>
              <w:spacing w:before="0" w:after="120"/>
              <w:contextualSpacing/>
            </w:pPr>
            <w:r w:rsidRPr="00713025">
              <w:t xml:space="preserve">section 130 of the </w:t>
            </w:r>
            <w:r w:rsidRPr="00713025">
              <w:rPr>
                <w:i/>
                <w:iCs/>
              </w:rPr>
              <w:t>Veterans' Entitlements Act 1986</w:t>
            </w:r>
            <w:r w:rsidR="00886AFD" w:rsidRPr="00713025">
              <w:t xml:space="preserve"> (Cth)</w:t>
            </w:r>
            <w:r w:rsidRPr="00713025">
              <w:t xml:space="preserve">, </w:t>
            </w:r>
          </w:p>
          <w:p w14:paraId="0756CE0B" w14:textId="221B61DD" w:rsidR="007E7684" w:rsidRPr="00713025" w:rsidRDefault="007E7684" w:rsidP="00385B04">
            <w:pPr>
              <w:pStyle w:val="ListParagraph"/>
              <w:numPr>
                <w:ilvl w:val="0"/>
                <w:numId w:val="21"/>
              </w:numPr>
              <w:spacing w:before="0" w:after="120"/>
              <w:contextualSpacing/>
            </w:pPr>
            <w:r w:rsidRPr="00713025">
              <w:t xml:space="preserve">section 409 of the </w:t>
            </w:r>
            <w:r w:rsidRPr="00713025">
              <w:rPr>
                <w:i/>
                <w:iCs/>
              </w:rPr>
              <w:t>Military Rehabilitation and Compensation Act 2004</w:t>
            </w:r>
            <w:r w:rsidR="00886AFD" w:rsidRPr="00713025">
              <w:t xml:space="preserve"> (Cth)</w:t>
            </w:r>
            <w:r w:rsidRPr="00713025">
              <w:t xml:space="preserve">, </w:t>
            </w:r>
          </w:p>
          <w:p w14:paraId="282B3CE3" w14:textId="78DDAAE3" w:rsidR="007E7684" w:rsidRPr="00713025" w:rsidRDefault="007E7684" w:rsidP="00385B04">
            <w:pPr>
              <w:pStyle w:val="ListParagraph"/>
              <w:numPr>
                <w:ilvl w:val="0"/>
                <w:numId w:val="21"/>
              </w:numPr>
              <w:spacing w:before="0" w:after="120"/>
              <w:contextualSpacing/>
            </w:pPr>
            <w:r w:rsidRPr="00713025">
              <w:t xml:space="preserve">section 36 of the </w:t>
            </w:r>
            <w:r w:rsidRPr="00713025">
              <w:rPr>
                <w:i/>
                <w:iCs/>
              </w:rPr>
              <w:t xml:space="preserve">Australian Participants in British Nuclear Tests and British Commonwealth Occupation Force (Treatment) Act 2006 </w:t>
            </w:r>
            <w:r w:rsidR="00886AFD" w:rsidRPr="00713025">
              <w:t xml:space="preserve">(Cth) </w:t>
            </w:r>
            <w:r w:rsidRPr="00713025">
              <w:t xml:space="preserve">or </w:t>
            </w:r>
          </w:p>
          <w:p w14:paraId="1DCB8F7B" w14:textId="61FA53CC" w:rsidR="007E7684" w:rsidRPr="00713025" w:rsidRDefault="007E7684" w:rsidP="00385B04">
            <w:pPr>
              <w:pStyle w:val="ListParagraph"/>
              <w:numPr>
                <w:ilvl w:val="0"/>
                <w:numId w:val="21"/>
              </w:numPr>
              <w:spacing w:before="0" w:after="120"/>
              <w:contextualSpacing/>
            </w:pPr>
            <w:r w:rsidRPr="00713025">
              <w:t xml:space="preserve">section 46 of the </w:t>
            </w:r>
            <w:r w:rsidRPr="00713025">
              <w:rPr>
                <w:i/>
                <w:iCs/>
              </w:rPr>
              <w:t>Treatment Benefits (Special Access) Act 2019</w:t>
            </w:r>
            <w:r w:rsidR="00886AFD" w:rsidRPr="00713025">
              <w:t xml:space="preserve"> (Cth)</w:t>
            </w:r>
            <w:r w:rsidRPr="00713025">
              <w:t xml:space="preserve">, </w:t>
            </w:r>
          </w:p>
          <w:p w14:paraId="254C324F" w14:textId="77777777" w:rsidR="007E7684" w:rsidRPr="00713025" w:rsidRDefault="007E7684" w:rsidP="006669F1">
            <w:r w:rsidRPr="00713025">
              <w:lastRenderedPageBreak/>
              <w:t>for the specific purposes of:</w:t>
            </w:r>
          </w:p>
          <w:p w14:paraId="7732C541" w14:textId="77777777" w:rsidR="007E7684" w:rsidRPr="00713025" w:rsidRDefault="007E7684" w:rsidP="00385B04">
            <w:pPr>
              <w:pStyle w:val="ListParagraph"/>
              <w:numPr>
                <w:ilvl w:val="0"/>
                <w:numId w:val="22"/>
              </w:numPr>
              <w:spacing w:before="0" w:after="120"/>
              <w:contextualSpacing/>
            </w:pPr>
            <w:r w:rsidRPr="00713025">
              <w:t>determining whether *residential care subsidy is payable to an approved provider in respect of a care recipient; or</w:t>
            </w:r>
          </w:p>
          <w:p w14:paraId="71C65688" w14:textId="77777777" w:rsidR="007E7684" w:rsidRPr="00713025" w:rsidRDefault="007E7684" w:rsidP="00385B04">
            <w:pPr>
              <w:pStyle w:val="ListParagraph"/>
              <w:numPr>
                <w:ilvl w:val="0"/>
                <w:numId w:val="22"/>
              </w:numPr>
              <w:spacing w:before="0" w:after="120"/>
              <w:contextualSpacing/>
            </w:pPr>
            <w:r w:rsidRPr="00713025">
              <w:t>determining the amount of residential care subsidy that is payable to an approved provider in respect of a care recipient; or</w:t>
            </w:r>
          </w:p>
          <w:p w14:paraId="60F28C6D" w14:textId="77777777" w:rsidR="007E7684" w:rsidRPr="00713025" w:rsidRDefault="007E7684" w:rsidP="00385B04">
            <w:pPr>
              <w:pStyle w:val="ListParagraph"/>
              <w:numPr>
                <w:ilvl w:val="0"/>
                <w:numId w:val="22"/>
              </w:numPr>
              <w:spacing w:before="0" w:after="120"/>
              <w:contextualSpacing/>
            </w:pPr>
            <w:r w:rsidRPr="00713025">
              <w:t xml:space="preserve">determining whether an approved provider has complied, or is complying, with its responsibilities under Chapter 4 of this </w:t>
            </w:r>
            <w:proofErr w:type="gramStart"/>
            <w:r w:rsidRPr="00713025">
              <w:t>Act</w:t>
            </w:r>
            <w:proofErr w:type="gramEnd"/>
          </w:p>
          <w:p w14:paraId="54021686" w14:textId="77777777" w:rsidR="007E7684" w:rsidRPr="00713025" w:rsidRDefault="007E7684" w:rsidP="006669F1">
            <w:r w:rsidRPr="00713025">
              <w:t xml:space="preserve">for a purpose other than those listed above. </w:t>
            </w:r>
          </w:p>
        </w:tc>
        <w:tc>
          <w:tcPr>
            <w:tcW w:w="4356" w:type="dxa"/>
            <w:tcBorders>
              <w:top w:val="single" w:sz="8" w:space="0" w:color="658D1B"/>
              <w:left w:val="nil"/>
              <w:bottom w:val="single" w:sz="8" w:space="0" w:color="658D1B"/>
              <w:right w:val="nil"/>
            </w:tcBorders>
          </w:tcPr>
          <w:p w14:paraId="6F270637" w14:textId="77777777" w:rsidR="007E7684" w:rsidRPr="00713025" w:rsidRDefault="007E7684" w:rsidP="006669F1"/>
        </w:tc>
      </w:tr>
      <w:tr w:rsidR="0067293F" w:rsidRPr="00713025" w14:paraId="5FFC00C1" w14:textId="77777777" w:rsidTr="007E7684">
        <w:tc>
          <w:tcPr>
            <w:tcW w:w="3276" w:type="dxa"/>
            <w:vMerge/>
            <w:tcBorders>
              <w:top w:val="single" w:sz="8" w:space="0" w:color="658D1B"/>
              <w:left w:val="nil"/>
              <w:bottom w:val="single" w:sz="8" w:space="0" w:color="658D1B"/>
              <w:right w:val="nil"/>
            </w:tcBorders>
            <w:vAlign w:val="center"/>
            <w:hideMark/>
          </w:tcPr>
          <w:p w14:paraId="289552E0"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0399179F" w14:textId="77777777" w:rsidR="007E7684" w:rsidRPr="00713025" w:rsidRDefault="007E7684" w:rsidP="006669F1">
            <w:r w:rsidRPr="00713025">
              <w:t>s 86-7</w:t>
            </w:r>
          </w:p>
        </w:tc>
        <w:tc>
          <w:tcPr>
            <w:tcW w:w="4687" w:type="dxa"/>
            <w:tcBorders>
              <w:top w:val="single" w:sz="8" w:space="0" w:color="658D1B"/>
              <w:left w:val="nil"/>
              <w:bottom w:val="single" w:sz="8" w:space="0" w:color="658D1B"/>
              <w:right w:val="nil"/>
            </w:tcBorders>
          </w:tcPr>
          <w:p w14:paraId="232BE3BD" w14:textId="77777777" w:rsidR="007E7684" w:rsidRPr="00713025" w:rsidRDefault="007E7684" w:rsidP="006669F1">
            <w:r w:rsidRPr="00713025">
              <w:t xml:space="preserve">The following entities must not record, </w:t>
            </w:r>
            <w:proofErr w:type="gramStart"/>
            <w:r w:rsidRPr="00713025">
              <w:t>disclose</w:t>
            </w:r>
            <w:proofErr w:type="gramEnd"/>
            <w:r w:rsidRPr="00713025">
              <w:t xml:space="preserve"> or otherwise use protected information</w:t>
            </w:r>
            <w:r w:rsidRPr="00713025">
              <w:rPr>
                <w:i/>
                <w:iCs/>
              </w:rPr>
              <w:t xml:space="preserve"> </w:t>
            </w:r>
            <w:r w:rsidRPr="00713025">
              <w:t>for a purpose other than that which it was acquired for, or for which the person to whom the information relates has given written consent:</w:t>
            </w:r>
          </w:p>
          <w:p w14:paraId="65CC8D3E" w14:textId="77777777" w:rsidR="007E7684" w:rsidRPr="00713025" w:rsidRDefault="007E7684" w:rsidP="00385B04">
            <w:pPr>
              <w:pStyle w:val="ListParagraph"/>
              <w:numPr>
                <w:ilvl w:val="0"/>
                <w:numId w:val="23"/>
              </w:numPr>
              <w:spacing w:before="0" w:after="120"/>
              <w:contextualSpacing/>
            </w:pPr>
            <w:r w:rsidRPr="00713025">
              <w:t>an officer of the Department which administers the:</w:t>
            </w:r>
          </w:p>
          <w:p w14:paraId="73537D94" w14:textId="43DAC6E0" w:rsidR="007E7684" w:rsidRPr="00713025" w:rsidRDefault="007E7684" w:rsidP="00385B04">
            <w:pPr>
              <w:pStyle w:val="ListParagraph"/>
              <w:numPr>
                <w:ilvl w:val="1"/>
                <w:numId w:val="23"/>
              </w:numPr>
              <w:spacing w:before="0" w:after="120"/>
              <w:contextualSpacing/>
            </w:pPr>
            <w:r w:rsidRPr="00713025">
              <w:rPr>
                <w:i/>
                <w:iCs/>
              </w:rPr>
              <w:t>Social Security Act 1991</w:t>
            </w:r>
            <w:r w:rsidR="00886AFD" w:rsidRPr="00713025">
              <w:rPr>
                <w:i/>
                <w:iCs/>
              </w:rPr>
              <w:t xml:space="preserve"> </w:t>
            </w:r>
            <w:r w:rsidR="00886AFD" w:rsidRPr="00713025">
              <w:t>(Cth)</w:t>
            </w:r>
            <w:r w:rsidRPr="00713025">
              <w:t>,</w:t>
            </w:r>
            <w:r w:rsidRPr="00713025">
              <w:rPr>
                <w:i/>
                <w:iCs/>
              </w:rPr>
              <w:t xml:space="preserve"> or</w:t>
            </w:r>
          </w:p>
          <w:p w14:paraId="650592D8" w14:textId="399FDA30" w:rsidR="007E7684" w:rsidRPr="00713025" w:rsidRDefault="007E7684" w:rsidP="00385B04">
            <w:pPr>
              <w:pStyle w:val="ListParagraph"/>
              <w:numPr>
                <w:ilvl w:val="1"/>
                <w:numId w:val="23"/>
              </w:numPr>
              <w:spacing w:before="0" w:after="120"/>
              <w:contextualSpacing/>
            </w:pPr>
            <w:r w:rsidRPr="00713025">
              <w:rPr>
                <w:i/>
                <w:iCs/>
              </w:rPr>
              <w:t>Veterans Entitlements Act 1986</w:t>
            </w:r>
            <w:r w:rsidR="00886AFD" w:rsidRPr="00713025">
              <w:rPr>
                <w:i/>
                <w:iCs/>
              </w:rPr>
              <w:t xml:space="preserve"> </w:t>
            </w:r>
            <w:r w:rsidR="00886AFD" w:rsidRPr="00713025">
              <w:t>(Cth)</w:t>
            </w:r>
            <w:r w:rsidRPr="00713025">
              <w:t>,</w:t>
            </w:r>
            <w:r w:rsidRPr="00713025">
              <w:rPr>
                <w:i/>
                <w:iCs/>
              </w:rPr>
              <w:t xml:space="preserve"> </w:t>
            </w:r>
            <w:r w:rsidRPr="00713025">
              <w:t>or</w:t>
            </w:r>
          </w:p>
          <w:p w14:paraId="21DF60E1" w14:textId="77777777" w:rsidR="007E7684" w:rsidRPr="00713025" w:rsidRDefault="007E7684" w:rsidP="00385B04">
            <w:pPr>
              <w:pStyle w:val="ListParagraph"/>
              <w:numPr>
                <w:ilvl w:val="0"/>
                <w:numId w:val="23"/>
              </w:numPr>
              <w:spacing w:before="0" w:after="120"/>
              <w:contextualSpacing/>
            </w:pPr>
            <w:r w:rsidRPr="00713025">
              <w:t xml:space="preserve">the Chief Executive Centrelink or Chief Executive Medicare, or </w:t>
            </w:r>
          </w:p>
          <w:p w14:paraId="11946D9C" w14:textId="47395397" w:rsidR="007E7684" w:rsidRPr="00713025" w:rsidRDefault="007E7684" w:rsidP="00385B04">
            <w:pPr>
              <w:pStyle w:val="ListParagraph"/>
              <w:numPr>
                <w:ilvl w:val="0"/>
                <w:numId w:val="23"/>
              </w:numPr>
              <w:spacing w:before="0" w:after="120"/>
              <w:contextualSpacing/>
            </w:pPr>
            <w:r w:rsidRPr="00713025">
              <w:lastRenderedPageBreak/>
              <w:t xml:space="preserve">a departmental employee within the meaning of the </w:t>
            </w:r>
            <w:r w:rsidRPr="00713025">
              <w:rPr>
                <w:i/>
                <w:iCs/>
              </w:rPr>
              <w:t>Human Services (Centrelink) Act 1997</w:t>
            </w:r>
            <w:r w:rsidRPr="00713025">
              <w:t xml:space="preserve"> </w:t>
            </w:r>
            <w:r w:rsidR="00886AFD" w:rsidRPr="00713025">
              <w:t xml:space="preserve">(Cth) </w:t>
            </w:r>
            <w:r w:rsidRPr="00713025">
              <w:t xml:space="preserve">or the </w:t>
            </w:r>
            <w:r w:rsidRPr="00713025">
              <w:rPr>
                <w:i/>
                <w:iCs/>
              </w:rPr>
              <w:t>Human Services (Medicare) Act 1973</w:t>
            </w:r>
            <w:r w:rsidR="00886AFD" w:rsidRPr="00713025">
              <w:rPr>
                <w:i/>
                <w:iCs/>
              </w:rPr>
              <w:t xml:space="preserve"> </w:t>
            </w:r>
            <w:r w:rsidR="00886AFD" w:rsidRPr="00713025">
              <w:t>(Cth)</w:t>
            </w:r>
          </w:p>
        </w:tc>
        <w:tc>
          <w:tcPr>
            <w:tcW w:w="4356" w:type="dxa"/>
            <w:tcBorders>
              <w:top w:val="single" w:sz="8" w:space="0" w:color="658D1B"/>
              <w:left w:val="nil"/>
              <w:bottom w:val="single" w:sz="8" w:space="0" w:color="658D1B"/>
              <w:right w:val="nil"/>
            </w:tcBorders>
          </w:tcPr>
          <w:p w14:paraId="063DB34C" w14:textId="77777777" w:rsidR="007E7684" w:rsidRPr="00713025" w:rsidRDefault="007E7684" w:rsidP="006669F1"/>
        </w:tc>
      </w:tr>
      <w:tr w:rsidR="0067293F" w:rsidRPr="00713025" w14:paraId="3848F839" w14:textId="77777777" w:rsidTr="007E7684">
        <w:tc>
          <w:tcPr>
            <w:tcW w:w="3276" w:type="dxa"/>
            <w:vMerge w:val="restart"/>
            <w:tcBorders>
              <w:top w:val="single" w:sz="8" w:space="0" w:color="658D1B"/>
              <w:left w:val="nil"/>
              <w:bottom w:val="single" w:sz="8" w:space="0" w:color="658D1B"/>
              <w:right w:val="nil"/>
            </w:tcBorders>
            <w:hideMark/>
          </w:tcPr>
          <w:p w14:paraId="04FE78C0" w14:textId="3824D394" w:rsidR="007E7684" w:rsidRPr="00713025" w:rsidRDefault="007E7684" w:rsidP="006669F1">
            <w:pPr>
              <w:rPr>
                <w:b/>
                <w:bCs/>
              </w:rPr>
            </w:pPr>
            <w:r w:rsidRPr="001E6689">
              <w:rPr>
                <w:b/>
                <w:bCs/>
                <w:i/>
                <w:iCs/>
              </w:rPr>
              <w:t>Private Health Insurance Act 2007</w:t>
            </w:r>
            <w:r w:rsidR="001E6689">
              <w:rPr>
                <w:b/>
                <w:bCs/>
              </w:rPr>
              <w:t xml:space="preserve"> (Cth)</w:t>
            </w:r>
          </w:p>
        </w:tc>
        <w:tc>
          <w:tcPr>
            <w:tcW w:w="1490" w:type="dxa"/>
            <w:tcBorders>
              <w:top w:val="single" w:sz="8" w:space="0" w:color="658D1B"/>
              <w:left w:val="nil"/>
              <w:bottom w:val="single" w:sz="8" w:space="0" w:color="658D1B"/>
              <w:right w:val="nil"/>
            </w:tcBorders>
            <w:hideMark/>
          </w:tcPr>
          <w:p w14:paraId="316AFDF8" w14:textId="77777777" w:rsidR="007E7684" w:rsidRPr="00713025" w:rsidRDefault="007E7684" w:rsidP="006669F1">
            <w:r w:rsidRPr="00713025">
              <w:t>s 323-1</w:t>
            </w:r>
          </w:p>
        </w:tc>
        <w:tc>
          <w:tcPr>
            <w:tcW w:w="4687" w:type="dxa"/>
            <w:tcBorders>
              <w:top w:val="single" w:sz="8" w:space="0" w:color="658D1B"/>
              <w:left w:val="nil"/>
              <w:bottom w:val="single" w:sz="8" w:space="0" w:color="658D1B"/>
              <w:right w:val="nil"/>
            </w:tcBorders>
          </w:tcPr>
          <w:p w14:paraId="709DF0FA" w14:textId="77777777" w:rsidR="007E7684" w:rsidRPr="00713025" w:rsidRDefault="007E7684" w:rsidP="006669F1">
            <w:r w:rsidRPr="00713025">
              <w:t xml:space="preserve">A person who has or had a duty, </w:t>
            </w:r>
            <w:proofErr w:type="gramStart"/>
            <w:r w:rsidRPr="00713025">
              <w:t>power</w:t>
            </w:r>
            <w:proofErr w:type="gramEnd"/>
            <w:r w:rsidRPr="00713025">
              <w:t xml:space="preserve"> or function under the Act (other than an APRA private health insurance duty, function or power), must not make an unauthorised disclosure of protected information. </w:t>
            </w:r>
          </w:p>
        </w:tc>
        <w:tc>
          <w:tcPr>
            <w:tcW w:w="4356" w:type="dxa"/>
            <w:tcBorders>
              <w:top w:val="single" w:sz="8" w:space="0" w:color="658D1B"/>
              <w:left w:val="nil"/>
              <w:bottom w:val="single" w:sz="8" w:space="0" w:color="658D1B"/>
              <w:right w:val="nil"/>
            </w:tcBorders>
          </w:tcPr>
          <w:p w14:paraId="76329782" w14:textId="77777777" w:rsidR="007E7684" w:rsidRPr="00713025" w:rsidRDefault="007E7684" w:rsidP="006669F1"/>
        </w:tc>
      </w:tr>
      <w:tr w:rsidR="0067293F" w:rsidRPr="00713025" w14:paraId="68B12E07" w14:textId="77777777" w:rsidTr="007E7684">
        <w:tc>
          <w:tcPr>
            <w:tcW w:w="3276" w:type="dxa"/>
            <w:vMerge/>
            <w:tcBorders>
              <w:top w:val="single" w:sz="8" w:space="0" w:color="658D1B"/>
              <w:left w:val="nil"/>
              <w:bottom w:val="single" w:sz="8" w:space="0" w:color="658D1B"/>
              <w:right w:val="nil"/>
            </w:tcBorders>
            <w:vAlign w:val="center"/>
            <w:hideMark/>
          </w:tcPr>
          <w:p w14:paraId="19737F4C"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7EE7349D" w14:textId="77777777" w:rsidR="007E7684" w:rsidRPr="00713025" w:rsidRDefault="007E7684" w:rsidP="006669F1">
            <w:r w:rsidRPr="00713025">
              <w:t>s 323-40</w:t>
            </w:r>
          </w:p>
        </w:tc>
        <w:tc>
          <w:tcPr>
            <w:tcW w:w="4687" w:type="dxa"/>
            <w:tcBorders>
              <w:top w:val="single" w:sz="8" w:space="0" w:color="658D1B"/>
              <w:left w:val="nil"/>
              <w:bottom w:val="single" w:sz="8" w:space="0" w:color="658D1B"/>
              <w:right w:val="nil"/>
            </w:tcBorders>
            <w:hideMark/>
          </w:tcPr>
          <w:p w14:paraId="06DA591C" w14:textId="77777777" w:rsidR="007E7684" w:rsidRPr="00713025" w:rsidRDefault="007E7684" w:rsidP="006669F1">
            <w:r w:rsidRPr="00713025">
              <w:t xml:space="preserve">A person who obtains information through an authorised disclosure under section 323-10, 323-15 or 323-20 must not make an unauthorised disclosure of that information. </w:t>
            </w:r>
          </w:p>
        </w:tc>
        <w:tc>
          <w:tcPr>
            <w:tcW w:w="4356" w:type="dxa"/>
            <w:tcBorders>
              <w:top w:val="single" w:sz="8" w:space="0" w:color="658D1B"/>
              <w:left w:val="nil"/>
              <w:bottom w:val="single" w:sz="8" w:space="0" w:color="658D1B"/>
              <w:right w:val="nil"/>
            </w:tcBorders>
          </w:tcPr>
          <w:p w14:paraId="01993435" w14:textId="77777777" w:rsidR="007E7684" w:rsidRPr="00713025" w:rsidRDefault="007E7684" w:rsidP="006669F1"/>
        </w:tc>
      </w:tr>
      <w:tr w:rsidR="0067293F" w:rsidRPr="00713025" w14:paraId="751F9285" w14:textId="77777777" w:rsidTr="007E7684">
        <w:tc>
          <w:tcPr>
            <w:tcW w:w="3276" w:type="dxa"/>
            <w:vMerge/>
            <w:tcBorders>
              <w:top w:val="single" w:sz="8" w:space="0" w:color="658D1B"/>
              <w:left w:val="nil"/>
              <w:bottom w:val="single" w:sz="8" w:space="0" w:color="658D1B"/>
              <w:right w:val="nil"/>
            </w:tcBorders>
            <w:vAlign w:val="center"/>
            <w:hideMark/>
          </w:tcPr>
          <w:p w14:paraId="2BA2949E"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172C2B05" w14:textId="77777777" w:rsidR="007E7684" w:rsidRPr="00713025" w:rsidRDefault="007E7684" w:rsidP="006669F1">
            <w:r w:rsidRPr="00713025">
              <w:t>s 323-45</w:t>
            </w:r>
          </w:p>
        </w:tc>
        <w:tc>
          <w:tcPr>
            <w:tcW w:w="4687" w:type="dxa"/>
            <w:tcBorders>
              <w:top w:val="single" w:sz="8" w:space="0" w:color="658D1B"/>
              <w:left w:val="nil"/>
              <w:bottom w:val="single" w:sz="8" w:space="0" w:color="658D1B"/>
              <w:right w:val="nil"/>
            </w:tcBorders>
            <w:hideMark/>
          </w:tcPr>
          <w:p w14:paraId="147B2C72" w14:textId="77777777" w:rsidR="007E7684" w:rsidRPr="00713025" w:rsidRDefault="007E7684" w:rsidP="006669F1">
            <w:r w:rsidRPr="00713025">
              <w:t>A person who knows or ought reasonably to know that information is protected information must not solicit the unauthorised disclosure of the information from another person.</w:t>
            </w:r>
          </w:p>
        </w:tc>
        <w:tc>
          <w:tcPr>
            <w:tcW w:w="4356" w:type="dxa"/>
            <w:tcBorders>
              <w:top w:val="single" w:sz="8" w:space="0" w:color="658D1B"/>
              <w:left w:val="nil"/>
              <w:bottom w:val="single" w:sz="8" w:space="0" w:color="658D1B"/>
              <w:right w:val="nil"/>
            </w:tcBorders>
          </w:tcPr>
          <w:p w14:paraId="5464CBC8" w14:textId="77777777" w:rsidR="007E7684" w:rsidRPr="00713025" w:rsidRDefault="007E7684" w:rsidP="006669F1"/>
        </w:tc>
      </w:tr>
      <w:tr w:rsidR="0067293F" w:rsidRPr="00713025" w14:paraId="2437883E" w14:textId="77777777" w:rsidTr="007E7684">
        <w:tc>
          <w:tcPr>
            <w:tcW w:w="3276" w:type="dxa"/>
            <w:vMerge/>
            <w:tcBorders>
              <w:top w:val="single" w:sz="8" w:space="0" w:color="658D1B"/>
              <w:left w:val="nil"/>
              <w:bottom w:val="single" w:sz="8" w:space="0" w:color="658D1B"/>
              <w:right w:val="nil"/>
            </w:tcBorders>
            <w:vAlign w:val="center"/>
            <w:hideMark/>
          </w:tcPr>
          <w:p w14:paraId="79B985D4"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5D5006B5" w14:textId="77777777" w:rsidR="007E7684" w:rsidRPr="00713025" w:rsidRDefault="007E7684" w:rsidP="006669F1">
            <w:r w:rsidRPr="00713025">
              <w:t>s 323-50</w:t>
            </w:r>
          </w:p>
        </w:tc>
        <w:tc>
          <w:tcPr>
            <w:tcW w:w="4687" w:type="dxa"/>
            <w:tcBorders>
              <w:top w:val="single" w:sz="8" w:space="0" w:color="658D1B"/>
              <w:left w:val="nil"/>
              <w:bottom w:val="single" w:sz="8" w:space="0" w:color="658D1B"/>
              <w:right w:val="nil"/>
            </w:tcBorders>
            <w:hideMark/>
          </w:tcPr>
          <w:p w14:paraId="621E2EC9" w14:textId="77777777" w:rsidR="007E7684" w:rsidRPr="00713025" w:rsidRDefault="007E7684" w:rsidP="006669F1">
            <w:r w:rsidRPr="00713025">
              <w:t xml:space="preserve">A person who an unauthorised disclosure of protected information is made to, and who knows or ought reasonably to know that the disclosure is unauthorised, commits an offence if they </w:t>
            </w:r>
          </w:p>
          <w:p w14:paraId="3AF5B77A" w14:textId="77777777" w:rsidR="007E7684" w:rsidRPr="00713025" w:rsidRDefault="007E7684" w:rsidP="00385B04">
            <w:pPr>
              <w:pStyle w:val="ListParagraph"/>
              <w:numPr>
                <w:ilvl w:val="0"/>
                <w:numId w:val="18"/>
              </w:numPr>
              <w:spacing w:before="0" w:after="120"/>
              <w:contextualSpacing/>
            </w:pPr>
            <w:r w:rsidRPr="00713025">
              <w:t xml:space="preserve">solicited the disclosure of the information, </w:t>
            </w:r>
          </w:p>
          <w:p w14:paraId="7F8C90B8" w14:textId="77777777" w:rsidR="007E7684" w:rsidRPr="00713025" w:rsidRDefault="007E7684" w:rsidP="00385B04">
            <w:pPr>
              <w:pStyle w:val="ListParagraph"/>
              <w:numPr>
                <w:ilvl w:val="0"/>
                <w:numId w:val="18"/>
              </w:numPr>
              <w:spacing w:before="0" w:after="120"/>
              <w:contextualSpacing/>
            </w:pPr>
            <w:r w:rsidRPr="00713025">
              <w:lastRenderedPageBreak/>
              <w:t xml:space="preserve">disclose the information, or </w:t>
            </w:r>
          </w:p>
          <w:p w14:paraId="4E98D509" w14:textId="77777777" w:rsidR="007E7684" w:rsidRPr="00713025" w:rsidRDefault="007E7684" w:rsidP="00385B04">
            <w:pPr>
              <w:pStyle w:val="ListParagraph"/>
              <w:numPr>
                <w:ilvl w:val="0"/>
                <w:numId w:val="18"/>
              </w:numPr>
              <w:spacing w:before="0" w:after="120"/>
              <w:contextualSpacing/>
            </w:pPr>
            <w:r w:rsidRPr="00713025">
              <w:t>use the information.</w:t>
            </w:r>
          </w:p>
        </w:tc>
        <w:tc>
          <w:tcPr>
            <w:tcW w:w="4356" w:type="dxa"/>
            <w:tcBorders>
              <w:top w:val="single" w:sz="8" w:space="0" w:color="658D1B"/>
              <w:left w:val="nil"/>
              <w:bottom w:val="single" w:sz="8" w:space="0" w:color="658D1B"/>
              <w:right w:val="nil"/>
            </w:tcBorders>
          </w:tcPr>
          <w:p w14:paraId="58318D37" w14:textId="77777777" w:rsidR="007E7684" w:rsidRPr="00713025" w:rsidRDefault="007E7684" w:rsidP="006669F1"/>
        </w:tc>
      </w:tr>
      <w:tr w:rsidR="0067293F" w:rsidRPr="00713025" w14:paraId="21A40378" w14:textId="77777777" w:rsidTr="007E7684">
        <w:tc>
          <w:tcPr>
            <w:tcW w:w="3276" w:type="dxa"/>
            <w:vMerge/>
            <w:tcBorders>
              <w:top w:val="single" w:sz="8" w:space="0" w:color="658D1B"/>
              <w:left w:val="nil"/>
              <w:bottom w:val="single" w:sz="8" w:space="0" w:color="658D1B"/>
              <w:right w:val="nil"/>
            </w:tcBorders>
            <w:vAlign w:val="center"/>
            <w:hideMark/>
          </w:tcPr>
          <w:p w14:paraId="1AB074EB" w14:textId="77777777" w:rsidR="007E7684" w:rsidRPr="00713025" w:rsidRDefault="007E7684" w:rsidP="006669F1">
            <w:pPr>
              <w:spacing w:after="0"/>
              <w:rPr>
                <w:b/>
                <w:bCs/>
              </w:rPr>
            </w:pPr>
          </w:p>
        </w:tc>
        <w:tc>
          <w:tcPr>
            <w:tcW w:w="1490" w:type="dxa"/>
            <w:tcBorders>
              <w:top w:val="single" w:sz="8" w:space="0" w:color="658D1B"/>
              <w:left w:val="nil"/>
              <w:bottom w:val="single" w:sz="8" w:space="0" w:color="658D1B"/>
              <w:right w:val="nil"/>
            </w:tcBorders>
            <w:hideMark/>
          </w:tcPr>
          <w:p w14:paraId="7E822D7E" w14:textId="77777777" w:rsidR="007E7684" w:rsidRPr="00713025" w:rsidRDefault="007E7684" w:rsidP="006669F1">
            <w:r w:rsidRPr="00713025">
              <w:t>s 323-55</w:t>
            </w:r>
          </w:p>
        </w:tc>
        <w:tc>
          <w:tcPr>
            <w:tcW w:w="4687" w:type="dxa"/>
            <w:tcBorders>
              <w:top w:val="single" w:sz="8" w:space="0" w:color="658D1B"/>
              <w:left w:val="nil"/>
              <w:bottom w:val="single" w:sz="8" w:space="0" w:color="658D1B"/>
              <w:right w:val="nil"/>
            </w:tcBorders>
            <w:hideMark/>
          </w:tcPr>
          <w:p w14:paraId="6318256F" w14:textId="77777777" w:rsidR="007E7684" w:rsidRPr="00713025" w:rsidRDefault="007E7684" w:rsidP="006669F1">
            <w:r w:rsidRPr="00713025">
              <w:t>A person must not offer or hold themselves out as being able to supply protected information about another person, where they know the information is protected, and the supply would be an unauthorised disclosure.</w:t>
            </w:r>
          </w:p>
        </w:tc>
        <w:tc>
          <w:tcPr>
            <w:tcW w:w="4356" w:type="dxa"/>
            <w:tcBorders>
              <w:top w:val="single" w:sz="8" w:space="0" w:color="658D1B"/>
              <w:left w:val="nil"/>
              <w:bottom w:val="single" w:sz="8" w:space="0" w:color="658D1B"/>
              <w:right w:val="nil"/>
            </w:tcBorders>
          </w:tcPr>
          <w:p w14:paraId="3060EFB6" w14:textId="77777777" w:rsidR="007E7684" w:rsidRPr="00713025" w:rsidRDefault="007E7684" w:rsidP="006669F1"/>
        </w:tc>
      </w:tr>
      <w:tr w:rsidR="0067293F" w14:paraId="206D57A3" w14:textId="77777777" w:rsidTr="007E7684">
        <w:tc>
          <w:tcPr>
            <w:tcW w:w="3276" w:type="dxa"/>
            <w:tcBorders>
              <w:top w:val="single" w:sz="8" w:space="0" w:color="658D1B"/>
              <w:left w:val="nil"/>
              <w:bottom w:val="single" w:sz="8" w:space="0" w:color="658D1B"/>
              <w:right w:val="nil"/>
            </w:tcBorders>
            <w:vAlign w:val="center"/>
          </w:tcPr>
          <w:p w14:paraId="4AB6D522" w14:textId="77439829" w:rsidR="007E7684" w:rsidRPr="001E6689" w:rsidRDefault="007E7684" w:rsidP="006669F1">
            <w:pPr>
              <w:rPr>
                <w:b/>
                <w:bCs/>
                <w:i/>
                <w:iCs/>
              </w:rPr>
            </w:pPr>
            <w:r w:rsidRPr="001E6689">
              <w:rPr>
                <w:b/>
                <w:bCs/>
                <w:i/>
                <w:iCs/>
              </w:rPr>
              <w:t>My Health Records Act 2012</w:t>
            </w:r>
            <w:r w:rsidR="001E6689">
              <w:rPr>
                <w:b/>
                <w:bCs/>
                <w:i/>
                <w:iCs/>
              </w:rPr>
              <w:t xml:space="preserve"> </w:t>
            </w:r>
            <w:r w:rsidR="001E6689">
              <w:rPr>
                <w:b/>
                <w:bCs/>
              </w:rPr>
              <w:t>(Cth)</w:t>
            </w:r>
          </w:p>
        </w:tc>
        <w:tc>
          <w:tcPr>
            <w:tcW w:w="1490" w:type="dxa"/>
            <w:tcBorders>
              <w:top w:val="single" w:sz="8" w:space="0" w:color="658D1B"/>
              <w:left w:val="nil"/>
              <w:bottom w:val="single" w:sz="8" w:space="0" w:color="658D1B"/>
              <w:right w:val="nil"/>
            </w:tcBorders>
          </w:tcPr>
          <w:p w14:paraId="631B5450" w14:textId="77777777" w:rsidR="007E7684" w:rsidRPr="00713025" w:rsidRDefault="007E7684" w:rsidP="006669F1">
            <w:r w:rsidRPr="00713025">
              <w:t>s 59, 60, 71</w:t>
            </w:r>
          </w:p>
        </w:tc>
        <w:tc>
          <w:tcPr>
            <w:tcW w:w="4687" w:type="dxa"/>
            <w:tcBorders>
              <w:top w:val="single" w:sz="8" w:space="0" w:color="658D1B"/>
              <w:left w:val="nil"/>
              <w:bottom w:val="single" w:sz="8" w:space="0" w:color="658D1B"/>
              <w:right w:val="nil"/>
            </w:tcBorders>
          </w:tcPr>
          <w:p w14:paraId="2A7E6E89" w14:textId="77777777" w:rsidR="007E7684" w:rsidRPr="00713025" w:rsidRDefault="007E7684" w:rsidP="006669F1">
            <w:r w:rsidRPr="00713025">
              <w:t>A person must not use or disclose health information included in a healthcare recipient’s My Health Record if the person obtained the information by using or gaining access to the My Health Record system and the use or disclosure is:</w:t>
            </w:r>
          </w:p>
          <w:p w14:paraId="4F633FB5" w14:textId="77777777" w:rsidR="007E7684" w:rsidRPr="00713025" w:rsidRDefault="007E7684" w:rsidP="00385B04">
            <w:pPr>
              <w:pStyle w:val="ListParagraph"/>
              <w:numPr>
                <w:ilvl w:val="0"/>
                <w:numId w:val="25"/>
              </w:numPr>
              <w:spacing w:before="0" w:after="120"/>
              <w:contextualSpacing/>
            </w:pPr>
            <w:r w:rsidRPr="00713025">
              <w:t>unauthorised; or</w:t>
            </w:r>
          </w:p>
          <w:p w14:paraId="2D8FD69A" w14:textId="77777777" w:rsidR="007E7684" w:rsidRPr="00713025" w:rsidRDefault="007E7684" w:rsidP="00385B04">
            <w:pPr>
              <w:pStyle w:val="ListParagraph"/>
              <w:numPr>
                <w:ilvl w:val="0"/>
                <w:numId w:val="25"/>
              </w:numPr>
              <w:spacing w:before="0" w:after="120"/>
              <w:contextualSpacing/>
            </w:pPr>
            <w:r w:rsidRPr="00713025">
              <w:t>for a prohibited purpose.</w:t>
            </w:r>
          </w:p>
          <w:p w14:paraId="02288F3E" w14:textId="255F11B7" w:rsidR="007E7684" w:rsidRPr="00713025" w:rsidRDefault="007E7684" w:rsidP="006669F1">
            <w:r w:rsidRPr="00713025">
              <w:t>Secondary disclosure is also prohibited by the Act (</w:t>
            </w:r>
            <w:proofErr w:type="gramStart"/>
            <w:r w:rsidR="006235E9" w:rsidRPr="00713025">
              <w:t>i.e.</w:t>
            </w:r>
            <w:proofErr w:type="gramEnd"/>
            <w:r w:rsidRPr="00713025">
              <w:t xml:space="preserve"> a person whom information is disclosed to in breach of the secrecy provisions must also not knowingly or recklessly use or disclose information included in a person's My Health Record without authorisation.)</w:t>
            </w:r>
          </w:p>
        </w:tc>
        <w:tc>
          <w:tcPr>
            <w:tcW w:w="4356" w:type="dxa"/>
            <w:tcBorders>
              <w:top w:val="single" w:sz="8" w:space="0" w:color="658D1B"/>
              <w:left w:val="nil"/>
              <w:bottom w:val="single" w:sz="8" w:space="0" w:color="658D1B"/>
              <w:right w:val="nil"/>
            </w:tcBorders>
          </w:tcPr>
          <w:p w14:paraId="690BE0F6" w14:textId="77777777" w:rsidR="007E7684" w:rsidRPr="00713025" w:rsidRDefault="007E7684" w:rsidP="006669F1">
            <w:r w:rsidRPr="00713025">
              <w:t xml:space="preserve">There are </w:t>
            </w:r>
            <w:proofErr w:type="gramStart"/>
            <w:r w:rsidRPr="00713025">
              <w:t>a number of</w:t>
            </w:r>
            <w:proofErr w:type="gramEnd"/>
            <w:r w:rsidRPr="00713025">
              <w:t xml:space="preserve"> prohibitions and authorisations under Divisions 1 and 2 of the Act in respect of the collection, use and disclosure of health information included in a healthcare recipient’s My Health Record, but these prohibitions and authorisations are limited to the collection, use or disclosure of health information obtained by using the My Health Record system.</w:t>
            </w:r>
          </w:p>
          <w:p w14:paraId="07C23A5B" w14:textId="77777777" w:rsidR="007E7684" w:rsidRPr="00713025" w:rsidRDefault="007E7684" w:rsidP="006669F1">
            <w:r w:rsidRPr="00713025">
              <w:t>If health information included in a healthcare recipient’s My Health Record can also be obtained by means other than by using the My Health Record system, such a prohibition or authorisation does not apply to health information lawfully obtained by those other means, even if the health information was originally obtained by using the My Health Record system.</w:t>
            </w:r>
          </w:p>
          <w:p w14:paraId="41455846" w14:textId="77777777" w:rsidR="007E7684" w:rsidRPr="00713025" w:rsidRDefault="007E7684" w:rsidP="006669F1">
            <w:r w:rsidRPr="00713025">
              <w:lastRenderedPageBreak/>
              <w:t>Other exceptions include:</w:t>
            </w:r>
          </w:p>
          <w:p w14:paraId="1C585D82" w14:textId="77777777" w:rsidR="007E7684" w:rsidRPr="00713025" w:rsidRDefault="007E7684" w:rsidP="00385B04">
            <w:pPr>
              <w:pStyle w:val="ListParagraph"/>
              <w:numPr>
                <w:ilvl w:val="0"/>
                <w:numId w:val="20"/>
              </w:numPr>
              <w:spacing w:after="120"/>
              <w:ind w:left="417"/>
            </w:pPr>
            <w:r w:rsidRPr="00713025">
              <w:t xml:space="preserve">if the health information is stored in a repository operated both for the purposes of the My Health Record system and other purposes; and the person lawfully obtained the health information directly from the repository for those other </w:t>
            </w:r>
            <w:proofErr w:type="gramStart"/>
            <w:r w:rsidRPr="00713025">
              <w:t>purposes;</w:t>
            </w:r>
            <w:proofErr w:type="gramEnd"/>
          </w:p>
          <w:p w14:paraId="0508032C" w14:textId="77777777" w:rsidR="007E7684" w:rsidRPr="00713025" w:rsidRDefault="007E7684" w:rsidP="00385B04">
            <w:pPr>
              <w:pStyle w:val="ListParagraph"/>
              <w:numPr>
                <w:ilvl w:val="0"/>
                <w:numId w:val="20"/>
              </w:numPr>
              <w:spacing w:after="120"/>
              <w:ind w:left="417"/>
            </w:pPr>
            <w:r w:rsidRPr="00713025">
              <w:rPr>
                <w:color w:val="000000"/>
                <w:szCs w:val="22"/>
                <w:shd w:val="clear" w:color="auto" w:fill="FFFFFF"/>
              </w:rPr>
              <w:t>If health information was originally obtained by a participant in the My Health Record system by means of the My Health Record system in accordance with this Act and after the health information was so obtained, it was stored in such a way that it could be obtained other than by means of the My Health Record system, and the person subsequently obtained the health information by those other means.</w:t>
            </w:r>
          </w:p>
          <w:p w14:paraId="1F6E5247" w14:textId="77777777" w:rsidR="007E7684" w:rsidRPr="00713025" w:rsidRDefault="007E7684" w:rsidP="006669F1">
            <w:pPr>
              <w:rPr>
                <w:i/>
                <w:iCs/>
              </w:rPr>
            </w:pPr>
            <w:r w:rsidRPr="00713025">
              <w:rPr>
                <w:i/>
                <w:iCs/>
              </w:rPr>
              <w:t xml:space="preserve">Example 1: information that is included in a registered healthcare recipient’s My Health Record may be stored in a repository operated by a State or Territory for purposes related to the My Health Record system and other purposes. When lawfully obtained directly from the repository for those other purposes, the </w:t>
            </w:r>
            <w:r w:rsidRPr="00713025">
              <w:rPr>
                <w:i/>
                <w:iCs/>
              </w:rPr>
              <w:lastRenderedPageBreak/>
              <w:t>prohibitions and authorisations in this Part will not apply.</w:t>
            </w:r>
          </w:p>
          <w:p w14:paraId="66573679" w14:textId="77777777" w:rsidR="007E7684" w:rsidRDefault="007E7684" w:rsidP="006669F1">
            <w:pPr>
              <w:rPr>
                <w:i/>
                <w:iCs/>
              </w:rPr>
            </w:pPr>
            <w:r w:rsidRPr="00713025">
              <w:rPr>
                <w:i/>
                <w:iCs/>
              </w:rPr>
              <w:t>Example 2: information that is included in a registered healthcare recipient’s My Health Record may be downloaded into the clinical health records of a healthcare provider and later obtained from those records.</w:t>
            </w:r>
          </w:p>
          <w:p w14:paraId="3AD1A124" w14:textId="77777777" w:rsidR="007E7684" w:rsidRPr="00204088" w:rsidRDefault="007E7684" w:rsidP="006669F1">
            <w:pPr>
              <w:rPr>
                <w:i/>
                <w:iCs/>
              </w:rPr>
            </w:pPr>
          </w:p>
        </w:tc>
      </w:tr>
      <w:bookmarkEnd w:id="112"/>
    </w:tbl>
    <w:p w14:paraId="6AA3C904" w14:textId="77777777" w:rsidR="00C725B1" w:rsidRPr="00C725B1" w:rsidRDefault="00C725B1" w:rsidP="00C725B1">
      <w:pPr>
        <w:rPr>
          <w:lang w:val="en-US"/>
        </w:rPr>
      </w:pPr>
    </w:p>
    <w:sectPr w:rsidR="00C725B1" w:rsidRPr="00C725B1" w:rsidSect="00752DB5">
      <w:pgSz w:w="16838" w:h="11906" w:orient="landscape"/>
      <w:pgMar w:top="1418" w:right="1134"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8DED" w14:textId="77777777" w:rsidR="00A73D14" w:rsidRDefault="00A73D14" w:rsidP="006B56BB">
      <w:r>
        <w:separator/>
      </w:r>
    </w:p>
    <w:p w14:paraId="31D78242" w14:textId="77777777" w:rsidR="00A73D14" w:rsidRDefault="00A73D14"/>
    <w:p w14:paraId="33ACEA8E" w14:textId="77777777" w:rsidR="00A73D14" w:rsidRDefault="00A73D14"/>
  </w:endnote>
  <w:endnote w:type="continuationSeparator" w:id="0">
    <w:p w14:paraId="56D83653" w14:textId="77777777" w:rsidR="00A73D14" w:rsidRDefault="00A73D14" w:rsidP="006B56BB">
      <w:r>
        <w:continuationSeparator/>
      </w:r>
    </w:p>
    <w:p w14:paraId="3FA8E6CB" w14:textId="77777777" w:rsidR="00A73D14" w:rsidRDefault="00A73D14"/>
    <w:p w14:paraId="4DAACF04" w14:textId="77777777" w:rsidR="00A73D14" w:rsidRDefault="00A73D14"/>
  </w:endnote>
  <w:endnote w:type="continuationNotice" w:id="1">
    <w:p w14:paraId="734D3050" w14:textId="77777777" w:rsidR="00A73D14" w:rsidRDefault="00A73D14"/>
    <w:p w14:paraId="73437129" w14:textId="77777777" w:rsidR="00A73D14" w:rsidRDefault="00A73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352209"/>
      <w:docPartObj>
        <w:docPartGallery w:val="Page Numbers (Bottom of Page)"/>
        <w:docPartUnique/>
      </w:docPartObj>
    </w:sdtPr>
    <w:sdtEndPr>
      <w:rPr>
        <w:noProof/>
      </w:rPr>
    </w:sdtEndPr>
    <w:sdtContent>
      <w:p w14:paraId="6F890A75" w14:textId="44E90345" w:rsidR="006D1BA4" w:rsidRDefault="006D1BA4">
        <w:pPr>
          <w:pStyle w:val="Footer"/>
        </w:pPr>
        <w:r>
          <w:fldChar w:fldCharType="begin"/>
        </w:r>
        <w:r>
          <w:instrText xml:space="preserve"> PAGE   \* MERGEFORMAT </w:instrText>
        </w:r>
        <w:r>
          <w:fldChar w:fldCharType="separate"/>
        </w:r>
        <w:r>
          <w:rPr>
            <w:noProof/>
          </w:rPr>
          <w:t>2</w:t>
        </w:r>
        <w:r>
          <w:rPr>
            <w:noProof/>
          </w:rPr>
          <w:fldChar w:fldCharType="end"/>
        </w:r>
      </w:p>
    </w:sdtContent>
  </w:sdt>
  <w:p w14:paraId="668195D6" w14:textId="6127965D" w:rsidR="00AD64B2" w:rsidRDefault="00AD64B2"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538D" w14:textId="77777777" w:rsidR="00A73D14" w:rsidRDefault="00A73D14">
      <w:r>
        <w:separator/>
      </w:r>
    </w:p>
    <w:p w14:paraId="585934DE" w14:textId="77777777" w:rsidR="00A73D14" w:rsidRDefault="00A73D14"/>
  </w:footnote>
  <w:footnote w:type="continuationSeparator" w:id="0">
    <w:p w14:paraId="5AF5ADBC" w14:textId="77777777" w:rsidR="00A73D14" w:rsidRDefault="00A73D14" w:rsidP="006B56BB">
      <w:r>
        <w:continuationSeparator/>
      </w:r>
    </w:p>
    <w:p w14:paraId="1E16DCBE" w14:textId="77777777" w:rsidR="00A73D14" w:rsidRDefault="00A73D14"/>
    <w:p w14:paraId="6E1F1786" w14:textId="77777777" w:rsidR="00A73D14" w:rsidRDefault="00A73D14"/>
  </w:footnote>
  <w:footnote w:type="continuationNotice" w:id="1">
    <w:p w14:paraId="6F41E8DE" w14:textId="77777777" w:rsidR="00A73D14" w:rsidRDefault="00A73D14"/>
    <w:p w14:paraId="4E8F8356" w14:textId="77777777" w:rsidR="00A73D14" w:rsidRDefault="00A73D14"/>
  </w:footnote>
  <w:footnote w:id="2">
    <w:p w14:paraId="3DD79BAE" w14:textId="77777777" w:rsidR="00AD64B2" w:rsidRPr="00BA56C0" w:rsidRDefault="00AD64B2" w:rsidP="00E87DEA">
      <w:pPr>
        <w:pStyle w:val="notetext"/>
        <w:shd w:val="clear" w:color="auto" w:fill="FFFFFF"/>
        <w:rPr>
          <w:rFonts w:ascii="Arial" w:hAnsi="Arial" w:cs="Arial"/>
          <w:sz w:val="22"/>
          <w:szCs w:val="22"/>
        </w:rPr>
      </w:pPr>
      <w:r w:rsidRPr="00BA56C0">
        <w:rPr>
          <w:rStyle w:val="FootnoteReference"/>
        </w:rPr>
        <w:footnoteRef/>
      </w:r>
      <w:r w:rsidRPr="00BA56C0">
        <w:t xml:space="preserve"> </w:t>
      </w:r>
      <w:r w:rsidRPr="00BA56C0">
        <w:rPr>
          <w:rFonts w:ascii="Arial" w:hAnsi="Arial" w:cs="Arial"/>
          <w:sz w:val="16"/>
          <w:szCs w:val="16"/>
        </w:rPr>
        <w:t>Note:</w:t>
      </w:r>
      <w:r>
        <w:rPr>
          <w:rFonts w:ascii="Arial" w:hAnsi="Arial" w:cs="Arial"/>
          <w:sz w:val="16"/>
          <w:szCs w:val="16"/>
        </w:rPr>
        <w:t> </w:t>
      </w:r>
      <w:r w:rsidRPr="00BA56C0">
        <w:rPr>
          <w:rFonts w:ascii="Arial" w:hAnsi="Arial" w:cs="Arial"/>
          <w:sz w:val="16"/>
          <w:szCs w:val="16"/>
        </w:rPr>
        <w:t xml:space="preserve"> This is the standard applied in civil proceedings. Summarised broadly, a fact is taken to have been proved on the b</w:t>
      </w:r>
      <w:r>
        <w:rPr>
          <w:rFonts w:ascii="Arial" w:hAnsi="Arial" w:cs="Arial"/>
          <w:sz w:val="16"/>
          <w:szCs w:val="16"/>
        </w:rPr>
        <w:t>alance of probabilities if the Principal O</w:t>
      </w:r>
      <w:r w:rsidRPr="00BA56C0">
        <w:rPr>
          <w:rFonts w:ascii="Arial" w:hAnsi="Arial" w:cs="Arial"/>
          <w:sz w:val="16"/>
          <w:szCs w:val="16"/>
        </w:rPr>
        <w:t>fficer is satisfied it is more likely than not that the fact is true.</w:t>
      </w:r>
    </w:p>
  </w:footnote>
  <w:footnote w:id="3">
    <w:p w14:paraId="4D9C9C7D" w14:textId="77777777" w:rsidR="00AD64B2" w:rsidRPr="009026EA" w:rsidRDefault="00AD64B2" w:rsidP="00735466">
      <w:pPr>
        <w:pStyle w:val="FootnoteText"/>
        <w:rPr>
          <w:szCs w:val="18"/>
        </w:rPr>
      </w:pPr>
      <w:r w:rsidRPr="009026EA">
        <w:rPr>
          <w:rStyle w:val="FootnoteReference"/>
          <w:sz w:val="18"/>
          <w:szCs w:val="18"/>
        </w:rPr>
        <w:footnoteRef/>
      </w:r>
      <w:r w:rsidRPr="009026EA">
        <w:rPr>
          <w:szCs w:val="18"/>
        </w:rPr>
        <w:t xml:space="preserve"> This paragraph does not apply where the investigator does not make substantive findings or express adverse opinions but instead simply recommends that further investigation action should or should not be taken.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130D" w14:textId="124FB292" w:rsidR="005E0A4B" w:rsidRPr="005E0A4B" w:rsidRDefault="005E0A4B" w:rsidP="005E0A4B">
    <w:pPr>
      <w:pStyle w:val="Header"/>
      <w:jc w:val="center"/>
      <w:rPr>
        <w:color w:val="FF0000"/>
      </w:rPr>
    </w:pPr>
    <w:r w:rsidRPr="005E0A4B">
      <w:rPr>
        <w:color w:val="FF0000"/>
      </w:rPr>
      <w:t>OFFICIAL</w:t>
    </w:r>
  </w:p>
  <w:p w14:paraId="34E09A32" w14:textId="23A00778" w:rsidR="00AD64B2" w:rsidRDefault="00AD64B2" w:rsidP="002010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9573" w14:textId="60DEC658" w:rsidR="00AD64B2" w:rsidRPr="005E0A4B" w:rsidRDefault="005E0A4B" w:rsidP="005E0A4B">
    <w:pPr>
      <w:jc w:val="center"/>
      <w:rPr>
        <w:b/>
        <w:bCs/>
        <w:color w:val="FF0000"/>
        <w:sz w:val="32"/>
        <w:szCs w:val="32"/>
      </w:rPr>
    </w:pPr>
    <w:r w:rsidRPr="005E0A4B">
      <w:rPr>
        <w:b/>
        <w:bCs/>
        <w:color w:val="FF0000"/>
        <w:sz w:val="32"/>
        <w:szCs w:val="32"/>
      </w:rPr>
      <w:t>OFFIC</w:t>
    </w:r>
    <w:r w:rsidR="00E46FC3">
      <w:rPr>
        <w:b/>
        <w:bCs/>
        <w:color w:val="FF0000"/>
        <w:sz w:val="32"/>
        <w:szCs w:val="32"/>
      </w:rPr>
      <w: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34A7" w14:textId="68ADFCEB" w:rsidR="00AD64B2" w:rsidRDefault="00AD64B2" w:rsidP="007461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2F03" w14:textId="75CCAFB7" w:rsidR="005E0A4B" w:rsidRDefault="005E0A4B" w:rsidP="005E0A4B">
    <w:pPr>
      <w:pStyle w:val="Header"/>
      <w:jc w:val="center"/>
      <w:rPr>
        <w:color w:val="FF0000"/>
      </w:rPr>
    </w:pPr>
    <w:r w:rsidRPr="005E0A4B">
      <w:rPr>
        <w:color w:val="FF0000"/>
      </w:rPr>
      <w:t>OFFICIAL</w:t>
    </w:r>
  </w:p>
  <w:p w14:paraId="7235024A" w14:textId="77777777" w:rsidR="00FD3E42" w:rsidRPr="005E0A4B" w:rsidRDefault="00FD3E42" w:rsidP="005E0A4B">
    <w:pPr>
      <w:pStyle w:val="Header"/>
      <w:jc w:val="center"/>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98B4" w14:textId="1D65E279" w:rsidR="00AD64B2" w:rsidRDefault="00AD64B2" w:rsidP="00065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95A"/>
    <w:multiLevelType w:val="hybridMultilevel"/>
    <w:tmpl w:val="E470242C"/>
    <w:name w:val="H1toH6LFAshurst2222222222222"/>
    <w:lvl w:ilvl="0" w:tplc="68A6452E">
      <w:start w:val="1"/>
      <w:numFmt w:val="bullet"/>
      <w:lvlText w:val=""/>
      <w:lvlJc w:val="left"/>
      <w:pPr>
        <w:ind w:left="720" w:hanging="360"/>
      </w:pPr>
      <w:rPr>
        <w:rFonts w:ascii="Symbol" w:hAnsi="Symbol" w:hint="default"/>
      </w:rPr>
    </w:lvl>
    <w:lvl w:ilvl="1" w:tplc="4934D16C">
      <w:start w:val="1"/>
      <w:numFmt w:val="bullet"/>
      <w:lvlText w:val="o"/>
      <w:lvlJc w:val="left"/>
      <w:pPr>
        <w:ind w:left="1440" w:hanging="360"/>
      </w:pPr>
      <w:rPr>
        <w:rFonts w:ascii="Courier New" w:hAnsi="Courier New" w:cs="Courier New" w:hint="default"/>
      </w:rPr>
    </w:lvl>
    <w:lvl w:ilvl="2" w:tplc="9348AD9C">
      <w:start w:val="1"/>
      <w:numFmt w:val="bullet"/>
      <w:lvlText w:val=""/>
      <w:lvlJc w:val="left"/>
      <w:pPr>
        <w:ind w:left="2160" w:hanging="360"/>
      </w:pPr>
      <w:rPr>
        <w:rFonts w:ascii="Wingdings" w:hAnsi="Wingdings" w:hint="default"/>
      </w:rPr>
    </w:lvl>
    <w:lvl w:ilvl="3" w:tplc="A5F2A8E0">
      <w:start w:val="1"/>
      <w:numFmt w:val="bullet"/>
      <w:lvlText w:val=""/>
      <w:lvlJc w:val="left"/>
      <w:pPr>
        <w:ind w:left="2880" w:hanging="360"/>
      </w:pPr>
      <w:rPr>
        <w:rFonts w:ascii="Symbol" w:hAnsi="Symbol" w:hint="default"/>
      </w:rPr>
    </w:lvl>
    <w:lvl w:ilvl="4" w:tplc="0C72D280">
      <w:start w:val="1"/>
      <w:numFmt w:val="bullet"/>
      <w:lvlText w:val="o"/>
      <w:lvlJc w:val="left"/>
      <w:pPr>
        <w:ind w:left="3600" w:hanging="360"/>
      </w:pPr>
      <w:rPr>
        <w:rFonts w:ascii="Courier New" w:hAnsi="Courier New" w:cs="Courier New" w:hint="default"/>
      </w:rPr>
    </w:lvl>
    <w:lvl w:ilvl="5" w:tplc="166ECAFA">
      <w:start w:val="1"/>
      <w:numFmt w:val="bullet"/>
      <w:lvlText w:val=""/>
      <w:lvlJc w:val="left"/>
      <w:pPr>
        <w:ind w:left="4320" w:hanging="360"/>
      </w:pPr>
      <w:rPr>
        <w:rFonts w:ascii="Wingdings" w:hAnsi="Wingdings" w:hint="default"/>
      </w:rPr>
    </w:lvl>
    <w:lvl w:ilvl="6" w:tplc="8DDA6374">
      <w:start w:val="1"/>
      <w:numFmt w:val="bullet"/>
      <w:lvlText w:val=""/>
      <w:lvlJc w:val="left"/>
      <w:pPr>
        <w:ind w:left="5040" w:hanging="360"/>
      </w:pPr>
      <w:rPr>
        <w:rFonts w:ascii="Symbol" w:hAnsi="Symbol" w:hint="default"/>
      </w:rPr>
    </w:lvl>
    <w:lvl w:ilvl="7" w:tplc="BCFA618C">
      <w:start w:val="1"/>
      <w:numFmt w:val="bullet"/>
      <w:lvlText w:val="o"/>
      <w:lvlJc w:val="left"/>
      <w:pPr>
        <w:ind w:left="5760" w:hanging="360"/>
      </w:pPr>
      <w:rPr>
        <w:rFonts w:ascii="Courier New" w:hAnsi="Courier New" w:cs="Courier New" w:hint="default"/>
      </w:rPr>
    </w:lvl>
    <w:lvl w:ilvl="8" w:tplc="B39618D0">
      <w:start w:val="1"/>
      <w:numFmt w:val="bullet"/>
      <w:lvlText w:val=""/>
      <w:lvlJc w:val="left"/>
      <w:pPr>
        <w:ind w:left="6480" w:hanging="360"/>
      </w:pPr>
      <w:rPr>
        <w:rFonts w:ascii="Wingdings" w:hAnsi="Wingdings" w:hint="default"/>
      </w:rPr>
    </w:lvl>
  </w:abstractNum>
  <w:abstractNum w:abstractNumId="1" w15:restartNumberingAfterBreak="0">
    <w:nsid w:val="01BF3D66"/>
    <w:multiLevelType w:val="hybridMultilevel"/>
    <w:tmpl w:val="A448EBD0"/>
    <w:lvl w:ilvl="0" w:tplc="BA3C317A">
      <w:start w:val="1"/>
      <w:numFmt w:val="lowerLetter"/>
      <w:lvlText w:val="%1)"/>
      <w:lvlJc w:val="left"/>
      <w:pPr>
        <w:ind w:left="720" w:hanging="360"/>
      </w:pPr>
      <w:rPr>
        <w:rFonts w:hint="default"/>
      </w:rPr>
    </w:lvl>
    <w:lvl w:ilvl="1" w:tplc="71683CD4">
      <w:start w:val="1"/>
      <w:numFmt w:val="lowerRoman"/>
      <w:lvlText w:val="%2."/>
      <w:lvlJc w:val="right"/>
      <w:pPr>
        <w:ind w:left="1440" w:hanging="360"/>
      </w:pPr>
    </w:lvl>
    <w:lvl w:ilvl="2" w:tplc="FCD62046">
      <w:start w:val="1"/>
      <w:numFmt w:val="upperLetter"/>
      <w:lvlText w:val="%3)"/>
      <w:lvlJc w:val="left"/>
      <w:pPr>
        <w:ind w:left="2340" w:hanging="360"/>
      </w:pPr>
      <w:rPr>
        <w:rFonts w:ascii="Univers 47 CondensedLight" w:hAnsi="Univers 47 CondensedLight" w:cs="Univers 47 CondensedLight" w:hint="default"/>
        <w:color w:val="000000"/>
      </w:rPr>
    </w:lvl>
    <w:lvl w:ilvl="3" w:tplc="A452689E">
      <w:start w:val="7"/>
      <w:numFmt w:val="decimal"/>
      <w:lvlText w:val="%4."/>
      <w:lvlJc w:val="left"/>
      <w:pPr>
        <w:ind w:left="2880" w:hanging="360"/>
      </w:pPr>
      <w:rPr>
        <w:rFonts w:hint="default"/>
      </w:rPr>
    </w:lvl>
    <w:lvl w:ilvl="4" w:tplc="51CA17F2">
      <w:start w:val="8"/>
      <w:numFmt w:val="decimal"/>
      <w:lvlText w:val="%5"/>
      <w:lvlJc w:val="left"/>
      <w:pPr>
        <w:ind w:left="3600" w:hanging="360"/>
      </w:pPr>
      <w:rPr>
        <w:rFonts w:hint="default"/>
      </w:rPr>
    </w:lvl>
    <w:lvl w:ilvl="5" w:tplc="F2E6EDF8" w:tentative="1">
      <w:start w:val="1"/>
      <w:numFmt w:val="lowerRoman"/>
      <w:lvlText w:val="%6."/>
      <w:lvlJc w:val="right"/>
      <w:pPr>
        <w:ind w:left="4320" w:hanging="180"/>
      </w:pPr>
    </w:lvl>
    <w:lvl w:ilvl="6" w:tplc="0D2A4312" w:tentative="1">
      <w:start w:val="1"/>
      <w:numFmt w:val="decimal"/>
      <w:lvlText w:val="%7."/>
      <w:lvlJc w:val="left"/>
      <w:pPr>
        <w:ind w:left="5040" w:hanging="360"/>
      </w:pPr>
    </w:lvl>
    <w:lvl w:ilvl="7" w:tplc="6B0C39CE" w:tentative="1">
      <w:start w:val="1"/>
      <w:numFmt w:val="lowerLetter"/>
      <w:lvlText w:val="%8."/>
      <w:lvlJc w:val="left"/>
      <w:pPr>
        <w:ind w:left="5760" w:hanging="360"/>
      </w:pPr>
    </w:lvl>
    <w:lvl w:ilvl="8" w:tplc="F98891C4" w:tentative="1">
      <w:start w:val="1"/>
      <w:numFmt w:val="lowerRoman"/>
      <w:lvlText w:val="%9."/>
      <w:lvlJc w:val="right"/>
      <w:pPr>
        <w:ind w:left="6480" w:hanging="180"/>
      </w:pPr>
    </w:lvl>
  </w:abstractNum>
  <w:abstractNum w:abstractNumId="2" w15:restartNumberingAfterBreak="0">
    <w:nsid w:val="08026974"/>
    <w:multiLevelType w:val="hybridMultilevel"/>
    <w:tmpl w:val="A84C035E"/>
    <w:lvl w:ilvl="0" w:tplc="4E8842F8">
      <w:start w:val="1"/>
      <w:numFmt w:val="bullet"/>
      <w:lvlText w:val=""/>
      <w:lvlJc w:val="left"/>
      <w:pPr>
        <w:ind w:left="720" w:hanging="360"/>
      </w:pPr>
      <w:rPr>
        <w:rFonts w:ascii="Symbol" w:hAnsi="Symbol" w:hint="default"/>
      </w:rPr>
    </w:lvl>
    <w:lvl w:ilvl="1" w:tplc="8B7ED764" w:tentative="1">
      <w:start w:val="1"/>
      <w:numFmt w:val="bullet"/>
      <w:lvlText w:val="o"/>
      <w:lvlJc w:val="left"/>
      <w:pPr>
        <w:ind w:left="1440" w:hanging="360"/>
      </w:pPr>
      <w:rPr>
        <w:rFonts w:ascii="Courier New" w:hAnsi="Courier New" w:cs="Courier New" w:hint="default"/>
      </w:rPr>
    </w:lvl>
    <w:lvl w:ilvl="2" w:tplc="D424F0BA" w:tentative="1">
      <w:start w:val="1"/>
      <w:numFmt w:val="bullet"/>
      <w:lvlText w:val=""/>
      <w:lvlJc w:val="left"/>
      <w:pPr>
        <w:ind w:left="2160" w:hanging="360"/>
      </w:pPr>
      <w:rPr>
        <w:rFonts w:ascii="Wingdings" w:hAnsi="Wingdings" w:hint="default"/>
      </w:rPr>
    </w:lvl>
    <w:lvl w:ilvl="3" w:tplc="D0FE2622" w:tentative="1">
      <w:start w:val="1"/>
      <w:numFmt w:val="bullet"/>
      <w:lvlText w:val=""/>
      <w:lvlJc w:val="left"/>
      <w:pPr>
        <w:ind w:left="2880" w:hanging="360"/>
      </w:pPr>
      <w:rPr>
        <w:rFonts w:ascii="Symbol" w:hAnsi="Symbol" w:hint="default"/>
      </w:rPr>
    </w:lvl>
    <w:lvl w:ilvl="4" w:tplc="3126D846" w:tentative="1">
      <w:start w:val="1"/>
      <w:numFmt w:val="bullet"/>
      <w:lvlText w:val="o"/>
      <w:lvlJc w:val="left"/>
      <w:pPr>
        <w:ind w:left="3600" w:hanging="360"/>
      </w:pPr>
      <w:rPr>
        <w:rFonts w:ascii="Courier New" w:hAnsi="Courier New" w:cs="Courier New" w:hint="default"/>
      </w:rPr>
    </w:lvl>
    <w:lvl w:ilvl="5" w:tplc="8DC646EA" w:tentative="1">
      <w:start w:val="1"/>
      <w:numFmt w:val="bullet"/>
      <w:lvlText w:val=""/>
      <w:lvlJc w:val="left"/>
      <w:pPr>
        <w:ind w:left="4320" w:hanging="360"/>
      </w:pPr>
      <w:rPr>
        <w:rFonts w:ascii="Wingdings" w:hAnsi="Wingdings" w:hint="default"/>
      </w:rPr>
    </w:lvl>
    <w:lvl w:ilvl="6" w:tplc="E3DE499C" w:tentative="1">
      <w:start w:val="1"/>
      <w:numFmt w:val="bullet"/>
      <w:lvlText w:val=""/>
      <w:lvlJc w:val="left"/>
      <w:pPr>
        <w:ind w:left="5040" w:hanging="360"/>
      </w:pPr>
      <w:rPr>
        <w:rFonts w:ascii="Symbol" w:hAnsi="Symbol" w:hint="default"/>
      </w:rPr>
    </w:lvl>
    <w:lvl w:ilvl="7" w:tplc="4FE46BF2" w:tentative="1">
      <w:start w:val="1"/>
      <w:numFmt w:val="bullet"/>
      <w:lvlText w:val="o"/>
      <w:lvlJc w:val="left"/>
      <w:pPr>
        <w:ind w:left="5760" w:hanging="360"/>
      </w:pPr>
      <w:rPr>
        <w:rFonts w:ascii="Courier New" w:hAnsi="Courier New" w:cs="Courier New" w:hint="default"/>
      </w:rPr>
    </w:lvl>
    <w:lvl w:ilvl="8" w:tplc="BA4C6430" w:tentative="1">
      <w:start w:val="1"/>
      <w:numFmt w:val="bullet"/>
      <w:lvlText w:val=""/>
      <w:lvlJc w:val="left"/>
      <w:pPr>
        <w:ind w:left="6480" w:hanging="360"/>
      </w:pPr>
      <w:rPr>
        <w:rFonts w:ascii="Wingdings" w:hAnsi="Wingdings" w:hint="default"/>
      </w:rPr>
    </w:lvl>
  </w:abstractNum>
  <w:abstractNum w:abstractNumId="3" w15:restartNumberingAfterBreak="0">
    <w:nsid w:val="0A661019"/>
    <w:multiLevelType w:val="hybridMultilevel"/>
    <w:tmpl w:val="6A6658E8"/>
    <w:name w:val="H1toH6LFAshurst2222222"/>
    <w:lvl w:ilvl="0" w:tplc="952E86AC">
      <w:start w:val="1"/>
      <w:numFmt w:val="bullet"/>
      <w:lvlText w:val=""/>
      <w:lvlJc w:val="left"/>
      <w:pPr>
        <w:ind w:left="720" w:hanging="360"/>
      </w:pPr>
      <w:rPr>
        <w:rFonts w:ascii="Symbol" w:hAnsi="Symbol" w:hint="default"/>
      </w:rPr>
    </w:lvl>
    <w:lvl w:ilvl="1" w:tplc="11EE4B02">
      <w:start w:val="1"/>
      <w:numFmt w:val="bullet"/>
      <w:lvlText w:val="o"/>
      <w:lvlJc w:val="left"/>
      <w:pPr>
        <w:ind w:left="1440" w:hanging="360"/>
      </w:pPr>
      <w:rPr>
        <w:rFonts w:ascii="Courier New" w:hAnsi="Courier New" w:cs="Courier New" w:hint="default"/>
      </w:rPr>
    </w:lvl>
    <w:lvl w:ilvl="2" w:tplc="DFB4B7CA">
      <w:start w:val="1"/>
      <w:numFmt w:val="bullet"/>
      <w:lvlText w:val=""/>
      <w:lvlJc w:val="left"/>
      <w:pPr>
        <w:ind w:left="2160" w:hanging="360"/>
      </w:pPr>
      <w:rPr>
        <w:rFonts w:ascii="Wingdings" w:hAnsi="Wingdings" w:hint="default"/>
      </w:rPr>
    </w:lvl>
    <w:lvl w:ilvl="3" w:tplc="3290340E">
      <w:start w:val="1"/>
      <w:numFmt w:val="bullet"/>
      <w:lvlText w:val=""/>
      <w:lvlJc w:val="left"/>
      <w:pPr>
        <w:ind w:left="2880" w:hanging="360"/>
      </w:pPr>
      <w:rPr>
        <w:rFonts w:ascii="Symbol" w:hAnsi="Symbol" w:hint="default"/>
      </w:rPr>
    </w:lvl>
    <w:lvl w:ilvl="4" w:tplc="4874FDBA">
      <w:start w:val="1"/>
      <w:numFmt w:val="bullet"/>
      <w:lvlText w:val="o"/>
      <w:lvlJc w:val="left"/>
      <w:pPr>
        <w:ind w:left="3600" w:hanging="360"/>
      </w:pPr>
      <w:rPr>
        <w:rFonts w:ascii="Courier New" w:hAnsi="Courier New" w:cs="Courier New" w:hint="default"/>
      </w:rPr>
    </w:lvl>
    <w:lvl w:ilvl="5" w:tplc="8A5202CC">
      <w:start w:val="1"/>
      <w:numFmt w:val="bullet"/>
      <w:lvlText w:val=""/>
      <w:lvlJc w:val="left"/>
      <w:pPr>
        <w:ind w:left="4320" w:hanging="360"/>
      </w:pPr>
      <w:rPr>
        <w:rFonts w:ascii="Wingdings" w:hAnsi="Wingdings" w:hint="default"/>
      </w:rPr>
    </w:lvl>
    <w:lvl w:ilvl="6" w:tplc="BD0AAECA">
      <w:start w:val="1"/>
      <w:numFmt w:val="bullet"/>
      <w:lvlText w:val=""/>
      <w:lvlJc w:val="left"/>
      <w:pPr>
        <w:ind w:left="5040" w:hanging="360"/>
      </w:pPr>
      <w:rPr>
        <w:rFonts w:ascii="Symbol" w:hAnsi="Symbol" w:hint="default"/>
      </w:rPr>
    </w:lvl>
    <w:lvl w:ilvl="7" w:tplc="E69686A2">
      <w:start w:val="1"/>
      <w:numFmt w:val="bullet"/>
      <w:lvlText w:val="o"/>
      <w:lvlJc w:val="left"/>
      <w:pPr>
        <w:ind w:left="5760" w:hanging="360"/>
      </w:pPr>
      <w:rPr>
        <w:rFonts w:ascii="Courier New" w:hAnsi="Courier New" w:cs="Courier New" w:hint="default"/>
      </w:rPr>
    </w:lvl>
    <w:lvl w:ilvl="8" w:tplc="5CFA628C">
      <w:start w:val="1"/>
      <w:numFmt w:val="bullet"/>
      <w:lvlText w:val=""/>
      <w:lvlJc w:val="left"/>
      <w:pPr>
        <w:ind w:left="6480" w:hanging="360"/>
      </w:pPr>
      <w:rPr>
        <w:rFonts w:ascii="Wingdings" w:hAnsi="Wingdings" w:hint="default"/>
      </w:rPr>
    </w:lvl>
  </w:abstractNum>
  <w:abstractNum w:abstractNumId="4" w15:restartNumberingAfterBreak="0">
    <w:nsid w:val="0B0623EA"/>
    <w:multiLevelType w:val="hybridMultilevel"/>
    <w:tmpl w:val="8BFCD8BA"/>
    <w:lvl w:ilvl="0" w:tplc="0C52E708">
      <w:start w:val="1"/>
      <w:numFmt w:val="bullet"/>
      <w:lvlText w:val=""/>
      <w:lvlJc w:val="left"/>
      <w:pPr>
        <w:ind w:left="1440" w:hanging="360"/>
      </w:pPr>
      <w:rPr>
        <w:rFonts w:ascii="Symbol" w:hAnsi="Symbol" w:hint="default"/>
      </w:rPr>
    </w:lvl>
    <w:lvl w:ilvl="1" w:tplc="B40A6154" w:tentative="1">
      <w:start w:val="1"/>
      <w:numFmt w:val="bullet"/>
      <w:lvlText w:val="o"/>
      <w:lvlJc w:val="left"/>
      <w:pPr>
        <w:ind w:left="2160" w:hanging="360"/>
      </w:pPr>
      <w:rPr>
        <w:rFonts w:ascii="Courier New" w:hAnsi="Courier New" w:cs="Courier New" w:hint="default"/>
      </w:rPr>
    </w:lvl>
    <w:lvl w:ilvl="2" w:tplc="2B98B570" w:tentative="1">
      <w:start w:val="1"/>
      <w:numFmt w:val="bullet"/>
      <w:lvlText w:val=""/>
      <w:lvlJc w:val="left"/>
      <w:pPr>
        <w:ind w:left="2880" w:hanging="360"/>
      </w:pPr>
      <w:rPr>
        <w:rFonts w:ascii="Wingdings" w:hAnsi="Wingdings" w:hint="default"/>
      </w:rPr>
    </w:lvl>
    <w:lvl w:ilvl="3" w:tplc="FEA0DFA8" w:tentative="1">
      <w:start w:val="1"/>
      <w:numFmt w:val="bullet"/>
      <w:lvlText w:val=""/>
      <w:lvlJc w:val="left"/>
      <w:pPr>
        <w:ind w:left="3600" w:hanging="360"/>
      </w:pPr>
      <w:rPr>
        <w:rFonts w:ascii="Symbol" w:hAnsi="Symbol" w:hint="default"/>
      </w:rPr>
    </w:lvl>
    <w:lvl w:ilvl="4" w:tplc="ADECA1E0" w:tentative="1">
      <w:start w:val="1"/>
      <w:numFmt w:val="bullet"/>
      <w:lvlText w:val="o"/>
      <w:lvlJc w:val="left"/>
      <w:pPr>
        <w:ind w:left="4320" w:hanging="360"/>
      </w:pPr>
      <w:rPr>
        <w:rFonts w:ascii="Courier New" w:hAnsi="Courier New" w:cs="Courier New" w:hint="default"/>
      </w:rPr>
    </w:lvl>
    <w:lvl w:ilvl="5" w:tplc="7DF0BF8E" w:tentative="1">
      <w:start w:val="1"/>
      <w:numFmt w:val="bullet"/>
      <w:lvlText w:val=""/>
      <w:lvlJc w:val="left"/>
      <w:pPr>
        <w:ind w:left="5040" w:hanging="360"/>
      </w:pPr>
      <w:rPr>
        <w:rFonts w:ascii="Wingdings" w:hAnsi="Wingdings" w:hint="default"/>
      </w:rPr>
    </w:lvl>
    <w:lvl w:ilvl="6" w:tplc="5C80135E" w:tentative="1">
      <w:start w:val="1"/>
      <w:numFmt w:val="bullet"/>
      <w:lvlText w:val=""/>
      <w:lvlJc w:val="left"/>
      <w:pPr>
        <w:ind w:left="5760" w:hanging="360"/>
      </w:pPr>
      <w:rPr>
        <w:rFonts w:ascii="Symbol" w:hAnsi="Symbol" w:hint="default"/>
      </w:rPr>
    </w:lvl>
    <w:lvl w:ilvl="7" w:tplc="7938EA2E" w:tentative="1">
      <w:start w:val="1"/>
      <w:numFmt w:val="bullet"/>
      <w:lvlText w:val="o"/>
      <w:lvlJc w:val="left"/>
      <w:pPr>
        <w:ind w:left="6480" w:hanging="360"/>
      </w:pPr>
      <w:rPr>
        <w:rFonts w:ascii="Courier New" w:hAnsi="Courier New" w:cs="Courier New" w:hint="default"/>
      </w:rPr>
    </w:lvl>
    <w:lvl w:ilvl="8" w:tplc="9DE4C9C8" w:tentative="1">
      <w:start w:val="1"/>
      <w:numFmt w:val="bullet"/>
      <w:lvlText w:val=""/>
      <w:lvlJc w:val="left"/>
      <w:pPr>
        <w:ind w:left="7200" w:hanging="360"/>
      </w:pPr>
      <w:rPr>
        <w:rFonts w:ascii="Wingdings" w:hAnsi="Wingdings" w:hint="default"/>
      </w:rPr>
    </w:lvl>
  </w:abstractNum>
  <w:abstractNum w:abstractNumId="5" w15:restartNumberingAfterBreak="0">
    <w:nsid w:val="0B0C77E1"/>
    <w:multiLevelType w:val="hybridMultilevel"/>
    <w:tmpl w:val="9A121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B2BAC"/>
    <w:multiLevelType w:val="hybridMultilevel"/>
    <w:tmpl w:val="1C5C4F6A"/>
    <w:name w:val="H1toH6LFAshurst222222222222"/>
    <w:lvl w:ilvl="0" w:tplc="2AAC9050">
      <w:start w:val="1"/>
      <w:numFmt w:val="bullet"/>
      <w:lvlText w:val=""/>
      <w:lvlJc w:val="left"/>
      <w:pPr>
        <w:ind w:left="720" w:hanging="360"/>
      </w:pPr>
      <w:rPr>
        <w:rFonts w:ascii="Symbol" w:hAnsi="Symbol" w:hint="default"/>
      </w:rPr>
    </w:lvl>
    <w:lvl w:ilvl="1" w:tplc="FA7ABD1C">
      <w:start w:val="1"/>
      <w:numFmt w:val="bullet"/>
      <w:lvlText w:val="o"/>
      <w:lvlJc w:val="left"/>
      <w:pPr>
        <w:ind w:left="1440" w:hanging="360"/>
      </w:pPr>
      <w:rPr>
        <w:rFonts w:ascii="Courier New" w:hAnsi="Courier New" w:cs="Courier New" w:hint="default"/>
      </w:rPr>
    </w:lvl>
    <w:lvl w:ilvl="2" w:tplc="5F523776">
      <w:start w:val="1"/>
      <w:numFmt w:val="bullet"/>
      <w:lvlText w:val=""/>
      <w:lvlJc w:val="left"/>
      <w:pPr>
        <w:ind w:left="2160" w:hanging="360"/>
      </w:pPr>
      <w:rPr>
        <w:rFonts w:ascii="Wingdings" w:hAnsi="Wingdings" w:hint="default"/>
      </w:rPr>
    </w:lvl>
    <w:lvl w:ilvl="3" w:tplc="1882A25C">
      <w:start w:val="1"/>
      <w:numFmt w:val="bullet"/>
      <w:lvlText w:val=""/>
      <w:lvlJc w:val="left"/>
      <w:pPr>
        <w:ind w:left="2880" w:hanging="360"/>
      </w:pPr>
      <w:rPr>
        <w:rFonts w:ascii="Symbol" w:hAnsi="Symbol" w:hint="default"/>
      </w:rPr>
    </w:lvl>
    <w:lvl w:ilvl="4" w:tplc="2A36AEEE">
      <w:start w:val="1"/>
      <w:numFmt w:val="bullet"/>
      <w:lvlText w:val="o"/>
      <w:lvlJc w:val="left"/>
      <w:pPr>
        <w:ind w:left="3600" w:hanging="360"/>
      </w:pPr>
      <w:rPr>
        <w:rFonts w:ascii="Courier New" w:hAnsi="Courier New" w:cs="Courier New" w:hint="default"/>
      </w:rPr>
    </w:lvl>
    <w:lvl w:ilvl="5" w:tplc="7CAC5C2A">
      <w:start w:val="1"/>
      <w:numFmt w:val="bullet"/>
      <w:lvlText w:val=""/>
      <w:lvlJc w:val="left"/>
      <w:pPr>
        <w:ind w:left="4320" w:hanging="360"/>
      </w:pPr>
      <w:rPr>
        <w:rFonts w:ascii="Wingdings" w:hAnsi="Wingdings" w:hint="default"/>
      </w:rPr>
    </w:lvl>
    <w:lvl w:ilvl="6" w:tplc="4B40405A">
      <w:start w:val="1"/>
      <w:numFmt w:val="bullet"/>
      <w:lvlText w:val=""/>
      <w:lvlJc w:val="left"/>
      <w:pPr>
        <w:ind w:left="5040" w:hanging="360"/>
      </w:pPr>
      <w:rPr>
        <w:rFonts w:ascii="Symbol" w:hAnsi="Symbol" w:hint="default"/>
      </w:rPr>
    </w:lvl>
    <w:lvl w:ilvl="7" w:tplc="13E45C88">
      <w:start w:val="1"/>
      <w:numFmt w:val="bullet"/>
      <w:lvlText w:val="o"/>
      <w:lvlJc w:val="left"/>
      <w:pPr>
        <w:ind w:left="5760" w:hanging="360"/>
      </w:pPr>
      <w:rPr>
        <w:rFonts w:ascii="Courier New" w:hAnsi="Courier New" w:cs="Courier New" w:hint="default"/>
      </w:rPr>
    </w:lvl>
    <w:lvl w:ilvl="8" w:tplc="30406624">
      <w:start w:val="1"/>
      <w:numFmt w:val="bullet"/>
      <w:lvlText w:val=""/>
      <w:lvlJc w:val="left"/>
      <w:pPr>
        <w:ind w:left="6480" w:hanging="360"/>
      </w:pPr>
      <w:rPr>
        <w:rFonts w:ascii="Wingdings" w:hAnsi="Wingdings" w:hint="default"/>
      </w:rPr>
    </w:lvl>
  </w:abstractNum>
  <w:abstractNum w:abstractNumId="7" w15:restartNumberingAfterBreak="0">
    <w:nsid w:val="0EBF5BA6"/>
    <w:multiLevelType w:val="multilevel"/>
    <w:tmpl w:val="69C07B2E"/>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06A6F88"/>
    <w:multiLevelType w:val="multilevel"/>
    <w:tmpl w:val="ACD85B28"/>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1"/>
        <w:szCs w:val="21"/>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363506"/>
    <w:multiLevelType w:val="hybridMultilevel"/>
    <w:tmpl w:val="D9261E3E"/>
    <w:lvl w:ilvl="0" w:tplc="C3C04170">
      <w:start w:val="1"/>
      <w:numFmt w:val="bullet"/>
      <w:pStyle w:val="ListBullet"/>
      <w:lvlText w:val="o"/>
      <w:lvlJc w:val="left"/>
      <w:pPr>
        <w:ind w:left="4195" w:hanging="360"/>
      </w:pPr>
      <w:rPr>
        <w:rFonts w:ascii="Courier New" w:hAnsi="Courier New" w:cs="Courier New" w:hint="default"/>
        <w:color w:val="auto"/>
      </w:rPr>
    </w:lvl>
    <w:lvl w:ilvl="1" w:tplc="B5D430EC">
      <w:numFmt w:val="bullet"/>
      <w:lvlText w:val="•"/>
      <w:lvlJc w:val="left"/>
      <w:pPr>
        <w:ind w:left="4614" w:hanging="720"/>
      </w:pPr>
      <w:rPr>
        <w:rFonts w:ascii="Arial" w:eastAsia="Times New Roman" w:hAnsi="Arial" w:cs="Arial" w:hint="default"/>
      </w:rPr>
    </w:lvl>
    <w:lvl w:ilvl="2" w:tplc="0C090005" w:tentative="1">
      <w:start w:val="1"/>
      <w:numFmt w:val="bullet"/>
      <w:lvlText w:val=""/>
      <w:lvlJc w:val="left"/>
      <w:pPr>
        <w:ind w:left="4974" w:hanging="360"/>
      </w:pPr>
      <w:rPr>
        <w:rFonts w:ascii="Wingdings" w:hAnsi="Wingdings" w:hint="default"/>
      </w:rPr>
    </w:lvl>
    <w:lvl w:ilvl="3" w:tplc="0C090001" w:tentative="1">
      <w:start w:val="1"/>
      <w:numFmt w:val="bullet"/>
      <w:lvlText w:val=""/>
      <w:lvlJc w:val="left"/>
      <w:pPr>
        <w:ind w:left="5694" w:hanging="360"/>
      </w:pPr>
      <w:rPr>
        <w:rFonts w:ascii="Symbol" w:hAnsi="Symbol" w:hint="default"/>
      </w:rPr>
    </w:lvl>
    <w:lvl w:ilvl="4" w:tplc="0C090003" w:tentative="1">
      <w:start w:val="1"/>
      <w:numFmt w:val="bullet"/>
      <w:lvlText w:val="o"/>
      <w:lvlJc w:val="left"/>
      <w:pPr>
        <w:ind w:left="6414" w:hanging="360"/>
      </w:pPr>
      <w:rPr>
        <w:rFonts w:ascii="Courier New" w:hAnsi="Courier New" w:cs="Courier New" w:hint="default"/>
      </w:rPr>
    </w:lvl>
    <w:lvl w:ilvl="5" w:tplc="0C090005" w:tentative="1">
      <w:start w:val="1"/>
      <w:numFmt w:val="bullet"/>
      <w:lvlText w:val=""/>
      <w:lvlJc w:val="left"/>
      <w:pPr>
        <w:ind w:left="7134" w:hanging="360"/>
      </w:pPr>
      <w:rPr>
        <w:rFonts w:ascii="Wingdings" w:hAnsi="Wingdings" w:hint="default"/>
      </w:rPr>
    </w:lvl>
    <w:lvl w:ilvl="6" w:tplc="0C090001" w:tentative="1">
      <w:start w:val="1"/>
      <w:numFmt w:val="bullet"/>
      <w:lvlText w:val=""/>
      <w:lvlJc w:val="left"/>
      <w:pPr>
        <w:ind w:left="7854" w:hanging="360"/>
      </w:pPr>
      <w:rPr>
        <w:rFonts w:ascii="Symbol" w:hAnsi="Symbol" w:hint="default"/>
      </w:rPr>
    </w:lvl>
    <w:lvl w:ilvl="7" w:tplc="0C090003" w:tentative="1">
      <w:start w:val="1"/>
      <w:numFmt w:val="bullet"/>
      <w:lvlText w:val="o"/>
      <w:lvlJc w:val="left"/>
      <w:pPr>
        <w:ind w:left="8574" w:hanging="360"/>
      </w:pPr>
      <w:rPr>
        <w:rFonts w:ascii="Courier New" w:hAnsi="Courier New" w:cs="Courier New" w:hint="default"/>
      </w:rPr>
    </w:lvl>
    <w:lvl w:ilvl="8" w:tplc="0C090005" w:tentative="1">
      <w:start w:val="1"/>
      <w:numFmt w:val="bullet"/>
      <w:lvlText w:val=""/>
      <w:lvlJc w:val="left"/>
      <w:pPr>
        <w:ind w:left="9294" w:hanging="360"/>
      </w:pPr>
      <w:rPr>
        <w:rFonts w:ascii="Wingdings" w:hAnsi="Wingdings" w:hint="default"/>
      </w:rPr>
    </w:lvl>
  </w:abstractNum>
  <w:abstractNum w:abstractNumId="10" w15:restartNumberingAfterBreak="0">
    <w:nsid w:val="174F7885"/>
    <w:multiLevelType w:val="hybridMultilevel"/>
    <w:tmpl w:val="A448EBD0"/>
    <w:lvl w:ilvl="0" w:tplc="FFFFFFFF">
      <w:start w:val="1"/>
      <w:numFmt w:val="lowerLetter"/>
      <w:lvlText w:val="%1)"/>
      <w:lvlJc w:val="left"/>
      <w:pPr>
        <w:ind w:left="1353" w:hanging="360"/>
      </w:pPr>
      <w:rPr>
        <w:rFonts w:hint="default"/>
      </w:rPr>
    </w:lvl>
    <w:lvl w:ilvl="1" w:tplc="FFFFFFFF">
      <w:start w:val="1"/>
      <w:numFmt w:val="lowerRoman"/>
      <w:lvlText w:val="%2."/>
      <w:lvlJc w:val="right"/>
      <w:pPr>
        <w:ind w:left="2073" w:hanging="360"/>
      </w:pPr>
    </w:lvl>
    <w:lvl w:ilvl="2" w:tplc="FFFFFFFF">
      <w:start w:val="1"/>
      <w:numFmt w:val="upperLetter"/>
      <w:lvlText w:val="%3)"/>
      <w:lvlJc w:val="left"/>
      <w:pPr>
        <w:ind w:left="2973" w:hanging="360"/>
      </w:pPr>
      <w:rPr>
        <w:rFonts w:ascii="Univers 47 CondensedLight" w:hAnsi="Univers 47 CondensedLight" w:cs="Univers 47 CondensedLight" w:hint="default"/>
        <w:color w:val="000000"/>
      </w:rPr>
    </w:lvl>
    <w:lvl w:ilvl="3" w:tplc="FFFFFFFF">
      <w:start w:val="7"/>
      <w:numFmt w:val="decimal"/>
      <w:lvlText w:val="%4."/>
      <w:lvlJc w:val="left"/>
      <w:pPr>
        <w:ind w:left="3513" w:hanging="360"/>
      </w:pPr>
      <w:rPr>
        <w:rFonts w:hint="default"/>
      </w:rPr>
    </w:lvl>
    <w:lvl w:ilvl="4" w:tplc="FFFFFFFF">
      <w:start w:val="8"/>
      <w:numFmt w:val="decimal"/>
      <w:lvlText w:val="%5"/>
      <w:lvlJc w:val="left"/>
      <w:pPr>
        <w:ind w:left="4233" w:hanging="360"/>
      </w:pPr>
      <w:rPr>
        <w:rFonts w:hint="default"/>
      </w:r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1" w15:restartNumberingAfterBreak="0">
    <w:nsid w:val="17D56A20"/>
    <w:multiLevelType w:val="multilevel"/>
    <w:tmpl w:val="084477B4"/>
    <w:styleLink w:val="Style2"/>
    <w:lvl w:ilvl="0">
      <w:start w:val="1"/>
      <w:numFmt w:val="decimal"/>
      <w:lvlText w:val="%1.1"/>
      <w:lvlJc w:val="left"/>
      <w:pPr>
        <w:ind w:left="432" w:hanging="432"/>
      </w:pPr>
      <w:rPr>
        <w:rFonts w:hint="default"/>
      </w:rPr>
    </w:lvl>
    <w:lvl w:ilvl="1">
      <w:start w:val="2"/>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8327664"/>
    <w:multiLevelType w:val="multilevel"/>
    <w:tmpl w:val="EB7A537A"/>
    <w:lvl w:ilvl="0">
      <w:start w:val="1"/>
      <w:numFmt w:val="decimal"/>
      <w:lvlText w:val="%1."/>
      <w:lvlJc w:val="left"/>
      <w:pPr>
        <w:tabs>
          <w:tab w:val="num" w:pos="709"/>
        </w:tabs>
        <w:ind w:left="0" w:hanging="709"/>
      </w:pPr>
      <w:rPr>
        <w:rFonts w:hint="default"/>
        <w:b w:val="0"/>
        <w:i w:val="0"/>
        <w:color w:val="FFFFFF" w:themeColor="background1"/>
        <w:sz w:val="8"/>
        <w:szCs w:val="8"/>
      </w:rPr>
    </w:lvl>
    <w:lvl w:ilvl="1">
      <w:start w:val="1"/>
      <w:numFmt w:val="decimal"/>
      <w:lvlText w:val="%1.%2."/>
      <w:lvlJc w:val="left"/>
      <w:pPr>
        <w:tabs>
          <w:tab w:val="num" w:pos="1418"/>
        </w:tabs>
        <w:ind w:left="709" w:hanging="709"/>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993"/>
        </w:tabs>
        <w:ind w:left="709" w:hanging="425"/>
      </w:pPr>
      <w:rPr>
        <w:rFonts w:hint="default"/>
        <w:b w:val="0"/>
        <w:sz w:val="20"/>
        <w:szCs w:val="20"/>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9C960FD"/>
    <w:multiLevelType w:val="multilevel"/>
    <w:tmpl w:val="11BA63CC"/>
    <w:name w:val="OneLevelNumberedParagraphList"/>
    <w:lvl w:ilvl="0">
      <w:start w:val="1"/>
      <w:numFmt w:val="decimal"/>
      <w:lvlText w:val="%1"/>
      <w:lvlJc w:val="left"/>
      <w:pPr>
        <w:tabs>
          <w:tab w:val="num" w:pos="567"/>
        </w:tabs>
        <w:ind w:left="567" w:hanging="567"/>
      </w:pPr>
      <w:rPr>
        <w:rFonts w:ascii="Arial" w:hAnsi="Arial" w:cs="Times New Roman" w:hint="default"/>
        <w:b w:val="0"/>
        <w:i w:val="0"/>
        <w:color w:val="000000"/>
        <w:sz w:val="22"/>
      </w:rPr>
    </w:lvl>
    <w:lvl w:ilvl="1">
      <w:start w:val="1"/>
      <w:numFmt w:val="decimal"/>
      <w:lvlText w:val="%2"/>
      <w:lvlJc w:val="left"/>
      <w:pPr>
        <w:tabs>
          <w:tab w:val="num" w:pos="1134"/>
        </w:tabs>
        <w:ind w:left="1134" w:hanging="567"/>
      </w:pPr>
      <w:rPr>
        <w:rFonts w:ascii="Times New Roman" w:hAnsi="Times New Roman" w:cs="Times New Roman" w:hint="default"/>
        <w:b w:val="0"/>
        <w:i w:val="0"/>
        <w:color w:val="000000"/>
      </w:rPr>
    </w:lvl>
    <w:lvl w:ilvl="2">
      <w:start w:val="1"/>
      <w:numFmt w:val="decimal"/>
      <w:lvlText w:val="%3"/>
      <w:lvlJc w:val="left"/>
      <w:pPr>
        <w:tabs>
          <w:tab w:val="num" w:pos="1701"/>
        </w:tabs>
        <w:ind w:left="1701" w:hanging="567"/>
      </w:pPr>
      <w:rPr>
        <w:rFonts w:ascii="Times New Roman" w:hAnsi="Times New Roman" w:cs="Times New Roman" w:hint="default"/>
        <w:b w:val="0"/>
        <w:i w:val="0"/>
        <w:color w:val="000000"/>
      </w:rPr>
    </w:lvl>
    <w:lvl w:ilvl="3">
      <w:start w:val="1"/>
      <w:numFmt w:val="decimal"/>
      <w:lvlText w:val="%4"/>
      <w:lvlJc w:val="left"/>
      <w:pPr>
        <w:tabs>
          <w:tab w:val="num" w:pos="2268"/>
        </w:tabs>
        <w:ind w:left="2268" w:hanging="567"/>
      </w:pPr>
      <w:rPr>
        <w:rFonts w:ascii="Times New Roman" w:hAnsi="Times New Roman" w:cs="Times New Roman" w:hint="default"/>
        <w:b w:val="0"/>
        <w:i w:val="0"/>
        <w:color w:val="000000"/>
      </w:rPr>
    </w:lvl>
    <w:lvl w:ilvl="4">
      <w:start w:val="1"/>
      <w:numFmt w:val="decimal"/>
      <w:lvlText w:val="%5"/>
      <w:lvlJc w:val="left"/>
      <w:pPr>
        <w:tabs>
          <w:tab w:val="num" w:pos="2835"/>
        </w:tabs>
        <w:ind w:left="2835" w:hanging="567"/>
      </w:pPr>
      <w:rPr>
        <w:rFonts w:ascii="Times New Roman" w:hAnsi="Times New Roman" w:cs="Times New Roman" w:hint="default"/>
        <w:b w:val="0"/>
        <w:i w:val="0"/>
        <w:color w:val="000000"/>
      </w:rPr>
    </w:lvl>
    <w:lvl w:ilvl="5">
      <w:start w:val="1"/>
      <w:numFmt w:val="decimal"/>
      <w:lvlText w:val="%6"/>
      <w:lvlJc w:val="left"/>
      <w:pPr>
        <w:tabs>
          <w:tab w:val="num" w:pos="3402"/>
        </w:tabs>
        <w:ind w:left="3402" w:hanging="567"/>
      </w:pPr>
      <w:rPr>
        <w:rFonts w:ascii="Times New Roman" w:hAnsi="Times New Roman" w:cs="Times New Roman" w:hint="default"/>
        <w:b w:val="0"/>
        <w:i w:val="0"/>
        <w:color w:val="000000"/>
      </w:rPr>
    </w:lvl>
    <w:lvl w:ilvl="6">
      <w:start w:val="1"/>
      <w:numFmt w:val="decimal"/>
      <w:lvlText w:val="%7"/>
      <w:lvlJc w:val="left"/>
      <w:pPr>
        <w:tabs>
          <w:tab w:val="num" w:pos="3969"/>
        </w:tabs>
        <w:ind w:left="3969" w:hanging="567"/>
      </w:pPr>
      <w:rPr>
        <w:rFonts w:ascii="Times New Roman" w:hAnsi="Times New Roman" w:cs="Times New Roman" w:hint="default"/>
        <w:b w:val="0"/>
        <w:i w:val="0"/>
        <w:color w:val="000000"/>
      </w:rPr>
    </w:lvl>
    <w:lvl w:ilvl="7">
      <w:start w:val="1"/>
      <w:numFmt w:val="decimal"/>
      <w:lvlText w:val="%8"/>
      <w:lvlJc w:val="left"/>
      <w:pPr>
        <w:tabs>
          <w:tab w:val="num" w:pos="4536"/>
        </w:tabs>
        <w:ind w:left="4536" w:hanging="567"/>
      </w:pPr>
      <w:rPr>
        <w:rFonts w:ascii="Times New Roman" w:hAnsi="Times New Roman" w:cs="Times New Roman" w:hint="default"/>
        <w:b w:val="0"/>
        <w:i w:val="0"/>
        <w:color w:val="000000"/>
      </w:rPr>
    </w:lvl>
    <w:lvl w:ilvl="8">
      <w:start w:val="1"/>
      <w:numFmt w:val="decimal"/>
      <w:lvlText w:val="%9"/>
      <w:lvlJc w:val="left"/>
      <w:pPr>
        <w:tabs>
          <w:tab w:val="num" w:pos="5103"/>
        </w:tabs>
        <w:ind w:left="5103" w:hanging="567"/>
      </w:pPr>
      <w:rPr>
        <w:rFonts w:ascii="Times New Roman" w:hAnsi="Times New Roman" w:cs="Times New Roman" w:hint="default"/>
        <w:b w:val="0"/>
        <w:i w:val="0"/>
        <w:color w:val="000000"/>
      </w:rPr>
    </w:lvl>
  </w:abstractNum>
  <w:abstractNum w:abstractNumId="14" w15:restartNumberingAfterBreak="0">
    <w:nsid w:val="1DC37FDD"/>
    <w:multiLevelType w:val="hybridMultilevel"/>
    <w:tmpl w:val="3848A75C"/>
    <w:name w:val="H1toH6LFAshurst22222222"/>
    <w:lvl w:ilvl="0" w:tplc="F4587FDC">
      <w:start w:val="1"/>
      <w:numFmt w:val="bullet"/>
      <w:lvlText w:val=""/>
      <w:lvlJc w:val="left"/>
      <w:pPr>
        <w:ind w:left="720" w:hanging="360"/>
      </w:pPr>
      <w:rPr>
        <w:rFonts w:ascii="Symbol" w:hAnsi="Symbol" w:hint="default"/>
      </w:rPr>
    </w:lvl>
    <w:lvl w:ilvl="1" w:tplc="7A02039C">
      <w:start w:val="1"/>
      <w:numFmt w:val="bullet"/>
      <w:lvlText w:val="o"/>
      <w:lvlJc w:val="left"/>
      <w:pPr>
        <w:ind w:left="1440" w:hanging="360"/>
      </w:pPr>
      <w:rPr>
        <w:rFonts w:ascii="Courier New" w:hAnsi="Courier New" w:cs="Courier New" w:hint="default"/>
      </w:rPr>
    </w:lvl>
    <w:lvl w:ilvl="2" w:tplc="C01C66D2">
      <w:start w:val="1"/>
      <w:numFmt w:val="bullet"/>
      <w:lvlText w:val=""/>
      <w:lvlJc w:val="left"/>
      <w:pPr>
        <w:ind w:left="2160" w:hanging="360"/>
      </w:pPr>
      <w:rPr>
        <w:rFonts w:ascii="Wingdings" w:hAnsi="Wingdings" w:hint="default"/>
      </w:rPr>
    </w:lvl>
    <w:lvl w:ilvl="3" w:tplc="1FB84762">
      <w:start w:val="1"/>
      <w:numFmt w:val="bullet"/>
      <w:lvlText w:val=""/>
      <w:lvlJc w:val="left"/>
      <w:pPr>
        <w:ind w:left="2880" w:hanging="360"/>
      </w:pPr>
      <w:rPr>
        <w:rFonts w:ascii="Symbol" w:hAnsi="Symbol" w:hint="default"/>
      </w:rPr>
    </w:lvl>
    <w:lvl w:ilvl="4" w:tplc="CB447D7A">
      <w:start w:val="1"/>
      <w:numFmt w:val="bullet"/>
      <w:lvlText w:val="o"/>
      <w:lvlJc w:val="left"/>
      <w:pPr>
        <w:ind w:left="3600" w:hanging="360"/>
      </w:pPr>
      <w:rPr>
        <w:rFonts w:ascii="Courier New" w:hAnsi="Courier New" w:cs="Courier New" w:hint="default"/>
      </w:rPr>
    </w:lvl>
    <w:lvl w:ilvl="5" w:tplc="51685470">
      <w:start w:val="1"/>
      <w:numFmt w:val="bullet"/>
      <w:lvlText w:val=""/>
      <w:lvlJc w:val="left"/>
      <w:pPr>
        <w:ind w:left="4320" w:hanging="360"/>
      </w:pPr>
      <w:rPr>
        <w:rFonts w:ascii="Wingdings" w:hAnsi="Wingdings" w:hint="default"/>
      </w:rPr>
    </w:lvl>
    <w:lvl w:ilvl="6" w:tplc="D0B087D8">
      <w:start w:val="1"/>
      <w:numFmt w:val="bullet"/>
      <w:lvlText w:val=""/>
      <w:lvlJc w:val="left"/>
      <w:pPr>
        <w:ind w:left="5040" w:hanging="360"/>
      </w:pPr>
      <w:rPr>
        <w:rFonts w:ascii="Symbol" w:hAnsi="Symbol" w:hint="default"/>
      </w:rPr>
    </w:lvl>
    <w:lvl w:ilvl="7" w:tplc="F6E43E84">
      <w:start w:val="1"/>
      <w:numFmt w:val="bullet"/>
      <w:lvlText w:val="o"/>
      <w:lvlJc w:val="left"/>
      <w:pPr>
        <w:ind w:left="5760" w:hanging="360"/>
      </w:pPr>
      <w:rPr>
        <w:rFonts w:ascii="Courier New" w:hAnsi="Courier New" w:cs="Courier New" w:hint="default"/>
      </w:rPr>
    </w:lvl>
    <w:lvl w:ilvl="8" w:tplc="B74E997E">
      <w:start w:val="1"/>
      <w:numFmt w:val="bullet"/>
      <w:lvlText w:val=""/>
      <w:lvlJc w:val="left"/>
      <w:pPr>
        <w:ind w:left="6480" w:hanging="360"/>
      </w:pPr>
      <w:rPr>
        <w:rFonts w:ascii="Wingdings" w:hAnsi="Wingdings" w:hint="default"/>
      </w:r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6F0072B"/>
    <w:multiLevelType w:val="hybridMultilevel"/>
    <w:tmpl w:val="35E88D88"/>
    <w:lvl w:ilvl="0" w:tplc="06403630">
      <w:start w:val="1"/>
      <w:numFmt w:val="bullet"/>
      <w:pStyle w:val="ListParagraph"/>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7" w15:restartNumberingAfterBreak="0">
    <w:nsid w:val="26FC426B"/>
    <w:multiLevelType w:val="multilevel"/>
    <w:tmpl w:val="74D81E52"/>
    <w:lvl w:ilvl="0">
      <w:start w:val="5"/>
      <w:numFmt w:val="decimal"/>
      <w:lvlText w:val="%1."/>
      <w:lvlJc w:val="left"/>
      <w:pPr>
        <w:tabs>
          <w:tab w:val="num" w:pos="782"/>
        </w:tabs>
        <w:ind w:left="782" w:hanging="782"/>
      </w:pPr>
      <w:rPr>
        <w:rFonts w:hint="default"/>
        <w:b/>
        <w:bCs w:val="0"/>
        <w:i w:val="0"/>
      </w:rPr>
    </w:lvl>
    <w:lvl w:ilvl="1">
      <w:start w:val="1"/>
      <w:numFmt w:val="decimal"/>
      <w:lvlText w:val="%1.%2"/>
      <w:lvlJc w:val="left"/>
      <w:pPr>
        <w:tabs>
          <w:tab w:val="num" w:pos="782"/>
        </w:tabs>
        <w:ind w:left="782" w:hanging="782"/>
      </w:pPr>
      <w:rPr>
        <w:rFonts w:hint="default"/>
        <w:b w:val="0"/>
        <w:i w:val="0"/>
        <w:sz w:val="21"/>
        <w:szCs w:val="21"/>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8" w15:restartNumberingAfterBreak="0">
    <w:nsid w:val="2D723678"/>
    <w:multiLevelType w:val="hybridMultilevel"/>
    <w:tmpl w:val="09321F8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ED2794F"/>
    <w:multiLevelType w:val="hybridMultilevel"/>
    <w:tmpl w:val="567C6210"/>
    <w:lvl w:ilvl="0" w:tplc="FFFFFFFF">
      <w:start w:val="1"/>
      <w:numFmt w:val="bullet"/>
      <w:lvlText w:val=""/>
      <w:lvlJc w:val="left"/>
      <w:pPr>
        <w:ind w:left="1440" w:hanging="360"/>
      </w:pPr>
      <w:rPr>
        <w:rFonts w:ascii="Symbol" w:hAnsi="Symbol" w:hint="default"/>
      </w:rPr>
    </w:lvl>
    <w:lvl w:ilvl="1" w:tplc="DD2C7EDA">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FD5492B"/>
    <w:multiLevelType w:val="hybridMultilevel"/>
    <w:tmpl w:val="D0027B00"/>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FFFFFFFF">
      <w:start w:val="1"/>
      <w:numFmt w:val="upperLetter"/>
      <w:lvlText w:val="%3)"/>
      <w:lvlJc w:val="left"/>
      <w:pPr>
        <w:ind w:left="2700" w:hanging="360"/>
      </w:pPr>
      <w:rPr>
        <w:rFonts w:ascii="Univers 47 CondensedLight" w:hAnsi="Univers 47 CondensedLight" w:cs="Univers 47 CondensedLight" w:hint="default"/>
        <w:color w:val="00000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04501CA"/>
    <w:multiLevelType w:val="hybridMultilevel"/>
    <w:tmpl w:val="A6743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0A1906"/>
    <w:multiLevelType w:val="hybridMultilevel"/>
    <w:tmpl w:val="3F0AC402"/>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FFFFFFFF">
      <w:start w:val="1"/>
      <w:numFmt w:val="upperLetter"/>
      <w:lvlText w:val="%3)"/>
      <w:lvlJc w:val="left"/>
      <w:pPr>
        <w:ind w:left="2700" w:hanging="360"/>
      </w:pPr>
      <w:rPr>
        <w:rFonts w:ascii="Univers 47 CondensedLight" w:hAnsi="Univers 47 CondensedLight" w:cs="Univers 47 CondensedLight" w:hint="default"/>
        <w:color w:val="000000"/>
      </w:rPr>
    </w:lvl>
    <w:lvl w:ilvl="3" w:tplc="30A8264E">
      <w:start w:val="1"/>
      <w:numFmt w:val="lowerLetter"/>
      <w:lvlText w:val="(%4)"/>
      <w:lvlJc w:val="left"/>
      <w:pPr>
        <w:ind w:left="3270" w:hanging="39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6937036"/>
    <w:multiLevelType w:val="hybridMultilevel"/>
    <w:tmpl w:val="D0027B00"/>
    <w:lvl w:ilvl="0" w:tplc="FFFFFFFF">
      <w:start w:val="1"/>
      <w:numFmt w:val="lowerLetter"/>
      <w:lvlText w:val="%1)"/>
      <w:lvlJc w:val="left"/>
      <w:pPr>
        <w:ind w:left="1494" w:hanging="360"/>
      </w:pPr>
      <w:rPr>
        <w:rFonts w:hint="default"/>
      </w:rPr>
    </w:lvl>
    <w:lvl w:ilvl="1" w:tplc="FFFFFFFF">
      <w:start w:val="1"/>
      <w:numFmt w:val="lowerRoman"/>
      <w:lvlText w:val="%2."/>
      <w:lvlJc w:val="right"/>
      <w:pPr>
        <w:ind w:left="2214" w:hanging="360"/>
      </w:pPr>
    </w:lvl>
    <w:lvl w:ilvl="2" w:tplc="FFFFFFFF">
      <w:start w:val="1"/>
      <w:numFmt w:val="upperLetter"/>
      <w:lvlText w:val="%3)"/>
      <w:lvlJc w:val="left"/>
      <w:pPr>
        <w:ind w:left="3114" w:hanging="360"/>
      </w:pPr>
      <w:rPr>
        <w:rFonts w:ascii="Univers 47 CondensedLight" w:hAnsi="Univers 47 CondensedLight" w:cs="Univers 47 CondensedLight" w:hint="default"/>
        <w:color w:val="000000"/>
      </w:r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37A74DCD"/>
    <w:multiLevelType w:val="multilevel"/>
    <w:tmpl w:val="D0027B00"/>
    <w:styleLink w:val="StyleNumbered"/>
    <w:lvl w:ilvl="0">
      <w:start w:val="1"/>
      <w:numFmt w:val="lowerLetter"/>
      <w:lvlText w:val="%1)"/>
      <w:lvlJc w:val="left"/>
      <w:pPr>
        <w:ind w:left="720" w:hanging="360"/>
      </w:pPr>
      <w:rPr>
        <w:rFonts w:ascii="Arial" w:hAnsi="Arial"/>
        <w:sz w:val="21"/>
      </w:rPr>
    </w:lvl>
    <w:lvl w:ilvl="1">
      <w:start w:val="1"/>
      <w:numFmt w:val="lowerRoman"/>
      <w:lvlText w:val="%2."/>
      <w:lvlJc w:val="right"/>
      <w:pPr>
        <w:ind w:left="1440" w:hanging="360"/>
      </w:pPr>
    </w:lvl>
    <w:lvl w:ilvl="2">
      <w:start w:val="1"/>
      <w:numFmt w:val="upperLetter"/>
      <w:lvlText w:val="%3)"/>
      <w:lvlJc w:val="left"/>
      <w:pPr>
        <w:ind w:left="2340" w:hanging="360"/>
      </w:pPr>
      <w:rPr>
        <w:rFonts w:ascii="Univers 47 CondensedLight" w:hAnsi="Univers 47 CondensedLight" w:cs="Univers 47 CondensedLight" w:hint="default"/>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AA124D"/>
    <w:multiLevelType w:val="hybridMultilevel"/>
    <w:tmpl w:val="3F0AC402"/>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FFFFFFFF">
      <w:start w:val="1"/>
      <w:numFmt w:val="upperLetter"/>
      <w:lvlText w:val="%3)"/>
      <w:lvlJc w:val="left"/>
      <w:pPr>
        <w:ind w:left="2700" w:hanging="360"/>
      </w:pPr>
      <w:rPr>
        <w:rFonts w:ascii="Univers 47 CondensedLight" w:hAnsi="Univers 47 CondensedLight" w:cs="Univers 47 CondensedLight" w:hint="default"/>
        <w:color w:val="000000"/>
      </w:rPr>
    </w:lvl>
    <w:lvl w:ilvl="3" w:tplc="FFFFFFFF">
      <w:start w:val="1"/>
      <w:numFmt w:val="lowerLetter"/>
      <w:lvlText w:val="(%4)"/>
      <w:lvlJc w:val="left"/>
      <w:pPr>
        <w:ind w:left="3270" w:hanging="39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ED16D6"/>
    <w:multiLevelType w:val="hybridMultilevel"/>
    <w:tmpl w:val="435209F2"/>
    <w:lvl w:ilvl="0" w:tplc="3D265108">
      <w:start w:val="1"/>
      <w:numFmt w:val="bullet"/>
      <w:lvlText w:val=""/>
      <w:lvlJc w:val="left"/>
      <w:pPr>
        <w:ind w:left="720" w:hanging="360"/>
      </w:pPr>
      <w:rPr>
        <w:rFonts w:ascii="Symbol" w:hAnsi="Symbol" w:hint="default"/>
      </w:rPr>
    </w:lvl>
    <w:lvl w:ilvl="1" w:tplc="F1366CF4">
      <w:start w:val="1"/>
      <w:numFmt w:val="bullet"/>
      <w:lvlText w:val="o"/>
      <w:lvlJc w:val="left"/>
      <w:pPr>
        <w:ind w:left="1440" w:hanging="360"/>
      </w:pPr>
      <w:rPr>
        <w:rFonts w:ascii="Courier New" w:hAnsi="Courier New" w:cs="Courier New" w:hint="default"/>
      </w:rPr>
    </w:lvl>
    <w:lvl w:ilvl="2" w:tplc="6EB8EF34">
      <w:start w:val="1"/>
      <w:numFmt w:val="bullet"/>
      <w:lvlText w:val=""/>
      <w:lvlJc w:val="left"/>
      <w:pPr>
        <w:ind w:left="2160" w:hanging="360"/>
      </w:pPr>
      <w:rPr>
        <w:rFonts w:ascii="Wingdings" w:hAnsi="Wingdings" w:hint="default"/>
      </w:rPr>
    </w:lvl>
    <w:lvl w:ilvl="3" w:tplc="243C6B28">
      <w:start w:val="1"/>
      <w:numFmt w:val="bullet"/>
      <w:lvlText w:val=""/>
      <w:lvlJc w:val="left"/>
      <w:pPr>
        <w:ind w:left="2880" w:hanging="360"/>
      </w:pPr>
      <w:rPr>
        <w:rFonts w:ascii="Symbol" w:hAnsi="Symbol" w:hint="default"/>
      </w:rPr>
    </w:lvl>
    <w:lvl w:ilvl="4" w:tplc="7CE49948">
      <w:start w:val="1"/>
      <w:numFmt w:val="bullet"/>
      <w:lvlText w:val="o"/>
      <w:lvlJc w:val="left"/>
      <w:pPr>
        <w:ind w:left="3600" w:hanging="360"/>
      </w:pPr>
      <w:rPr>
        <w:rFonts w:ascii="Courier New" w:hAnsi="Courier New" w:cs="Courier New" w:hint="default"/>
      </w:rPr>
    </w:lvl>
    <w:lvl w:ilvl="5" w:tplc="C784BCA6">
      <w:start w:val="1"/>
      <w:numFmt w:val="bullet"/>
      <w:lvlText w:val=""/>
      <w:lvlJc w:val="left"/>
      <w:pPr>
        <w:ind w:left="4320" w:hanging="360"/>
      </w:pPr>
      <w:rPr>
        <w:rFonts w:ascii="Wingdings" w:hAnsi="Wingdings" w:hint="default"/>
      </w:rPr>
    </w:lvl>
    <w:lvl w:ilvl="6" w:tplc="A0844F12">
      <w:start w:val="1"/>
      <w:numFmt w:val="bullet"/>
      <w:lvlText w:val=""/>
      <w:lvlJc w:val="left"/>
      <w:pPr>
        <w:ind w:left="5040" w:hanging="360"/>
      </w:pPr>
      <w:rPr>
        <w:rFonts w:ascii="Symbol" w:hAnsi="Symbol" w:hint="default"/>
      </w:rPr>
    </w:lvl>
    <w:lvl w:ilvl="7" w:tplc="D30E6714">
      <w:start w:val="1"/>
      <w:numFmt w:val="bullet"/>
      <w:lvlText w:val="o"/>
      <w:lvlJc w:val="left"/>
      <w:pPr>
        <w:ind w:left="5760" w:hanging="360"/>
      </w:pPr>
      <w:rPr>
        <w:rFonts w:ascii="Courier New" w:hAnsi="Courier New" w:cs="Courier New" w:hint="default"/>
      </w:rPr>
    </w:lvl>
    <w:lvl w:ilvl="8" w:tplc="FD74FEC6">
      <w:start w:val="1"/>
      <w:numFmt w:val="bullet"/>
      <w:lvlText w:val=""/>
      <w:lvlJc w:val="left"/>
      <w:pPr>
        <w:ind w:left="6480" w:hanging="360"/>
      </w:pPr>
      <w:rPr>
        <w:rFonts w:ascii="Wingdings" w:hAnsi="Wingdings" w:hint="default"/>
      </w:rPr>
    </w:lvl>
  </w:abstractNum>
  <w:abstractNum w:abstractNumId="28" w15:restartNumberingAfterBreak="0">
    <w:nsid w:val="3F892413"/>
    <w:multiLevelType w:val="hybridMultilevel"/>
    <w:tmpl w:val="0246777C"/>
    <w:lvl w:ilvl="0" w:tplc="7206E9E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28241F4"/>
    <w:multiLevelType w:val="multilevel"/>
    <w:tmpl w:val="36D4B292"/>
    <w:name w:val="StandardBulletedList"/>
    <w:lvl w:ilvl="0">
      <w:start w:val="1"/>
      <w:numFmt w:val="bullet"/>
      <w:lvlText w:val="•"/>
      <w:lvlJc w:val="left"/>
      <w:pPr>
        <w:tabs>
          <w:tab w:val="num" w:pos="425"/>
        </w:tabs>
        <w:ind w:left="425" w:hanging="425"/>
      </w:pPr>
      <w:rPr>
        <w:rFonts w:ascii="Times New Roman" w:hAnsi="Times New Roman" w:cs="Times New Roman"/>
      </w:rPr>
    </w:lvl>
    <w:lvl w:ilvl="1">
      <w:start w:val="1"/>
      <w:numFmt w:val="bullet"/>
      <w:lvlText w:val="–"/>
      <w:lvlJc w:val="left"/>
      <w:pPr>
        <w:tabs>
          <w:tab w:val="num" w:pos="850"/>
        </w:tabs>
        <w:ind w:left="850" w:hanging="425"/>
      </w:pPr>
      <w:rPr>
        <w:rFonts w:ascii="Times New Roman" w:hAnsi="Times New Roman" w:cs="Times New Roman"/>
      </w:rPr>
    </w:lvl>
    <w:lvl w:ilvl="2">
      <w:start w:val="1"/>
      <w:numFmt w:val="bullet"/>
      <w:lvlText w:val=":"/>
      <w:lvlJc w:val="left"/>
      <w:pPr>
        <w:tabs>
          <w:tab w:val="num" w:pos="1275"/>
        </w:tabs>
        <w:ind w:left="1275"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1939AE"/>
    <w:multiLevelType w:val="multilevel"/>
    <w:tmpl w:val="15C80BCE"/>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9C4197B"/>
    <w:multiLevelType w:val="hybridMultilevel"/>
    <w:tmpl w:val="6DE0BB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51514B68"/>
    <w:multiLevelType w:val="hybridMultilevel"/>
    <w:tmpl w:val="52C83AEC"/>
    <w:lvl w:ilvl="0" w:tplc="4590340C">
      <w:start w:val="1"/>
      <w:numFmt w:val="bullet"/>
      <w:lvlText w:val=""/>
      <w:lvlJc w:val="left"/>
      <w:pPr>
        <w:ind w:left="780" w:hanging="360"/>
      </w:pPr>
      <w:rPr>
        <w:rFonts w:ascii="Symbol" w:hAnsi="Symbol" w:hint="default"/>
      </w:rPr>
    </w:lvl>
    <w:lvl w:ilvl="1" w:tplc="0BA4E7B4">
      <w:start w:val="1"/>
      <w:numFmt w:val="bullet"/>
      <w:lvlText w:val="o"/>
      <w:lvlJc w:val="left"/>
      <w:pPr>
        <w:ind w:left="1500" w:hanging="360"/>
      </w:pPr>
      <w:rPr>
        <w:rFonts w:ascii="Courier New" w:hAnsi="Courier New" w:cs="Courier New" w:hint="default"/>
      </w:rPr>
    </w:lvl>
    <w:lvl w:ilvl="2" w:tplc="A7B2F322">
      <w:start w:val="1"/>
      <w:numFmt w:val="bullet"/>
      <w:lvlText w:val=""/>
      <w:lvlJc w:val="left"/>
      <w:pPr>
        <w:ind w:left="2220" w:hanging="360"/>
      </w:pPr>
      <w:rPr>
        <w:rFonts w:ascii="Wingdings" w:hAnsi="Wingdings" w:hint="default"/>
      </w:rPr>
    </w:lvl>
    <w:lvl w:ilvl="3" w:tplc="25BC2618">
      <w:start w:val="1"/>
      <w:numFmt w:val="bullet"/>
      <w:lvlText w:val=""/>
      <w:lvlJc w:val="left"/>
      <w:pPr>
        <w:ind w:left="2940" w:hanging="360"/>
      </w:pPr>
      <w:rPr>
        <w:rFonts w:ascii="Symbol" w:hAnsi="Symbol" w:hint="default"/>
      </w:rPr>
    </w:lvl>
    <w:lvl w:ilvl="4" w:tplc="ABE6486A">
      <w:start w:val="1"/>
      <w:numFmt w:val="bullet"/>
      <w:lvlText w:val="o"/>
      <w:lvlJc w:val="left"/>
      <w:pPr>
        <w:ind w:left="3660" w:hanging="360"/>
      </w:pPr>
      <w:rPr>
        <w:rFonts w:ascii="Courier New" w:hAnsi="Courier New" w:cs="Courier New" w:hint="default"/>
      </w:rPr>
    </w:lvl>
    <w:lvl w:ilvl="5" w:tplc="56508E86">
      <w:start w:val="1"/>
      <w:numFmt w:val="bullet"/>
      <w:lvlText w:val=""/>
      <w:lvlJc w:val="left"/>
      <w:pPr>
        <w:ind w:left="4380" w:hanging="360"/>
      </w:pPr>
      <w:rPr>
        <w:rFonts w:ascii="Wingdings" w:hAnsi="Wingdings" w:hint="default"/>
      </w:rPr>
    </w:lvl>
    <w:lvl w:ilvl="6" w:tplc="54CCA93A">
      <w:start w:val="1"/>
      <w:numFmt w:val="bullet"/>
      <w:lvlText w:val=""/>
      <w:lvlJc w:val="left"/>
      <w:pPr>
        <w:ind w:left="5100" w:hanging="360"/>
      </w:pPr>
      <w:rPr>
        <w:rFonts w:ascii="Symbol" w:hAnsi="Symbol" w:hint="default"/>
      </w:rPr>
    </w:lvl>
    <w:lvl w:ilvl="7" w:tplc="C80E60BA">
      <w:start w:val="1"/>
      <w:numFmt w:val="bullet"/>
      <w:lvlText w:val="o"/>
      <w:lvlJc w:val="left"/>
      <w:pPr>
        <w:ind w:left="5820" w:hanging="360"/>
      </w:pPr>
      <w:rPr>
        <w:rFonts w:ascii="Courier New" w:hAnsi="Courier New" w:cs="Courier New" w:hint="default"/>
      </w:rPr>
    </w:lvl>
    <w:lvl w:ilvl="8" w:tplc="42D8ADB8">
      <w:start w:val="1"/>
      <w:numFmt w:val="bullet"/>
      <w:lvlText w:val=""/>
      <w:lvlJc w:val="left"/>
      <w:pPr>
        <w:ind w:left="6540" w:hanging="360"/>
      </w:pPr>
      <w:rPr>
        <w:rFonts w:ascii="Wingdings" w:hAnsi="Wingdings" w:hint="default"/>
      </w:rPr>
    </w:lvl>
  </w:abstractNum>
  <w:abstractNum w:abstractNumId="33" w15:restartNumberingAfterBreak="0">
    <w:nsid w:val="57CE4D81"/>
    <w:multiLevelType w:val="multilevel"/>
    <w:tmpl w:val="4DCA91A8"/>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ADD0FD2"/>
    <w:multiLevelType w:val="hybridMultilevel"/>
    <w:tmpl w:val="01DCA2DE"/>
    <w:lvl w:ilvl="0" w:tplc="1988E6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05C6660"/>
    <w:multiLevelType w:val="multilevel"/>
    <w:tmpl w:val="5802D690"/>
    <w:styleLink w:val="Style1"/>
    <w:lvl w:ilvl="0">
      <w:start w:val="2"/>
      <w:numFmt w:val="decimal"/>
      <w:lvlText w:val="%1.1"/>
      <w:lvlJc w:val="left"/>
      <w:pPr>
        <w:ind w:left="432" w:hanging="432"/>
      </w:pPr>
      <w:rPr>
        <w:rFonts w:hint="default"/>
      </w:rPr>
    </w:lvl>
    <w:lvl w:ilvl="1">
      <w:start w:val="1"/>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6104EC5"/>
    <w:multiLevelType w:val="multilevel"/>
    <w:tmpl w:val="4D64488C"/>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bCs w:val="0"/>
        <w:sz w:val="21"/>
        <w:szCs w:val="21"/>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545DF5"/>
    <w:multiLevelType w:val="multilevel"/>
    <w:tmpl w:val="33BABC18"/>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4"/>
        </w:tabs>
        <w:ind w:left="2654" w:hanging="624"/>
      </w:pPr>
      <w:rPr>
        <w:rFonts w:hint="default"/>
      </w:rPr>
    </w:lvl>
    <w:lvl w:ilvl="5">
      <w:start w:val="27"/>
      <w:numFmt w:val="lowerLetter"/>
      <w:lvlText w:val="(%6)"/>
      <w:lvlJc w:val="left"/>
      <w:pPr>
        <w:tabs>
          <w:tab w:val="num" w:pos="3277"/>
        </w:tabs>
        <w:ind w:left="3277" w:hanging="623"/>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8" w15:restartNumberingAfterBreak="0">
    <w:nsid w:val="76FB3DDA"/>
    <w:multiLevelType w:val="multilevel"/>
    <w:tmpl w:val="5D6A370E"/>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662A0B"/>
    <w:multiLevelType w:val="hybridMultilevel"/>
    <w:tmpl w:val="52BA00FE"/>
    <w:name w:val="H1toH6LFAshurst222222"/>
    <w:lvl w:ilvl="0" w:tplc="0D62AAFC">
      <w:start w:val="1"/>
      <w:numFmt w:val="bullet"/>
      <w:lvlText w:val=""/>
      <w:lvlJc w:val="left"/>
      <w:pPr>
        <w:ind w:left="720" w:hanging="360"/>
      </w:pPr>
      <w:rPr>
        <w:rFonts w:ascii="Symbol" w:hAnsi="Symbol" w:hint="default"/>
      </w:rPr>
    </w:lvl>
    <w:lvl w:ilvl="1" w:tplc="16C023F4">
      <w:start w:val="1"/>
      <w:numFmt w:val="bullet"/>
      <w:lvlText w:val="o"/>
      <w:lvlJc w:val="left"/>
      <w:pPr>
        <w:ind w:left="1440" w:hanging="360"/>
      </w:pPr>
      <w:rPr>
        <w:rFonts w:ascii="Courier New" w:hAnsi="Courier New" w:cs="Courier New" w:hint="default"/>
      </w:rPr>
    </w:lvl>
    <w:lvl w:ilvl="2" w:tplc="B428E558">
      <w:start w:val="1"/>
      <w:numFmt w:val="bullet"/>
      <w:lvlText w:val=""/>
      <w:lvlJc w:val="left"/>
      <w:pPr>
        <w:ind w:left="2160" w:hanging="360"/>
      </w:pPr>
      <w:rPr>
        <w:rFonts w:ascii="Wingdings" w:hAnsi="Wingdings" w:hint="default"/>
      </w:rPr>
    </w:lvl>
    <w:lvl w:ilvl="3" w:tplc="E050ECB2">
      <w:start w:val="1"/>
      <w:numFmt w:val="bullet"/>
      <w:lvlText w:val=""/>
      <w:lvlJc w:val="left"/>
      <w:pPr>
        <w:ind w:left="2880" w:hanging="360"/>
      </w:pPr>
      <w:rPr>
        <w:rFonts w:ascii="Symbol" w:hAnsi="Symbol" w:hint="default"/>
      </w:rPr>
    </w:lvl>
    <w:lvl w:ilvl="4" w:tplc="266072F6">
      <w:start w:val="1"/>
      <w:numFmt w:val="bullet"/>
      <w:lvlText w:val="o"/>
      <w:lvlJc w:val="left"/>
      <w:pPr>
        <w:ind w:left="3600" w:hanging="360"/>
      </w:pPr>
      <w:rPr>
        <w:rFonts w:ascii="Courier New" w:hAnsi="Courier New" w:cs="Courier New" w:hint="default"/>
      </w:rPr>
    </w:lvl>
    <w:lvl w:ilvl="5" w:tplc="A51CCFBC">
      <w:start w:val="1"/>
      <w:numFmt w:val="bullet"/>
      <w:lvlText w:val=""/>
      <w:lvlJc w:val="left"/>
      <w:pPr>
        <w:ind w:left="4320" w:hanging="360"/>
      </w:pPr>
      <w:rPr>
        <w:rFonts w:ascii="Wingdings" w:hAnsi="Wingdings" w:hint="default"/>
      </w:rPr>
    </w:lvl>
    <w:lvl w:ilvl="6" w:tplc="FEB4D39C">
      <w:start w:val="1"/>
      <w:numFmt w:val="bullet"/>
      <w:lvlText w:val=""/>
      <w:lvlJc w:val="left"/>
      <w:pPr>
        <w:ind w:left="5040" w:hanging="360"/>
      </w:pPr>
      <w:rPr>
        <w:rFonts w:ascii="Symbol" w:hAnsi="Symbol" w:hint="default"/>
      </w:rPr>
    </w:lvl>
    <w:lvl w:ilvl="7" w:tplc="BEA0B4B8">
      <w:start w:val="1"/>
      <w:numFmt w:val="bullet"/>
      <w:lvlText w:val="o"/>
      <w:lvlJc w:val="left"/>
      <w:pPr>
        <w:ind w:left="5760" w:hanging="360"/>
      </w:pPr>
      <w:rPr>
        <w:rFonts w:ascii="Courier New" w:hAnsi="Courier New" w:cs="Courier New" w:hint="default"/>
      </w:rPr>
    </w:lvl>
    <w:lvl w:ilvl="8" w:tplc="9A620C50">
      <w:start w:val="1"/>
      <w:numFmt w:val="bullet"/>
      <w:lvlText w:val=""/>
      <w:lvlJc w:val="left"/>
      <w:pPr>
        <w:ind w:left="6480" w:hanging="360"/>
      </w:pPr>
      <w:rPr>
        <w:rFonts w:ascii="Wingdings" w:hAnsi="Wingdings" w:hint="default"/>
      </w:rPr>
    </w:lvl>
  </w:abstractNum>
  <w:abstractNum w:abstractNumId="40" w15:restartNumberingAfterBreak="0">
    <w:nsid w:val="78FB0261"/>
    <w:multiLevelType w:val="multilevel"/>
    <w:tmpl w:val="4DCA91A8"/>
    <w:numStyleLink w:val="CurrentList1"/>
  </w:abstractNum>
  <w:abstractNum w:abstractNumId="41" w15:restartNumberingAfterBreak="0">
    <w:nsid w:val="79754B01"/>
    <w:multiLevelType w:val="multilevel"/>
    <w:tmpl w:val="4CE436D2"/>
    <w:lvl w:ilvl="0">
      <w:start w:val="1"/>
      <w:numFmt w:val="decimal"/>
      <w:lvlText w:val="%1."/>
      <w:lvlJc w:val="left"/>
      <w:pPr>
        <w:ind w:left="360" w:hanging="360"/>
      </w:pPr>
      <w:rPr>
        <w:rFonts w:hint="default"/>
      </w:rPr>
    </w:lvl>
    <w:lvl w:ilvl="1">
      <w:start w:val="1"/>
      <w:numFmt w:val="decimal"/>
      <w:pStyle w:val="Clause"/>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391716"/>
    <w:multiLevelType w:val="hybridMultilevel"/>
    <w:tmpl w:val="4D32E44E"/>
    <w:lvl w:ilvl="0" w:tplc="F8A80FD2">
      <w:start w:val="1"/>
      <w:numFmt w:val="bullet"/>
      <w:pStyle w:val="ListBullet2"/>
      <w:lvlText w:val=""/>
      <w:lvlJc w:val="left"/>
      <w:pPr>
        <w:ind w:left="81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115709949">
    <w:abstractNumId w:val="42"/>
  </w:num>
  <w:num w:numId="2" w16cid:durableId="1368020951">
    <w:abstractNumId w:val="9"/>
  </w:num>
  <w:num w:numId="3" w16cid:durableId="463355507">
    <w:abstractNumId w:val="37"/>
  </w:num>
  <w:num w:numId="4" w16cid:durableId="358900427">
    <w:abstractNumId w:val="15"/>
  </w:num>
  <w:num w:numId="5" w16cid:durableId="1060202889">
    <w:abstractNumId w:val="12"/>
  </w:num>
  <w:num w:numId="6" w16cid:durableId="1853375639">
    <w:abstractNumId w:val="1"/>
  </w:num>
  <w:num w:numId="7" w16cid:durableId="436679189">
    <w:abstractNumId w:val="16"/>
  </w:num>
  <w:num w:numId="8" w16cid:durableId="30766075">
    <w:abstractNumId w:val="25"/>
  </w:num>
  <w:num w:numId="9" w16cid:durableId="723330220">
    <w:abstractNumId w:val="35"/>
  </w:num>
  <w:num w:numId="10" w16cid:durableId="328683291">
    <w:abstractNumId w:val="11"/>
  </w:num>
  <w:num w:numId="11" w16cid:durableId="1952399348">
    <w:abstractNumId w:val="40"/>
    <w:lvlOverride w:ilvl="1">
      <w:lvl w:ilvl="1">
        <w:start w:val="1"/>
        <w:numFmt w:val="decimal"/>
        <w:lvlText w:val="%1.%2"/>
        <w:lvlJc w:val="left"/>
        <w:pPr>
          <w:ind w:left="576" w:hanging="576"/>
        </w:pPr>
        <w:rPr>
          <w:color w:val="auto"/>
        </w:rPr>
      </w:lvl>
    </w:lvlOverride>
  </w:num>
  <w:num w:numId="12" w16cid:durableId="781000818">
    <w:abstractNumId w:val="5"/>
  </w:num>
  <w:num w:numId="13" w16cid:durableId="791707004">
    <w:abstractNumId w:val="4"/>
  </w:num>
  <w:num w:numId="14" w16cid:durableId="1766000835">
    <w:abstractNumId w:val="2"/>
  </w:num>
  <w:num w:numId="15" w16cid:durableId="982465264">
    <w:abstractNumId w:val="20"/>
  </w:num>
  <w:num w:numId="16" w16cid:durableId="1357123347">
    <w:abstractNumId w:val="22"/>
  </w:num>
  <w:num w:numId="17" w16cid:durableId="182862316">
    <w:abstractNumId w:val="0"/>
  </w:num>
  <w:num w:numId="18" w16cid:durableId="947740347">
    <w:abstractNumId w:val="6"/>
  </w:num>
  <w:num w:numId="19" w16cid:durableId="1801418954">
    <w:abstractNumId w:val="32"/>
  </w:num>
  <w:num w:numId="20" w16cid:durableId="508106840">
    <w:abstractNumId w:val="27"/>
  </w:num>
  <w:num w:numId="21" w16cid:durableId="355736735">
    <w:abstractNumId w:val="39"/>
  </w:num>
  <w:num w:numId="22" w16cid:durableId="935210309">
    <w:abstractNumId w:val="3"/>
  </w:num>
  <w:num w:numId="23" w16cid:durableId="1844514575">
    <w:abstractNumId w:val="14"/>
  </w:num>
  <w:num w:numId="24" w16cid:durableId="1766461840">
    <w:abstractNumId w:val="18"/>
  </w:num>
  <w:num w:numId="25" w16cid:durableId="1986272036">
    <w:abstractNumId w:val="31"/>
  </w:num>
  <w:num w:numId="26" w16cid:durableId="1647201275">
    <w:abstractNumId w:val="41"/>
  </w:num>
  <w:num w:numId="27" w16cid:durableId="90511756">
    <w:abstractNumId w:val="24"/>
  </w:num>
  <w:num w:numId="28" w16cid:durableId="507863766">
    <w:abstractNumId w:val="40"/>
  </w:num>
  <w:num w:numId="29" w16cid:durableId="390732137">
    <w:abstractNumId w:val="33"/>
  </w:num>
  <w:num w:numId="30" w16cid:durableId="1289701513">
    <w:abstractNumId w:val="10"/>
  </w:num>
  <w:num w:numId="31" w16cid:durableId="1637949149">
    <w:abstractNumId w:val="23"/>
  </w:num>
  <w:num w:numId="32" w16cid:durableId="1942257175">
    <w:abstractNumId w:val="7"/>
  </w:num>
  <w:num w:numId="33" w16cid:durableId="377515977">
    <w:abstractNumId w:val="30"/>
  </w:num>
  <w:num w:numId="34" w16cid:durableId="2027320592">
    <w:abstractNumId w:val="17"/>
  </w:num>
  <w:num w:numId="35" w16cid:durableId="1872452236">
    <w:abstractNumId w:val="38"/>
  </w:num>
  <w:num w:numId="36" w16cid:durableId="1959875098">
    <w:abstractNumId w:val="21"/>
  </w:num>
  <w:num w:numId="37" w16cid:durableId="434860059">
    <w:abstractNumId w:val="8"/>
  </w:num>
  <w:num w:numId="38" w16cid:durableId="338118796">
    <w:abstractNumId w:val="36"/>
  </w:num>
  <w:num w:numId="39" w16cid:durableId="1287196313">
    <w:abstractNumId w:val="26"/>
  </w:num>
  <w:num w:numId="40" w16cid:durableId="355548201">
    <w:abstractNumId w:val="19"/>
  </w:num>
  <w:num w:numId="41" w16cid:durableId="1848785010">
    <w:abstractNumId w:val="28"/>
  </w:num>
  <w:num w:numId="42" w16cid:durableId="1120731279">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NotTrackMoves/>
  <w:doNotTrackFormatting/>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MEW\MEW\91818948\1"/>
  </w:docVars>
  <w:rsids>
    <w:rsidRoot w:val="0035097A"/>
    <w:rsid w:val="000007FF"/>
    <w:rsid w:val="0000161A"/>
    <w:rsid w:val="00001F6F"/>
    <w:rsid w:val="0000283D"/>
    <w:rsid w:val="00003743"/>
    <w:rsid w:val="000047B4"/>
    <w:rsid w:val="00004D16"/>
    <w:rsid w:val="00005712"/>
    <w:rsid w:val="000070A7"/>
    <w:rsid w:val="00007841"/>
    <w:rsid w:val="00007FD8"/>
    <w:rsid w:val="000117F8"/>
    <w:rsid w:val="00012163"/>
    <w:rsid w:val="000150C8"/>
    <w:rsid w:val="00015B84"/>
    <w:rsid w:val="0001784A"/>
    <w:rsid w:val="00022D89"/>
    <w:rsid w:val="000258BF"/>
    <w:rsid w:val="00025D3C"/>
    <w:rsid w:val="00026139"/>
    <w:rsid w:val="00026202"/>
    <w:rsid w:val="00027071"/>
    <w:rsid w:val="00027601"/>
    <w:rsid w:val="00030A05"/>
    <w:rsid w:val="00032EC3"/>
    <w:rsid w:val="00033321"/>
    <w:rsid w:val="000338E5"/>
    <w:rsid w:val="00033ECC"/>
    <w:rsid w:val="0003422F"/>
    <w:rsid w:val="00034E00"/>
    <w:rsid w:val="000367F1"/>
    <w:rsid w:val="0003690E"/>
    <w:rsid w:val="00037E13"/>
    <w:rsid w:val="00040FAD"/>
    <w:rsid w:val="00042802"/>
    <w:rsid w:val="00044F62"/>
    <w:rsid w:val="000450A1"/>
    <w:rsid w:val="00046EA7"/>
    <w:rsid w:val="00046FF0"/>
    <w:rsid w:val="00050176"/>
    <w:rsid w:val="00051C2A"/>
    <w:rsid w:val="00051CDA"/>
    <w:rsid w:val="00051EB8"/>
    <w:rsid w:val="0005328D"/>
    <w:rsid w:val="00053947"/>
    <w:rsid w:val="00053E32"/>
    <w:rsid w:val="000622F6"/>
    <w:rsid w:val="00062B65"/>
    <w:rsid w:val="00065D24"/>
    <w:rsid w:val="00066725"/>
    <w:rsid w:val="00067456"/>
    <w:rsid w:val="0006796A"/>
    <w:rsid w:val="00071506"/>
    <w:rsid w:val="0007154F"/>
    <w:rsid w:val="00074128"/>
    <w:rsid w:val="000808FF"/>
    <w:rsid w:val="00081AB1"/>
    <w:rsid w:val="00081D85"/>
    <w:rsid w:val="0008241E"/>
    <w:rsid w:val="000832BB"/>
    <w:rsid w:val="00084BBA"/>
    <w:rsid w:val="00085C33"/>
    <w:rsid w:val="00090316"/>
    <w:rsid w:val="0009159B"/>
    <w:rsid w:val="00092F39"/>
    <w:rsid w:val="00093981"/>
    <w:rsid w:val="00093CD9"/>
    <w:rsid w:val="00094B08"/>
    <w:rsid w:val="000A2022"/>
    <w:rsid w:val="000A59E9"/>
    <w:rsid w:val="000A5B75"/>
    <w:rsid w:val="000A72E4"/>
    <w:rsid w:val="000B067A"/>
    <w:rsid w:val="000B1540"/>
    <w:rsid w:val="000B2AFE"/>
    <w:rsid w:val="000B33FD"/>
    <w:rsid w:val="000B3685"/>
    <w:rsid w:val="000B4508"/>
    <w:rsid w:val="000B4ABA"/>
    <w:rsid w:val="000C03B5"/>
    <w:rsid w:val="000C0E7A"/>
    <w:rsid w:val="000C44C9"/>
    <w:rsid w:val="000C4B16"/>
    <w:rsid w:val="000C4D85"/>
    <w:rsid w:val="000C50C3"/>
    <w:rsid w:val="000C6976"/>
    <w:rsid w:val="000C6D1C"/>
    <w:rsid w:val="000C7984"/>
    <w:rsid w:val="000D1DF6"/>
    <w:rsid w:val="000D21F6"/>
    <w:rsid w:val="000D2380"/>
    <w:rsid w:val="000D3E9A"/>
    <w:rsid w:val="000D42C3"/>
    <w:rsid w:val="000D4500"/>
    <w:rsid w:val="000D4F15"/>
    <w:rsid w:val="000D56E4"/>
    <w:rsid w:val="000D5C48"/>
    <w:rsid w:val="000D5F05"/>
    <w:rsid w:val="000D6A77"/>
    <w:rsid w:val="000D6D91"/>
    <w:rsid w:val="000D7AEA"/>
    <w:rsid w:val="000E01A9"/>
    <w:rsid w:val="000E0AE2"/>
    <w:rsid w:val="000E2C66"/>
    <w:rsid w:val="000E2CB0"/>
    <w:rsid w:val="000E424B"/>
    <w:rsid w:val="000E5578"/>
    <w:rsid w:val="000E68EB"/>
    <w:rsid w:val="000E6E7D"/>
    <w:rsid w:val="000F0CDF"/>
    <w:rsid w:val="000F123C"/>
    <w:rsid w:val="000F13CB"/>
    <w:rsid w:val="000F258D"/>
    <w:rsid w:val="000F2FED"/>
    <w:rsid w:val="000F37BF"/>
    <w:rsid w:val="000F4AD3"/>
    <w:rsid w:val="000F6490"/>
    <w:rsid w:val="000F6A99"/>
    <w:rsid w:val="00100961"/>
    <w:rsid w:val="00100F6D"/>
    <w:rsid w:val="00101D6E"/>
    <w:rsid w:val="001032BC"/>
    <w:rsid w:val="0010616D"/>
    <w:rsid w:val="00106AF7"/>
    <w:rsid w:val="00107257"/>
    <w:rsid w:val="001072E0"/>
    <w:rsid w:val="00107EA1"/>
    <w:rsid w:val="00110478"/>
    <w:rsid w:val="001107E9"/>
    <w:rsid w:val="00111A70"/>
    <w:rsid w:val="0011450F"/>
    <w:rsid w:val="00114AFA"/>
    <w:rsid w:val="00115073"/>
    <w:rsid w:val="00116EFC"/>
    <w:rsid w:val="0011711B"/>
    <w:rsid w:val="00117C37"/>
    <w:rsid w:val="00117F8A"/>
    <w:rsid w:val="001207BA"/>
    <w:rsid w:val="00120E98"/>
    <w:rsid w:val="00121B9B"/>
    <w:rsid w:val="00122ADC"/>
    <w:rsid w:val="00127E21"/>
    <w:rsid w:val="00130F59"/>
    <w:rsid w:val="00131E5F"/>
    <w:rsid w:val="00132F8F"/>
    <w:rsid w:val="00133618"/>
    <w:rsid w:val="00133CF1"/>
    <w:rsid w:val="00133EC0"/>
    <w:rsid w:val="00134F49"/>
    <w:rsid w:val="00135CDF"/>
    <w:rsid w:val="00136AAE"/>
    <w:rsid w:val="00141932"/>
    <w:rsid w:val="00141C65"/>
    <w:rsid w:val="00141CE5"/>
    <w:rsid w:val="00142076"/>
    <w:rsid w:val="00142E54"/>
    <w:rsid w:val="00144908"/>
    <w:rsid w:val="00145793"/>
    <w:rsid w:val="00145ABD"/>
    <w:rsid w:val="00146C6A"/>
    <w:rsid w:val="00150EB4"/>
    <w:rsid w:val="00151804"/>
    <w:rsid w:val="00156558"/>
    <w:rsid w:val="00156FD1"/>
    <w:rsid w:val="001571C7"/>
    <w:rsid w:val="00157FE5"/>
    <w:rsid w:val="001601FC"/>
    <w:rsid w:val="00160563"/>
    <w:rsid w:val="00161094"/>
    <w:rsid w:val="00164115"/>
    <w:rsid w:val="00167E54"/>
    <w:rsid w:val="00171B7A"/>
    <w:rsid w:val="00171CFC"/>
    <w:rsid w:val="00172A55"/>
    <w:rsid w:val="001733BC"/>
    <w:rsid w:val="00173A52"/>
    <w:rsid w:val="00173BBF"/>
    <w:rsid w:val="001741FC"/>
    <w:rsid w:val="001758CD"/>
    <w:rsid w:val="0017665C"/>
    <w:rsid w:val="001776A8"/>
    <w:rsid w:val="001777FA"/>
    <w:rsid w:val="00177AD2"/>
    <w:rsid w:val="00180402"/>
    <w:rsid w:val="001815A8"/>
    <w:rsid w:val="00182660"/>
    <w:rsid w:val="00183236"/>
    <w:rsid w:val="001840FA"/>
    <w:rsid w:val="001865F2"/>
    <w:rsid w:val="0018681F"/>
    <w:rsid w:val="00190079"/>
    <w:rsid w:val="0019622E"/>
    <w:rsid w:val="001966A7"/>
    <w:rsid w:val="00197A46"/>
    <w:rsid w:val="001A11BB"/>
    <w:rsid w:val="001A2951"/>
    <w:rsid w:val="001A2DB8"/>
    <w:rsid w:val="001A4627"/>
    <w:rsid w:val="001A4979"/>
    <w:rsid w:val="001A5D15"/>
    <w:rsid w:val="001A5E4B"/>
    <w:rsid w:val="001B15D3"/>
    <w:rsid w:val="001B1E1D"/>
    <w:rsid w:val="001B25BD"/>
    <w:rsid w:val="001B3443"/>
    <w:rsid w:val="001B5925"/>
    <w:rsid w:val="001B5994"/>
    <w:rsid w:val="001B6B57"/>
    <w:rsid w:val="001C0296"/>
    <w:rsid w:val="001C0326"/>
    <w:rsid w:val="001C049D"/>
    <w:rsid w:val="001C192F"/>
    <w:rsid w:val="001C1A40"/>
    <w:rsid w:val="001C24AB"/>
    <w:rsid w:val="001C2879"/>
    <w:rsid w:val="001C30B5"/>
    <w:rsid w:val="001C346B"/>
    <w:rsid w:val="001C3C42"/>
    <w:rsid w:val="001C61F2"/>
    <w:rsid w:val="001D09D9"/>
    <w:rsid w:val="001D1440"/>
    <w:rsid w:val="001D3D8C"/>
    <w:rsid w:val="001D3DDA"/>
    <w:rsid w:val="001D5525"/>
    <w:rsid w:val="001D68ED"/>
    <w:rsid w:val="001D7869"/>
    <w:rsid w:val="001E1867"/>
    <w:rsid w:val="001E55F9"/>
    <w:rsid w:val="001E6689"/>
    <w:rsid w:val="001E6F82"/>
    <w:rsid w:val="001E70BE"/>
    <w:rsid w:val="001F1E51"/>
    <w:rsid w:val="001F2F2F"/>
    <w:rsid w:val="001F2F78"/>
    <w:rsid w:val="001F3196"/>
    <w:rsid w:val="001F450D"/>
    <w:rsid w:val="001F50D9"/>
    <w:rsid w:val="00200671"/>
    <w:rsid w:val="002010E0"/>
    <w:rsid w:val="002026CD"/>
    <w:rsid w:val="002033FC"/>
    <w:rsid w:val="002044BB"/>
    <w:rsid w:val="00205A93"/>
    <w:rsid w:val="00206F84"/>
    <w:rsid w:val="00210548"/>
    <w:rsid w:val="00210B09"/>
    <w:rsid w:val="00210C9E"/>
    <w:rsid w:val="00210D49"/>
    <w:rsid w:val="00210FDE"/>
    <w:rsid w:val="002110B3"/>
    <w:rsid w:val="00211294"/>
    <w:rsid w:val="00211840"/>
    <w:rsid w:val="00213155"/>
    <w:rsid w:val="002133DF"/>
    <w:rsid w:val="00216AF1"/>
    <w:rsid w:val="00216D76"/>
    <w:rsid w:val="00220E5F"/>
    <w:rsid w:val="002212B5"/>
    <w:rsid w:val="002248CB"/>
    <w:rsid w:val="00224CDF"/>
    <w:rsid w:val="00226668"/>
    <w:rsid w:val="002304BB"/>
    <w:rsid w:val="002321AC"/>
    <w:rsid w:val="002324C9"/>
    <w:rsid w:val="002332D4"/>
    <w:rsid w:val="00233809"/>
    <w:rsid w:val="00236073"/>
    <w:rsid w:val="00237918"/>
    <w:rsid w:val="00240046"/>
    <w:rsid w:val="00240402"/>
    <w:rsid w:val="00240BE7"/>
    <w:rsid w:val="00240E25"/>
    <w:rsid w:val="00241E41"/>
    <w:rsid w:val="0024283F"/>
    <w:rsid w:val="00242B59"/>
    <w:rsid w:val="00242CAF"/>
    <w:rsid w:val="00244C0D"/>
    <w:rsid w:val="00245A4C"/>
    <w:rsid w:val="00246719"/>
    <w:rsid w:val="00246C83"/>
    <w:rsid w:val="00246ECA"/>
    <w:rsid w:val="0024797F"/>
    <w:rsid w:val="002503BC"/>
    <w:rsid w:val="0025119E"/>
    <w:rsid w:val="00251269"/>
    <w:rsid w:val="002514D7"/>
    <w:rsid w:val="00251B20"/>
    <w:rsid w:val="00251C33"/>
    <w:rsid w:val="00252073"/>
    <w:rsid w:val="002535C0"/>
    <w:rsid w:val="00254148"/>
    <w:rsid w:val="002571BA"/>
    <w:rsid w:val="002579FE"/>
    <w:rsid w:val="00257ABD"/>
    <w:rsid w:val="00257F46"/>
    <w:rsid w:val="00260CD6"/>
    <w:rsid w:val="002624D9"/>
    <w:rsid w:val="0026311C"/>
    <w:rsid w:val="00265EB4"/>
    <w:rsid w:val="0026668C"/>
    <w:rsid w:val="00266AC1"/>
    <w:rsid w:val="0027178C"/>
    <w:rsid w:val="002719FA"/>
    <w:rsid w:val="0027232D"/>
    <w:rsid w:val="00272668"/>
    <w:rsid w:val="0027330B"/>
    <w:rsid w:val="0027583D"/>
    <w:rsid w:val="00275F5D"/>
    <w:rsid w:val="00276093"/>
    <w:rsid w:val="0027624F"/>
    <w:rsid w:val="00276592"/>
    <w:rsid w:val="00277286"/>
    <w:rsid w:val="0027799E"/>
    <w:rsid w:val="002803AD"/>
    <w:rsid w:val="00282052"/>
    <w:rsid w:val="002849B6"/>
    <w:rsid w:val="002849F6"/>
    <w:rsid w:val="0028519E"/>
    <w:rsid w:val="002856A5"/>
    <w:rsid w:val="002872ED"/>
    <w:rsid w:val="002905C2"/>
    <w:rsid w:val="002929EA"/>
    <w:rsid w:val="00294FF9"/>
    <w:rsid w:val="00295423"/>
    <w:rsid w:val="00295AF2"/>
    <w:rsid w:val="00295C91"/>
    <w:rsid w:val="00295CBB"/>
    <w:rsid w:val="00297151"/>
    <w:rsid w:val="002A0FE8"/>
    <w:rsid w:val="002A25FF"/>
    <w:rsid w:val="002A27AD"/>
    <w:rsid w:val="002A2AA0"/>
    <w:rsid w:val="002A3603"/>
    <w:rsid w:val="002A4CB6"/>
    <w:rsid w:val="002A6425"/>
    <w:rsid w:val="002A687F"/>
    <w:rsid w:val="002B0F74"/>
    <w:rsid w:val="002B1F1F"/>
    <w:rsid w:val="002B20E6"/>
    <w:rsid w:val="002B34C2"/>
    <w:rsid w:val="002B3958"/>
    <w:rsid w:val="002B3F03"/>
    <w:rsid w:val="002B42A3"/>
    <w:rsid w:val="002B5CA8"/>
    <w:rsid w:val="002B5DA3"/>
    <w:rsid w:val="002B7AA7"/>
    <w:rsid w:val="002C0CDD"/>
    <w:rsid w:val="002C0FF6"/>
    <w:rsid w:val="002C3D02"/>
    <w:rsid w:val="002C4E3E"/>
    <w:rsid w:val="002C5127"/>
    <w:rsid w:val="002D020C"/>
    <w:rsid w:val="002D06CD"/>
    <w:rsid w:val="002D11A4"/>
    <w:rsid w:val="002D1CCF"/>
    <w:rsid w:val="002D303F"/>
    <w:rsid w:val="002D3568"/>
    <w:rsid w:val="002D6C00"/>
    <w:rsid w:val="002E1A1D"/>
    <w:rsid w:val="002E3901"/>
    <w:rsid w:val="002E4081"/>
    <w:rsid w:val="002E5643"/>
    <w:rsid w:val="002E5B78"/>
    <w:rsid w:val="002E6240"/>
    <w:rsid w:val="002E6512"/>
    <w:rsid w:val="002E653E"/>
    <w:rsid w:val="002F0AC2"/>
    <w:rsid w:val="002F2EB7"/>
    <w:rsid w:val="002F36AF"/>
    <w:rsid w:val="002F37B9"/>
    <w:rsid w:val="002F3AE3"/>
    <w:rsid w:val="002F3FE9"/>
    <w:rsid w:val="002F4DBA"/>
    <w:rsid w:val="002F63E2"/>
    <w:rsid w:val="002F67D6"/>
    <w:rsid w:val="002F7481"/>
    <w:rsid w:val="003004D7"/>
    <w:rsid w:val="0030162A"/>
    <w:rsid w:val="0030464B"/>
    <w:rsid w:val="00305EBC"/>
    <w:rsid w:val="003064D8"/>
    <w:rsid w:val="00306725"/>
    <w:rsid w:val="003070EE"/>
    <w:rsid w:val="0030786C"/>
    <w:rsid w:val="00311C9F"/>
    <w:rsid w:val="00315BC4"/>
    <w:rsid w:val="00316166"/>
    <w:rsid w:val="00316C36"/>
    <w:rsid w:val="00316FC9"/>
    <w:rsid w:val="0031713B"/>
    <w:rsid w:val="00320FFA"/>
    <w:rsid w:val="003212D8"/>
    <w:rsid w:val="00321F30"/>
    <w:rsid w:val="00322D5D"/>
    <w:rsid w:val="003233DE"/>
    <w:rsid w:val="003237AA"/>
    <w:rsid w:val="0032466B"/>
    <w:rsid w:val="00324698"/>
    <w:rsid w:val="00324D6F"/>
    <w:rsid w:val="003255C8"/>
    <w:rsid w:val="003279B3"/>
    <w:rsid w:val="00327B44"/>
    <w:rsid w:val="00331137"/>
    <w:rsid w:val="00332A9A"/>
    <w:rsid w:val="003330EB"/>
    <w:rsid w:val="0033354D"/>
    <w:rsid w:val="00335718"/>
    <w:rsid w:val="003360CE"/>
    <w:rsid w:val="00336605"/>
    <w:rsid w:val="00337009"/>
    <w:rsid w:val="0033742E"/>
    <w:rsid w:val="003415FD"/>
    <w:rsid w:val="003416C3"/>
    <w:rsid w:val="00342080"/>
    <w:rsid w:val="003429F0"/>
    <w:rsid w:val="0034338C"/>
    <w:rsid w:val="00343449"/>
    <w:rsid w:val="00345014"/>
    <w:rsid w:val="00345759"/>
    <w:rsid w:val="00345A76"/>
    <w:rsid w:val="00347EA1"/>
    <w:rsid w:val="0035097A"/>
    <w:rsid w:val="003540A4"/>
    <w:rsid w:val="003548F1"/>
    <w:rsid w:val="00355CAE"/>
    <w:rsid w:val="00356284"/>
    <w:rsid w:val="00356FFC"/>
    <w:rsid w:val="00357236"/>
    <w:rsid w:val="0036028E"/>
    <w:rsid w:val="00360E4E"/>
    <w:rsid w:val="003611CE"/>
    <w:rsid w:val="00366544"/>
    <w:rsid w:val="00366631"/>
    <w:rsid w:val="00366B6C"/>
    <w:rsid w:val="00367760"/>
    <w:rsid w:val="00370056"/>
    <w:rsid w:val="0037060A"/>
    <w:rsid w:val="00370AAA"/>
    <w:rsid w:val="00370FCF"/>
    <w:rsid w:val="0037149A"/>
    <w:rsid w:val="00371575"/>
    <w:rsid w:val="00372825"/>
    <w:rsid w:val="00375581"/>
    <w:rsid w:val="00375F77"/>
    <w:rsid w:val="0037710A"/>
    <w:rsid w:val="00377A78"/>
    <w:rsid w:val="00380C72"/>
    <w:rsid w:val="003816AD"/>
    <w:rsid w:val="00381BBE"/>
    <w:rsid w:val="00381C83"/>
    <w:rsid w:val="003825D5"/>
    <w:rsid w:val="00382903"/>
    <w:rsid w:val="00383BA8"/>
    <w:rsid w:val="003846FF"/>
    <w:rsid w:val="00385A84"/>
    <w:rsid w:val="00385AD4"/>
    <w:rsid w:val="00385B04"/>
    <w:rsid w:val="00386E30"/>
    <w:rsid w:val="0038764A"/>
    <w:rsid w:val="00387924"/>
    <w:rsid w:val="00387E2B"/>
    <w:rsid w:val="0039028C"/>
    <w:rsid w:val="003912A6"/>
    <w:rsid w:val="00391ADA"/>
    <w:rsid w:val="00392C19"/>
    <w:rsid w:val="003933F6"/>
    <w:rsid w:val="0039384D"/>
    <w:rsid w:val="00395C23"/>
    <w:rsid w:val="003A1B38"/>
    <w:rsid w:val="003A26F3"/>
    <w:rsid w:val="003A2E4F"/>
    <w:rsid w:val="003A355D"/>
    <w:rsid w:val="003A4438"/>
    <w:rsid w:val="003A5013"/>
    <w:rsid w:val="003A5078"/>
    <w:rsid w:val="003A62C1"/>
    <w:rsid w:val="003A62DD"/>
    <w:rsid w:val="003A775A"/>
    <w:rsid w:val="003A79A0"/>
    <w:rsid w:val="003B0DAB"/>
    <w:rsid w:val="003B158B"/>
    <w:rsid w:val="003B213A"/>
    <w:rsid w:val="003B43AD"/>
    <w:rsid w:val="003B6AC8"/>
    <w:rsid w:val="003B7C3D"/>
    <w:rsid w:val="003C027C"/>
    <w:rsid w:val="003C0CC9"/>
    <w:rsid w:val="003C0FEC"/>
    <w:rsid w:val="003C15B8"/>
    <w:rsid w:val="003C217C"/>
    <w:rsid w:val="003C25F9"/>
    <w:rsid w:val="003C2AC8"/>
    <w:rsid w:val="003C2F24"/>
    <w:rsid w:val="003C5C9D"/>
    <w:rsid w:val="003C6136"/>
    <w:rsid w:val="003D17F9"/>
    <w:rsid w:val="003D2D88"/>
    <w:rsid w:val="003D41EA"/>
    <w:rsid w:val="003D4850"/>
    <w:rsid w:val="003D49F7"/>
    <w:rsid w:val="003D535A"/>
    <w:rsid w:val="003D57AA"/>
    <w:rsid w:val="003D646F"/>
    <w:rsid w:val="003D64E4"/>
    <w:rsid w:val="003D72B6"/>
    <w:rsid w:val="003E024F"/>
    <w:rsid w:val="003E10B8"/>
    <w:rsid w:val="003E4AB8"/>
    <w:rsid w:val="003E4D17"/>
    <w:rsid w:val="003E5265"/>
    <w:rsid w:val="003E7FEF"/>
    <w:rsid w:val="003F0955"/>
    <w:rsid w:val="003F3286"/>
    <w:rsid w:val="003F36A2"/>
    <w:rsid w:val="003F4892"/>
    <w:rsid w:val="003F594E"/>
    <w:rsid w:val="003F63C9"/>
    <w:rsid w:val="003F6FE1"/>
    <w:rsid w:val="003F70A8"/>
    <w:rsid w:val="00400F00"/>
    <w:rsid w:val="00404F8B"/>
    <w:rsid w:val="00405256"/>
    <w:rsid w:val="00406703"/>
    <w:rsid w:val="00407D3F"/>
    <w:rsid w:val="00410031"/>
    <w:rsid w:val="004115A2"/>
    <w:rsid w:val="00412C24"/>
    <w:rsid w:val="00413528"/>
    <w:rsid w:val="004139C3"/>
    <w:rsid w:val="00413DBE"/>
    <w:rsid w:val="004144B9"/>
    <w:rsid w:val="004149C6"/>
    <w:rsid w:val="00414D68"/>
    <w:rsid w:val="00415C81"/>
    <w:rsid w:val="00416731"/>
    <w:rsid w:val="00417C51"/>
    <w:rsid w:val="00420366"/>
    <w:rsid w:val="00422790"/>
    <w:rsid w:val="004227F6"/>
    <w:rsid w:val="00422827"/>
    <w:rsid w:val="004271F9"/>
    <w:rsid w:val="004272CA"/>
    <w:rsid w:val="00431D62"/>
    <w:rsid w:val="00432378"/>
    <w:rsid w:val="004325B5"/>
    <w:rsid w:val="00432F73"/>
    <w:rsid w:val="004361B4"/>
    <w:rsid w:val="00436CCF"/>
    <w:rsid w:val="00437CA8"/>
    <w:rsid w:val="00440D65"/>
    <w:rsid w:val="004425A7"/>
    <w:rsid w:val="004435E6"/>
    <w:rsid w:val="00444822"/>
    <w:rsid w:val="00447E31"/>
    <w:rsid w:val="004503F5"/>
    <w:rsid w:val="00450406"/>
    <w:rsid w:val="004518F2"/>
    <w:rsid w:val="00453923"/>
    <w:rsid w:val="0045429E"/>
    <w:rsid w:val="00454B9B"/>
    <w:rsid w:val="00454BDE"/>
    <w:rsid w:val="004552EA"/>
    <w:rsid w:val="00456458"/>
    <w:rsid w:val="00457445"/>
    <w:rsid w:val="00457858"/>
    <w:rsid w:val="00460B0B"/>
    <w:rsid w:val="00461023"/>
    <w:rsid w:val="0046263B"/>
    <w:rsid w:val="00462FAC"/>
    <w:rsid w:val="00464188"/>
    <w:rsid w:val="00464631"/>
    <w:rsid w:val="00464679"/>
    <w:rsid w:val="00464B79"/>
    <w:rsid w:val="004668F8"/>
    <w:rsid w:val="00467BBF"/>
    <w:rsid w:val="00470B0A"/>
    <w:rsid w:val="00473090"/>
    <w:rsid w:val="00475E12"/>
    <w:rsid w:val="00481B98"/>
    <w:rsid w:val="00484A68"/>
    <w:rsid w:val="004867E2"/>
    <w:rsid w:val="0049255A"/>
    <w:rsid w:val="004929A9"/>
    <w:rsid w:val="00492E26"/>
    <w:rsid w:val="004947D9"/>
    <w:rsid w:val="00495B3D"/>
    <w:rsid w:val="0049683B"/>
    <w:rsid w:val="00496CC2"/>
    <w:rsid w:val="004A0600"/>
    <w:rsid w:val="004A0EA2"/>
    <w:rsid w:val="004A1A3D"/>
    <w:rsid w:val="004A2740"/>
    <w:rsid w:val="004A568D"/>
    <w:rsid w:val="004A6FE0"/>
    <w:rsid w:val="004A7113"/>
    <w:rsid w:val="004A75A7"/>
    <w:rsid w:val="004A7DB5"/>
    <w:rsid w:val="004B1B7B"/>
    <w:rsid w:val="004B1CC2"/>
    <w:rsid w:val="004B23A1"/>
    <w:rsid w:val="004B3979"/>
    <w:rsid w:val="004C2FEC"/>
    <w:rsid w:val="004C403C"/>
    <w:rsid w:val="004C6BCF"/>
    <w:rsid w:val="004D02B2"/>
    <w:rsid w:val="004D1163"/>
    <w:rsid w:val="004D1888"/>
    <w:rsid w:val="004D31A3"/>
    <w:rsid w:val="004D3441"/>
    <w:rsid w:val="004D5805"/>
    <w:rsid w:val="004D58BF"/>
    <w:rsid w:val="004D791C"/>
    <w:rsid w:val="004E16A2"/>
    <w:rsid w:val="004E2CE8"/>
    <w:rsid w:val="004E3840"/>
    <w:rsid w:val="004E4335"/>
    <w:rsid w:val="004E5ACF"/>
    <w:rsid w:val="004E6220"/>
    <w:rsid w:val="004E6B0B"/>
    <w:rsid w:val="004E7CBB"/>
    <w:rsid w:val="004F13EE"/>
    <w:rsid w:val="004F2022"/>
    <w:rsid w:val="004F2467"/>
    <w:rsid w:val="004F365F"/>
    <w:rsid w:val="004F49D9"/>
    <w:rsid w:val="004F5F94"/>
    <w:rsid w:val="004F6D5A"/>
    <w:rsid w:val="004F7C05"/>
    <w:rsid w:val="0050121A"/>
    <w:rsid w:val="00501A7A"/>
    <w:rsid w:val="00501C94"/>
    <w:rsid w:val="00504D13"/>
    <w:rsid w:val="005053FC"/>
    <w:rsid w:val="00506095"/>
    <w:rsid w:val="005061C6"/>
    <w:rsid w:val="00506432"/>
    <w:rsid w:val="00506A0C"/>
    <w:rsid w:val="00506C21"/>
    <w:rsid w:val="005078F2"/>
    <w:rsid w:val="00510B6C"/>
    <w:rsid w:val="0051242B"/>
    <w:rsid w:val="00512535"/>
    <w:rsid w:val="00512DD0"/>
    <w:rsid w:val="0051370F"/>
    <w:rsid w:val="00520201"/>
    <w:rsid w:val="0052051D"/>
    <w:rsid w:val="00520D58"/>
    <w:rsid w:val="00520F38"/>
    <w:rsid w:val="00522A53"/>
    <w:rsid w:val="005249CE"/>
    <w:rsid w:val="00524A9D"/>
    <w:rsid w:val="005264A5"/>
    <w:rsid w:val="005266B7"/>
    <w:rsid w:val="0052786D"/>
    <w:rsid w:val="005308ED"/>
    <w:rsid w:val="00531194"/>
    <w:rsid w:val="0053341C"/>
    <w:rsid w:val="005356E3"/>
    <w:rsid w:val="00540F31"/>
    <w:rsid w:val="005439D3"/>
    <w:rsid w:val="00543F83"/>
    <w:rsid w:val="00544704"/>
    <w:rsid w:val="00545D88"/>
    <w:rsid w:val="00545EE6"/>
    <w:rsid w:val="00546AC8"/>
    <w:rsid w:val="005550E7"/>
    <w:rsid w:val="005564FB"/>
    <w:rsid w:val="005572C7"/>
    <w:rsid w:val="00557D5A"/>
    <w:rsid w:val="0056040B"/>
    <w:rsid w:val="0056486D"/>
    <w:rsid w:val="00565000"/>
    <w:rsid w:val="005650ED"/>
    <w:rsid w:val="00566903"/>
    <w:rsid w:val="00567B3E"/>
    <w:rsid w:val="00571068"/>
    <w:rsid w:val="00571C68"/>
    <w:rsid w:val="00573D90"/>
    <w:rsid w:val="00574420"/>
    <w:rsid w:val="00575754"/>
    <w:rsid w:val="00576509"/>
    <w:rsid w:val="005765BA"/>
    <w:rsid w:val="005827AA"/>
    <w:rsid w:val="00582DB8"/>
    <w:rsid w:val="0058307E"/>
    <w:rsid w:val="005834BE"/>
    <w:rsid w:val="00583B6F"/>
    <w:rsid w:val="00584377"/>
    <w:rsid w:val="00586C56"/>
    <w:rsid w:val="00591E20"/>
    <w:rsid w:val="005931E3"/>
    <w:rsid w:val="00593924"/>
    <w:rsid w:val="00594152"/>
    <w:rsid w:val="00595408"/>
    <w:rsid w:val="00595E84"/>
    <w:rsid w:val="005A06F9"/>
    <w:rsid w:val="005A0C59"/>
    <w:rsid w:val="005A250F"/>
    <w:rsid w:val="005A31C1"/>
    <w:rsid w:val="005A48EB"/>
    <w:rsid w:val="005A5E16"/>
    <w:rsid w:val="005A61FA"/>
    <w:rsid w:val="005A6CFB"/>
    <w:rsid w:val="005A7B62"/>
    <w:rsid w:val="005A7BB2"/>
    <w:rsid w:val="005B1149"/>
    <w:rsid w:val="005B2A9F"/>
    <w:rsid w:val="005B31F0"/>
    <w:rsid w:val="005B4A1D"/>
    <w:rsid w:val="005B4B1C"/>
    <w:rsid w:val="005B63CF"/>
    <w:rsid w:val="005C0844"/>
    <w:rsid w:val="005C1C7D"/>
    <w:rsid w:val="005C4C35"/>
    <w:rsid w:val="005C5AEB"/>
    <w:rsid w:val="005C5EC4"/>
    <w:rsid w:val="005C77B1"/>
    <w:rsid w:val="005C78AE"/>
    <w:rsid w:val="005D0995"/>
    <w:rsid w:val="005D31B7"/>
    <w:rsid w:val="005D5D24"/>
    <w:rsid w:val="005D6806"/>
    <w:rsid w:val="005D7383"/>
    <w:rsid w:val="005D76C8"/>
    <w:rsid w:val="005E0A3F"/>
    <w:rsid w:val="005E0A4B"/>
    <w:rsid w:val="005E1BA6"/>
    <w:rsid w:val="005E1C74"/>
    <w:rsid w:val="005E2EED"/>
    <w:rsid w:val="005E36A9"/>
    <w:rsid w:val="005E6883"/>
    <w:rsid w:val="005E772F"/>
    <w:rsid w:val="005F2398"/>
    <w:rsid w:val="005F32BF"/>
    <w:rsid w:val="005F3B49"/>
    <w:rsid w:val="005F4ECA"/>
    <w:rsid w:val="005F5707"/>
    <w:rsid w:val="006037F3"/>
    <w:rsid w:val="0060386C"/>
    <w:rsid w:val="006041BE"/>
    <w:rsid w:val="006042A7"/>
    <w:rsid w:val="00604383"/>
    <w:rsid w:val="006043C7"/>
    <w:rsid w:val="006111CF"/>
    <w:rsid w:val="006115F7"/>
    <w:rsid w:val="00611A48"/>
    <w:rsid w:val="00612BDC"/>
    <w:rsid w:val="00613B96"/>
    <w:rsid w:val="006140CE"/>
    <w:rsid w:val="00615CEB"/>
    <w:rsid w:val="00622237"/>
    <w:rsid w:val="0062346A"/>
    <w:rsid w:val="006235E9"/>
    <w:rsid w:val="00624B52"/>
    <w:rsid w:val="00626440"/>
    <w:rsid w:val="00626B78"/>
    <w:rsid w:val="006300ED"/>
    <w:rsid w:val="0063123F"/>
    <w:rsid w:val="00631DF4"/>
    <w:rsid w:val="00632254"/>
    <w:rsid w:val="00634175"/>
    <w:rsid w:val="006341EE"/>
    <w:rsid w:val="00635051"/>
    <w:rsid w:val="00635D27"/>
    <w:rsid w:val="00636BEC"/>
    <w:rsid w:val="00636C8D"/>
    <w:rsid w:val="006408AC"/>
    <w:rsid w:val="00640F05"/>
    <w:rsid w:val="006427A6"/>
    <w:rsid w:val="006428AB"/>
    <w:rsid w:val="00643EBF"/>
    <w:rsid w:val="006454AF"/>
    <w:rsid w:val="00646098"/>
    <w:rsid w:val="006461F9"/>
    <w:rsid w:val="00647149"/>
    <w:rsid w:val="006511B6"/>
    <w:rsid w:val="00652742"/>
    <w:rsid w:val="00652AED"/>
    <w:rsid w:val="00652C6C"/>
    <w:rsid w:val="00657916"/>
    <w:rsid w:val="00657FF8"/>
    <w:rsid w:val="0066506E"/>
    <w:rsid w:val="0066569B"/>
    <w:rsid w:val="00665D36"/>
    <w:rsid w:val="006669F1"/>
    <w:rsid w:val="00666C97"/>
    <w:rsid w:val="006678E7"/>
    <w:rsid w:val="00670D99"/>
    <w:rsid w:val="00670E2B"/>
    <w:rsid w:val="006718CA"/>
    <w:rsid w:val="006726E3"/>
    <w:rsid w:val="0067293F"/>
    <w:rsid w:val="006734BB"/>
    <w:rsid w:val="00674BE5"/>
    <w:rsid w:val="00681A34"/>
    <w:rsid w:val="00681C40"/>
    <w:rsid w:val="006821EB"/>
    <w:rsid w:val="006825FD"/>
    <w:rsid w:val="006836CD"/>
    <w:rsid w:val="00685876"/>
    <w:rsid w:val="00686F53"/>
    <w:rsid w:val="00696774"/>
    <w:rsid w:val="006A5CB0"/>
    <w:rsid w:val="006A6663"/>
    <w:rsid w:val="006A700C"/>
    <w:rsid w:val="006A733D"/>
    <w:rsid w:val="006B0585"/>
    <w:rsid w:val="006B0C7B"/>
    <w:rsid w:val="006B20C5"/>
    <w:rsid w:val="006B2286"/>
    <w:rsid w:val="006B24DF"/>
    <w:rsid w:val="006B336D"/>
    <w:rsid w:val="006B54C1"/>
    <w:rsid w:val="006B56BB"/>
    <w:rsid w:val="006C09BD"/>
    <w:rsid w:val="006C2FAC"/>
    <w:rsid w:val="006C3B1A"/>
    <w:rsid w:val="006C4F13"/>
    <w:rsid w:val="006C5243"/>
    <w:rsid w:val="006C5BB4"/>
    <w:rsid w:val="006C7092"/>
    <w:rsid w:val="006C77A8"/>
    <w:rsid w:val="006D0EC9"/>
    <w:rsid w:val="006D1627"/>
    <w:rsid w:val="006D1BA4"/>
    <w:rsid w:val="006D300B"/>
    <w:rsid w:val="006D3982"/>
    <w:rsid w:val="006D4098"/>
    <w:rsid w:val="006D509B"/>
    <w:rsid w:val="006D5CE4"/>
    <w:rsid w:val="006D5DF7"/>
    <w:rsid w:val="006D7681"/>
    <w:rsid w:val="006D7B2E"/>
    <w:rsid w:val="006E02EA"/>
    <w:rsid w:val="006E04AC"/>
    <w:rsid w:val="006E0968"/>
    <w:rsid w:val="006E2AF6"/>
    <w:rsid w:val="006E46FC"/>
    <w:rsid w:val="006E4B33"/>
    <w:rsid w:val="006E7AD7"/>
    <w:rsid w:val="006F0284"/>
    <w:rsid w:val="006F124F"/>
    <w:rsid w:val="006F18EB"/>
    <w:rsid w:val="006F19B8"/>
    <w:rsid w:val="006F59AB"/>
    <w:rsid w:val="006F6391"/>
    <w:rsid w:val="006F6AB1"/>
    <w:rsid w:val="00700134"/>
    <w:rsid w:val="0070053A"/>
    <w:rsid w:val="0070065D"/>
    <w:rsid w:val="00700A7C"/>
    <w:rsid w:val="00701275"/>
    <w:rsid w:val="00702420"/>
    <w:rsid w:val="00702BCF"/>
    <w:rsid w:val="00703B22"/>
    <w:rsid w:val="007047E2"/>
    <w:rsid w:val="007058AF"/>
    <w:rsid w:val="007067E3"/>
    <w:rsid w:val="00706EAA"/>
    <w:rsid w:val="0070781B"/>
    <w:rsid w:val="00707F56"/>
    <w:rsid w:val="00712326"/>
    <w:rsid w:val="00713025"/>
    <w:rsid w:val="00713558"/>
    <w:rsid w:val="007136C4"/>
    <w:rsid w:val="00713E0C"/>
    <w:rsid w:val="00715046"/>
    <w:rsid w:val="00715D46"/>
    <w:rsid w:val="00717405"/>
    <w:rsid w:val="00720D08"/>
    <w:rsid w:val="007248E7"/>
    <w:rsid w:val="00724E71"/>
    <w:rsid w:val="007263B9"/>
    <w:rsid w:val="007323F1"/>
    <w:rsid w:val="00733070"/>
    <w:rsid w:val="007334F8"/>
    <w:rsid w:val="0073372B"/>
    <w:rsid w:val="007339CD"/>
    <w:rsid w:val="00734FE8"/>
    <w:rsid w:val="00735466"/>
    <w:rsid w:val="00735623"/>
    <w:rsid w:val="007356F6"/>
    <w:rsid w:val="007359D8"/>
    <w:rsid w:val="007362D4"/>
    <w:rsid w:val="007370B6"/>
    <w:rsid w:val="007405D4"/>
    <w:rsid w:val="00745CF0"/>
    <w:rsid w:val="007461D6"/>
    <w:rsid w:val="007502C8"/>
    <w:rsid w:val="00750301"/>
    <w:rsid w:val="0075107C"/>
    <w:rsid w:val="00751938"/>
    <w:rsid w:val="00751A23"/>
    <w:rsid w:val="00752DB5"/>
    <w:rsid w:val="00752E95"/>
    <w:rsid w:val="0075367D"/>
    <w:rsid w:val="007553D9"/>
    <w:rsid w:val="007562A8"/>
    <w:rsid w:val="00756431"/>
    <w:rsid w:val="007572EF"/>
    <w:rsid w:val="007601EF"/>
    <w:rsid w:val="007616FD"/>
    <w:rsid w:val="00762BD5"/>
    <w:rsid w:val="00762C42"/>
    <w:rsid w:val="00763107"/>
    <w:rsid w:val="00763964"/>
    <w:rsid w:val="00764EBF"/>
    <w:rsid w:val="0076672A"/>
    <w:rsid w:val="0077024F"/>
    <w:rsid w:val="00770271"/>
    <w:rsid w:val="0077101F"/>
    <w:rsid w:val="007718CC"/>
    <w:rsid w:val="007725AC"/>
    <w:rsid w:val="0077314D"/>
    <w:rsid w:val="007731CC"/>
    <w:rsid w:val="00775E45"/>
    <w:rsid w:val="00776E74"/>
    <w:rsid w:val="007774C6"/>
    <w:rsid w:val="007804DF"/>
    <w:rsid w:val="0078271A"/>
    <w:rsid w:val="0078378A"/>
    <w:rsid w:val="00783948"/>
    <w:rsid w:val="00785169"/>
    <w:rsid w:val="00785C10"/>
    <w:rsid w:val="00793E48"/>
    <w:rsid w:val="00794BE3"/>
    <w:rsid w:val="00794D1A"/>
    <w:rsid w:val="007954AB"/>
    <w:rsid w:val="007976A5"/>
    <w:rsid w:val="007A065D"/>
    <w:rsid w:val="007A0DD2"/>
    <w:rsid w:val="007A14C5"/>
    <w:rsid w:val="007A1C90"/>
    <w:rsid w:val="007A3E38"/>
    <w:rsid w:val="007A4A10"/>
    <w:rsid w:val="007A4BA6"/>
    <w:rsid w:val="007A5169"/>
    <w:rsid w:val="007B03C2"/>
    <w:rsid w:val="007B0784"/>
    <w:rsid w:val="007B13DD"/>
    <w:rsid w:val="007B1760"/>
    <w:rsid w:val="007B21E5"/>
    <w:rsid w:val="007B4441"/>
    <w:rsid w:val="007B594B"/>
    <w:rsid w:val="007B5DAD"/>
    <w:rsid w:val="007B5F2C"/>
    <w:rsid w:val="007C0CEB"/>
    <w:rsid w:val="007C3EFF"/>
    <w:rsid w:val="007C4AD9"/>
    <w:rsid w:val="007C5835"/>
    <w:rsid w:val="007C5C87"/>
    <w:rsid w:val="007C6D9C"/>
    <w:rsid w:val="007C7DDB"/>
    <w:rsid w:val="007C7E51"/>
    <w:rsid w:val="007D14E4"/>
    <w:rsid w:val="007D2CC7"/>
    <w:rsid w:val="007D357B"/>
    <w:rsid w:val="007D673D"/>
    <w:rsid w:val="007D7E55"/>
    <w:rsid w:val="007E10DF"/>
    <w:rsid w:val="007E1916"/>
    <w:rsid w:val="007E41C3"/>
    <w:rsid w:val="007E48A1"/>
    <w:rsid w:val="007E69B2"/>
    <w:rsid w:val="007E7684"/>
    <w:rsid w:val="007F12D8"/>
    <w:rsid w:val="007F16E0"/>
    <w:rsid w:val="007F2220"/>
    <w:rsid w:val="007F3B7D"/>
    <w:rsid w:val="007F4B3E"/>
    <w:rsid w:val="007F581C"/>
    <w:rsid w:val="007F588A"/>
    <w:rsid w:val="008007F1"/>
    <w:rsid w:val="00801C5C"/>
    <w:rsid w:val="00803159"/>
    <w:rsid w:val="00804857"/>
    <w:rsid w:val="00806397"/>
    <w:rsid w:val="00810CEC"/>
    <w:rsid w:val="008127AF"/>
    <w:rsid w:val="00812A9B"/>
    <w:rsid w:val="00812B46"/>
    <w:rsid w:val="008148C9"/>
    <w:rsid w:val="00815700"/>
    <w:rsid w:val="00816058"/>
    <w:rsid w:val="00817B70"/>
    <w:rsid w:val="0082054B"/>
    <w:rsid w:val="00821E1C"/>
    <w:rsid w:val="00826191"/>
    <w:rsid w:val="008264EB"/>
    <w:rsid w:val="008266D0"/>
    <w:rsid w:val="00826B8F"/>
    <w:rsid w:val="00826E35"/>
    <w:rsid w:val="00830D1E"/>
    <w:rsid w:val="00831112"/>
    <w:rsid w:val="00831E8A"/>
    <w:rsid w:val="00833831"/>
    <w:rsid w:val="00833D5B"/>
    <w:rsid w:val="00835C76"/>
    <w:rsid w:val="008401C3"/>
    <w:rsid w:val="00840210"/>
    <w:rsid w:val="00841111"/>
    <w:rsid w:val="00841BA4"/>
    <w:rsid w:val="00841FEF"/>
    <w:rsid w:val="00842D82"/>
    <w:rsid w:val="00843049"/>
    <w:rsid w:val="00843C39"/>
    <w:rsid w:val="00846D00"/>
    <w:rsid w:val="00851030"/>
    <w:rsid w:val="00851135"/>
    <w:rsid w:val="008514E2"/>
    <w:rsid w:val="0085209B"/>
    <w:rsid w:val="00854B6D"/>
    <w:rsid w:val="00856AF4"/>
    <w:rsid w:val="00856B66"/>
    <w:rsid w:val="008577FA"/>
    <w:rsid w:val="00861A5F"/>
    <w:rsid w:val="008638D4"/>
    <w:rsid w:val="00863C46"/>
    <w:rsid w:val="008644AD"/>
    <w:rsid w:val="008655AE"/>
    <w:rsid w:val="00865735"/>
    <w:rsid w:val="00865DDB"/>
    <w:rsid w:val="00866353"/>
    <w:rsid w:val="00867538"/>
    <w:rsid w:val="00870095"/>
    <w:rsid w:val="008724AF"/>
    <w:rsid w:val="00873D90"/>
    <w:rsid w:val="00873FC8"/>
    <w:rsid w:val="0087582C"/>
    <w:rsid w:val="00880BCE"/>
    <w:rsid w:val="008843AF"/>
    <w:rsid w:val="00884C63"/>
    <w:rsid w:val="00885908"/>
    <w:rsid w:val="008864B7"/>
    <w:rsid w:val="00886662"/>
    <w:rsid w:val="00886AFD"/>
    <w:rsid w:val="00886EEB"/>
    <w:rsid w:val="00887D74"/>
    <w:rsid w:val="008915C4"/>
    <w:rsid w:val="00893641"/>
    <w:rsid w:val="0089406B"/>
    <w:rsid w:val="0089677E"/>
    <w:rsid w:val="00896E8C"/>
    <w:rsid w:val="00897344"/>
    <w:rsid w:val="008A0D75"/>
    <w:rsid w:val="008A206A"/>
    <w:rsid w:val="008A24FD"/>
    <w:rsid w:val="008A5AAD"/>
    <w:rsid w:val="008A605C"/>
    <w:rsid w:val="008A7438"/>
    <w:rsid w:val="008B1334"/>
    <w:rsid w:val="008B2034"/>
    <w:rsid w:val="008B58D1"/>
    <w:rsid w:val="008B677B"/>
    <w:rsid w:val="008C0278"/>
    <w:rsid w:val="008C223E"/>
    <w:rsid w:val="008C24E9"/>
    <w:rsid w:val="008C369A"/>
    <w:rsid w:val="008C4738"/>
    <w:rsid w:val="008C615A"/>
    <w:rsid w:val="008D01DC"/>
    <w:rsid w:val="008D0533"/>
    <w:rsid w:val="008D42CB"/>
    <w:rsid w:val="008D48C9"/>
    <w:rsid w:val="008D5B79"/>
    <w:rsid w:val="008D635D"/>
    <w:rsid w:val="008D6381"/>
    <w:rsid w:val="008E0C77"/>
    <w:rsid w:val="008E18EF"/>
    <w:rsid w:val="008E1CCC"/>
    <w:rsid w:val="008E22DF"/>
    <w:rsid w:val="008E29D5"/>
    <w:rsid w:val="008E412E"/>
    <w:rsid w:val="008E625F"/>
    <w:rsid w:val="008E6E93"/>
    <w:rsid w:val="008E70E6"/>
    <w:rsid w:val="008E7521"/>
    <w:rsid w:val="008F212E"/>
    <w:rsid w:val="008F264D"/>
    <w:rsid w:val="008F28F9"/>
    <w:rsid w:val="008F32E9"/>
    <w:rsid w:val="008F3398"/>
    <w:rsid w:val="008F3F31"/>
    <w:rsid w:val="008F4B75"/>
    <w:rsid w:val="008F5014"/>
    <w:rsid w:val="008F6F42"/>
    <w:rsid w:val="009017F8"/>
    <w:rsid w:val="00901FC4"/>
    <w:rsid w:val="009026EA"/>
    <w:rsid w:val="00902742"/>
    <w:rsid w:val="00902F67"/>
    <w:rsid w:val="00903E96"/>
    <w:rsid w:val="00906BAF"/>
    <w:rsid w:val="009074E1"/>
    <w:rsid w:val="00907ED2"/>
    <w:rsid w:val="009112F7"/>
    <w:rsid w:val="009122AF"/>
    <w:rsid w:val="0091276C"/>
    <w:rsid w:val="009127BC"/>
    <w:rsid w:val="00912D54"/>
    <w:rsid w:val="0091389F"/>
    <w:rsid w:val="0091475C"/>
    <w:rsid w:val="0091502F"/>
    <w:rsid w:val="009158FA"/>
    <w:rsid w:val="00915F28"/>
    <w:rsid w:val="00917A4C"/>
    <w:rsid w:val="00917FC3"/>
    <w:rsid w:val="009208F7"/>
    <w:rsid w:val="00921E21"/>
    <w:rsid w:val="00922517"/>
    <w:rsid w:val="00922722"/>
    <w:rsid w:val="009234FB"/>
    <w:rsid w:val="009261E6"/>
    <w:rsid w:val="009268E1"/>
    <w:rsid w:val="009309F5"/>
    <w:rsid w:val="00931E4B"/>
    <w:rsid w:val="00935B1F"/>
    <w:rsid w:val="0093629D"/>
    <w:rsid w:val="00936748"/>
    <w:rsid w:val="009431F3"/>
    <w:rsid w:val="0094338F"/>
    <w:rsid w:val="00945E7F"/>
    <w:rsid w:val="00946D24"/>
    <w:rsid w:val="009513A2"/>
    <w:rsid w:val="00951561"/>
    <w:rsid w:val="009524DB"/>
    <w:rsid w:val="009540C1"/>
    <w:rsid w:val="009557C1"/>
    <w:rsid w:val="009572BA"/>
    <w:rsid w:val="00960D6E"/>
    <w:rsid w:val="0096130F"/>
    <w:rsid w:val="0096146A"/>
    <w:rsid w:val="0096181F"/>
    <w:rsid w:val="00961FC5"/>
    <w:rsid w:val="00961FCF"/>
    <w:rsid w:val="0096409B"/>
    <w:rsid w:val="0096464C"/>
    <w:rsid w:val="00965C30"/>
    <w:rsid w:val="00965EDC"/>
    <w:rsid w:val="009661DB"/>
    <w:rsid w:val="00972BC1"/>
    <w:rsid w:val="00973BD7"/>
    <w:rsid w:val="00973EB2"/>
    <w:rsid w:val="00974B59"/>
    <w:rsid w:val="00975F0E"/>
    <w:rsid w:val="00977819"/>
    <w:rsid w:val="00980FF4"/>
    <w:rsid w:val="009815DB"/>
    <w:rsid w:val="009824BA"/>
    <w:rsid w:val="0098340B"/>
    <w:rsid w:val="00985DA0"/>
    <w:rsid w:val="00985EC4"/>
    <w:rsid w:val="00986830"/>
    <w:rsid w:val="00987C80"/>
    <w:rsid w:val="00990B0D"/>
    <w:rsid w:val="009924C3"/>
    <w:rsid w:val="00992A01"/>
    <w:rsid w:val="00992DE4"/>
    <w:rsid w:val="00992FFF"/>
    <w:rsid w:val="00993102"/>
    <w:rsid w:val="00993214"/>
    <w:rsid w:val="009A0A12"/>
    <w:rsid w:val="009A1334"/>
    <w:rsid w:val="009A1688"/>
    <w:rsid w:val="009A1B35"/>
    <w:rsid w:val="009A1B6A"/>
    <w:rsid w:val="009A1E45"/>
    <w:rsid w:val="009A22EA"/>
    <w:rsid w:val="009A2336"/>
    <w:rsid w:val="009A280F"/>
    <w:rsid w:val="009A282C"/>
    <w:rsid w:val="009A295C"/>
    <w:rsid w:val="009A2FA8"/>
    <w:rsid w:val="009A3649"/>
    <w:rsid w:val="009A382E"/>
    <w:rsid w:val="009A50E9"/>
    <w:rsid w:val="009A7552"/>
    <w:rsid w:val="009B253C"/>
    <w:rsid w:val="009B6478"/>
    <w:rsid w:val="009C1587"/>
    <w:rsid w:val="009C1B34"/>
    <w:rsid w:val="009C4A39"/>
    <w:rsid w:val="009C4DC6"/>
    <w:rsid w:val="009C643F"/>
    <w:rsid w:val="009C6855"/>
    <w:rsid w:val="009C6F10"/>
    <w:rsid w:val="009D035A"/>
    <w:rsid w:val="009D0460"/>
    <w:rsid w:val="009D148F"/>
    <w:rsid w:val="009D37FF"/>
    <w:rsid w:val="009D3D70"/>
    <w:rsid w:val="009D6EDC"/>
    <w:rsid w:val="009D7C42"/>
    <w:rsid w:val="009E25A8"/>
    <w:rsid w:val="009E422B"/>
    <w:rsid w:val="009E6F7E"/>
    <w:rsid w:val="009E719A"/>
    <w:rsid w:val="009E7A57"/>
    <w:rsid w:val="009F1696"/>
    <w:rsid w:val="009F3E27"/>
    <w:rsid w:val="009F4F6A"/>
    <w:rsid w:val="009F6852"/>
    <w:rsid w:val="009F7BC6"/>
    <w:rsid w:val="00A01D9F"/>
    <w:rsid w:val="00A035E2"/>
    <w:rsid w:val="00A04084"/>
    <w:rsid w:val="00A10A71"/>
    <w:rsid w:val="00A14680"/>
    <w:rsid w:val="00A14E70"/>
    <w:rsid w:val="00A15344"/>
    <w:rsid w:val="00A167B6"/>
    <w:rsid w:val="00A16E36"/>
    <w:rsid w:val="00A171C1"/>
    <w:rsid w:val="00A2050D"/>
    <w:rsid w:val="00A20754"/>
    <w:rsid w:val="00A212D0"/>
    <w:rsid w:val="00A22B84"/>
    <w:rsid w:val="00A23A1B"/>
    <w:rsid w:val="00A24593"/>
    <w:rsid w:val="00A24961"/>
    <w:rsid w:val="00A24B10"/>
    <w:rsid w:val="00A26198"/>
    <w:rsid w:val="00A27462"/>
    <w:rsid w:val="00A30E9B"/>
    <w:rsid w:val="00A31114"/>
    <w:rsid w:val="00A33157"/>
    <w:rsid w:val="00A34982"/>
    <w:rsid w:val="00A36482"/>
    <w:rsid w:val="00A37F80"/>
    <w:rsid w:val="00A4146D"/>
    <w:rsid w:val="00A41B21"/>
    <w:rsid w:val="00A4512D"/>
    <w:rsid w:val="00A4781C"/>
    <w:rsid w:val="00A501DF"/>
    <w:rsid w:val="00A50244"/>
    <w:rsid w:val="00A51C1D"/>
    <w:rsid w:val="00A53A9C"/>
    <w:rsid w:val="00A53E73"/>
    <w:rsid w:val="00A54823"/>
    <w:rsid w:val="00A54DF7"/>
    <w:rsid w:val="00A56F17"/>
    <w:rsid w:val="00A574D1"/>
    <w:rsid w:val="00A621A4"/>
    <w:rsid w:val="00A627D7"/>
    <w:rsid w:val="00A62F7C"/>
    <w:rsid w:val="00A63307"/>
    <w:rsid w:val="00A64B1B"/>
    <w:rsid w:val="00A656C7"/>
    <w:rsid w:val="00A66459"/>
    <w:rsid w:val="00A66862"/>
    <w:rsid w:val="00A66DAF"/>
    <w:rsid w:val="00A66F24"/>
    <w:rsid w:val="00A67C0F"/>
    <w:rsid w:val="00A70187"/>
    <w:rsid w:val="00A705AF"/>
    <w:rsid w:val="00A70F2A"/>
    <w:rsid w:val="00A71020"/>
    <w:rsid w:val="00A71FB3"/>
    <w:rsid w:val="00A72454"/>
    <w:rsid w:val="00A73080"/>
    <w:rsid w:val="00A73D14"/>
    <w:rsid w:val="00A74714"/>
    <w:rsid w:val="00A7637E"/>
    <w:rsid w:val="00A77696"/>
    <w:rsid w:val="00A80557"/>
    <w:rsid w:val="00A80D7F"/>
    <w:rsid w:val="00A81BCF"/>
    <w:rsid w:val="00A81D33"/>
    <w:rsid w:val="00A83759"/>
    <w:rsid w:val="00A845CA"/>
    <w:rsid w:val="00A84AEF"/>
    <w:rsid w:val="00A860F8"/>
    <w:rsid w:val="00A91577"/>
    <w:rsid w:val="00A930AE"/>
    <w:rsid w:val="00A93836"/>
    <w:rsid w:val="00A939E4"/>
    <w:rsid w:val="00A9479A"/>
    <w:rsid w:val="00A95328"/>
    <w:rsid w:val="00A95777"/>
    <w:rsid w:val="00A95E74"/>
    <w:rsid w:val="00AA1A95"/>
    <w:rsid w:val="00AA260F"/>
    <w:rsid w:val="00AA6C0D"/>
    <w:rsid w:val="00AA74FB"/>
    <w:rsid w:val="00AB00CB"/>
    <w:rsid w:val="00AB1035"/>
    <w:rsid w:val="00AB1DDE"/>
    <w:rsid w:val="00AB1EE7"/>
    <w:rsid w:val="00AB496B"/>
    <w:rsid w:val="00AB4B37"/>
    <w:rsid w:val="00AB5762"/>
    <w:rsid w:val="00AB6C50"/>
    <w:rsid w:val="00AC01EC"/>
    <w:rsid w:val="00AC0C70"/>
    <w:rsid w:val="00AC11CC"/>
    <w:rsid w:val="00AC1B42"/>
    <w:rsid w:val="00AC2679"/>
    <w:rsid w:val="00AC331D"/>
    <w:rsid w:val="00AC4BE4"/>
    <w:rsid w:val="00AC516E"/>
    <w:rsid w:val="00AC6A7B"/>
    <w:rsid w:val="00AC6BF9"/>
    <w:rsid w:val="00AC75FF"/>
    <w:rsid w:val="00AC76F3"/>
    <w:rsid w:val="00AC7CD1"/>
    <w:rsid w:val="00AD05E6"/>
    <w:rsid w:val="00AD0D3F"/>
    <w:rsid w:val="00AD230F"/>
    <w:rsid w:val="00AD306C"/>
    <w:rsid w:val="00AD4309"/>
    <w:rsid w:val="00AD517A"/>
    <w:rsid w:val="00AD64B2"/>
    <w:rsid w:val="00AD7A26"/>
    <w:rsid w:val="00AE069E"/>
    <w:rsid w:val="00AE1C48"/>
    <w:rsid w:val="00AE1D7D"/>
    <w:rsid w:val="00AE2A8B"/>
    <w:rsid w:val="00AE3A3E"/>
    <w:rsid w:val="00AE3F64"/>
    <w:rsid w:val="00AE60BB"/>
    <w:rsid w:val="00AE6925"/>
    <w:rsid w:val="00AE6C5A"/>
    <w:rsid w:val="00AE72A5"/>
    <w:rsid w:val="00AF1DB8"/>
    <w:rsid w:val="00AF268E"/>
    <w:rsid w:val="00AF4609"/>
    <w:rsid w:val="00AF7386"/>
    <w:rsid w:val="00AF7934"/>
    <w:rsid w:val="00B00B81"/>
    <w:rsid w:val="00B0363A"/>
    <w:rsid w:val="00B04580"/>
    <w:rsid w:val="00B04B09"/>
    <w:rsid w:val="00B12BB2"/>
    <w:rsid w:val="00B12F65"/>
    <w:rsid w:val="00B15E53"/>
    <w:rsid w:val="00B163BB"/>
    <w:rsid w:val="00B163E3"/>
    <w:rsid w:val="00B16A51"/>
    <w:rsid w:val="00B16BD3"/>
    <w:rsid w:val="00B16FBC"/>
    <w:rsid w:val="00B1712B"/>
    <w:rsid w:val="00B2001E"/>
    <w:rsid w:val="00B2383E"/>
    <w:rsid w:val="00B23BE3"/>
    <w:rsid w:val="00B24BDC"/>
    <w:rsid w:val="00B25440"/>
    <w:rsid w:val="00B25B0C"/>
    <w:rsid w:val="00B27373"/>
    <w:rsid w:val="00B27AC0"/>
    <w:rsid w:val="00B30DCF"/>
    <w:rsid w:val="00B32222"/>
    <w:rsid w:val="00B32F74"/>
    <w:rsid w:val="00B33AB2"/>
    <w:rsid w:val="00B347F8"/>
    <w:rsid w:val="00B3618D"/>
    <w:rsid w:val="00B36233"/>
    <w:rsid w:val="00B41A05"/>
    <w:rsid w:val="00B42851"/>
    <w:rsid w:val="00B42F67"/>
    <w:rsid w:val="00B43B62"/>
    <w:rsid w:val="00B44B59"/>
    <w:rsid w:val="00B45AC7"/>
    <w:rsid w:val="00B47310"/>
    <w:rsid w:val="00B47DF1"/>
    <w:rsid w:val="00B47DF8"/>
    <w:rsid w:val="00B507B4"/>
    <w:rsid w:val="00B51D1B"/>
    <w:rsid w:val="00B51FCE"/>
    <w:rsid w:val="00B52A46"/>
    <w:rsid w:val="00B5372F"/>
    <w:rsid w:val="00B54FC2"/>
    <w:rsid w:val="00B5549C"/>
    <w:rsid w:val="00B55CB1"/>
    <w:rsid w:val="00B61129"/>
    <w:rsid w:val="00B625FA"/>
    <w:rsid w:val="00B65A0E"/>
    <w:rsid w:val="00B65EEB"/>
    <w:rsid w:val="00B660E4"/>
    <w:rsid w:val="00B6660F"/>
    <w:rsid w:val="00B67697"/>
    <w:rsid w:val="00B676FF"/>
    <w:rsid w:val="00B67E7F"/>
    <w:rsid w:val="00B702AA"/>
    <w:rsid w:val="00B70971"/>
    <w:rsid w:val="00B70E8C"/>
    <w:rsid w:val="00B713AF"/>
    <w:rsid w:val="00B71DBD"/>
    <w:rsid w:val="00B7214F"/>
    <w:rsid w:val="00B72D86"/>
    <w:rsid w:val="00B72F24"/>
    <w:rsid w:val="00B730B3"/>
    <w:rsid w:val="00B73715"/>
    <w:rsid w:val="00B75A04"/>
    <w:rsid w:val="00B76175"/>
    <w:rsid w:val="00B769DE"/>
    <w:rsid w:val="00B8153F"/>
    <w:rsid w:val="00B8320E"/>
    <w:rsid w:val="00B839B2"/>
    <w:rsid w:val="00B8589E"/>
    <w:rsid w:val="00B874FD"/>
    <w:rsid w:val="00B90F56"/>
    <w:rsid w:val="00B91900"/>
    <w:rsid w:val="00B94252"/>
    <w:rsid w:val="00B94828"/>
    <w:rsid w:val="00B96D53"/>
    <w:rsid w:val="00B9715A"/>
    <w:rsid w:val="00B97D0F"/>
    <w:rsid w:val="00BA14BE"/>
    <w:rsid w:val="00BA163D"/>
    <w:rsid w:val="00BA177B"/>
    <w:rsid w:val="00BA2732"/>
    <w:rsid w:val="00BA293D"/>
    <w:rsid w:val="00BA2BE7"/>
    <w:rsid w:val="00BA3826"/>
    <w:rsid w:val="00BA49BC"/>
    <w:rsid w:val="00BA56B7"/>
    <w:rsid w:val="00BA6FF2"/>
    <w:rsid w:val="00BA7A1E"/>
    <w:rsid w:val="00BA7A75"/>
    <w:rsid w:val="00BA7CA9"/>
    <w:rsid w:val="00BB2F6C"/>
    <w:rsid w:val="00BB36C7"/>
    <w:rsid w:val="00BB3875"/>
    <w:rsid w:val="00BB552B"/>
    <w:rsid w:val="00BB5860"/>
    <w:rsid w:val="00BB624B"/>
    <w:rsid w:val="00BB6622"/>
    <w:rsid w:val="00BB6AAD"/>
    <w:rsid w:val="00BB759C"/>
    <w:rsid w:val="00BB76D7"/>
    <w:rsid w:val="00BC05CA"/>
    <w:rsid w:val="00BC4A19"/>
    <w:rsid w:val="00BC4E6D"/>
    <w:rsid w:val="00BC574E"/>
    <w:rsid w:val="00BC63DE"/>
    <w:rsid w:val="00BC6EBD"/>
    <w:rsid w:val="00BC7BBC"/>
    <w:rsid w:val="00BC7C12"/>
    <w:rsid w:val="00BD0617"/>
    <w:rsid w:val="00BD128D"/>
    <w:rsid w:val="00BD2201"/>
    <w:rsid w:val="00BD2BD5"/>
    <w:rsid w:val="00BD2E9B"/>
    <w:rsid w:val="00BD4D34"/>
    <w:rsid w:val="00BD7BD9"/>
    <w:rsid w:val="00BE069C"/>
    <w:rsid w:val="00BE1410"/>
    <w:rsid w:val="00BE1982"/>
    <w:rsid w:val="00BE2A82"/>
    <w:rsid w:val="00BE37D8"/>
    <w:rsid w:val="00BE5451"/>
    <w:rsid w:val="00BE68FE"/>
    <w:rsid w:val="00BE69A4"/>
    <w:rsid w:val="00BE6C70"/>
    <w:rsid w:val="00BF0914"/>
    <w:rsid w:val="00BF10F2"/>
    <w:rsid w:val="00BF117C"/>
    <w:rsid w:val="00BF31BD"/>
    <w:rsid w:val="00BF5174"/>
    <w:rsid w:val="00BF6032"/>
    <w:rsid w:val="00BF6A81"/>
    <w:rsid w:val="00BF6F38"/>
    <w:rsid w:val="00C00930"/>
    <w:rsid w:val="00C0244E"/>
    <w:rsid w:val="00C045E1"/>
    <w:rsid w:val="00C0467A"/>
    <w:rsid w:val="00C060AD"/>
    <w:rsid w:val="00C0670D"/>
    <w:rsid w:val="00C06E24"/>
    <w:rsid w:val="00C10962"/>
    <w:rsid w:val="00C11029"/>
    <w:rsid w:val="00C113BF"/>
    <w:rsid w:val="00C11541"/>
    <w:rsid w:val="00C11A0E"/>
    <w:rsid w:val="00C1275E"/>
    <w:rsid w:val="00C12CD9"/>
    <w:rsid w:val="00C13715"/>
    <w:rsid w:val="00C13A3E"/>
    <w:rsid w:val="00C15B3E"/>
    <w:rsid w:val="00C211D6"/>
    <w:rsid w:val="00C2172D"/>
    <w:rsid w:val="00C2176E"/>
    <w:rsid w:val="00C22C73"/>
    <w:rsid w:val="00C23430"/>
    <w:rsid w:val="00C25B0F"/>
    <w:rsid w:val="00C269D9"/>
    <w:rsid w:val="00C27441"/>
    <w:rsid w:val="00C27D67"/>
    <w:rsid w:val="00C30419"/>
    <w:rsid w:val="00C3086F"/>
    <w:rsid w:val="00C31FF5"/>
    <w:rsid w:val="00C33D25"/>
    <w:rsid w:val="00C359A0"/>
    <w:rsid w:val="00C3792B"/>
    <w:rsid w:val="00C37A6D"/>
    <w:rsid w:val="00C41751"/>
    <w:rsid w:val="00C46217"/>
    <w:rsid w:val="00C4631F"/>
    <w:rsid w:val="00C47450"/>
    <w:rsid w:val="00C50DDE"/>
    <w:rsid w:val="00C50E16"/>
    <w:rsid w:val="00C5164B"/>
    <w:rsid w:val="00C519D6"/>
    <w:rsid w:val="00C51DFC"/>
    <w:rsid w:val="00C53CB8"/>
    <w:rsid w:val="00C55258"/>
    <w:rsid w:val="00C6285D"/>
    <w:rsid w:val="00C629D2"/>
    <w:rsid w:val="00C63C54"/>
    <w:rsid w:val="00C651CB"/>
    <w:rsid w:val="00C654BF"/>
    <w:rsid w:val="00C66421"/>
    <w:rsid w:val="00C66AC4"/>
    <w:rsid w:val="00C70393"/>
    <w:rsid w:val="00C72185"/>
    <w:rsid w:val="00C725B1"/>
    <w:rsid w:val="00C7376A"/>
    <w:rsid w:val="00C76256"/>
    <w:rsid w:val="00C7660F"/>
    <w:rsid w:val="00C76A3A"/>
    <w:rsid w:val="00C77391"/>
    <w:rsid w:val="00C80698"/>
    <w:rsid w:val="00C81360"/>
    <w:rsid w:val="00C8187C"/>
    <w:rsid w:val="00C82231"/>
    <w:rsid w:val="00C824B9"/>
    <w:rsid w:val="00C82796"/>
    <w:rsid w:val="00C82EEB"/>
    <w:rsid w:val="00C84361"/>
    <w:rsid w:val="00C8454D"/>
    <w:rsid w:val="00C848B0"/>
    <w:rsid w:val="00C86150"/>
    <w:rsid w:val="00C8786E"/>
    <w:rsid w:val="00C9191E"/>
    <w:rsid w:val="00C922CF"/>
    <w:rsid w:val="00C92C50"/>
    <w:rsid w:val="00C94C61"/>
    <w:rsid w:val="00C95629"/>
    <w:rsid w:val="00C95B7F"/>
    <w:rsid w:val="00C95C28"/>
    <w:rsid w:val="00C9698D"/>
    <w:rsid w:val="00C971DC"/>
    <w:rsid w:val="00CA0384"/>
    <w:rsid w:val="00CA16B7"/>
    <w:rsid w:val="00CA1D75"/>
    <w:rsid w:val="00CA1D98"/>
    <w:rsid w:val="00CA3C69"/>
    <w:rsid w:val="00CA3E99"/>
    <w:rsid w:val="00CA4BE3"/>
    <w:rsid w:val="00CA6050"/>
    <w:rsid w:val="00CA62AE"/>
    <w:rsid w:val="00CA6D02"/>
    <w:rsid w:val="00CA7067"/>
    <w:rsid w:val="00CA79CF"/>
    <w:rsid w:val="00CB3826"/>
    <w:rsid w:val="00CB44CC"/>
    <w:rsid w:val="00CB4766"/>
    <w:rsid w:val="00CB4BDC"/>
    <w:rsid w:val="00CB559F"/>
    <w:rsid w:val="00CB5B1A"/>
    <w:rsid w:val="00CB5BB6"/>
    <w:rsid w:val="00CB7CC1"/>
    <w:rsid w:val="00CC0709"/>
    <w:rsid w:val="00CC220B"/>
    <w:rsid w:val="00CC444C"/>
    <w:rsid w:val="00CC4806"/>
    <w:rsid w:val="00CC5C43"/>
    <w:rsid w:val="00CC68CC"/>
    <w:rsid w:val="00CD02AE"/>
    <w:rsid w:val="00CD0B6F"/>
    <w:rsid w:val="00CD1402"/>
    <w:rsid w:val="00CD184A"/>
    <w:rsid w:val="00CD189A"/>
    <w:rsid w:val="00CD1953"/>
    <w:rsid w:val="00CD2A4F"/>
    <w:rsid w:val="00CD4281"/>
    <w:rsid w:val="00CD49F0"/>
    <w:rsid w:val="00CD76CA"/>
    <w:rsid w:val="00CE03CA"/>
    <w:rsid w:val="00CE0BCB"/>
    <w:rsid w:val="00CE22F1"/>
    <w:rsid w:val="00CE3327"/>
    <w:rsid w:val="00CE337D"/>
    <w:rsid w:val="00CE348B"/>
    <w:rsid w:val="00CE50F2"/>
    <w:rsid w:val="00CE6502"/>
    <w:rsid w:val="00CE7721"/>
    <w:rsid w:val="00CE7C3E"/>
    <w:rsid w:val="00CE7D21"/>
    <w:rsid w:val="00CF14A6"/>
    <w:rsid w:val="00CF45BA"/>
    <w:rsid w:val="00CF46CB"/>
    <w:rsid w:val="00CF55D8"/>
    <w:rsid w:val="00CF708E"/>
    <w:rsid w:val="00CF7D3C"/>
    <w:rsid w:val="00D00C68"/>
    <w:rsid w:val="00D0183C"/>
    <w:rsid w:val="00D04DC9"/>
    <w:rsid w:val="00D04E5A"/>
    <w:rsid w:val="00D05031"/>
    <w:rsid w:val="00D07FAF"/>
    <w:rsid w:val="00D11EA6"/>
    <w:rsid w:val="00D12408"/>
    <w:rsid w:val="00D12A39"/>
    <w:rsid w:val="00D13F56"/>
    <w:rsid w:val="00D14109"/>
    <w:rsid w:val="00D147EB"/>
    <w:rsid w:val="00D14EF9"/>
    <w:rsid w:val="00D16384"/>
    <w:rsid w:val="00D204EC"/>
    <w:rsid w:val="00D22BF9"/>
    <w:rsid w:val="00D23529"/>
    <w:rsid w:val="00D2424D"/>
    <w:rsid w:val="00D246B8"/>
    <w:rsid w:val="00D265D9"/>
    <w:rsid w:val="00D27DCB"/>
    <w:rsid w:val="00D31CC4"/>
    <w:rsid w:val="00D31F04"/>
    <w:rsid w:val="00D333CF"/>
    <w:rsid w:val="00D34630"/>
    <w:rsid w:val="00D34667"/>
    <w:rsid w:val="00D37D40"/>
    <w:rsid w:val="00D401E1"/>
    <w:rsid w:val="00D405D7"/>
    <w:rsid w:val="00D408B4"/>
    <w:rsid w:val="00D408E7"/>
    <w:rsid w:val="00D41FA1"/>
    <w:rsid w:val="00D444EF"/>
    <w:rsid w:val="00D45D94"/>
    <w:rsid w:val="00D461AB"/>
    <w:rsid w:val="00D473E6"/>
    <w:rsid w:val="00D47C41"/>
    <w:rsid w:val="00D50636"/>
    <w:rsid w:val="00D50BD2"/>
    <w:rsid w:val="00D524C8"/>
    <w:rsid w:val="00D52C71"/>
    <w:rsid w:val="00D5394A"/>
    <w:rsid w:val="00D562D8"/>
    <w:rsid w:val="00D60153"/>
    <w:rsid w:val="00D60E25"/>
    <w:rsid w:val="00D63517"/>
    <w:rsid w:val="00D65003"/>
    <w:rsid w:val="00D66038"/>
    <w:rsid w:val="00D70E24"/>
    <w:rsid w:val="00D716B3"/>
    <w:rsid w:val="00D71D87"/>
    <w:rsid w:val="00D72500"/>
    <w:rsid w:val="00D72B61"/>
    <w:rsid w:val="00D731A9"/>
    <w:rsid w:val="00D7389B"/>
    <w:rsid w:val="00D750F6"/>
    <w:rsid w:val="00D76FF3"/>
    <w:rsid w:val="00D80BB8"/>
    <w:rsid w:val="00D830E9"/>
    <w:rsid w:val="00D83538"/>
    <w:rsid w:val="00D8408C"/>
    <w:rsid w:val="00D86CA1"/>
    <w:rsid w:val="00D86EE0"/>
    <w:rsid w:val="00D87B42"/>
    <w:rsid w:val="00D92241"/>
    <w:rsid w:val="00D92444"/>
    <w:rsid w:val="00D96955"/>
    <w:rsid w:val="00D96D22"/>
    <w:rsid w:val="00D97591"/>
    <w:rsid w:val="00D97C1E"/>
    <w:rsid w:val="00DA0456"/>
    <w:rsid w:val="00DA0CC7"/>
    <w:rsid w:val="00DA2380"/>
    <w:rsid w:val="00DA3D1D"/>
    <w:rsid w:val="00DA6AD3"/>
    <w:rsid w:val="00DA6DB0"/>
    <w:rsid w:val="00DA76DC"/>
    <w:rsid w:val="00DB0138"/>
    <w:rsid w:val="00DB4BE3"/>
    <w:rsid w:val="00DB52A6"/>
    <w:rsid w:val="00DB567E"/>
    <w:rsid w:val="00DB6286"/>
    <w:rsid w:val="00DB645F"/>
    <w:rsid w:val="00DB76E9"/>
    <w:rsid w:val="00DC0A67"/>
    <w:rsid w:val="00DC1D5E"/>
    <w:rsid w:val="00DC21D5"/>
    <w:rsid w:val="00DC2313"/>
    <w:rsid w:val="00DC24BD"/>
    <w:rsid w:val="00DC36EB"/>
    <w:rsid w:val="00DC5220"/>
    <w:rsid w:val="00DC5BCA"/>
    <w:rsid w:val="00DC683A"/>
    <w:rsid w:val="00DC7910"/>
    <w:rsid w:val="00DC7EB1"/>
    <w:rsid w:val="00DD2061"/>
    <w:rsid w:val="00DD3175"/>
    <w:rsid w:val="00DD451D"/>
    <w:rsid w:val="00DD4E20"/>
    <w:rsid w:val="00DD7DAB"/>
    <w:rsid w:val="00DE0872"/>
    <w:rsid w:val="00DE0CC4"/>
    <w:rsid w:val="00DE1818"/>
    <w:rsid w:val="00DE29EA"/>
    <w:rsid w:val="00DE2D04"/>
    <w:rsid w:val="00DE2D23"/>
    <w:rsid w:val="00DE3355"/>
    <w:rsid w:val="00DE49EA"/>
    <w:rsid w:val="00DE6BAA"/>
    <w:rsid w:val="00DE7AAC"/>
    <w:rsid w:val="00DF06DD"/>
    <w:rsid w:val="00DF0B81"/>
    <w:rsid w:val="00DF1BA4"/>
    <w:rsid w:val="00DF465C"/>
    <w:rsid w:val="00DF486F"/>
    <w:rsid w:val="00DF56C1"/>
    <w:rsid w:val="00DF5B5B"/>
    <w:rsid w:val="00DF7619"/>
    <w:rsid w:val="00DF7CF7"/>
    <w:rsid w:val="00E006FD"/>
    <w:rsid w:val="00E020DB"/>
    <w:rsid w:val="00E03419"/>
    <w:rsid w:val="00E042D8"/>
    <w:rsid w:val="00E04E33"/>
    <w:rsid w:val="00E05DA0"/>
    <w:rsid w:val="00E06406"/>
    <w:rsid w:val="00E074B1"/>
    <w:rsid w:val="00E0775F"/>
    <w:rsid w:val="00E07EE7"/>
    <w:rsid w:val="00E1103B"/>
    <w:rsid w:val="00E125EE"/>
    <w:rsid w:val="00E13B87"/>
    <w:rsid w:val="00E13BA0"/>
    <w:rsid w:val="00E17B44"/>
    <w:rsid w:val="00E17D3D"/>
    <w:rsid w:val="00E20165"/>
    <w:rsid w:val="00E216A6"/>
    <w:rsid w:val="00E22A31"/>
    <w:rsid w:val="00E24114"/>
    <w:rsid w:val="00E27FEA"/>
    <w:rsid w:val="00E31140"/>
    <w:rsid w:val="00E31162"/>
    <w:rsid w:val="00E319E2"/>
    <w:rsid w:val="00E31C8E"/>
    <w:rsid w:val="00E33B17"/>
    <w:rsid w:val="00E34219"/>
    <w:rsid w:val="00E344CF"/>
    <w:rsid w:val="00E36FE4"/>
    <w:rsid w:val="00E376A1"/>
    <w:rsid w:val="00E4086F"/>
    <w:rsid w:val="00E40A47"/>
    <w:rsid w:val="00E43B3C"/>
    <w:rsid w:val="00E43B98"/>
    <w:rsid w:val="00E44093"/>
    <w:rsid w:val="00E440C3"/>
    <w:rsid w:val="00E45412"/>
    <w:rsid w:val="00E45B4B"/>
    <w:rsid w:val="00E4688B"/>
    <w:rsid w:val="00E46FC3"/>
    <w:rsid w:val="00E478AA"/>
    <w:rsid w:val="00E50188"/>
    <w:rsid w:val="00E515CB"/>
    <w:rsid w:val="00E51901"/>
    <w:rsid w:val="00E52260"/>
    <w:rsid w:val="00E52A3F"/>
    <w:rsid w:val="00E535DE"/>
    <w:rsid w:val="00E5688B"/>
    <w:rsid w:val="00E6041D"/>
    <w:rsid w:val="00E612FB"/>
    <w:rsid w:val="00E61DAB"/>
    <w:rsid w:val="00E639B6"/>
    <w:rsid w:val="00E63AE7"/>
    <w:rsid w:val="00E6434B"/>
    <w:rsid w:val="00E6463D"/>
    <w:rsid w:val="00E65309"/>
    <w:rsid w:val="00E664CA"/>
    <w:rsid w:val="00E72E9B"/>
    <w:rsid w:val="00E730DE"/>
    <w:rsid w:val="00E74275"/>
    <w:rsid w:val="00E8170C"/>
    <w:rsid w:val="00E828EF"/>
    <w:rsid w:val="00E830DD"/>
    <w:rsid w:val="00E837A3"/>
    <w:rsid w:val="00E849DA"/>
    <w:rsid w:val="00E84E4C"/>
    <w:rsid w:val="00E86836"/>
    <w:rsid w:val="00E870DF"/>
    <w:rsid w:val="00E8734C"/>
    <w:rsid w:val="00E87DEA"/>
    <w:rsid w:val="00E910A6"/>
    <w:rsid w:val="00E911F2"/>
    <w:rsid w:val="00E929AE"/>
    <w:rsid w:val="00E930B2"/>
    <w:rsid w:val="00E93FB8"/>
    <w:rsid w:val="00E9462E"/>
    <w:rsid w:val="00E970E3"/>
    <w:rsid w:val="00EA00F6"/>
    <w:rsid w:val="00EA0628"/>
    <w:rsid w:val="00EA1CAF"/>
    <w:rsid w:val="00EA332B"/>
    <w:rsid w:val="00EA470E"/>
    <w:rsid w:val="00EA47A7"/>
    <w:rsid w:val="00EA536E"/>
    <w:rsid w:val="00EA57EB"/>
    <w:rsid w:val="00EB13F3"/>
    <w:rsid w:val="00EB260B"/>
    <w:rsid w:val="00EB2DAC"/>
    <w:rsid w:val="00EB2E3D"/>
    <w:rsid w:val="00EB2E6A"/>
    <w:rsid w:val="00EB319E"/>
    <w:rsid w:val="00EB3226"/>
    <w:rsid w:val="00EB61A4"/>
    <w:rsid w:val="00EB6C80"/>
    <w:rsid w:val="00EB7E23"/>
    <w:rsid w:val="00EC137B"/>
    <w:rsid w:val="00EC213A"/>
    <w:rsid w:val="00EC23B1"/>
    <w:rsid w:val="00EC35B4"/>
    <w:rsid w:val="00EC6603"/>
    <w:rsid w:val="00EC7744"/>
    <w:rsid w:val="00ED0D4D"/>
    <w:rsid w:val="00ED0DAD"/>
    <w:rsid w:val="00ED0DD9"/>
    <w:rsid w:val="00ED0F46"/>
    <w:rsid w:val="00ED2373"/>
    <w:rsid w:val="00ED2E35"/>
    <w:rsid w:val="00ED31DE"/>
    <w:rsid w:val="00ED580D"/>
    <w:rsid w:val="00EE3E8A"/>
    <w:rsid w:val="00EF12AF"/>
    <w:rsid w:val="00EF12E4"/>
    <w:rsid w:val="00EF15A3"/>
    <w:rsid w:val="00EF339D"/>
    <w:rsid w:val="00EF471E"/>
    <w:rsid w:val="00EF486A"/>
    <w:rsid w:val="00EF4F11"/>
    <w:rsid w:val="00EF599F"/>
    <w:rsid w:val="00EF6ECA"/>
    <w:rsid w:val="00F02482"/>
    <w:rsid w:val="00F024E1"/>
    <w:rsid w:val="00F027E0"/>
    <w:rsid w:val="00F04AA5"/>
    <w:rsid w:val="00F06C10"/>
    <w:rsid w:val="00F0754D"/>
    <w:rsid w:val="00F1096F"/>
    <w:rsid w:val="00F12589"/>
    <w:rsid w:val="00F12595"/>
    <w:rsid w:val="00F134D9"/>
    <w:rsid w:val="00F13700"/>
    <w:rsid w:val="00F1403D"/>
    <w:rsid w:val="00F1463F"/>
    <w:rsid w:val="00F149ED"/>
    <w:rsid w:val="00F14F1C"/>
    <w:rsid w:val="00F15F7C"/>
    <w:rsid w:val="00F21302"/>
    <w:rsid w:val="00F22133"/>
    <w:rsid w:val="00F228C5"/>
    <w:rsid w:val="00F2334E"/>
    <w:rsid w:val="00F2509A"/>
    <w:rsid w:val="00F25C90"/>
    <w:rsid w:val="00F26C64"/>
    <w:rsid w:val="00F30B3E"/>
    <w:rsid w:val="00F321DE"/>
    <w:rsid w:val="00F32E07"/>
    <w:rsid w:val="00F331BC"/>
    <w:rsid w:val="00F33777"/>
    <w:rsid w:val="00F341DB"/>
    <w:rsid w:val="00F341E0"/>
    <w:rsid w:val="00F352B6"/>
    <w:rsid w:val="00F36924"/>
    <w:rsid w:val="00F40648"/>
    <w:rsid w:val="00F47D09"/>
    <w:rsid w:val="00F47DA2"/>
    <w:rsid w:val="00F505AB"/>
    <w:rsid w:val="00F519FC"/>
    <w:rsid w:val="00F52CA8"/>
    <w:rsid w:val="00F53541"/>
    <w:rsid w:val="00F53F38"/>
    <w:rsid w:val="00F5556D"/>
    <w:rsid w:val="00F55EA9"/>
    <w:rsid w:val="00F56A48"/>
    <w:rsid w:val="00F610E3"/>
    <w:rsid w:val="00F6239D"/>
    <w:rsid w:val="00F62B75"/>
    <w:rsid w:val="00F70391"/>
    <w:rsid w:val="00F708F7"/>
    <w:rsid w:val="00F715D2"/>
    <w:rsid w:val="00F71FAB"/>
    <w:rsid w:val="00F7274F"/>
    <w:rsid w:val="00F75A46"/>
    <w:rsid w:val="00F76412"/>
    <w:rsid w:val="00F76FA8"/>
    <w:rsid w:val="00F8103C"/>
    <w:rsid w:val="00F850B3"/>
    <w:rsid w:val="00F8684F"/>
    <w:rsid w:val="00F9053B"/>
    <w:rsid w:val="00F93F08"/>
    <w:rsid w:val="00F940D2"/>
    <w:rsid w:val="00F94CED"/>
    <w:rsid w:val="00F95E35"/>
    <w:rsid w:val="00F96081"/>
    <w:rsid w:val="00F9639A"/>
    <w:rsid w:val="00F976D9"/>
    <w:rsid w:val="00F97ED4"/>
    <w:rsid w:val="00FA14A6"/>
    <w:rsid w:val="00FA2CEE"/>
    <w:rsid w:val="00FA318C"/>
    <w:rsid w:val="00FB080B"/>
    <w:rsid w:val="00FB3FF3"/>
    <w:rsid w:val="00FB48AE"/>
    <w:rsid w:val="00FB60B2"/>
    <w:rsid w:val="00FB63A7"/>
    <w:rsid w:val="00FB6F92"/>
    <w:rsid w:val="00FB700C"/>
    <w:rsid w:val="00FB76AC"/>
    <w:rsid w:val="00FB7758"/>
    <w:rsid w:val="00FC00CF"/>
    <w:rsid w:val="00FC026E"/>
    <w:rsid w:val="00FC1149"/>
    <w:rsid w:val="00FC3481"/>
    <w:rsid w:val="00FC496C"/>
    <w:rsid w:val="00FC5124"/>
    <w:rsid w:val="00FC51C2"/>
    <w:rsid w:val="00FC5D2E"/>
    <w:rsid w:val="00FC5F0F"/>
    <w:rsid w:val="00FC64FA"/>
    <w:rsid w:val="00FC6C99"/>
    <w:rsid w:val="00FD1316"/>
    <w:rsid w:val="00FD3E42"/>
    <w:rsid w:val="00FD4210"/>
    <w:rsid w:val="00FD4731"/>
    <w:rsid w:val="00FD5908"/>
    <w:rsid w:val="00FD633A"/>
    <w:rsid w:val="00FD71B0"/>
    <w:rsid w:val="00FE1E4E"/>
    <w:rsid w:val="00FE2197"/>
    <w:rsid w:val="00FE7185"/>
    <w:rsid w:val="00FF00F2"/>
    <w:rsid w:val="00FF036B"/>
    <w:rsid w:val="00FF0AB0"/>
    <w:rsid w:val="00FF19A7"/>
    <w:rsid w:val="00FF28AC"/>
    <w:rsid w:val="00FF3E3B"/>
    <w:rsid w:val="00FF4F56"/>
    <w:rsid w:val="00FF7F62"/>
    <w:rsid w:val="1F17E750"/>
    <w:rsid w:val="574783B4"/>
    <w:rsid w:val="6ACBA63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0F6F3E0B-1575-4459-8D30-C64ED96E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E72A5"/>
    <w:pPr>
      <w:spacing w:before="120" w:after="120"/>
    </w:pPr>
    <w:rPr>
      <w:rFonts w:ascii="Arial" w:hAnsi="Arial"/>
      <w:sz w:val="22"/>
      <w:szCs w:val="24"/>
      <w:lang w:eastAsia="en-US"/>
    </w:rPr>
  </w:style>
  <w:style w:type="paragraph" w:styleId="Heading1">
    <w:name w:val="heading 1"/>
    <w:next w:val="Normal"/>
    <w:link w:val="Heading1Char"/>
    <w:qFormat/>
    <w:rsid w:val="00032EC3"/>
    <w:pPr>
      <w:keepNext/>
      <w:spacing w:before="240" w:after="60"/>
      <w:outlineLvl w:val="0"/>
    </w:pPr>
    <w:rPr>
      <w:rFonts w:ascii="Arial" w:hAnsi="Arial" w:cs="Arial"/>
      <w:b/>
      <w:bCs/>
      <w:color w:val="3F4A75"/>
      <w:kern w:val="28"/>
      <w:sz w:val="32"/>
      <w:szCs w:val="36"/>
      <w:lang w:eastAsia="en-US"/>
    </w:rPr>
  </w:style>
  <w:style w:type="paragraph" w:styleId="Heading2">
    <w:name w:val="heading 2"/>
    <w:basedOn w:val="Heading1"/>
    <w:next w:val="Normal"/>
    <w:link w:val="Heading2Char"/>
    <w:qFormat/>
    <w:rsid w:val="009A7552"/>
    <w:pPr>
      <w:spacing w:after="120"/>
      <w:outlineLvl w:val="1"/>
    </w:pPr>
    <w:rPr>
      <w:bCs w:val="0"/>
      <w:iCs/>
      <w:color w:val="358189"/>
      <w:sz w:val="28"/>
      <w:szCs w:val="28"/>
    </w:rPr>
  </w:style>
  <w:style w:type="paragraph" w:styleId="Heading3">
    <w:name w:val="heading 3"/>
    <w:next w:val="Normal"/>
    <w:link w:val="Heading3Char"/>
    <w:qFormat/>
    <w:rsid w:val="00886662"/>
    <w:pPr>
      <w:keepNext/>
      <w:spacing w:before="120" w:after="60" w:line="276" w:lineRule="auto"/>
      <w:outlineLvl w:val="2"/>
    </w:pPr>
    <w:rPr>
      <w:rFonts w:ascii="Arial" w:hAnsi="Arial" w:cs="Arial"/>
      <w:bCs/>
      <w:i/>
      <w:color w:val="358189"/>
      <w:sz w:val="24"/>
      <w:szCs w:val="26"/>
      <w:lang w:eastAsia="en-US"/>
    </w:rPr>
  </w:style>
  <w:style w:type="paragraph" w:styleId="Heading4">
    <w:name w:val="heading 4"/>
    <w:basedOn w:val="Normal"/>
    <w:next w:val="Normal"/>
    <w:qFormat/>
    <w:rsid w:val="00886662"/>
    <w:pPr>
      <w:keepNext/>
      <w:spacing w:after="60" w:line="276" w:lineRule="auto"/>
      <w:outlineLvl w:val="3"/>
    </w:pPr>
    <w:rPr>
      <w:b/>
      <w:bCs/>
      <w:color w:val="1C4C5A"/>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rsid w:val="00F02482"/>
    <w:pPr>
      <w:spacing w:before="240" w:after="60"/>
      <w:outlineLvl w:val="6"/>
    </w:pPr>
    <w:rPr>
      <w:sz w:val="20"/>
    </w:rPr>
  </w:style>
  <w:style w:type="paragraph" w:styleId="Heading8">
    <w:name w:val="heading 8"/>
    <w:basedOn w:val="Normal"/>
    <w:next w:val="Normal"/>
    <w:link w:val="Heading8Char"/>
    <w:rsid w:val="00F02482"/>
    <w:pPr>
      <w:spacing w:before="240" w:after="60"/>
      <w:outlineLvl w:val="7"/>
    </w:pPr>
    <w:rPr>
      <w:i/>
      <w:iCs/>
      <w:sz w:val="20"/>
    </w:rPr>
  </w:style>
  <w:style w:type="paragraph" w:styleId="Heading9">
    <w:name w:val="heading 9"/>
    <w:basedOn w:val="Normal"/>
    <w:next w:val="Normal"/>
    <w:link w:val="Heading9Char"/>
    <w:rsid w:val="00F0248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352B6"/>
    <w:pPr>
      <w:numPr>
        <w:numId w:val="9"/>
      </w:numPr>
    </w:pPr>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numbering" w:customStyle="1" w:styleId="StyleNumbered">
    <w:name w:val="Style Numbered"/>
    <w:basedOn w:val="NoList"/>
    <w:rsid w:val="00803159"/>
    <w:pPr>
      <w:numPr>
        <w:numId w:val="8"/>
      </w:numPr>
    </w:pPr>
  </w:style>
  <w:style w:type="numbering" w:customStyle="1" w:styleId="Style2">
    <w:name w:val="Style2"/>
    <w:uiPriority w:val="99"/>
    <w:rsid w:val="00F352B6"/>
    <w:pPr>
      <w:numPr>
        <w:numId w:val="10"/>
      </w:numPr>
    </w:pPr>
  </w:style>
  <w:style w:type="character" w:styleId="SubtleReference">
    <w:name w:val="Subtle Reference"/>
    <w:basedOn w:val="DefaultParagraphFont"/>
    <w:uiPriority w:val="31"/>
    <w:qFormat/>
    <w:rsid w:val="00A4512D"/>
    <w:rPr>
      <w:smallCaps/>
      <w:color w:val="358189" w:themeColor="accent2"/>
      <w:u w:val="single"/>
    </w:rPr>
  </w:style>
  <w:style w:type="paragraph" w:styleId="ListBullet2">
    <w:name w:val="List Bullet 2"/>
    <w:basedOn w:val="Normal"/>
    <w:rsid w:val="00643EBF"/>
    <w:pPr>
      <w:numPr>
        <w:numId w:val="1"/>
      </w:numPr>
      <w:spacing w:before="60" w:after="60"/>
    </w:pPr>
    <w:rPr>
      <w:color w:val="000000" w:themeColor="text1"/>
    </w:rPr>
  </w:style>
  <w:style w:type="paragraph" w:styleId="ListBullet">
    <w:name w:val="List Bullet"/>
    <w:basedOn w:val="Normal"/>
    <w:qFormat/>
    <w:rsid w:val="00C50DDE"/>
    <w:pPr>
      <w:numPr>
        <w:numId w:val="2"/>
      </w:numPr>
      <w:spacing w:before="60" w:after="60"/>
    </w:pPr>
    <w:rPr>
      <w:color w:val="000000" w:themeColor="text1"/>
      <w:sz w:val="21"/>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A71FB3"/>
    <w:pPr>
      <w:numPr>
        <w:numId w:val="7"/>
      </w:numPr>
      <w:spacing w:after="0"/>
    </w:p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Heading1"/>
    <w:link w:val="HeaderChar"/>
    <w:qFormat/>
    <w:rsid w:val="00065D24"/>
  </w:style>
  <w:style w:type="character" w:customStyle="1" w:styleId="HeaderChar">
    <w:name w:val="Header Char"/>
    <w:basedOn w:val="DefaultParagraphFont"/>
    <w:link w:val="Header"/>
    <w:rsid w:val="00065D24"/>
    <w:rPr>
      <w:rFonts w:ascii="Arial" w:hAnsi="Arial" w:cs="Arial"/>
      <w:b/>
      <w:bCs/>
      <w:color w:val="3F4A75"/>
      <w:kern w:val="28"/>
      <w:sz w:val="32"/>
      <w:szCs w:val="36"/>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Header">
    <w:name w:val="Table Header"/>
    <w:basedOn w:val="Normal"/>
    <w:next w:val="Normal"/>
    <w:qFormat/>
    <w:rsid w:val="00DC2313"/>
    <w:pPr>
      <w:spacing w:before="80" w:after="80"/>
    </w:pPr>
    <w:rPr>
      <w:rFonts w:eastAsia="Cambria"/>
      <w:b/>
      <w:color w:val="FFFFFF" w:themeColor="background1"/>
      <w:szCs w:val="22"/>
      <w:lang w:val="en-US"/>
    </w:rPr>
  </w:style>
  <w:style w:type="paragraph" w:styleId="FootnoteText">
    <w:name w:val="footnote text"/>
    <w:basedOn w:val="Normal"/>
    <w:link w:val="FootnoteTextChar"/>
    <w:uiPriority w:val="99"/>
    <w:rsid w:val="00A71FB3"/>
    <w:rPr>
      <w:sz w:val="18"/>
      <w:szCs w:val="20"/>
      <w:vertAlign w:val="superscript"/>
    </w:rPr>
  </w:style>
  <w:style w:type="character" w:customStyle="1" w:styleId="FootnoteTextChar">
    <w:name w:val="Footnote Text Char"/>
    <w:basedOn w:val="DefaultParagraphFont"/>
    <w:link w:val="FootnoteText"/>
    <w:uiPriority w:val="99"/>
    <w:rsid w:val="00A71FB3"/>
    <w:rPr>
      <w:rFonts w:ascii="Arial" w:hAnsi="Arial"/>
      <w:sz w:val="18"/>
      <w:vertAlign w:val="superscript"/>
      <w:lang w:eastAsia="en-US"/>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styleId="TOCHeading">
    <w:name w:val="TOC Heading"/>
    <w:basedOn w:val="Heading1"/>
    <w:next w:val="Normal"/>
    <w:uiPriority w:val="39"/>
    <w:unhideWhenUsed/>
    <w:qFormat/>
    <w:rsid w:val="00456458"/>
    <w:pPr>
      <w:keepLines/>
      <w:spacing w:after="0" w:line="259" w:lineRule="auto"/>
      <w:outlineLvl w:val="9"/>
    </w:pPr>
    <w:rPr>
      <w:rFonts w:asciiTheme="majorHAnsi" w:eastAsiaTheme="majorEastAsia" w:hAnsiTheme="majorHAnsi" w:cstheme="majorBidi"/>
      <w:bCs w:val="0"/>
      <w:color w:val="2F3757" w:themeColor="accent1" w:themeShade="BF"/>
      <w:kern w:val="0"/>
      <w:szCs w:val="32"/>
      <w:lang w:val="en-US"/>
    </w:rPr>
  </w:style>
  <w:style w:type="paragraph" w:styleId="TOC1">
    <w:name w:val="toc 1"/>
    <w:basedOn w:val="Normal"/>
    <w:next w:val="Normal"/>
    <w:autoRedefine/>
    <w:uiPriority w:val="39"/>
    <w:unhideWhenUsed/>
    <w:rsid w:val="001D1440"/>
    <w:pPr>
      <w:tabs>
        <w:tab w:val="left" w:pos="440"/>
        <w:tab w:val="right" w:leader="dot" w:pos="9060"/>
      </w:tabs>
      <w:spacing w:after="100"/>
    </w:pPr>
    <w:rPr>
      <w:rFonts w:cs="Arial"/>
      <w:b/>
      <w:noProof/>
    </w:rPr>
  </w:style>
  <w:style w:type="numbering" w:customStyle="1" w:styleId="OutlineList1">
    <w:name w:val="OutlineList1"/>
    <w:uiPriority w:val="99"/>
    <w:rsid w:val="00E86836"/>
    <w:pPr>
      <w:numPr>
        <w:numId w:val="3"/>
      </w:numPr>
    </w:pPr>
  </w:style>
  <w:style w:type="paragraph" w:customStyle="1" w:styleId="Default">
    <w:name w:val="Default"/>
    <w:rsid w:val="00E86836"/>
    <w:pPr>
      <w:autoSpaceDE w:val="0"/>
      <w:autoSpaceDN w:val="0"/>
      <w:adjustRightInd w:val="0"/>
    </w:pPr>
    <w:rPr>
      <w:rFonts w:ascii="Verdana" w:hAnsi="Verdana" w:cs="Verdana"/>
      <w:color w:val="000000"/>
      <w:sz w:val="24"/>
      <w:szCs w:val="24"/>
    </w:rPr>
  </w:style>
  <w:style w:type="paragraph" w:customStyle="1" w:styleId="NumberLevel5">
    <w:name w:val="Number Level 5"/>
    <w:aliases w:val="N5"/>
    <w:basedOn w:val="Normal"/>
    <w:uiPriority w:val="1"/>
    <w:semiHidden/>
    <w:rsid w:val="00F14F1C"/>
    <w:pPr>
      <w:numPr>
        <w:ilvl w:val="4"/>
        <w:numId w:val="5"/>
      </w:numPr>
      <w:spacing w:after="140" w:line="280" w:lineRule="atLeast"/>
    </w:pPr>
    <w:rPr>
      <w:rFonts w:cs="Arial"/>
      <w:szCs w:val="22"/>
      <w:lang w:eastAsia="en-AU"/>
    </w:rPr>
  </w:style>
  <w:style w:type="paragraph" w:customStyle="1" w:styleId="NumberLevel6">
    <w:name w:val="Number Level 6"/>
    <w:basedOn w:val="NumberLevel5"/>
    <w:uiPriority w:val="1"/>
    <w:semiHidden/>
    <w:rsid w:val="00F14F1C"/>
    <w:pPr>
      <w:numPr>
        <w:ilvl w:val="5"/>
      </w:numPr>
    </w:pPr>
  </w:style>
  <w:style w:type="paragraph" w:customStyle="1" w:styleId="NumberLevel7">
    <w:name w:val="Number Level 7"/>
    <w:basedOn w:val="NumberLevel6"/>
    <w:uiPriority w:val="1"/>
    <w:semiHidden/>
    <w:rsid w:val="00F14F1C"/>
    <w:pPr>
      <w:numPr>
        <w:ilvl w:val="6"/>
      </w:numPr>
    </w:pPr>
  </w:style>
  <w:style w:type="paragraph" w:customStyle="1" w:styleId="NumberLevel8">
    <w:name w:val="Number Level 8"/>
    <w:basedOn w:val="NumberLevel7"/>
    <w:uiPriority w:val="1"/>
    <w:semiHidden/>
    <w:rsid w:val="00F14F1C"/>
    <w:pPr>
      <w:numPr>
        <w:ilvl w:val="7"/>
      </w:numPr>
    </w:pPr>
  </w:style>
  <w:style w:type="paragraph" w:customStyle="1" w:styleId="NumberLevel9">
    <w:name w:val="Number Level 9"/>
    <w:basedOn w:val="NumberLevel8"/>
    <w:uiPriority w:val="1"/>
    <w:semiHidden/>
    <w:rsid w:val="00F14F1C"/>
    <w:pPr>
      <w:numPr>
        <w:ilvl w:val="8"/>
      </w:numPr>
    </w:pPr>
  </w:style>
  <w:style w:type="paragraph" w:customStyle="1" w:styleId="Quotation">
    <w:name w:val="Quotation"/>
    <w:basedOn w:val="Normal"/>
    <w:uiPriority w:val="9"/>
    <w:semiHidden/>
    <w:rsid w:val="00F14F1C"/>
    <w:pPr>
      <w:numPr>
        <w:numId w:val="4"/>
      </w:numPr>
      <w:tabs>
        <w:tab w:val="clear" w:pos="425"/>
        <w:tab w:val="num" w:pos="360"/>
      </w:tabs>
      <w:spacing w:after="140" w:line="260" w:lineRule="atLeast"/>
      <w:ind w:left="0"/>
    </w:pPr>
    <w:rPr>
      <w:rFonts w:cs="Arial"/>
      <w:sz w:val="20"/>
      <w:szCs w:val="22"/>
      <w:lang w:eastAsia="en-AU"/>
    </w:rPr>
  </w:style>
  <w:style w:type="paragraph" w:customStyle="1" w:styleId="Quotation2">
    <w:name w:val="Quotation 2"/>
    <w:basedOn w:val="Normal"/>
    <w:uiPriority w:val="9"/>
    <w:semiHidden/>
    <w:rsid w:val="00F14F1C"/>
    <w:pPr>
      <w:numPr>
        <w:ilvl w:val="2"/>
        <w:numId w:val="4"/>
      </w:numPr>
      <w:tabs>
        <w:tab w:val="clear" w:pos="850"/>
        <w:tab w:val="num" w:pos="360"/>
      </w:tabs>
      <w:spacing w:after="140" w:line="260" w:lineRule="atLeast"/>
      <w:ind w:left="0"/>
    </w:pPr>
    <w:rPr>
      <w:rFonts w:cs="Arial"/>
      <w:sz w:val="20"/>
      <w:szCs w:val="22"/>
      <w:lang w:eastAsia="en-AU"/>
    </w:rPr>
  </w:style>
  <w:style w:type="paragraph" w:customStyle="1" w:styleId="Quotation3">
    <w:name w:val="Quotation 3"/>
    <w:basedOn w:val="Normal"/>
    <w:uiPriority w:val="9"/>
    <w:semiHidden/>
    <w:rsid w:val="00F14F1C"/>
    <w:pPr>
      <w:numPr>
        <w:ilvl w:val="3"/>
        <w:numId w:val="4"/>
      </w:numPr>
      <w:tabs>
        <w:tab w:val="clear" w:pos="1276"/>
        <w:tab w:val="num" w:pos="360"/>
      </w:tabs>
      <w:spacing w:after="140" w:line="260" w:lineRule="atLeast"/>
      <w:ind w:left="0"/>
    </w:pPr>
    <w:rPr>
      <w:rFonts w:cs="Arial"/>
      <w:sz w:val="20"/>
      <w:szCs w:val="22"/>
      <w:lang w:eastAsia="en-AU"/>
    </w:rPr>
  </w:style>
  <w:style w:type="paragraph" w:customStyle="1" w:styleId="Quotation4">
    <w:name w:val="Quotation 4"/>
    <w:basedOn w:val="Normal"/>
    <w:uiPriority w:val="9"/>
    <w:semiHidden/>
    <w:rsid w:val="00F14F1C"/>
    <w:pPr>
      <w:numPr>
        <w:ilvl w:val="4"/>
        <w:numId w:val="4"/>
      </w:numPr>
      <w:tabs>
        <w:tab w:val="clear" w:pos="1701"/>
        <w:tab w:val="num" w:pos="360"/>
      </w:tabs>
      <w:spacing w:after="140" w:line="260" w:lineRule="atLeast"/>
      <w:ind w:left="0"/>
    </w:pPr>
    <w:rPr>
      <w:rFonts w:cs="Arial"/>
      <w:sz w:val="20"/>
      <w:szCs w:val="22"/>
      <w:lang w:eastAsia="en-AU"/>
    </w:rPr>
  </w:style>
  <w:style w:type="paragraph" w:customStyle="1" w:styleId="Quotation5">
    <w:name w:val="Quotation 5"/>
    <w:basedOn w:val="Normal"/>
    <w:uiPriority w:val="9"/>
    <w:semiHidden/>
    <w:rsid w:val="00F14F1C"/>
    <w:pPr>
      <w:numPr>
        <w:ilvl w:val="5"/>
        <w:numId w:val="4"/>
      </w:numPr>
      <w:tabs>
        <w:tab w:val="clear" w:pos="2126"/>
        <w:tab w:val="num" w:pos="360"/>
      </w:tabs>
      <w:spacing w:after="140" w:line="260" w:lineRule="atLeast"/>
      <w:ind w:left="0"/>
    </w:pPr>
    <w:rPr>
      <w:rFonts w:cs="Arial"/>
      <w:sz w:val="20"/>
      <w:szCs w:val="22"/>
      <w:lang w:eastAsia="en-AU"/>
    </w:rPr>
  </w:style>
  <w:style w:type="paragraph" w:customStyle="1" w:styleId="Quotation6">
    <w:name w:val="Quotation 6"/>
    <w:basedOn w:val="Normal"/>
    <w:uiPriority w:val="9"/>
    <w:semiHidden/>
    <w:rsid w:val="00F14F1C"/>
    <w:pPr>
      <w:numPr>
        <w:ilvl w:val="6"/>
        <w:numId w:val="4"/>
      </w:numPr>
      <w:tabs>
        <w:tab w:val="clear" w:pos="2551"/>
        <w:tab w:val="num" w:pos="360"/>
      </w:tabs>
      <w:spacing w:after="140" w:line="260" w:lineRule="atLeast"/>
      <w:ind w:left="0"/>
    </w:pPr>
    <w:rPr>
      <w:rFonts w:cs="Arial"/>
      <w:sz w:val="20"/>
      <w:szCs w:val="22"/>
      <w:lang w:eastAsia="en-AU"/>
    </w:rPr>
  </w:style>
  <w:style w:type="paragraph" w:customStyle="1" w:styleId="Quotation7">
    <w:name w:val="Quotation 7"/>
    <w:basedOn w:val="Normal"/>
    <w:uiPriority w:val="9"/>
    <w:semiHidden/>
    <w:rsid w:val="00F14F1C"/>
    <w:pPr>
      <w:numPr>
        <w:ilvl w:val="7"/>
        <w:numId w:val="4"/>
      </w:numPr>
      <w:tabs>
        <w:tab w:val="clear" w:pos="2976"/>
        <w:tab w:val="num" w:pos="360"/>
      </w:tabs>
      <w:spacing w:after="140" w:line="260" w:lineRule="atLeast"/>
      <w:ind w:left="0"/>
    </w:pPr>
    <w:rPr>
      <w:rFonts w:cs="Arial"/>
      <w:sz w:val="20"/>
      <w:szCs w:val="22"/>
      <w:lang w:eastAsia="en-AU"/>
    </w:rPr>
  </w:style>
  <w:style w:type="paragraph" w:customStyle="1" w:styleId="Quotation8">
    <w:name w:val="Quotation 8"/>
    <w:basedOn w:val="Normal"/>
    <w:uiPriority w:val="9"/>
    <w:semiHidden/>
    <w:rsid w:val="00F14F1C"/>
    <w:pPr>
      <w:numPr>
        <w:ilvl w:val="8"/>
        <w:numId w:val="4"/>
      </w:numPr>
      <w:tabs>
        <w:tab w:val="clear" w:pos="3402"/>
        <w:tab w:val="num" w:pos="360"/>
      </w:tabs>
      <w:spacing w:after="140" w:line="260" w:lineRule="atLeast"/>
      <w:ind w:left="0"/>
    </w:pPr>
    <w:rPr>
      <w:rFonts w:cs="Arial"/>
      <w:sz w:val="20"/>
      <w:szCs w:val="22"/>
      <w:lang w:eastAsia="en-AU"/>
    </w:rPr>
  </w:style>
  <w:style w:type="paragraph" w:styleId="TOC2">
    <w:name w:val="toc 2"/>
    <w:basedOn w:val="Normal"/>
    <w:next w:val="Normal"/>
    <w:autoRedefine/>
    <w:uiPriority w:val="39"/>
    <w:unhideWhenUsed/>
    <w:rsid w:val="00DF0B81"/>
    <w:pPr>
      <w:tabs>
        <w:tab w:val="right" w:leader="dot" w:pos="9060"/>
      </w:tabs>
      <w:spacing w:after="100"/>
    </w:pPr>
  </w:style>
  <w:style w:type="paragraph" w:styleId="TOC3">
    <w:name w:val="toc 3"/>
    <w:basedOn w:val="Normal"/>
    <w:next w:val="Normal"/>
    <w:autoRedefine/>
    <w:uiPriority w:val="39"/>
    <w:unhideWhenUsed/>
    <w:rsid w:val="00685876"/>
    <w:pPr>
      <w:spacing w:after="100"/>
      <w:ind w:left="440"/>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A71FB3"/>
    <w:rPr>
      <w:rFonts w:ascii="Arial" w:hAnsi="Arial"/>
      <w:sz w:val="22"/>
      <w:szCs w:val="24"/>
      <w:lang w:eastAsia="en-US"/>
    </w:rPr>
  </w:style>
  <w:style w:type="character" w:styleId="PlaceholderText">
    <w:name w:val="Placeholder Text"/>
    <w:basedOn w:val="DefaultParagraphFont"/>
    <w:uiPriority w:val="99"/>
    <w:semiHidden/>
    <w:rsid w:val="00265EB4"/>
    <w:rPr>
      <w:color w:val="808080"/>
    </w:rPr>
  </w:style>
  <w:style w:type="character" w:customStyle="1" w:styleId="Heading1Char">
    <w:name w:val="Heading 1 Char"/>
    <w:basedOn w:val="DefaultParagraphFont"/>
    <w:link w:val="Heading1"/>
    <w:rsid w:val="0030162A"/>
    <w:rPr>
      <w:rFonts w:ascii="Arial" w:hAnsi="Arial" w:cs="Arial"/>
      <w:b/>
      <w:bCs/>
      <w:color w:val="3F4A75"/>
      <w:kern w:val="28"/>
      <w:sz w:val="32"/>
      <w:szCs w:val="36"/>
      <w:lang w:eastAsia="en-US"/>
    </w:rPr>
  </w:style>
  <w:style w:type="character" w:customStyle="1" w:styleId="Heading3Char">
    <w:name w:val="Heading 3 Char"/>
    <w:basedOn w:val="DefaultParagraphFont"/>
    <w:link w:val="Heading3"/>
    <w:rsid w:val="00A212D0"/>
    <w:rPr>
      <w:rFonts w:ascii="Arial" w:hAnsi="Arial" w:cs="Arial"/>
      <w:bCs/>
      <w:i/>
      <w:color w:val="358189"/>
      <w:sz w:val="24"/>
      <w:szCs w:val="26"/>
      <w:lang w:eastAsia="en-US"/>
    </w:rPr>
  </w:style>
  <w:style w:type="paragraph" w:styleId="TOC4">
    <w:name w:val="toc 4"/>
    <w:basedOn w:val="Normal"/>
    <w:next w:val="Normal"/>
    <w:autoRedefine/>
    <w:unhideWhenUsed/>
    <w:rsid w:val="00F02482"/>
    <w:pPr>
      <w:spacing w:after="100" w:line="259" w:lineRule="auto"/>
      <w:ind w:left="660"/>
    </w:pPr>
    <w:rPr>
      <w:rFonts w:asciiTheme="minorHAnsi" w:eastAsiaTheme="minorEastAsia" w:hAnsiTheme="minorHAnsi" w:cstheme="minorBidi"/>
      <w:szCs w:val="22"/>
      <w:lang w:eastAsia="en-AU"/>
    </w:rPr>
  </w:style>
  <w:style w:type="paragraph" w:styleId="TOC5">
    <w:name w:val="toc 5"/>
    <w:basedOn w:val="Normal"/>
    <w:next w:val="Normal"/>
    <w:autoRedefine/>
    <w:unhideWhenUsed/>
    <w:rsid w:val="00F02482"/>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nhideWhenUsed/>
    <w:rsid w:val="00F02482"/>
    <w:pPr>
      <w:spacing w:after="100" w:line="259" w:lineRule="auto"/>
      <w:ind w:left="1100"/>
    </w:pPr>
    <w:rPr>
      <w:rFonts w:asciiTheme="minorHAnsi" w:eastAsiaTheme="minorEastAsia" w:hAnsiTheme="minorHAnsi" w:cstheme="minorBidi"/>
      <w:szCs w:val="22"/>
      <w:lang w:eastAsia="en-AU"/>
    </w:rPr>
  </w:style>
  <w:style w:type="character" w:customStyle="1" w:styleId="Heading7Char">
    <w:name w:val="Heading 7 Char"/>
    <w:basedOn w:val="DefaultParagraphFont"/>
    <w:link w:val="Heading7"/>
    <w:rsid w:val="00F02482"/>
    <w:rPr>
      <w:rFonts w:ascii="Arial" w:hAnsi="Arial"/>
      <w:szCs w:val="24"/>
      <w:lang w:eastAsia="en-US"/>
    </w:rPr>
  </w:style>
  <w:style w:type="character" w:customStyle="1" w:styleId="Heading8Char">
    <w:name w:val="Heading 8 Char"/>
    <w:basedOn w:val="DefaultParagraphFont"/>
    <w:link w:val="Heading8"/>
    <w:rsid w:val="00F02482"/>
    <w:rPr>
      <w:rFonts w:ascii="Arial" w:hAnsi="Arial"/>
      <w:i/>
      <w:iCs/>
      <w:szCs w:val="24"/>
      <w:lang w:eastAsia="en-US"/>
    </w:rPr>
  </w:style>
  <w:style w:type="character" w:customStyle="1" w:styleId="Heading9Char">
    <w:name w:val="Heading 9 Char"/>
    <w:basedOn w:val="DefaultParagraphFont"/>
    <w:link w:val="Heading9"/>
    <w:rsid w:val="00F02482"/>
    <w:rPr>
      <w:rFonts w:ascii="Arial" w:hAnsi="Arial" w:cs="Arial"/>
      <w:sz w:val="22"/>
      <w:szCs w:val="22"/>
      <w:lang w:eastAsia="en-US"/>
    </w:rPr>
  </w:style>
  <w:style w:type="character" w:styleId="PageNumber">
    <w:name w:val="page number"/>
    <w:basedOn w:val="DefaultParagraphFont"/>
    <w:rsid w:val="00F02482"/>
  </w:style>
  <w:style w:type="paragraph" w:styleId="TOAHeading">
    <w:name w:val="toa heading"/>
    <w:basedOn w:val="Normal"/>
    <w:next w:val="Normal"/>
    <w:rsid w:val="00F02482"/>
    <w:rPr>
      <w:rFonts w:cs="Arial"/>
      <w:b/>
      <w:bCs/>
      <w:sz w:val="20"/>
    </w:rPr>
  </w:style>
  <w:style w:type="paragraph" w:customStyle="1" w:styleId="VersionHead">
    <w:name w:val="VersionHead"/>
    <w:basedOn w:val="Normal"/>
    <w:semiHidden/>
    <w:rsid w:val="00F02482"/>
    <w:pPr>
      <w:spacing w:before="240" w:after="80" w:line="260" w:lineRule="exact"/>
      <w:ind w:left="32" w:right="-62"/>
      <w:jc w:val="both"/>
    </w:pPr>
    <w:rPr>
      <w:rFonts w:cs="Arial"/>
      <w:color w:val="000000"/>
      <w:kern w:val="22"/>
      <w:sz w:val="20"/>
      <w:szCs w:val="22"/>
    </w:rPr>
  </w:style>
  <w:style w:type="paragraph" w:customStyle="1" w:styleId="Version2">
    <w:name w:val="Version2"/>
    <w:basedOn w:val="Normal"/>
    <w:semiHidden/>
    <w:rsid w:val="00F02482"/>
    <w:pPr>
      <w:spacing w:before="60" w:after="60" w:line="260" w:lineRule="exact"/>
      <w:ind w:left="32"/>
      <w:jc w:val="both"/>
    </w:pPr>
    <w:rPr>
      <w:rFonts w:cs="Arial"/>
      <w:color w:val="000000"/>
      <w:sz w:val="20"/>
      <w:szCs w:val="22"/>
    </w:rPr>
  </w:style>
  <w:style w:type="paragraph" w:customStyle="1" w:styleId="TableColumnHeadingCentred">
    <w:name w:val="Table Column Heading Centred"/>
    <w:basedOn w:val="Normal"/>
    <w:rsid w:val="00F02482"/>
    <w:pPr>
      <w:spacing w:before="40" w:after="40"/>
      <w:jc w:val="center"/>
    </w:pPr>
    <w:rPr>
      <w:b/>
      <w:color w:val="000000"/>
      <w:sz w:val="20"/>
      <w:szCs w:val="20"/>
    </w:rPr>
  </w:style>
  <w:style w:type="paragraph" w:customStyle="1" w:styleId="TableNormal1">
    <w:name w:val="Table Normal1"/>
    <w:basedOn w:val="Normal"/>
    <w:rsid w:val="00F02482"/>
    <w:rPr>
      <w:sz w:val="20"/>
      <w:szCs w:val="20"/>
    </w:rPr>
  </w:style>
  <w:style w:type="character" w:customStyle="1" w:styleId="Heading2Char">
    <w:name w:val="Heading 2 Char"/>
    <w:link w:val="Heading2"/>
    <w:rsid w:val="00717405"/>
    <w:rPr>
      <w:rFonts w:ascii="Arial" w:hAnsi="Arial" w:cs="Arial"/>
      <w:b/>
      <w:iCs/>
      <w:color w:val="358189"/>
      <w:kern w:val="28"/>
      <w:sz w:val="28"/>
      <w:szCs w:val="28"/>
      <w:lang w:eastAsia="en-US"/>
    </w:rPr>
  </w:style>
  <w:style w:type="paragraph" w:styleId="Revision">
    <w:name w:val="Revision"/>
    <w:hidden/>
    <w:uiPriority w:val="99"/>
    <w:semiHidden/>
    <w:rsid w:val="00F02482"/>
    <w:rPr>
      <w:sz w:val="24"/>
      <w:szCs w:val="24"/>
    </w:rPr>
  </w:style>
  <w:style w:type="paragraph" w:customStyle="1" w:styleId="TableParagraph">
    <w:name w:val="Table Paragraph"/>
    <w:basedOn w:val="Normal"/>
    <w:uiPriority w:val="1"/>
    <w:qFormat/>
    <w:rsid w:val="00F02482"/>
    <w:pPr>
      <w:widowControl w:val="0"/>
      <w:spacing w:before="40" w:after="40"/>
    </w:pPr>
    <w:rPr>
      <w:rFonts w:eastAsiaTheme="minorHAnsi" w:cstheme="minorBidi"/>
      <w:szCs w:val="22"/>
      <w:lang w:val="en-US"/>
    </w:rPr>
  </w:style>
  <w:style w:type="table" w:styleId="LightShading-Accent5">
    <w:name w:val="Light Shading Accent 5"/>
    <w:basedOn w:val="TableNormal"/>
    <w:uiPriority w:val="60"/>
    <w:locked/>
    <w:rsid w:val="00F02482"/>
    <w:rPr>
      <w:color w:val="2A7187" w:themeColor="accent5" w:themeShade="BF"/>
      <w:sz w:val="22"/>
      <w:szCs w:val="22"/>
      <w:lang w:val="en-US" w:eastAsia="en-US"/>
    </w:rPr>
    <w:tblPr>
      <w:tblStyleRowBandSize w:val="1"/>
      <w:tblStyleColBandSize w:val="1"/>
      <w:tblBorders>
        <w:top w:val="single" w:sz="8" w:space="0" w:color="3998B5" w:themeColor="accent5"/>
        <w:bottom w:val="single" w:sz="8" w:space="0" w:color="3998B5" w:themeColor="accent5"/>
      </w:tblBorders>
    </w:tblPr>
    <w:tblStylePr w:type="firstRow">
      <w:pPr>
        <w:spacing w:beforeLines="0" w:before="0" w:beforeAutospacing="0" w:afterLines="0" w:after="0" w:afterAutospacing="0" w:line="240" w:lineRule="auto"/>
      </w:pPr>
      <w:rPr>
        <w:b/>
        <w:bCs/>
      </w:rPr>
      <w:tblPr/>
      <w:tcPr>
        <w:tcBorders>
          <w:top w:val="single" w:sz="8" w:space="0" w:color="3998B5" w:themeColor="accent5"/>
          <w:left w:val="nil"/>
          <w:bottom w:val="single" w:sz="8" w:space="0" w:color="3998B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998B5" w:themeColor="accent5"/>
          <w:left w:val="nil"/>
          <w:bottom w:val="single" w:sz="8" w:space="0" w:color="3998B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6EF" w:themeFill="accent5" w:themeFillTint="3F"/>
      </w:tcPr>
    </w:tblStylePr>
    <w:tblStylePr w:type="band1Horz">
      <w:tblPr/>
      <w:tcPr>
        <w:tcBorders>
          <w:left w:val="nil"/>
          <w:right w:val="nil"/>
          <w:insideH w:val="nil"/>
          <w:insideV w:val="nil"/>
        </w:tcBorders>
        <w:shd w:val="clear" w:color="auto" w:fill="CBE6EF" w:themeFill="accent5" w:themeFillTint="3F"/>
      </w:tcPr>
    </w:tblStylePr>
  </w:style>
  <w:style w:type="table" w:styleId="Table3Deffects3">
    <w:name w:val="Table 3D effects 3"/>
    <w:basedOn w:val="TableNormal"/>
    <w:locked/>
    <w:rsid w:val="00F02482"/>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locked/>
    <w:rsid w:val="00F02482"/>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List1">
    <w:name w:val="Medium List 1"/>
    <w:basedOn w:val="TableNormal"/>
    <w:uiPriority w:val="65"/>
    <w:locked/>
    <w:rsid w:val="00F0248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4A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locked/>
    <w:rsid w:val="00F0248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1">
    <w:name w:val="Table Grid 1"/>
    <w:basedOn w:val="TableNormal"/>
    <w:locked/>
    <w:rsid w:val="00F02482"/>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1">
    <w:name w:val="Light Shading Accent 1"/>
    <w:basedOn w:val="TableNormal"/>
    <w:uiPriority w:val="60"/>
    <w:locked/>
    <w:rsid w:val="00F02482"/>
    <w:rPr>
      <w:rFonts w:asciiTheme="minorHAnsi" w:eastAsiaTheme="minorEastAsia" w:hAnsiTheme="minorHAnsi" w:cstheme="minorBidi"/>
      <w:color w:val="2F3757" w:themeColor="accent1" w:themeShade="BF"/>
      <w:sz w:val="22"/>
      <w:szCs w:val="22"/>
      <w:lang w:val="en-US" w:eastAsia="en-US"/>
    </w:rPr>
    <w:tblPr>
      <w:tblStyleRowBandSize w:val="1"/>
      <w:tblStyleColBandSize w:val="1"/>
      <w:tblBorders>
        <w:top w:val="single" w:sz="8" w:space="0" w:color="3F4A75" w:themeColor="accent1"/>
        <w:bottom w:val="single" w:sz="8" w:space="0" w:color="3F4A75" w:themeColor="accent1"/>
      </w:tblBorders>
    </w:tblPr>
    <w:tblStylePr w:type="firstRow">
      <w:pPr>
        <w:spacing w:before="0" w:after="0" w:line="240" w:lineRule="auto"/>
      </w:pPr>
      <w:rPr>
        <w:b/>
        <w:bCs/>
      </w:rPr>
      <w:tblPr/>
      <w:tcPr>
        <w:tcBorders>
          <w:top w:val="single" w:sz="8" w:space="0" w:color="3F4A75" w:themeColor="accent1"/>
          <w:left w:val="nil"/>
          <w:bottom w:val="single" w:sz="8" w:space="0" w:color="3F4A75" w:themeColor="accent1"/>
          <w:right w:val="nil"/>
          <w:insideH w:val="nil"/>
          <w:insideV w:val="nil"/>
        </w:tcBorders>
      </w:tcPr>
    </w:tblStylePr>
    <w:tblStylePr w:type="lastRow">
      <w:pPr>
        <w:spacing w:before="0" w:after="0" w:line="240" w:lineRule="auto"/>
      </w:pPr>
      <w:rPr>
        <w:b/>
        <w:bCs/>
      </w:rPr>
      <w:tblPr/>
      <w:tcPr>
        <w:tcBorders>
          <w:top w:val="single" w:sz="8" w:space="0" w:color="3F4A75" w:themeColor="accent1"/>
          <w:left w:val="nil"/>
          <w:bottom w:val="single" w:sz="8" w:space="0" w:color="3F4A7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EE2" w:themeFill="accent1" w:themeFillTint="3F"/>
      </w:tcPr>
    </w:tblStylePr>
    <w:tblStylePr w:type="band1Horz">
      <w:tblPr/>
      <w:tcPr>
        <w:tcBorders>
          <w:left w:val="nil"/>
          <w:right w:val="nil"/>
          <w:insideH w:val="nil"/>
          <w:insideV w:val="nil"/>
        </w:tcBorders>
        <w:shd w:val="clear" w:color="auto" w:fill="C9CEE2" w:themeFill="accent1" w:themeFillTint="3F"/>
      </w:tcPr>
    </w:tblStylePr>
  </w:style>
  <w:style w:type="paragraph" w:customStyle="1" w:styleId="Numberedlist">
    <w:name w:val="Numbered list"/>
    <w:basedOn w:val="ListParagraph"/>
    <w:link w:val="NumberedlistChar"/>
    <w:qFormat/>
    <w:rsid w:val="009A7552"/>
    <w:pPr>
      <w:numPr>
        <w:numId w:val="0"/>
      </w:numPr>
      <w:spacing w:after="120"/>
      <w:ind w:left="680" w:hanging="680"/>
    </w:pPr>
    <w:rPr>
      <w:rFonts w:cs="Arial"/>
      <w:sz w:val="21"/>
      <w:szCs w:val="21"/>
    </w:rPr>
  </w:style>
  <w:style w:type="character" w:customStyle="1" w:styleId="NumberedlistChar">
    <w:name w:val="Numbered list Char"/>
    <w:basedOn w:val="ListParagraphChar"/>
    <w:link w:val="Numberedlist"/>
    <w:rsid w:val="009A7552"/>
    <w:rPr>
      <w:rFonts w:ascii="Arial" w:hAnsi="Arial" w:cs="Arial"/>
      <w:sz w:val="21"/>
      <w:szCs w:val="21"/>
      <w:lang w:eastAsia="en-US"/>
    </w:rPr>
  </w:style>
  <w:style w:type="character" w:styleId="FootnoteReference">
    <w:name w:val="footnote reference"/>
    <w:unhideWhenUsed/>
    <w:rsid w:val="00E87DEA"/>
    <w:rPr>
      <w:sz w:val="14"/>
      <w:vertAlign w:val="superscript"/>
    </w:rPr>
  </w:style>
  <w:style w:type="paragraph" w:customStyle="1" w:styleId="notetext">
    <w:name w:val="notetext"/>
    <w:basedOn w:val="Normal"/>
    <w:rsid w:val="00E87DEA"/>
    <w:pPr>
      <w:spacing w:before="100" w:beforeAutospacing="1" w:after="100" w:afterAutospacing="1"/>
    </w:pPr>
    <w:rPr>
      <w:rFonts w:ascii="Times New Roman" w:hAnsi="Times New Roman"/>
      <w:sz w:val="24"/>
      <w:lang w:eastAsia="en-AU"/>
    </w:rPr>
  </w:style>
  <w:style w:type="character" w:styleId="FollowedHyperlink">
    <w:name w:val="FollowedHyperlink"/>
    <w:basedOn w:val="DefaultParagraphFont"/>
    <w:semiHidden/>
    <w:unhideWhenUsed/>
    <w:rsid w:val="00646098"/>
    <w:rPr>
      <w:color w:val="800080" w:themeColor="followedHyperlink"/>
      <w:u w:val="single"/>
    </w:rPr>
  </w:style>
  <w:style w:type="character" w:styleId="CommentReference">
    <w:name w:val="annotation reference"/>
    <w:basedOn w:val="DefaultParagraphFont"/>
    <w:unhideWhenUsed/>
    <w:rsid w:val="00C725B1"/>
    <w:rPr>
      <w:rFonts w:asciiTheme="minorHAnsi" w:eastAsiaTheme="minorEastAsia" w:hAnsiTheme="minorHAnsi" w:cstheme="minorBidi"/>
      <w:sz w:val="14"/>
      <w:szCs w:val="20"/>
    </w:rPr>
  </w:style>
  <w:style w:type="paragraph" w:styleId="CommentText">
    <w:name w:val="annotation text"/>
    <w:basedOn w:val="Normal"/>
    <w:link w:val="CommentTextChar"/>
    <w:unhideWhenUsed/>
    <w:rsid w:val="00C725B1"/>
    <w:pPr>
      <w:spacing w:before="0" w:line="260" w:lineRule="atLeast"/>
    </w:pPr>
    <w:rPr>
      <w:rFonts w:asciiTheme="minorHAnsi" w:eastAsiaTheme="minorHAnsi" w:hAnsiTheme="minorHAnsi" w:cstheme="minorBidi"/>
      <w:sz w:val="14"/>
      <w:szCs w:val="20"/>
    </w:rPr>
  </w:style>
  <w:style w:type="character" w:customStyle="1" w:styleId="CommentTextChar">
    <w:name w:val="Comment Text Char"/>
    <w:basedOn w:val="DefaultParagraphFont"/>
    <w:link w:val="CommentText"/>
    <w:rsid w:val="00C725B1"/>
    <w:rPr>
      <w:rFonts w:asciiTheme="minorHAnsi" w:eastAsiaTheme="minorHAnsi" w:hAnsiTheme="minorHAnsi" w:cstheme="minorBidi"/>
      <w:sz w:val="14"/>
      <w:lang w:eastAsia="en-US"/>
    </w:rPr>
  </w:style>
  <w:style w:type="paragraph" w:customStyle="1" w:styleId="MPTTopBorder">
    <w:name w:val="MPT Top Border"/>
    <w:basedOn w:val="Normal"/>
    <w:next w:val="Normal"/>
    <w:uiPriority w:val="1"/>
    <w:qFormat/>
    <w:rsid w:val="00C725B1"/>
    <w:pPr>
      <w:pBdr>
        <w:top w:val="single" w:sz="4" w:space="1" w:color="auto"/>
      </w:pBdr>
      <w:spacing w:before="240" w:line="260" w:lineRule="atLeast"/>
    </w:pPr>
    <w:rPr>
      <w:rFonts w:asciiTheme="minorHAnsi" w:eastAsiaTheme="minorHAnsi" w:hAnsiTheme="minorHAnsi" w:cstheme="minorBidi"/>
      <w:sz w:val="18"/>
      <w:szCs w:val="18"/>
    </w:rPr>
  </w:style>
  <w:style w:type="paragraph" w:customStyle="1" w:styleId="MPTAppendix">
    <w:name w:val="MPT Appendix"/>
    <w:basedOn w:val="Normal"/>
    <w:next w:val="MPTTopBorder"/>
    <w:uiPriority w:val="3"/>
    <w:qFormat/>
    <w:rsid w:val="00C725B1"/>
    <w:pPr>
      <w:suppressAutoHyphens/>
      <w:spacing w:before="0" w:after="0" w:line="440" w:lineRule="atLeast"/>
      <w:outlineLvl w:val="0"/>
    </w:pPr>
    <w:rPr>
      <w:rFonts w:asciiTheme="minorHAnsi" w:eastAsiaTheme="minorHAnsi" w:hAnsiTheme="minorHAnsi" w:cstheme="minorBidi"/>
      <w:color w:val="000000" w:themeColor="text1"/>
      <w:sz w:val="36"/>
      <w:szCs w:val="42"/>
    </w:rPr>
  </w:style>
  <w:style w:type="table" w:customStyle="1" w:styleId="MPTTable21">
    <w:name w:val="MPT Table 21"/>
    <w:basedOn w:val="TableNormal"/>
    <w:uiPriority w:val="99"/>
    <w:rsid w:val="00C725B1"/>
    <w:pPr>
      <w:spacing w:after="120" w:line="240" w:lineRule="atLeast"/>
    </w:pPr>
    <w:rPr>
      <w:rFonts w:ascii="Verdana" w:eastAsia="SimSun" w:hAnsi="Verdana"/>
      <w:sz w:val="18"/>
      <w:szCs w:val="18"/>
      <w:lang w:eastAsia="en-US"/>
    </w:rPr>
    <w:tblPr>
      <w:tblBorders>
        <w:top w:val="single" w:sz="8" w:space="0" w:color="658D1B"/>
        <w:bottom w:val="single" w:sz="8" w:space="0" w:color="658D1B"/>
        <w:insideH w:val="single" w:sz="8" w:space="0" w:color="658D1B"/>
      </w:tblBorders>
      <w:tblCellMar>
        <w:top w:w="85" w:type="dxa"/>
      </w:tblCellMar>
    </w:tblPr>
    <w:tblStylePr w:type="firstRow">
      <w:rPr>
        <w:b/>
        <w:caps/>
        <w:smallCaps w:val="0"/>
        <w:color w:val="FFFFFF"/>
      </w:rPr>
      <w:tblPr/>
      <w:tcPr>
        <w:shd w:val="clear" w:color="auto" w:fill="658D1B"/>
      </w:tcPr>
    </w:tblStylePr>
    <w:tblStylePr w:type="lastRow">
      <w:rPr>
        <w:b/>
      </w:rPr>
      <w:tblPr/>
      <w:tcPr>
        <w:shd w:val="clear" w:color="auto" w:fill="E3F4C5"/>
      </w:tcPr>
    </w:tblStylePr>
  </w:style>
  <w:style w:type="paragraph" w:customStyle="1" w:styleId="Paragraphtext">
    <w:name w:val="Paragraph text"/>
    <w:basedOn w:val="Normal"/>
    <w:qFormat/>
    <w:rsid w:val="00254148"/>
    <w:pPr>
      <w:spacing w:after="60"/>
    </w:pPr>
    <w:rPr>
      <w:color w:val="000000" w:themeColor="text1"/>
      <w:sz w:val="21"/>
    </w:rPr>
  </w:style>
  <w:style w:type="paragraph" w:customStyle="1" w:styleId="Level1">
    <w:name w:val="Level 1."/>
    <w:basedOn w:val="Normal"/>
    <w:next w:val="Normal"/>
    <w:uiPriority w:val="4"/>
    <w:rsid w:val="00254148"/>
    <w:pPr>
      <w:keepNext/>
      <w:tabs>
        <w:tab w:val="num" w:pos="360"/>
      </w:tabs>
      <w:spacing w:before="0" w:after="220" w:line="264" w:lineRule="auto"/>
      <w:jc w:val="both"/>
      <w:outlineLvl w:val="0"/>
    </w:pPr>
    <w:rPr>
      <w:rFonts w:ascii="Verdana" w:eastAsia="Verdana" w:hAnsi="Verdana"/>
      <w:b/>
      <w:caps/>
      <w:sz w:val="18"/>
      <w:szCs w:val="18"/>
    </w:rPr>
  </w:style>
  <w:style w:type="paragraph" w:customStyle="1" w:styleId="Level11">
    <w:name w:val="Level 1.1"/>
    <w:basedOn w:val="Normal"/>
    <w:next w:val="Normal"/>
    <w:uiPriority w:val="5"/>
    <w:rsid w:val="00254148"/>
    <w:pPr>
      <w:keepNext/>
      <w:tabs>
        <w:tab w:val="num" w:pos="360"/>
      </w:tabs>
      <w:spacing w:before="0" w:after="220" w:line="264" w:lineRule="auto"/>
      <w:jc w:val="both"/>
      <w:outlineLvl w:val="1"/>
    </w:pPr>
    <w:rPr>
      <w:rFonts w:ascii="Verdana" w:eastAsia="Verdana" w:hAnsi="Verdana"/>
      <w:b/>
      <w:sz w:val="18"/>
      <w:szCs w:val="18"/>
    </w:rPr>
  </w:style>
  <w:style w:type="paragraph" w:customStyle="1" w:styleId="Levela">
    <w:name w:val="Level (a)"/>
    <w:basedOn w:val="Normal"/>
    <w:next w:val="Normal"/>
    <w:uiPriority w:val="6"/>
    <w:rsid w:val="00254148"/>
    <w:pPr>
      <w:tabs>
        <w:tab w:val="num" w:pos="1406"/>
      </w:tabs>
      <w:spacing w:before="0" w:after="220" w:line="264" w:lineRule="auto"/>
      <w:ind w:left="1406" w:hanging="624"/>
      <w:jc w:val="both"/>
      <w:outlineLvl w:val="2"/>
    </w:pPr>
    <w:rPr>
      <w:rFonts w:ascii="Verdana" w:eastAsia="Verdana" w:hAnsi="Verdana"/>
      <w:sz w:val="18"/>
      <w:szCs w:val="18"/>
    </w:rPr>
  </w:style>
  <w:style w:type="paragraph" w:customStyle="1" w:styleId="Leveli">
    <w:name w:val="Level (i)"/>
    <w:basedOn w:val="Normal"/>
    <w:next w:val="Normal"/>
    <w:uiPriority w:val="6"/>
    <w:rsid w:val="00254148"/>
    <w:pPr>
      <w:tabs>
        <w:tab w:val="num" w:pos="360"/>
      </w:tabs>
      <w:spacing w:before="0" w:after="220" w:line="264" w:lineRule="auto"/>
      <w:jc w:val="both"/>
      <w:outlineLvl w:val="3"/>
    </w:pPr>
    <w:rPr>
      <w:rFonts w:ascii="Verdana" w:eastAsia="Verdana" w:hAnsi="Verdana"/>
      <w:sz w:val="18"/>
      <w:szCs w:val="18"/>
    </w:rPr>
  </w:style>
  <w:style w:type="paragraph" w:customStyle="1" w:styleId="LevelA0">
    <w:name w:val="Level(A)"/>
    <w:basedOn w:val="Normal"/>
    <w:next w:val="Normal"/>
    <w:uiPriority w:val="6"/>
    <w:rsid w:val="00254148"/>
    <w:pPr>
      <w:tabs>
        <w:tab w:val="num" w:pos="360"/>
      </w:tabs>
      <w:spacing w:before="0" w:after="220" w:line="264" w:lineRule="auto"/>
      <w:jc w:val="both"/>
      <w:outlineLvl w:val="4"/>
    </w:pPr>
    <w:rPr>
      <w:rFonts w:ascii="Verdana" w:eastAsia="Verdana" w:hAnsi="Verdana"/>
      <w:sz w:val="18"/>
      <w:szCs w:val="18"/>
    </w:rPr>
  </w:style>
  <w:style w:type="paragraph" w:customStyle="1" w:styleId="Levelaa">
    <w:name w:val="Level(aa)"/>
    <w:basedOn w:val="Normal"/>
    <w:next w:val="Normal"/>
    <w:uiPriority w:val="6"/>
    <w:rsid w:val="00254148"/>
    <w:pPr>
      <w:tabs>
        <w:tab w:val="num" w:pos="360"/>
      </w:tabs>
      <w:spacing w:before="0" w:after="220" w:line="264" w:lineRule="auto"/>
      <w:jc w:val="both"/>
      <w:outlineLvl w:val="5"/>
    </w:pPr>
    <w:rPr>
      <w:rFonts w:ascii="Verdana" w:eastAsia="Verdana" w:hAnsi="Verdana"/>
      <w:sz w:val="18"/>
      <w:szCs w:val="18"/>
    </w:rPr>
  </w:style>
  <w:style w:type="paragraph" w:customStyle="1" w:styleId="Levelalower">
    <w:name w:val="Level (a) lower"/>
    <w:basedOn w:val="Normal"/>
    <w:next w:val="Normal"/>
    <w:uiPriority w:val="7"/>
    <w:rsid w:val="00254148"/>
    <w:pPr>
      <w:tabs>
        <w:tab w:val="num" w:pos="360"/>
      </w:tabs>
      <w:spacing w:before="0" w:after="220" w:line="264" w:lineRule="auto"/>
      <w:jc w:val="both"/>
    </w:pPr>
    <w:rPr>
      <w:rFonts w:ascii="Verdana" w:eastAsia="Verdana" w:hAnsi="Verdana"/>
      <w:sz w:val="18"/>
      <w:szCs w:val="18"/>
    </w:rPr>
  </w:style>
  <w:style w:type="paragraph" w:customStyle="1" w:styleId="Levelilower">
    <w:name w:val="Level (i) lower"/>
    <w:basedOn w:val="Normal"/>
    <w:next w:val="Normal"/>
    <w:uiPriority w:val="8"/>
    <w:rsid w:val="00254148"/>
    <w:pPr>
      <w:tabs>
        <w:tab w:val="num" w:pos="360"/>
      </w:tabs>
      <w:spacing w:before="0" w:after="220" w:line="264" w:lineRule="auto"/>
      <w:jc w:val="both"/>
    </w:pPr>
    <w:rPr>
      <w:rFonts w:ascii="Verdana" w:eastAsia="Verdana" w:hAnsi="Verdana"/>
      <w:sz w:val="18"/>
      <w:szCs w:val="18"/>
    </w:rPr>
  </w:style>
  <w:style w:type="paragraph" w:customStyle="1" w:styleId="NumberLevel1">
    <w:name w:val="Number Level 1"/>
    <w:aliases w:val="N1"/>
    <w:basedOn w:val="Normal"/>
    <w:uiPriority w:val="1"/>
    <w:qFormat/>
    <w:rsid w:val="00F04AA5"/>
    <w:pPr>
      <w:tabs>
        <w:tab w:val="num" w:pos="709"/>
      </w:tabs>
      <w:spacing w:before="140" w:after="140" w:line="280" w:lineRule="atLeast"/>
      <w:ind w:hanging="709"/>
    </w:pPr>
    <w:rPr>
      <w:rFonts w:cs="Arial"/>
      <w:sz w:val="21"/>
      <w:szCs w:val="22"/>
      <w:lang w:eastAsia="en-AU"/>
    </w:rPr>
  </w:style>
  <w:style w:type="paragraph" w:customStyle="1" w:styleId="NumberLevel2">
    <w:name w:val="Number Level 2"/>
    <w:aliases w:val="N2"/>
    <w:basedOn w:val="Normal"/>
    <w:uiPriority w:val="1"/>
    <w:qFormat/>
    <w:rsid w:val="00F04AA5"/>
    <w:pPr>
      <w:tabs>
        <w:tab w:val="num" w:pos="1418"/>
      </w:tabs>
      <w:spacing w:before="140" w:after="140" w:line="280" w:lineRule="atLeast"/>
      <w:ind w:left="709" w:hanging="709"/>
    </w:pPr>
    <w:rPr>
      <w:rFonts w:cs="Arial"/>
      <w:b/>
      <w:szCs w:val="22"/>
      <w:lang w:eastAsia="en-AU"/>
    </w:rPr>
  </w:style>
  <w:style w:type="paragraph" w:customStyle="1" w:styleId="NumberLevel3">
    <w:name w:val="Number Level 3"/>
    <w:aliases w:val="N3"/>
    <w:basedOn w:val="Normal"/>
    <w:uiPriority w:val="1"/>
    <w:qFormat/>
    <w:rsid w:val="00F04AA5"/>
    <w:pPr>
      <w:tabs>
        <w:tab w:val="num" w:pos="709"/>
      </w:tabs>
      <w:spacing w:before="140" w:after="140" w:line="280" w:lineRule="atLeast"/>
      <w:ind w:hanging="709"/>
    </w:pPr>
    <w:rPr>
      <w:rFonts w:cs="Arial"/>
      <w:szCs w:val="22"/>
      <w:lang w:eastAsia="en-AU"/>
    </w:rPr>
  </w:style>
  <w:style w:type="paragraph" w:customStyle="1" w:styleId="NumberLevel4">
    <w:name w:val="Number Level 4"/>
    <w:aliases w:val="N4"/>
    <w:basedOn w:val="Normal"/>
    <w:uiPriority w:val="1"/>
    <w:qFormat/>
    <w:rsid w:val="00F04AA5"/>
    <w:pPr>
      <w:tabs>
        <w:tab w:val="num" w:pos="993"/>
      </w:tabs>
      <w:spacing w:before="0" w:after="60" w:line="280" w:lineRule="atLeast"/>
      <w:ind w:left="709" w:hanging="425"/>
    </w:pPr>
    <w:rPr>
      <w:rFonts w:cs="Arial"/>
      <w:sz w:val="20"/>
      <w:szCs w:val="22"/>
      <w:lang w:eastAsia="en-AU"/>
    </w:rPr>
  </w:style>
  <w:style w:type="character" w:styleId="UnresolvedMention">
    <w:name w:val="Unresolved Mention"/>
    <w:basedOn w:val="DefaultParagraphFont"/>
    <w:uiPriority w:val="99"/>
    <w:semiHidden/>
    <w:unhideWhenUsed/>
    <w:rsid w:val="003E7FEF"/>
    <w:rPr>
      <w:color w:val="605E5C"/>
      <w:shd w:val="clear" w:color="auto" w:fill="E1DFDD"/>
    </w:rPr>
  </w:style>
  <w:style w:type="paragraph" w:customStyle="1" w:styleId="Clause">
    <w:name w:val="Clause"/>
    <w:basedOn w:val="Normal"/>
    <w:autoRedefine/>
    <w:qFormat/>
    <w:rsid w:val="008843AF"/>
    <w:pPr>
      <w:numPr>
        <w:ilvl w:val="1"/>
        <w:numId w:val="26"/>
      </w:numPr>
      <w:spacing w:before="220" w:after="220"/>
      <w:ind w:hanging="792"/>
    </w:pPr>
    <w:rPr>
      <w:rFonts w:asciiTheme="minorHAnsi" w:hAnsiTheme="minorHAnsi"/>
      <w:szCs w:val="22"/>
      <w:lang w:eastAsia="en-AU"/>
    </w:rPr>
  </w:style>
  <w:style w:type="paragraph" w:styleId="CommentSubject">
    <w:name w:val="annotation subject"/>
    <w:basedOn w:val="CommentText"/>
    <w:next w:val="CommentText"/>
    <w:link w:val="CommentSubjectChar"/>
    <w:semiHidden/>
    <w:unhideWhenUsed/>
    <w:rsid w:val="00025D3C"/>
    <w:pPr>
      <w:spacing w:before="120" w:line="240" w:lineRule="auto"/>
    </w:pPr>
    <w:rPr>
      <w:rFonts w:ascii="Arial" w:eastAsia="Times New Roman" w:hAnsi="Arial" w:cs="Times New Roman"/>
      <w:b/>
      <w:bCs/>
      <w:sz w:val="20"/>
    </w:rPr>
  </w:style>
  <w:style w:type="character" w:customStyle="1" w:styleId="CommentSubjectChar">
    <w:name w:val="Comment Subject Char"/>
    <w:basedOn w:val="CommentTextChar"/>
    <w:link w:val="CommentSubject"/>
    <w:semiHidden/>
    <w:rsid w:val="00025D3C"/>
    <w:rPr>
      <w:rFonts w:ascii="Arial" w:eastAsiaTheme="minorHAnsi" w:hAnsi="Arial" w:cstheme="minorBidi"/>
      <w:b/>
      <w:bCs/>
      <w:sz w:val="14"/>
      <w:lang w:eastAsia="en-US"/>
    </w:rPr>
  </w:style>
  <w:style w:type="numbering" w:customStyle="1" w:styleId="CurrentList1">
    <w:name w:val="Current List1"/>
    <w:uiPriority w:val="99"/>
    <w:rsid w:val="0091502F"/>
    <w:pPr>
      <w:numPr>
        <w:numId w:val="29"/>
      </w:numPr>
    </w:pPr>
  </w:style>
  <w:style w:type="paragraph" w:customStyle="1" w:styleId="subsection">
    <w:name w:val="subsection"/>
    <w:basedOn w:val="Normal"/>
    <w:rsid w:val="002B34C2"/>
    <w:pPr>
      <w:spacing w:before="100" w:beforeAutospacing="1" w:after="100" w:afterAutospacing="1"/>
    </w:pPr>
    <w:rPr>
      <w:rFonts w:ascii="Times New Roman" w:hAnsi="Times New Roman"/>
      <w:sz w:val="24"/>
      <w:lang w:eastAsia="en-AU"/>
    </w:rPr>
  </w:style>
  <w:style w:type="paragraph" w:customStyle="1" w:styleId="paragraph">
    <w:name w:val="paragraph"/>
    <w:basedOn w:val="Normal"/>
    <w:rsid w:val="002B34C2"/>
    <w:pPr>
      <w:spacing w:before="100" w:beforeAutospacing="1" w:after="100" w:afterAutospacing="1"/>
    </w:pPr>
    <w:rPr>
      <w:rFonts w:ascii="Times New Roman" w:hAnsi="Times New Roman"/>
      <w:sz w:val="24"/>
      <w:lang w:eastAsia="en-AU"/>
    </w:rPr>
  </w:style>
  <w:style w:type="paragraph" w:styleId="ListNumber2">
    <w:name w:val="List Number 2"/>
    <w:basedOn w:val="ListBullet"/>
    <w:qFormat/>
    <w:rsid w:val="00431D62"/>
    <w:pPr>
      <w:numPr>
        <w:numId w:val="31"/>
      </w:numPr>
      <w:tabs>
        <w:tab w:val="left" w:pos="340"/>
        <w:tab w:val="left" w:pos="680"/>
      </w:tabs>
      <w:spacing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43">
      <w:bodyDiv w:val="1"/>
      <w:marLeft w:val="0"/>
      <w:marRight w:val="0"/>
      <w:marTop w:val="0"/>
      <w:marBottom w:val="0"/>
      <w:divBdr>
        <w:top w:val="none" w:sz="0" w:space="0" w:color="auto"/>
        <w:left w:val="none" w:sz="0" w:space="0" w:color="auto"/>
        <w:bottom w:val="none" w:sz="0" w:space="0" w:color="auto"/>
        <w:right w:val="none" w:sz="0" w:space="0" w:color="auto"/>
      </w:divBdr>
      <w:divsChild>
        <w:div w:id="81950054">
          <w:marLeft w:val="360"/>
          <w:marRight w:val="0"/>
          <w:marTop w:val="0"/>
          <w:marBottom w:val="0"/>
          <w:divBdr>
            <w:top w:val="none" w:sz="0" w:space="0" w:color="auto"/>
            <w:left w:val="none" w:sz="0" w:space="0" w:color="auto"/>
            <w:bottom w:val="none" w:sz="0" w:space="0" w:color="auto"/>
            <w:right w:val="none" w:sz="0" w:space="0" w:color="auto"/>
          </w:divBdr>
        </w:div>
        <w:div w:id="1789926884">
          <w:marLeft w:val="360"/>
          <w:marRight w:val="0"/>
          <w:marTop w:val="0"/>
          <w:marBottom w:val="0"/>
          <w:divBdr>
            <w:top w:val="none" w:sz="0" w:space="0" w:color="auto"/>
            <w:left w:val="none" w:sz="0" w:space="0" w:color="auto"/>
            <w:bottom w:val="none" w:sz="0" w:space="0" w:color="auto"/>
            <w:right w:val="none" w:sz="0" w:space="0" w:color="auto"/>
          </w:divBdr>
        </w:div>
        <w:div w:id="2134710096">
          <w:marLeft w:val="360"/>
          <w:marRight w:val="0"/>
          <w:marTop w:val="0"/>
          <w:marBottom w:val="0"/>
          <w:divBdr>
            <w:top w:val="none" w:sz="0" w:space="0" w:color="auto"/>
            <w:left w:val="none" w:sz="0" w:space="0" w:color="auto"/>
            <w:bottom w:val="none" w:sz="0" w:space="0" w:color="auto"/>
            <w:right w:val="none" w:sz="0" w:space="0" w:color="auto"/>
          </w:divBdr>
        </w:div>
      </w:divsChild>
    </w:div>
    <w:div w:id="20009407">
      <w:bodyDiv w:val="1"/>
      <w:marLeft w:val="0"/>
      <w:marRight w:val="0"/>
      <w:marTop w:val="0"/>
      <w:marBottom w:val="0"/>
      <w:divBdr>
        <w:top w:val="none" w:sz="0" w:space="0" w:color="auto"/>
        <w:left w:val="none" w:sz="0" w:space="0" w:color="auto"/>
        <w:bottom w:val="none" w:sz="0" w:space="0" w:color="auto"/>
        <w:right w:val="none" w:sz="0" w:space="0" w:color="auto"/>
      </w:divBdr>
      <w:divsChild>
        <w:div w:id="420755613">
          <w:marLeft w:val="0"/>
          <w:marRight w:val="0"/>
          <w:marTop w:val="0"/>
          <w:marBottom w:val="0"/>
          <w:divBdr>
            <w:top w:val="none" w:sz="0" w:space="0" w:color="auto"/>
            <w:left w:val="none" w:sz="0" w:space="0" w:color="auto"/>
            <w:bottom w:val="none" w:sz="0" w:space="0" w:color="auto"/>
            <w:right w:val="none" w:sz="0" w:space="0" w:color="auto"/>
          </w:divBdr>
          <w:divsChild>
            <w:div w:id="1824203025">
              <w:marLeft w:val="0"/>
              <w:marRight w:val="0"/>
              <w:marTop w:val="0"/>
              <w:marBottom w:val="0"/>
              <w:divBdr>
                <w:top w:val="none" w:sz="0" w:space="0" w:color="auto"/>
                <w:left w:val="none" w:sz="0" w:space="0" w:color="auto"/>
                <w:bottom w:val="none" w:sz="0" w:space="0" w:color="auto"/>
                <w:right w:val="none" w:sz="0" w:space="0" w:color="auto"/>
              </w:divBdr>
              <w:divsChild>
                <w:div w:id="178548256">
                  <w:marLeft w:val="0"/>
                  <w:marRight w:val="0"/>
                  <w:marTop w:val="0"/>
                  <w:marBottom w:val="0"/>
                  <w:divBdr>
                    <w:top w:val="none" w:sz="0" w:space="0" w:color="auto"/>
                    <w:left w:val="none" w:sz="0" w:space="0" w:color="auto"/>
                    <w:bottom w:val="none" w:sz="0" w:space="0" w:color="auto"/>
                    <w:right w:val="none" w:sz="0" w:space="0" w:color="auto"/>
                  </w:divBdr>
                  <w:divsChild>
                    <w:div w:id="933509771">
                      <w:marLeft w:val="0"/>
                      <w:marRight w:val="0"/>
                      <w:marTop w:val="0"/>
                      <w:marBottom w:val="0"/>
                      <w:divBdr>
                        <w:top w:val="none" w:sz="0" w:space="0" w:color="auto"/>
                        <w:left w:val="none" w:sz="0" w:space="0" w:color="auto"/>
                        <w:bottom w:val="none" w:sz="0" w:space="0" w:color="auto"/>
                        <w:right w:val="none" w:sz="0" w:space="0" w:color="auto"/>
                      </w:divBdr>
                      <w:divsChild>
                        <w:div w:id="1670136695">
                          <w:marLeft w:val="0"/>
                          <w:marRight w:val="0"/>
                          <w:marTop w:val="0"/>
                          <w:marBottom w:val="0"/>
                          <w:divBdr>
                            <w:top w:val="none" w:sz="0" w:space="0" w:color="auto"/>
                            <w:left w:val="none" w:sz="0" w:space="0" w:color="auto"/>
                            <w:bottom w:val="none" w:sz="0" w:space="0" w:color="auto"/>
                            <w:right w:val="none" w:sz="0" w:space="0" w:color="auto"/>
                          </w:divBdr>
                          <w:divsChild>
                            <w:div w:id="1106075057">
                              <w:marLeft w:val="0"/>
                              <w:marRight w:val="0"/>
                              <w:marTop w:val="270"/>
                              <w:marBottom w:val="0"/>
                              <w:divBdr>
                                <w:top w:val="none" w:sz="0" w:space="0" w:color="auto"/>
                                <w:left w:val="none" w:sz="0" w:space="0" w:color="auto"/>
                                <w:bottom w:val="none" w:sz="0" w:space="0" w:color="auto"/>
                                <w:right w:val="none" w:sz="0" w:space="0" w:color="auto"/>
                              </w:divBdr>
                              <w:divsChild>
                                <w:div w:id="1386686055">
                                  <w:marLeft w:val="0"/>
                                  <w:marRight w:val="0"/>
                                  <w:marTop w:val="0"/>
                                  <w:marBottom w:val="0"/>
                                  <w:divBdr>
                                    <w:top w:val="none" w:sz="0" w:space="0" w:color="auto"/>
                                    <w:left w:val="none" w:sz="0" w:space="0" w:color="auto"/>
                                    <w:bottom w:val="none" w:sz="0" w:space="0" w:color="auto"/>
                                    <w:right w:val="none" w:sz="0" w:space="0" w:color="auto"/>
                                  </w:divBdr>
                                  <w:divsChild>
                                    <w:div w:id="76087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45866">
      <w:bodyDiv w:val="1"/>
      <w:marLeft w:val="0"/>
      <w:marRight w:val="0"/>
      <w:marTop w:val="0"/>
      <w:marBottom w:val="0"/>
      <w:divBdr>
        <w:top w:val="none" w:sz="0" w:space="0" w:color="auto"/>
        <w:left w:val="none" w:sz="0" w:space="0" w:color="auto"/>
        <w:bottom w:val="none" w:sz="0" w:space="0" w:color="auto"/>
        <w:right w:val="none" w:sz="0" w:space="0" w:color="auto"/>
      </w:divBdr>
    </w:div>
    <w:div w:id="233324351">
      <w:bodyDiv w:val="1"/>
      <w:marLeft w:val="0"/>
      <w:marRight w:val="0"/>
      <w:marTop w:val="0"/>
      <w:marBottom w:val="0"/>
      <w:divBdr>
        <w:top w:val="none" w:sz="0" w:space="0" w:color="auto"/>
        <w:left w:val="none" w:sz="0" w:space="0" w:color="auto"/>
        <w:bottom w:val="none" w:sz="0" w:space="0" w:color="auto"/>
        <w:right w:val="none" w:sz="0" w:space="0" w:color="auto"/>
      </w:divBdr>
    </w:div>
    <w:div w:id="311251014">
      <w:bodyDiv w:val="1"/>
      <w:marLeft w:val="0"/>
      <w:marRight w:val="0"/>
      <w:marTop w:val="0"/>
      <w:marBottom w:val="0"/>
      <w:divBdr>
        <w:top w:val="none" w:sz="0" w:space="0" w:color="auto"/>
        <w:left w:val="none" w:sz="0" w:space="0" w:color="auto"/>
        <w:bottom w:val="none" w:sz="0" w:space="0" w:color="auto"/>
        <w:right w:val="none" w:sz="0" w:space="0" w:color="auto"/>
      </w:divBdr>
      <w:divsChild>
        <w:div w:id="122044791">
          <w:marLeft w:val="0"/>
          <w:marRight w:val="0"/>
          <w:marTop w:val="0"/>
          <w:marBottom w:val="0"/>
          <w:divBdr>
            <w:top w:val="none" w:sz="0" w:space="0" w:color="auto"/>
            <w:left w:val="none" w:sz="0" w:space="0" w:color="auto"/>
            <w:bottom w:val="none" w:sz="0" w:space="0" w:color="auto"/>
            <w:right w:val="none" w:sz="0" w:space="0" w:color="auto"/>
          </w:divBdr>
          <w:divsChild>
            <w:div w:id="684746376">
              <w:marLeft w:val="0"/>
              <w:marRight w:val="0"/>
              <w:marTop w:val="0"/>
              <w:marBottom w:val="0"/>
              <w:divBdr>
                <w:top w:val="none" w:sz="0" w:space="0" w:color="auto"/>
                <w:left w:val="none" w:sz="0" w:space="0" w:color="auto"/>
                <w:bottom w:val="none" w:sz="0" w:space="0" w:color="auto"/>
                <w:right w:val="none" w:sz="0" w:space="0" w:color="auto"/>
              </w:divBdr>
              <w:divsChild>
                <w:div w:id="412090659">
                  <w:marLeft w:val="0"/>
                  <w:marRight w:val="0"/>
                  <w:marTop w:val="0"/>
                  <w:marBottom w:val="0"/>
                  <w:divBdr>
                    <w:top w:val="none" w:sz="0" w:space="0" w:color="auto"/>
                    <w:left w:val="none" w:sz="0" w:space="0" w:color="auto"/>
                    <w:bottom w:val="none" w:sz="0" w:space="0" w:color="auto"/>
                    <w:right w:val="none" w:sz="0" w:space="0" w:color="auto"/>
                  </w:divBdr>
                  <w:divsChild>
                    <w:div w:id="1149133374">
                      <w:marLeft w:val="0"/>
                      <w:marRight w:val="0"/>
                      <w:marTop w:val="0"/>
                      <w:marBottom w:val="0"/>
                      <w:divBdr>
                        <w:top w:val="none" w:sz="0" w:space="0" w:color="auto"/>
                        <w:left w:val="none" w:sz="0" w:space="0" w:color="auto"/>
                        <w:bottom w:val="none" w:sz="0" w:space="0" w:color="auto"/>
                        <w:right w:val="none" w:sz="0" w:space="0" w:color="auto"/>
                      </w:divBdr>
                      <w:divsChild>
                        <w:div w:id="1276987178">
                          <w:marLeft w:val="0"/>
                          <w:marRight w:val="0"/>
                          <w:marTop w:val="0"/>
                          <w:marBottom w:val="0"/>
                          <w:divBdr>
                            <w:top w:val="none" w:sz="0" w:space="0" w:color="auto"/>
                            <w:left w:val="none" w:sz="0" w:space="0" w:color="auto"/>
                            <w:bottom w:val="none" w:sz="0" w:space="0" w:color="auto"/>
                            <w:right w:val="none" w:sz="0" w:space="0" w:color="auto"/>
                          </w:divBdr>
                          <w:divsChild>
                            <w:div w:id="1608464707">
                              <w:marLeft w:val="0"/>
                              <w:marRight w:val="0"/>
                              <w:marTop w:val="0"/>
                              <w:marBottom w:val="0"/>
                              <w:divBdr>
                                <w:top w:val="none" w:sz="0" w:space="0" w:color="auto"/>
                                <w:left w:val="none" w:sz="0" w:space="0" w:color="auto"/>
                                <w:bottom w:val="none" w:sz="0" w:space="0" w:color="auto"/>
                                <w:right w:val="none" w:sz="0" w:space="0" w:color="auto"/>
                              </w:divBdr>
                              <w:divsChild>
                                <w:div w:id="839539958">
                                  <w:marLeft w:val="0"/>
                                  <w:marRight w:val="0"/>
                                  <w:marTop w:val="0"/>
                                  <w:marBottom w:val="0"/>
                                  <w:divBdr>
                                    <w:top w:val="none" w:sz="0" w:space="0" w:color="auto"/>
                                    <w:left w:val="none" w:sz="0" w:space="0" w:color="auto"/>
                                    <w:bottom w:val="none" w:sz="0" w:space="0" w:color="auto"/>
                                    <w:right w:val="none" w:sz="0" w:space="0" w:color="auto"/>
                                  </w:divBdr>
                                  <w:divsChild>
                                    <w:div w:id="143546068">
                                      <w:marLeft w:val="0"/>
                                      <w:marRight w:val="0"/>
                                      <w:marTop w:val="0"/>
                                      <w:marBottom w:val="0"/>
                                      <w:divBdr>
                                        <w:top w:val="none" w:sz="0" w:space="0" w:color="auto"/>
                                        <w:left w:val="none" w:sz="0" w:space="0" w:color="auto"/>
                                        <w:bottom w:val="none" w:sz="0" w:space="0" w:color="auto"/>
                                        <w:right w:val="none" w:sz="0" w:space="0" w:color="auto"/>
                                      </w:divBdr>
                                      <w:divsChild>
                                        <w:div w:id="658195134">
                                          <w:marLeft w:val="0"/>
                                          <w:marRight w:val="0"/>
                                          <w:marTop w:val="0"/>
                                          <w:marBottom w:val="0"/>
                                          <w:divBdr>
                                            <w:top w:val="none" w:sz="0" w:space="0" w:color="auto"/>
                                            <w:left w:val="none" w:sz="0" w:space="0" w:color="auto"/>
                                            <w:bottom w:val="none" w:sz="0" w:space="0" w:color="auto"/>
                                            <w:right w:val="none" w:sz="0" w:space="0" w:color="auto"/>
                                          </w:divBdr>
                                          <w:divsChild>
                                            <w:div w:id="1058700841">
                                              <w:marLeft w:val="0"/>
                                              <w:marRight w:val="0"/>
                                              <w:marTop w:val="0"/>
                                              <w:marBottom w:val="0"/>
                                              <w:divBdr>
                                                <w:top w:val="none" w:sz="0" w:space="0" w:color="auto"/>
                                                <w:left w:val="none" w:sz="0" w:space="0" w:color="auto"/>
                                                <w:bottom w:val="none" w:sz="0" w:space="0" w:color="auto"/>
                                                <w:right w:val="none" w:sz="0" w:space="0" w:color="auto"/>
                                              </w:divBdr>
                                              <w:divsChild>
                                                <w:div w:id="692922035">
                                                  <w:marLeft w:val="0"/>
                                                  <w:marRight w:val="0"/>
                                                  <w:marTop w:val="0"/>
                                                  <w:marBottom w:val="0"/>
                                                  <w:divBdr>
                                                    <w:top w:val="none" w:sz="0" w:space="0" w:color="auto"/>
                                                    <w:left w:val="none" w:sz="0" w:space="0" w:color="auto"/>
                                                    <w:bottom w:val="none" w:sz="0" w:space="0" w:color="auto"/>
                                                    <w:right w:val="none" w:sz="0" w:space="0" w:color="auto"/>
                                                  </w:divBdr>
                                                  <w:divsChild>
                                                    <w:div w:id="805701754">
                                                      <w:marLeft w:val="0"/>
                                                      <w:marRight w:val="0"/>
                                                      <w:marTop w:val="0"/>
                                                      <w:marBottom w:val="0"/>
                                                      <w:divBdr>
                                                        <w:top w:val="none" w:sz="0" w:space="0" w:color="auto"/>
                                                        <w:left w:val="none" w:sz="0" w:space="0" w:color="auto"/>
                                                        <w:bottom w:val="none" w:sz="0" w:space="0" w:color="auto"/>
                                                        <w:right w:val="none" w:sz="0" w:space="0" w:color="auto"/>
                                                      </w:divBdr>
                                                      <w:divsChild>
                                                        <w:div w:id="11611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394661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0683445">
      <w:bodyDiv w:val="1"/>
      <w:marLeft w:val="0"/>
      <w:marRight w:val="0"/>
      <w:marTop w:val="0"/>
      <w:marBottom w:val="0"/>
      <w:divBdr>
        <w:top w:val="none" w:sz="0" w:space="0" w:color="auto"/>
        <w:left w:val="none" w:sz="0" w:space="0" w:color="auto"/>
        <w:bottom w:val="none" w:sz="0" w:space="0" w:color="auto"/>
        <w:right w:val="none" w:sz="0" w:space="0" w:color="auto"/>
      </w:divBdr>
    </w:div>
    <w:div w:id="492262996">
      <w:bodyDiv w:val="1"/>
      <w:marLeft w:val="0"/>
      <w:marRight w:val="0"/>
      <w:marTop w:val="0"/>
      <w:marBottom w:val="0"/>
      <w:divBdr>
        <w:top w:val="none" w:sz="0" w:space="0" w:color="auto"/>
        <w:left w:val="none" w:sz="0" w:space="0" w:color="auto"/>
        <w:bottom w:val="none" w:sz="0" w:space="0" w:color="auto"/>
        <w:right w:val="none" w:sz="0" w:space="0" w:color="auto"/>
      </w:divBdr>
    </w:div>
    <w:div w:id="58754041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3989159">
      <w:bodyDiv w:val="1"/>
      <w:marLeft w:val="0"/>
      <w:marRight w:val="0"/>
      <w:marTop w:val="0"/>
      <w:marBottom w:val="0"/>
      <w:divBdr>
        <w:top w:val="none" w:sz="0" w:space="0" w:color="auto"/>
        <w:left w:val="none" w:sz="0" w:space="0" w:color="auto"/>
        <w:bottom w:val="none" w:sz="0" w:space="0" w:color="auto"/>
        <w:right w:val="none" w:sz="0" w:space="0" w:color="auto"/>
      </w:divBdr>
      <w:divsChild>
        <w:div w:id="628783217">
          <w:marLeft w:val="0"/>
          <w:marRight w:val="0"/>
          <w:marTop w:val="0"/>
          <w:marBottom w:val="0"/>
          <w:divBdr>
            <w:top w:val="none" w:sz="0" w:space="0" w:color="auto"/>
            <w:left w:val="none" w:sz="0" w:space="0" w:color="auto"/>
            <w:bottom w:val="none" w:sz="0" w:space="0" w:color="auto"/>
            <w:right w:val="none" w:sz="0" w:space="0" w:color="auto"/>
          </w:divBdr>
          <w:divsChild>
            <w:div w:id="1591354405">
              <w:marLeft w:val="0"/>
              <w:marRight w:val="0"/>
              <w:marTop w:val="0"/>
              <w:marBottom w:val="0"/>
              <w:divBdr>
                <w:top w:val="none" w:sz="0" w:space="0" w:color="auto"/>
                <w:left w:val="none" w:sz="0" w:space="0" w:color="auto"/>
                <w:bottom w:val="none" w:sz="0" w:space="0" w:color="auto"/>
                <w:right w:val="none" w:sz="0" w:space="0" w:color="auto"/>
              </w:divBdr>
              <w:divsChild>
                <w:div w:id="323363104">
                  <w:marLeft w:val="0"/>
                  <w:marRight w:val="0"/>
                  <w:marTop w:val="0"/>
                  <w:marBottom w:val="0"/>
                  <w:divBdr>
                    <w:top w:val="none" w:sz="0" w:space="0" w:color="auto"/>
                    <w:left w:val="none" w:sz="0" w:space="0" w:color="auto"/>
                    <w:bottom w:val="none" w:sz="0" w:space="0" w:color="auto"/>
                    <w:right w:val="none" w:sz="0" w:space="0" w:color="auto"/>
                  </w:divBdr>
                  <w:divsChild>
                    <w:div w:id="115956733">
                      <w:marLeft w:val="0"/>
                      <w:marRight w:val="0"/>
                      <w:marTop w:val="0"/>
                      <w:marBottom w:val="0"/>
                      <w:divBdr>
                        <w:top w:val="none" w:sz="0" w:space="0" w:color="auto"/>
                        <w:left w:val="none" w:sz="0" w:space="0" w:color="auto"/>
                        <w:bottom w:val="none" w:sz="0" w:space="0" w:color="auto"/>
                        <w:right w:val="none" w:sz="0" w:space="0" w:color="auto"/>
                      </w:divBdr>
                      <w:divsChild>
                        <w:div w:id="81337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10209">
      <w:bodyDiv w:val="1"/>
      <w:marLeft w:val="0"/>
      <w:marRight w:val="0"/>
      <w:marTop w:val="0"/>
      <w:marBottom w:val="0"/>
      <w:divBdr>
        <w:top w:val="none" w:sz="0" w:space="0" w:color="auto"/>
        <w:left w:val="none" w:sz="0" w:space="0" w:color="auto"/>
        <w:bottom w:val="none" w:sz="0" w:space="0" w:color="auto"/>
        <w:right w:val="none" w:sz="0" w:space="0" w:color="auto"/>
      </w:divBdr>
      <w:divsChild>
        <w:div w:id="1238250454">
          <w:marLeft w:val="0"/>
          <w:marRight w:val="0"/>
          <w:marTop w:val="0"/>
          <w:marBottom w:val="0"/>
          <w:divBdr>
            <w:top w:val="none" w:sz="0" w:space="0" w:color="auto"/>
            <w:left w:val="none" w:sz="0" w:space="0" w:color="auto"/>
            <w:bottom w:val="none" w:sz="0" w:space="0" w:color="auto"/>
            <w:right w:val="none" w:sz="0" w:space="0" w:color="auto"/>
          </w:divBdr>
          <w:divsChild>
            <w:div w:id="822308854">
              <w:marLeft w:val="0"/>
              <w:marRight w:val="0"/>
              <w:marTop w:val="0"/>
              <w:marBottom w:val="0"/>
              <w:divBdr>
                <w:top w:val="none" w:sz="0" w:space="0" w:color="auto"/>
                <w:left w:val="none" w:sz="0" w:space="0" w:color="auto"/>
                <w:bottom w:val="none" w:sz="0" w:space="0" w:color="auto"/>
                <w:right w:val="none" w:sz="0" w:space="0" w:color="auto"/>
              </w:divBdr>
              <w:divsChild>
                <w:div w:id="1224562105">
                  <w:marLeft w:val="0"/>
                  <w:marRight w:val="0"/>
                  <w:marTop w:val="0"/>
                  <w:marBottom w:val="0"/>
                  <w:divBdr>
                    <w:top w:val="none" w:sz="0" w:space="0" w:color="auto"/>
                    <w:left w:val="none" w:sz="0" w:space="0" w:color="auto"/>
                    <w:bottom w:val="none" w:sz="0" w:space="0" w:color="auto"/>
                    <w:right w:val="none" w:sz="0" w:space="0" w:color="auto"/>
                  </w:divBdr>
                  <w:divsChild>
                    <w:div w:id="2041542863">
                      <w:marLeft w:val="0"/>
                      <w:marRight w:val="0"/>
                      <w:marTop w:val="0"/>
                      <w:marBottom w:val="0"/>
                      <w:divBdr>
                        <w:top w:val="none" w:sz="0" w:space="0" w:color="auto"/>
                        <w:left w:val="none" w:sz="0" w:space="0" w:color="auto"/>
                        <w:bottom w:val="none" w:sz="0" w:space="0" w:color="auto"/>
                        <w:right w:val="none" w:sz="0" w:space="0" w:color="auto"/>
                      </w:divBdr>
                      <w:divsChild>
                        <w:div w:id="1099108456">
                          <w:marLeft w:val="0"/>
                          <w:marRight w:val="0"/>
                          <w:marTop w:val="0"/>
                          <w:marBottom w:val="0"/>
                          <w:divBdr>
                            <w:top w:val="none" w:sz="0" w:space="0" w:color="auto"/>
                            <w:left w:val="none" w:sz="0" w:space="0" w:color="auto"/>
                            <w:bottom w:val="none" w:sz="0" w:space="0" w:color="auto"/>
                            <w:right w:val="none" w:sz="0" w:space="0" w:color="auto"/>
                          </w:divBdr>
                          <w:divsChild>
                            <w:div w:id="1079714703">
                              <w:marLeft w:val="0"/>
                              <w:marRight w:val="0"/>
                              <w:marTop w:val="0"/>
                              <w:marBottom w:val="0"/>
                              <w:divBdr>
                                <w:top w:val="none" w:sz="0" w:space="0" w:color="auto"/>
                                <w:left w:val="none" w:sz="0" w:space="0" w:color="auto"/>
                                <w:bottom w:val="none" w:sz="0" w:space="0" w:color="auto"/>
                                <w:right w:val="none" w:sz="0" w:space="0" w:color="auto"/>
                              </w:divBdr>
                              <w:divsChild>
                                <w:div w:id="1391538828">
                                  <w:marLeft w:val="0"/>
                                  <w:marRight w:val="0"/>
                                  <w:marTop w:val="0"/>
                                  <w:marBottom w:val="0"/>
                                  <w:divBdr>
                                    <w:top w:val="none" w:sz="0" w:space="0" w:color="auto"/>
                                    <w:left w:val="none" w:sz="0" w:space="0" w:color="auto"/>
                                    <w:bottom w:val="none" w:sz="0" w:space="0" w:color="auto"/>
                                    <w:right w:val="none" w:sz="0" w:space="0" w:color="auto"/>
                                  </w:divBdr>
                                  <w:divsChild>
                                    <w:div w:id="964655878">
                                      <w:marLeft w:val="0"/>
                                      <w:marRight w:val="0"/>
                                      <w:marTop w:val="0"/>
                                      <w:marBottom w:val="0"/>
                                      <w:divBdr>
                                        <w:top w:val="none" w:sz="0" w:space="0" w:color="auto"/>
                                        <w:left w:val="none" w:sz="0" w:space="0" w:color="auto"/>
                                        <w:bottom w:val="none" w:sz="0" w:space="0" w:color="auto"/>
                                        <w:right w:val="none" w:sz="0" w:space="0" w:color="auto"/>
                                      </w:divBdr>
                                      <w:divsChild>
                                        <w:div w:id="1874344522">
                                          <w:marLeft w:val="0"/>
                                          <w:marRight w:val="0"/>
                                          <w:marTop w:val="0"/>
                                          <w:marBottom w:val="0"/>
                                          <w:divBdr>
                                            <w:top w:val="none" w:sz="0" w:space="0" w:color="auto"/>
                                            <w:left w:val="none" w:sz="0" w:space="0" w:color="auto"/>
                                            <w:bottom w:val="none" w:sz="0" w:space="0" w:color="auto"/>
                                            <w:right w:val="none" w:sz="0" w:space="0" w:color="auto"/>
                                          </w:divBdr>
                                          <w:divsChild>
                                            <w:div w:id="117647969">
                                              <w:marLeft w:val="0"/>
                                              <w:marRight w:val="0"/>
                                              <w:marTop w:val="0"/>
                                              <w:marBottom w:val="0"/>
                                              <w:divBdr>
                                                <w:top w:val="none" w:sz="0" w:space="0" w:color="auto"/>
                                                <w:left w:val="none" w:sz="0" w:space="0" w:color="auto"/>
                                                <w:bottom w:val="none" w:sz="0" w:space="0" w:color="auto"/>
                                                <w:right w:val="none" w:sz="0" w:space="0" w:color="auto"/>
                                              </w:divBdr>
                                              <w:divsChild>
                                                <w:div w:id="204031134">
                                                  <w:marLeft w:val="0"/>
                                                  <w:marRight w:val="0"/>
                                                  <w:marTop w:val="0"/>
                                                  <w:marBottom w:val="0"/>
                                                  <w:divBdr>
                                                    <w:top w:val="none" w:sz="0" w:space="0" w:color="auto"/>
                                                    <w:left w:val="none" w:sz="0" w:space="0" w:color="auto"/>
                                                    <w:bottom w:val="none" w:sz="0" w:space="0" w:color="auto"/>
                                                    <w:right w:val="none" w:sz="0" w:space="0" w:color="auto"/>
                                                  </w:divBdr>
                                                  <w:divsChild>
                                                    <w:div w:id="1060446691">
                                                      <w:marLeft w:val="0"/>
                                                      <w:marRight w:val="0"/>
                                                      <w:marTop w:val="0"/>
                                                      <w:marBottom w:val="0"/>
                                                      <w:divBdr>
                                                        <w:top w:val="none" w:sz="0" w:space="0" w:color="auto"/>
                                                        <w:left w:val="none" w:sz="0" w:space="0" w:color="auto"/>
                                                        <w:bottom w:val="none" w:sz="0" w:space="0" w:color="auto"/>
                                                        <w:right w:val="none" w:sz="0" w:space="0" w:color="auto"/>
                                                      </w:divBdr>
                                                      <w:divsChild>
                                                        <w:div w:id="20777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3611627">
      <w:bodyDiv w:val="1"/>
      <w:marLeft w:val="0"/>
      <w:marRight w:val="0"/>
      <w:marTop w:val="0"/>
      <w:marBottom w:val="0"/>
      <w:divBdr>
        <w:top w:val="none" w:sz="0" w:space="0" w:color="auto"/>
        <w:left w:val="none" w:sz="0" w:space="0" w:color="auto"/>
        <w:bottom w:val="none" w:sz="0" w:space="0" w:color="auto"/>
        <w:right w:val="none" w:sz="0" w:space="0" w:color="auto"/>
      </w:divBdr>
      <w:divsChild>
        <w:div w:id="720596474">
          <w:marLeft w:val="0"/>
          <w:marRight w:val="0"/>
          <w:marTop w:val="0"/>
          <w:marBottom w:val="0"/>
          <w:divBdr>
            <w:top w:val="none" w:sz="0" w:space="0" w:color="auto"/>
            <w:left w:val="none" w:sz="0" w:space="0" w:color="auto"/>
            <w:bottom w:val="none" w:sz="0" w:space="0" w:color="auto"/>
            <w:right w:val="none" w:sz="0" w:space="0" w:color="auto"/>
          </w:divBdr>
          <w:divsChild>
            <w:div w:id="871307093">
              <w:marLeft w:val="0"/>
              <w:marRight w:val="0"/>
              <w:marTop w:val="0"/>
              <w:marBottom w:val="0"/>
              <w:divBdr>
                <w:top w:val="none" w:sz="0" w:space="0" w:color="auto"/>
                <w:left w:val="none" w:sz="0" w:space="0" w:color="auto"/>
                <w:bottom w:val="none" w:sz="0" w:space="0" w:color="auto"/>
                <w:right w:val="none" w:sz="0" w:space="0" w:color="auto"/>
              </w:divBdr>
              <w:divsChild>
                <w:div w:id="1224295944">
                  <w:marLeft w:val="0"/>
                  <w:marRight w:val="0"/>
                  <w:marTop w:val="0"/>
                  <w:marBottom w:val="0"/>
                  <w:divBdr>
                    <w:top w:val="none" w:sz="0" w:space="0" w:color="auto"/>
                    <w:left w:val="none" w:sz="0" w:space="0" w:color="auto"/>
                    <w:bottom w:val="none" w:sz="0" w:space="0" w:color="auto"/>
                    <w:right w:val="none" w:sz="0" w:space="0" w:color="auto"/>
                  </w:divBdr>
                  <w:divsChild>
                    <w:div w:id="731924897">
                      <w:marLeft w:val="0"/>
                      <w:marRight w:val="0"/>
                      <w:marTop w:val="0"/>
                      <w:marBottom w:val="0"/>
                      <w:divBdr>
                        <w:top w:val="none" w:sz="0" w:space="0" w:color="auto"/>
                        <w:left w:val="none" w:sz="0" w:space="0" w:color="auto"/>
                        <w:bottom w:val="none" w:sz="0" w:space="0" w:color="auto"/>
                        <w:right w:val="none" w:sz="0" w:space="0" w:color="auto"/>
                      </w:divBdr>
                      <w:divsChild>
                        <w:div w:id="4788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530746">
      <w:bodyDiv w:val="1"/>
      <w:marLeft w:val="0"/>
      <w:marRight w:val="0"/>
      <w:marTop w:val="0"/>
      <w:marBottom w:val="0"/>
      <w:divBdr>
        <w:top w:val="none" w:sz="0" w:space="0" w:color="auto"/>
        <w:left w:val="none" w:sz="0" w:space="0" w:color="auto"/>
        <w:bottom w:val="none" w:sz="0" w:space="0" w:color="auto"/>
        <w:right w:val="none" w:sz="0" w:space="0" w:color="auto"/>
      </w:divBdr>
      <w:divsChild>
        <w:div w:id="1764884865">
          <w:marLeft w:val="0"/>
          <w:marRight w:val="0"/>
          <w:marTop w:val="0"/>
          <w:marBottom w:val="0"/>
          <w:divBdr>
            <w:top w:val="none" w:sz="0" w:space="0" w:color="auto"/>
            <w:left w:val="none" w:sz="0" w:space="0" w:color="auto"/>
            <w:bottom w:val="none" w:sz="0" w:space="0" w:color="auto"/>
            <w:right w:val="none" w:sz="0" w:space="0" w:color="auto"/>
          </w:divBdr>
          <w:divsChild>
            <w:div w:id="1338338731">
              <w:marLeft w:val="0"/>
              <w:marRight w:val="0"/>
              <w:marTop w:val="0"/>
              <w:marBottom w:val="0"/>
              <w:divBdr>
                <w:top w:val="none" w:sz="0" w:space="0" w:color="auto"/>
                <w:left w:val="none" w:sz="0" w:space="0" w:color="auto"/>
                <w:bottom w:val="none" w:sz="0" w:space="0" w:color="auto"/>
                <w:right w:val="none" w:sz="0" w:space="0" w:color="auto"/>
              </w:divBdr>
              <w:divsChild>
                <w:div w:id="1096560552">
                  <w:marLeft w:val="0"/>
                  <w:marRight w:val="0"/>
                  <w:marTop w:val="0"/>
                  <w:marBottom w:val="0"/>
                  <w:divBdr>
                    <w:top w:val="none" w:sz="0" w:space="0" w:color="auto"/>
                    <w:left w:val="none" w:sz="0" w:space="0" w:color="auto"/>
                    <w:bottom w:val="none" w:sz="0" w:space="0" w:color="auto"/>
                    <w:right w:val="none" w:sz="0" w:space="0" w:color="auto"/>
                  </w:divBdr>
                  <w:divsChild>
                    <w:div w:id="1995796830">
                      <w:marLeft w:val="0"/>
                      <w:marRight w:val="0"/>
                      <w:marTop w:val="0"/>
                      <w:marBottom w:val="0"/>
                      <w:divBdr>
                        <w:top w:val="none" w:sz="0" w:space="0" w:color="auto"/>
                        <w:left w:val="none" w:sz="0" w:space="0" w:color="auto"/>
                        <w:bottom w:val="none" w:sz="0" w:space="0" w:color="auto"/>
                        <w:right w:val="none" w:sz="0" w:space="0" w:color="auto"/>
                      </w:divBdr>
                      <w:divsChild>
                        <w:div w:id="602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917470">
      <w:bodyDiv w:val="1"/>
      <w:marLeft w:val="0"/>
      <w:marRight w:val="0"/>
      <w:marTop w:val="0"/>
      <w:marBottom w:val="0"/>
      <w:divBdr>
        <w:top w:val="none" w:sz="0" w:space="0" w:color="auto"/>
        <w:left w:val="none" w:sz="0" w:space="0" w:color="auto"/>
        <w:bottom w:val="none" w:sz="0" w:space="0" w:color="auto"/>
        <w:right w:val="none" w:sz="0" w:space="0" w:color="auto"/>
      </w:divBdr>
      <w:divsChild>
        <w:div w:id="2102682566">
          <w:marLeft w:val="0"/>
          <w:marRight w:val="0"/>
          <w:marTop w:val="0"/>
          <w:marBottom w:val="0"/>
          <w:divBdr>
            <w:top w:val="none" w:sz="0" w:space="0" w:color="auto"/>
            <w:left w:val="none" w:sz="0" w:space="0" w:color="auto"/>
            <w:bottom w:val="none" w:sz="0" w:space="0" w:color="auto"/>
            <w:right w:val="none" w:sz="0" w:space="0" w:color="auto"/>
          </w:divBdr>
          <w:divsChild>
            <w:div w:id="71048701">
              <w:marLeft w:val="0"/>
              <w:marRight w:val="0"/>
              <w:marTop w:val="0"/>
              <w:marBottom w:val="0"/>
              <w:divBdr>
                <w:top w:val="none" w:sz="0" w:space="0" w:color="auto"/>
                <w:left w:val="none" w:sz="0" w:space="0" w:color="auto"/>
                <w:bottom w:val="none" w:sz="0" w:space="0" w:color="auto"/>
                <w:right w:val="none" w:sz="0" w:space="0" w:color="auto"/>
              </w:divBdr>
              <w:divsChild>
                <w:div w:id="2067530535">
                  <w:marLeft w:val="0"/>
                  <w:marRight w:val="0"/>
                  <w:marTop w:val="0"/>
                  <w:marBottom w:val="0"/>
                  <w:divBdr>
                    <w:top w:val="none" w:sz="0" w:space="0" w:color="auto"/>
                    <w:left w:val="none" w:sz="0" w:space="0" w:color="auto"/>
                    <w:bottom w:val="none" w:sz="0" w:space="0" w:color="auto"/>
                    <w:right w:val="none" w:sz="0" w:space="0" w:color="auto"/>
                  </w:divBdr>
                  <w:divsChild>
                    <w:div w:id="2005088426">
                      <w:marLeft w:val="0"/>
                      <w:marRight w:val="0"/>
                      <w:marTop w:val="0"/>
                      <w:marBottom w:val="0"/>
                      <w:divBdr>
                        <w:top w:val="none" w:sz="0" w:space="0" w:color="auto"/>
                        <w:left w:val="none" w:sz="0" w:space="0" w:color="auto"/>
                        <w:bottom w:val="none" w:sz="0" w:space="0" w:color="auto"/>
                        <w:right w:val="none" w:sz="0" w:space="0" w:color="auto"/>
                      </w:divBdr>
                      <w:divsChild>
                        <w:div w:id="2295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13311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8236917">
      <w:bodyDiv w:val="1"/>
      <w:marLeft w:val="0"/>
      <w:marRight w:val="0"/>
      <w:marTop w:val="0"/>
      <w:marBottom w:val="0"/>
      <w:divBdr>
        <w:top w:val="none" w:sz="0" w:space="0" w:color="auto"/>
        <w:left w:val="none" w:sz="0" w:space="0" w:color="auto"/>
        <w:bottom w:val="none" w:sz="0" w:space="0" w:color="auto"/>
        <w:right w:val="none" w:sz="0" w:space="0" w:color="auto"/>
      </w:divBdr>
    </w:div>
    <w:div w:id="1599101970">
      <w:bodyDiv w:val="1"/>
      <w:marLeft w:val="0"/>
      <w:marRight w:val="0"/>
      <w:marTop w:val="0"/>
      <w:marBottom w:val="0"/>
      <w:divBdr>
        <w:top w:val="none" w:sz="0" w:space="0" w:color="auto"/>
        <w:left w:val="none" w:sz="0" w:space="0" w:color="auto"/>
        <w:bottom w:val="none" w:sz="0" w:space="0" w:color="auto"/>
        <w:right w:val="none" w:sz="0" w:space="0" w:color="auto"/>
      </w:divBdr>
    </w:div>
    <w:div w:id="1631595165">
      <w:bodyDiv w:val="1"/>
      <w:marLeft w:val="0"/>
      <w:marRight w:val="0"/>
      <w:marTop w:val="0"/>
      <w:marBottom w:val="0"/>
      <w:divBdr>
        <w:top w:val="none" w:sz="0" w:space="0" w:color="auto"/>
        <w:left w:val="none" w:sz="0" w:space="0" w:color="auto"/>
        <w:bottom w:val="none" w:sz="0" w:space="0" w:color="auto"/>
        <w:right w:val="none" w:sz="0" w:space="0" w:color="auto"/>
      </w:divBdr>
      <w:divsChild>
        <w:div w:id="1157644999">
          <w:marLeft w:val="0"/>
          <w:marRight w:val="0"/>
          <w:marTop w:val="0"/>
          <w:marBottom w:val="0"/>
          <w:divBdr>
            <w:top w:val="none" w:sz="0" w:space="0" w:color="auto"/>
            <w:left w:val="none" w:sz="0" w:space="0" w:color="auto"/>
            <w:bottom w:val="none" w:sz="0" w:space="0" w:color="auto"/>
            <w:right w:val="none" w:sz="0" w:space="0" w:color="auto"/>
          </w:divBdr>
          <w:divsChild>
            <w:div w:id="602302143">
              <w:marLeft w:val="0"/>
              <w:marRight w:val="0"/>
              <w:marTop w:val="0"/>
              <w:marBottom w:val="0"/>
              <w:divBdr>
                <w:top w:val="none" w:sz="0" w:space="0" w:color="auto"/>
                <w:left w:val="none" w:sz="0" w:space="0" w:color="auto"/>
                <w:bottom w:val="none" w:sz="0" w:space="0" w:color="auto"/>
                <w:right w:val="none" w:sz="0" w:space="0" w:color="auto"/>
              </w:divBdr>
              <w:divsChild>
                <w:div w:id="1377923781">
                  <w:marLeft w:val="0"/>
                  <w:marRight w:val="0"/>
                  <w:marTop w:val="0"/>
                  <w:marBottom w:val="0"/>
                  <w:divBdr>
                    <w:top w:val="none" w:sz="0" w:space="0" w:color="auto"/>
                    <w:left w:val="none" w:sz="0" w:space="0" w:color="auto"/>
                    <w:bottom w:val="none" w:sz="0" w:space="0" w:color="auto"/>
                    <w:right w:val="none" w:sz="0" w:space="0" w:color="auto"/>
                  </w:divBdr>
                  <w:divsChild>
                    <w:div w:id="748771199">
                      <w:marLeft w:val="0"/>
                      <w:marRight w:val="0"/>
                      <w:marTop w:val="0"/>
                      <w:marBottom w:val="0"/>
                      <w:divBdr>
                        <w:top w:val="none" w:sz="0" w:space="0" w:color="auto"/>
                        <w:left w:val="none" w:sz="0" w:space="0" w:color="auto"/>
                        <w:bottom w:val="none" w:sz="0" w:space="0" w:color="auto"/>
                        <w:right w:val="none" w:sz="0" w:space="0" w:color="auto"/>
                      </w:divBdr>
                      <w:divsChild>
                        <w:div w:id="483201577">
                          <w:marLeft w:val="0"/>
                          <w:marRight w:val="0"/>
                          <w:marTop w:val="0"/>
                          <w:marBottom w:val="0"/>
                          <w:divBdr>
                            <w:top w:val="none" w:sz="0" w:space="0" w:color="auto"/>
                            <w:left w:val="none" w:sz="0" w:space="0" w:color="auto"/>
                            <w:bottom w:val="none" w:sz="0" w:space="0" w:color="auto"/>
                            <w:right w:val="none" w:sz="0" w:space="0" w:color="auto"/>
                          </w:divBdr>
                          <w:divsChild>
                            <w:div w:id="1999066689">
                              <w:marLeft w:val="0"/>
                              <w:marRight w:val="0"/>
                              <w:marTop w:val="0"/>
                              <w:marBottom w:val="0"/>
                              <w:divBdr>
                                <w:top w:val="none" w:sz="0" w:space="0" w:color="auto"/>
                                <w:left w:val="none" w:sz="0" w:space="0" w:color="auto"/>
                                <w:bottom w:val="none" w:sz="0" w:space="0" w:color="auto"/>
                                <w:right w:val="none" w:sz="0" w:space="0" w:color="auto"/>
                              </w:divBdr>
                              <w:divsChild>
                                <w:div w:id="133450000">
                                  <w:marLeft w:val="0"/>
                                  <w:marRight w:val="0"/>
                                  <w:marTop w:val="0"/>
                                  <w:marBottom w:val="0"/>
                                  <w:divBdr>
                                    <w:top w:val="none" w:sz="0" w:space="0" w:color="auto"/>
                                    <w:left w:val="none" w:sz="0" w:space="0" w:color="auto"/>
                                    <w:bottom w:val="none" w:sz="0" w:space="0" w:color="auto"/>
                                    <w:right w:val="none" w:sz="0" w:space="0" w:color="auto"/>
                                  </w:divBdr>
                                  <w:divsChild>
                                    <w:div w:id="2025281449">
                                      <w:marLeft w:val="0"/>
                                      <w:marRight w:val="0"/>
                                      <w:marTop w:val="0"/>
                                      <w:marBottom w:val="0"/>
                                      <w:divBdr>
                                        <w:top w:val="none" w:sz="0" w:space="0" w:color="auto"/>
                                        <w:left w:val="none" w:sz="0" w:space="0" w:color="auto"/>
                                        <w:bottom w:val="none" w:sz="0" w:space="0" w:color="auto"/>
                                        <w:right w:val="none" w:sz="0" w:space="0" w:color="auto"/>
                                      </w:divBdr>
                                      <w:divsChild>
                                        <w:div w:id="1920674495">
                                          <w:marLeft w:val="0"/>
                                          <w:marRight w:val="0"/>
                                          <w:marTop w:val="0"/>
                                          <w:marBottom w:val="0"/>
                                          <w:divBdr>
                                            <w:top w:val="none" w:sz="0" w:space="0" w:color="auto"/>
                                            <w:left w:val="none" w:sz="0" w:space="0" w:color="auto"/>
                                            <w:bottom w:val="none" w:sz="0" w:space="0" w:color="auto"/>
                                            <w:right w:val="none" w:sz="0" w:space="0" w:color="auto"/>
                                          </w:divBdr>
                                          <w:divsChild>
                                            <w:div w:id="1551263791">
                                              <w:marLeft w:val="0"/>
                                              <w:marRight w:val="0"/>
                                              <w:marTop w:val="0"/>
                                              <w:marBottom w:val="0"/>
                                              <w:divBdr>
                                                <w:top w:val="none" w:sz="0" w:space="0" w:color="auto"/>
                                                <w:left w:val="none" w:sz="0" w:space="0" w:color="auto"/>
                                                <w:bottom w:val="none" w:sz="0" w:space="0" w:color="auto"/>
                                                <w:right w:val="none" w:sz="0" w:space="0" w:color="auto"/>
                                              </w:divBdr>
                                              <w:divsChild>
                                                <w:div w:id="1750926175">
                                                  <w:marLeft w:val="0"/>
                                                  <w:marRight w:val="0"/>
                                                  <w:marTop w:val="0"/>
                                                  <w:marBottom w:val="0"/>
                                                  <w:divBdr>
                                                    <w:top w:val="none" w:sz="0" w:space="0" w:color="auto"/>
                                                    <w:left w:val="none" w:sz="0" w:space="0" w:color="auto"/>
                                                    <w:bottom w:val="none" w:sz="0" w:space="0" w:color="auto"/>
                                                    <w:right w:val="none" w:sz="0" w:space="0" w:color="auto"/>
                                                  </w:divBdr>
                                                  <w:divsChild>
                                                    <w:div w:id="1960526665">
                                                      <w:marLeft w:val="0"/>
                                                      <w:marRight w:val="0"/>
                                                      <w:marTop w:val="0"/>
                                                      <w:marBottom w:val="0"/>
                                                      <w:divBdr>
                                                        <w:top w:val="none" w:sz="0" w:space="0" w:color="auto"/>
                                                        <w:left w:val="none" w:sz="0" w:space="0" w:color="auto"/>
                                                        <w:bottom w:val="none" w:sz="0" w:space="0" w:color="auto"/>
                                                        <w:right w:val="none" w:sz="0" w:space="0" w:color="auto"/>
                                                      </w:divBdr>
                                                      <w:divsChild>
                                                        <w:div w:id="14912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340907">
      <w:bodyDiv w:val="1"/>
      <w:marLeft w:val="0"/>
      <w:marRight w:val="0"/>
      <w:marTop w:val="0"/>
      <w:marBottom w:val="0"/>
      <w:divBdr>
        <w:top w:val="none" w:sz="0" w:space="0" w:color="auto"/>
        <w:left w:val="none" w:sz="0" w:space="0" w:color="auto"/>
        <w:bottom w:val="none" w:sz="0" w:space="0" w:color="auto"/>
        <w:right w:val="none" w:sz="0" w:space="0" w:color="auto"/>
      </w:divBdr>
    </w:div>
    <w:div w:id="1875772396">
      <w:bodyDiv w:val="1"/>
      <w:marLeft w:val="0"/>
      <w:marRight w:val="0"/>
      <w:marTop w:val="0"/>
      <w:marBottom w:val="0"/>
      <w:divBdr>
        <w:top w:val="none" w:sz="0" w:space="0" w:color="auto"/>
        <w:left w:val="none" w:sz="0" w:space="0" w:color="auto"/>
        <w:bottom w:val="none" w:sz="0" w:space="0" w:color="auto"/>
        <w:right w:val="none" w:sz="0" w:space="0" w:color="auto"/>
      </w:divBdr>
    </w:div>
    <w:div w:id="1949585999">
      <w:bodyDiv w:val="1"/>
      <w:marLeft w:val="0"/>
      <w:marRight w:val="0"/>
      <w:marTop w:val="0"/>
      <w:marBottom w:val="0"/>
      <w:divBdr>
        <w:top w:val="none" w:sz="0" w:space="0" w:color="auto"/>
        <w:left w:val="none" w:sz="0" w:space="0" w:color="auto"/>
        <w:bottom w:val="none" w:sz="0" w:space="0" w:color="auto"/>
        <w:right w:val="none" w:sz="0" w:space="0" w:color="auto"/>
      </w:divBdr>
      <w:divsChild>
        <w:div w:id="1673221766">
          <w:marLeft w:val="0"/>
          <w:marRight w:val="0"/>
          <w:marTop w:val="0"/>
          <w:marBottom w:val="0"/>
          <w:divBdr>
            <w:top w:val="none" w:sz="0" w:space="0" w:color="auto"/>
            <w:left w:val="none" w:sz="0" w:space="0" w:color="auto"/>
            <w:bottom w:val="none" w:sz="0" w:space="0" w:color="auto"/>
            <w:right w:val="none" w:sz="0" w:space="0" w:color="auto"/>
          </w:divBdr>
          <w:divsChild>
            <w:div w:id="2135127634">
              <w:marLeft w:val="0"/>
              <w:marRight w:val="0"/>
              <w:marTop w:val="0"/>
              <w:marBottom w:val="0"/>
              <w:divBdr>
                <w:top w:val="none" w:sz="0" w:space="0" w:color="auto"/>
                <w:left w:val="none" w:sz="0" w:space="0" w:color="auto"/>
                <w:bottom w:val="none" w:sz="0" w:space="0" w:color="auto"/>
                <w:right w:val="none" w:sz="0" w:space="0" w:color="auto"/>
              </w:divBdr>
              <w:divsChild>
                <w:div w:id="386926806">
                  <w:marLeft w:val="0"/>
                  <w:marRight w:val="0"/>
                  <w:marTop w:val="0"/>
                  <w:marBottom w:val="0"/>
                  <w:divBdr>
                    <w:top w:val="none" w:sz="0" w:space="0" w:color="auto"/>
                    <w:left w:val="none" w:sz="0" w:space="0" w:color="auto"/>
                    <w:bottom w:val="none" w:sz="0" w:space="0" w:color="auto"/>
                    <w:right w:val="none" w:sz="0" w:space="0" w:color="auto"/>
                  </w:divBdr>
                  <w:divsChild>
                    <w:div w:id="1633053414">
                      <w:marLeft w:val="0"/>
                      <w:marRight w:val="0"/>
                      <w:marTop w:val="0"/>
                      <w:marBottom w:val="0"/>
                      <w:divBdr>
                        <w:top w:val="none" w:sz="0" w:space="0" w:color="auto"/>
                        <w:left w:val="none" w:sz="0" w:space="0" w:color="auto"/>
                        <w:bottom w:val="none" w:sz="0" w:space="0" w:color="auto"/>
                        <w:right w:val="none" w:sz="0" w:space="0" w:color="auto"/>
                      </w:divBdr>
                      <w:divsChild>
                        <w:div w:id="21244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011347">
      <w:bodyDiv w:val="1"/>
      <w:marLeft w:val="0"/>
      <w:marRight w:val="0"/>
      <w:marTop w:val="0"/>
      <w:marBottom w:val="0"/>
      <w:divBdr>
        <w:top w:val="none" w:sz="0" w:space="0" w:color="auto"/>
        <w:left w:val="none" w:sz="0" w:space="0" w:color="auto"/>
        <w:bottom w:val="none" w:sz="0" w:space="0" w:color="auto"/>
        <w:right w:val="none" w:sz="0" w:space="0" w:color="auto"/>
      </w:divBdr>
      <w:divsChild>
        <w:div w:id="32388673">
          <w:marLeft w:val="0"/>
          <w:marRight w:val="0"/>
          <w:marTop w:val="0"/>
          <w:marBottom w:val="0"/>
          <w:divBdr>
            <w:top w:val="none" w:sz="0" w:space="0" w:color="auto"/>
            <w:left w:val="none" w:sz="0" w:space="0" w:color="auto"/>
            <w:bottom w:val="none" w:sz="0" w:space="0" w:color="auto"/>
            <w:right w:val="none" w:sz="0" w:space="0" w:color="auto"/>
          </w:divBdr>
          <w:divsChild>
            <w:div w:id="1097948216">
              <w:marLeft w:val="0"/>
              <w:marRight w:val="0"/>
              <w:marTop w:val="0"/>
              <w:marBottom w:val="0"/>
              <w:divBdr>
                <w:top w:val="none" w:sz="0" w:space="0" w:color="auto"/>
                <w:left w:val="none" w:sz="0" w:space="0" w:color="auto"/>
                <w:bottom w:val="none" w:sz="0" w:space="0" w:color="auto"/>
                <w:right w:val="none" w:sz="0" w:space="0" w:color="auto"/>
              </w:divBdr>
              <w:divsChild>
                <w:div w:id="1846243714">
                  <w:marLeft w:val="0"/>
                  <w:marRight w:val="0"/>
                  <w:marTop w:val="0"/>
                  <w:marBottom w:val="0"/>
                  <w:divBdr>
                    <w:top w:val="none" w:sz="0" w:space="0" w:color="auto"/>
                    <w:left w:val="none" w:sz="0" w:space="0" w:color="auto"/>
                    <w:bottom w:val="none" w:sz="0" w:space="0" w:color="auto"/>
                    <w:right w:val="none" w:sz="0" w:space="0" w:color="auto"/>
                  </w:divBdr>
                  <w:divsChild>
                    <w:div w:id="1018578725">
                      <w:marLeft w:val="0"/>
                      <w:marRight w:val="0"/>
                      <w:marTop w:val="0"/>
                      <w:marBottom w:val="0"/>
                      <w:divBdr>
                        <w:top w:val="none" w:sz="0" w:space="0" w:color="auto"/>
                        <w:left w:val="none" w:sz="0" w:space="0" w:color="auto"/>
                        <w:bottom w:val="none" w:sz="0" w:space="0" w:color="auto"/>
                        <w:right w:val="none" w:sz="0" w:space="0" w:color="auto"/>
                      </w:divBdr>
                      <w:divsChild>
                        <w:div w:id="1468819955">
                          <w:marLeft w:val="0"/>
                          <w:marRight w:val="0"/>
                          <w:marTop w:val="0"/>
                          <w:marBottom w:val="0"/>
                          <w:divBdr>
                            <w:top w:val="none" w:sz="0" w:space="0" w:color="auto"/>
                            <w:left w:val="none" w:sz="0" w:space="0" w:color="auto"/>
                            <w:bottom w:val="none" w:sz="0" w:space="0" w:color="auto"/>
                            <w:right w:val="none" w:sz="0" w:space="0" w:color="auto"/>
                          </w:divBdr>
                          <w:divsChild>
                            <w:div w:id="1715228536">
                              <w:marLeft w:val="0"/>
                              <w:marRight w:val="0"/>
                              <w:marTop w:val="0"/>
                              <w:marBottom w:val="0"/>
                              <w:divBdr>
                                <w:top w:val="none" w:sz="0" w:space="0" w:color="auto"/>
                                <w:left w:val="none" w:sz="0" w:space="0" w:color="auto"/>
                                <w:bottom w:val="none" w:sz="0" w:space="0" w:color="auto"/>
                                <w:right w:val="none" w:sz="0" w:space="0" w:color="auto"/>
                              </w:divBdr>
                              <w:divsChild>
                                <w:div w:id="1102266138">
                                  <w:marLeft w:val="0"/>
                                  <w:marRight w:val="0"/>
                                  <w:marTop w:val="0"/>
                                  <w:marBottom w:val="0"/>
                                  <w:divBdr>
                                    <w:top w:val="none" w:sz="0" w:space="0" w:color="auto"/>
                                    <w:left w:val="none" w:sz="0" w:space="0" w:color="auto"/>
                                    <w:bottom w:val="none" w:sz="0" w:space="0" w:color="auto"/>
                                    <w:right w:val="none" w:sz="0" w:space="0" w:color="auto"/>
                                  </w:divBdr>
                                  <w:divsChild>
                                    <w:div w:id="1915892191">
                                      <w:marLeft w:val="0"/>
                                      <w:marRight w:val="0"/>
                                      <w:marTop w:val="0"/>
                                      <w:marBottom w:val="0"/>
                                      <w:divBdr>
                                        <w:top w:val="none" w:sz="0" w:space="0" w:color="auto"/>
                                        <w:left w:val="none" w:sz="0" w:space="0" w:color="auto"/>
                                        <w:bottom w:val="none" w:sz="0" w:space="0" w:color="auto"/>
                                        <w:right w:val="none" w:sz="0" w:space="0" w:color="auto"/>
                                      </w:divBdr>
                                      <w:divsChild>
                                        <w:div w:id="675502823">
                                          <w:marLeft w:val="0"/>
                                          <w:marRight w:val="0"/>
                                          <w:marTop w:val="0"/>
                                          <w:marBottom w:val="0"/>
                                          <w:divBdr>
                                            <w:top w:val="none" w:sz="0" w:space="0" w:color="auto"/>
                                            <w:left w:val="none" w:sz="0" w:space="0" w:color="auto"/>
                                            <w:bottom w:val="none" w:sz="0" w:space="0" w:color="auto"/>
                                            <w:right w:val="none" w:sz="0" w:space="0" w:color="auto"/>
                                          </w:divBdr>
                                          <w:divsChild>
                                            <w:div w:id="451098635">
                                              <w:marLeft w:val="0"/>
                                              <w:marRight w:val="0"/>
                                              <w:marTop w:val="0"/>
                                              <w:marBottom w:val="0"/>
                                              <w:divBdr>
                                                <w:top w:val="none" w:sz="0" w:space="0" w:color="auto"/>
                                                <w:left w:val="none" w:sz="0" w:space="0" w:color="auto"/>
                                                <w:bottom w:val="none" w:sz="0" w:space="0" w:color="auto"/>
                                                <w:right w:val="none" w:sz="0" w:space="0" w:color="auto"/>
                                              </w:divBdr>
                                              <w:divsChild>
                                                <w:div w:id="2086829212">
                                                  <w:marLeft w:val="0"/>
                                                  <w:marRight w:val="0"/>
                                                  <w:marTop w:val="0"/>
                                                  <w:marBottom w:val="0"/>
                                                  <w:divBdr>
                                                    <w:top w:val="none" w:sz="0" w:space="0" w:color="auto"/>
                                                    <w:left w:val="none" w:sz="0" w:space="0" w:color="auto"/>
                                                    <w:bottom w:val="none" w:sz="0" w:space="0" w:color="auto"/>
                                                    <w:right w:val="none" w:sz="0" w:space="0" w:color="auto"/>
                                                  </w:divBdr>
                                                  <w:divsChild>
                                                    <w:div w:id="1411544112">
                                                      <w:marLeft w:val="0"/>
                                                      <w:marRight w:val="0"/>
                                                      <w:marTop w:val="0"/>
                                                      <w:marBottom w:val="0"/>
                                                      <w:divBdr>
                                                        <w:top w:val="none" w:sz="0" w:space="0" w:color="auto"/>
                                                        <w:left w:val="none" w:sz="0" w:space="0" w:color="auto"/>
                                                        <w:bottom w:val="none" w:sz="0" w:space="0" w:color="auto"/>
                                                        <w:right w:val="none" w:sz="0" w:space="0" w:color="auto"/>
                                                      </w:divBdr>
                                                      <w:divsChild>
                                                        <w:div w:id="19556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ealthgov.sharepoint.com/sites/PublicInterestDisclosures/SitePages/Department-of-Health-Authorised-Officers.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healthgov-my.sharepoint.com/personal/chris_cooper_health_gov_au/Documents/Documents/Documents%20to%20send%20across%20to%20client%20on%209.11.23/tb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resources/publications/public-interest-disclosure-scheme-department-of-health-and-aged-care-authorised-officers" TargetMode="External"/><Relationship Id="rId25" Type="http://schemas.openxmlformats.org/officeDocument/2006/relationships/hyperlink" Target="mailto:PIDCoordination@health.gov.au" TargetMode="External"/><Relationship Id="rId2" Type="http://schemas.openxmlformats.org/officeDocument/2006/relationships/customXml" Target="../customXml/item2.xml"/><Relationship Id="rId16" Type="http://schemas.openxmlformats.org/officeDocument/2006/relationships/hyperlink" Target="https://healthgov.sharepoint.com/sites/support-legal/SitePages/Public-interest-disclosures.aspx" TargetMode="External"/><Relationship Id="rId20" Type="http://schemas.openxmlformats.org/officeDocument/2006/relationships/hyperlink" Target="https://healthgov-my.sharepoint.com/personal/chris_cooper_health_gov_au/Documents/Documents/Documents%20to%20send%20across%20to%20client%20on%209.11.23/tbc"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ealthgov.sharepoint.com/sites/support-legal/SitePages/Public-interest-disclosures.aspx" TargetMode="External"/><Relationship Id="rId5" Type="http://schemas.openxmlformats.org/officeDocument/2006/relationships/numbering" Target="numbering.xml"/><Relationship Id="rId15" Type="http://schemas.openxmlformats.org/officeDocument/2006/relationships/hyperlink" Target="mailto:PIDCoordination@health.gov.au" TargetMode="External"/><Relationship Id="rId23" Type="http://schemas.openxmlformats.org/officeDocument/2006/relationships/hyperlink" Target="http://sharepoint.central.health/divisions/LAD/_layouts/15/WopiFrame.aspx?sourcedoc=/divisions/LAD/Investigator%20Documents/APP%205%20Notice_6.docx&amp;action=defaul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g.gov.au/integrity/national-anti-corruption-commission/what-corrupt-conduc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healthgov-my.sharepoint.com/personal/chris_cooper_health_gov_au/Documents/Documents/Documents%20to%20send%20across%20to%20client%20on%209.11.23/tbc"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3" ma:contentTypeDescription="Create a new document." ma:contentTypeScope="" ma:versionID="2c49230e2b187bc6da88bfe4a439ae54">
  <xsd:schema xmlns:xsd="http://www.w3.org/2001/XMLSchema" xmlns:xs="http://www.w3.org/2001/XMLSchema" xmlns:p="http://schemas.microsoft.com/office/2006/metadata/properties" xmlns:ns2="88065963-e31c-436c-8d71-ad9300615aa8" targetNamespace="http://schemas.microsoft.com/office/2006/metadata/properties" ma:root="true" ma:fieldsID="aaf43655bd2b25404d008a775d6de5b4" ns2:_="">
    <xsd:import namespace="88065963-e31c-436c-8d71-ad9300615a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8065963-e31c-436c-8d71-ad9300615aa8"/>
    <ds:schemaRef ds:uri="http://www.w3.org/XML/1998/namespace"/>
    <ds:schemaRef ds:uri="http://purl.org/dc/terms/"/>
  </ds:schemaRefs>
</ds:datastoreItem>
</file>

<file path=customXml/itemProps3.xml><?xml version="1.0" encoding="utf-8"?>
<ds:datastoreItem xmlns:ds="http://schemas.openxmlformats.org/officeDocument/2006/customXml" ds:itemID="{3DE19FE4-9C57-4BBE-85D1-6D4D71B37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E61AD-5538-4205-B7DF-D8DEE9CA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17849</Words>
  <Characters>98445</Characters>
  <Application>Microsoft Office Word</Application>
  <DocSecurity>4</DocSecurity>
  <Lines>820</Lines>
  <Paragraphs>232</Paragraphs>
  <ScaleCrop>false</ScaleCrop>
  <HeadingPairs>
    <vt:vector size="2" baseType="variant">
      <vt:variant>
        <vt:lpstr>Title</vt:lpstr>
      </vt:variant>
      <vt:variant>
        <vt:i4>1</vt:i4>
      </vt:variant>
    </vt:vector>
  </HeadingPairs>
  <TitlesOfParts>
    <vt:vector size="1" baseType="lpstr">
      <vt:lpstr>Public Interest Disclosure Procedures</vt:lpstr>
    </vt:vector>
  </TitlesOfParts>
  <Company/>
  <LinksUpToDate>false</LinksUpToDate>
  <CharactersWithSpaces>116062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Procedures</dc:title>
  <dc:subject>PID</dc:subject>
  <dc:creator>Department of Health</dc:creator>
  <cp:keywords>Public Interest Disclosure; PID; Procedures</cp:keywords>
  <dc:description/>
  <cp:lastModifiedBy>MARTIN, Mel</cp:lastModifiedBy>
  <cp:revision>2</cp:revision>
  <cp:lastPrinted>2020-09-16T15:38:00Z</cp:lastPrinted>
  <dcterms:created xsi:type="dcterms:W3CDTF">2024-06-10T23:29:00Z</dcterms:created>
  <dcterms:modified xsi:type="dcterms:W3CDTF">2024-06-10T23:29:00Z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0x010100D458BFB9DA49AD479A07648B523EC31D</vt:lpwstr>
  </property>
</Properties>
</file>