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288FEA" w14:textId="77777777" w:rsidR="00B254A9" w:rsidRPr="0088321F" w:rsidRDefault="00B254A9" w:rsidP="00BA6B7A">
      <w:pPr>
        <w:spacing w:line="360" w:lineRule="auto"/>
        <w:jc w:val="center"/>
        <w:rPr>
          <w:rFonts w:asciiTheme="minorHAnsi" w:hAnsiTheme="minorHAnsi" w:cstheme="minorHAnsi"/>
          <w:b/>
          <w:bCs/>
          <w:noProof/>
          <w:u w:val="single"/>
        </w:rPr>
      </w:pPr>
      <w:bookmarkStart w:id="0" w:name="OLE_LINK1"/>
      <w:bookmarkStart w:id="1" w:name="OLE_LINK2"/>
      <w:bookmarkStart w:id="2" w:name="OLE_LINK3"/>
      <w:bookmarkStart w:id="3" w:name="OLE_LINK4"/>
      <w:bookmarkStart w:id="4" w:name="OLE_LINK6"/>
      <w:bookmarkStart w:id="5" w:name="OLE_LINK9"/>
      <w:bookmarkStart w:id="6" w:name="OLE_LINK8"/>
      <w:r w:rsidRPr="0088321F">
        <w:rPr>
          <w:rFonts w:asciiTheme="minorHAnsi" w:hAnsiTheme="minorHAnsi" w:cstheme="minorHAnsi"/>
          <w:b/>
          <w:bCs/>
          <w:noProof/>
          <w:u w:val="single"/>
        </w:rPr>
        <w:t>National Communicable Diseases Surveillance Report</w:t>
      </w:r>
    </w:p>
    <w:p w14:paraId="6F25C8A4" w14:textId="3B804576" w:rsidR="00807835" w:rsidRPr="0088321F" w:rsidRDefault="00807835" w:rsidP="002A39F5">
      <w:pPr>
        <w:spacing w:line="360" w:lineRule="auto"/>
        <w:jc w:val="center"/>
        <w:rPr>
          <w:rFonts w:asciiTheme="minorHAnsi" w:hAnsiTheme="minorHAnsi" w:cstheme="minorHAnsi"/>
          <w:b/>
          <w:bCs/>
          <w:noProof/>
          <w:u w:val="single"/>
        </w:rPr>
      </w:pPr>
      <w:r w:rsidRPr="0088321F">
        <w:rPr>
          <w:rFonts w:asciiTheme="minorHAnsi" w:hAnsiTheme="minorHAnsi" w:cstheme="minorHAnsi"/>
          <w:b/>
          <w:bCs/>
          <w:noProof/>
          <w:u w:val="single"/>
        </w:rPr>
        <w:t xml:space="preserve">Fortnight </w:t>
      </w:r>
      <w:r w:rsidR="004E65BD">
        <w:rPr>
          <w:rFonts w:asciiTheme="minorHAnsi" w:hAnsiTheme="minorHAnsi" w:cstheme="minorHAnsi"/>
          <w:b/>
          <w:bCs/>
          <w:noProof/>
          <w:u w:val="single"/>
        </w:rPr>
        <w:t>10</w:t>
      </w:r>
      <w:r w:rsidR="00F816D5">
        <w:rPr>
          <w:rFonts w:asciiTheme="minorHAnsi" w:hAnsiTheme="minorHAnsi" w:cstheme="minorHAnsi"/>
          <w:b/>
          <w:bCs/>
          <w:noProof/>
          <w:u w:val="single"/>
        </w:rPr>
        <w:t>,</w:t>
      </w:r>
      <w:r w:rsidR="003D48B5" w:rsidRPr="0088321F">
        <w:rPr>
          <w:rFonts w:asciiTheme="minorHAnsi" w:hAnsiTheme="minorHAnsi" w:cstheme="minorHAnsi"/>
          <w:b/>
          <w:bCs/>
          <w:noProof/>
          <w:u w:val="single"/>
        </w:rPr>
        <w:t xml:space="preserve"> </w:t>
      </w:r>
      <w:r w:rsidR="00924FC7">
        <w:rPr>
          <w:rFonts w:asciiTheme="minorHAnsi" w:hAnsiTheme="minorHAnsi" w:cstheme="minorHAnsi"/>
          <w:b/>
          <w:bCs/>
          <w:noProof/>
          <w:u w:val="single"/>
        </w:rPr>
        <w:t>202</w:t>
      </w:r>
      <w:r w:rsidR="006A65C0">
        <w:rPr>
          <w:rFonts w:asciiTheme="minorHAnsi" w:hAnsiTheme="minorHAnsi" w:cstheme="minorHAnsi"/>
          <w:b/>
          <w:bCs/>
          <w:noProof/>
          <w:u w:val="single"/>
        </w:rPr>
        <w:t>4</w:t>
      </w:r>
      <w:r w:rsidR="00031B33" w:rsidRPr="0088321F">
        <w:rPr>
          <w:rFonts w:asciiTheme="minorHAnsi" w:hAnsiTheme="minorHAnsi" w:cstheme="minorHAnsi"/>
          <w:b/>
          <w:bCs/>
          <w:noProof/>
          <w:u w:val="single"/>
        </w:rPr>
        <w:t xml:space="preserve"> </w:t>
      </w:r>
      <w:r w:rsidRPr="0088321F">
        <w:rPr>
          <w:rFonts w:asciiTheme="minorHAnsi" w:hAnsiTheme="minorHAnsi" w:cstheme="minorHAnsi"/>
          <w:b/>
          <w:bCs/>
          <w:noProof/>
          <w:u w:val="single"/>
        </w:rPr>
        <w:t>Summary Notes</w:t>
      </w:r>
      <w:r w:rsidR="00EB26EC" w:rsidRPr="0088321F">
        <w:rPr>
          <w:rFonts w:asciiTheme="minorHAnsi" w:hAnsiTheme="minorHAnsi" w:cstheme="minorHAnsi"/>
          <w:b/>
          <w:bCs/>
          <w:noProof/>
          <w:u w:val="single"/>
        </w:rPr>
        <w:t xml:space="preserve"> for Selected Diseases</w:t>
      </w:r>
    </w:p>
    <w:p w14:paraId="178F241B" w14:textId="5F241C7A" w:rsidR="00807835" w:rsidRPr="0088321F" w:rsidRDefault="00C044F4" w:rsidP="005254A9">
      <w:pPr>
        <w:pStyle w:val="Heading1"/>
        <w:jc w:val="center"/>
        <w:rPr>
          <w:rFonts w:asciiTheme="minorHAnsi" w:hAnsiTheme="minorHAnsi" w:cstheme="minorHAnsi"/>
          <w:sz w:val="24"/>
          <w:szCs w:val="24"/>
          <w:u w:val="single"/>
        </w:rPr>
      </w:pPr>
      <w:r>
        <w:rPr>
          <w:rFonts w:asciiTheme="minorHAnsi" w:hAnsiTheme="minorHAnsi" w:cstheme="minorHAnsi"/>
          <w:sz w:val="24"/>
          <w:szCs w:val="24"/>
          <w:u w:val="single"/>
        </w:rPr>
        <w:t>29</w:t>
      </w:r>
      <w:r w:rsidR="002F1D15">
        <w:rPr>
          <w:rFonts w:asciiTheme="minorHAnsi" w:hAnsiTheme="minorHAnsi" w:cstheme="minorHAnsi"/>
          <w:sz w:val="24"/>
          <w:szCs w:val="24"/>
          <w:u w:val="single"/>
        </w:rPr>
        <w:t xml:space="preserve"> </w:t>
      </w:r>
      <w:r w:rsidR="00B412A9">
        <w:rPr>
          <w:rFonts w:asciiTheme="minorHAnsi" w:hAnsiTheme="minorHAnsi" w:cstheme="minorHAnsi"/>
          <w:sz w:val="24"/>
          <w:szCs w:val="24"/>
          <w:u w:val="single"/>
        </w:rPr>
        <w:t>April</w:t>
      </w:r>
      <w:r w:rsidR="00433EB5">
        <w:rPr>
          <w:rFonts w:asciiTheme="minorHAnsi" w:hAnsiTheme="minorHAnsi" w:cstheme="minorHAnsi"/>
          <w:sz w:val="24"/>
          <w:szCs w:val="24"/>
          <w:u w:val="single"/>
        </w:rPr>
        <w:t xml:space="preserve"> </w:t>
      </w:r>
      <w:r w:rsidR="00082C5E">
        <w:rPr>
          <w:rFonts w:asciiTheme="minorHAnsi" w:hAnsiTheme="minorHAnsi" w:cstheme="minorHAnsi"/>
          <w:sz w:val="24"/>
          <w:szCs w:val="24"/>
          <w:u w:val="single"/>
        </w:rPr>
        <w:t>202</w:t>
      </w:r>
      <w:r w:rsidR="0064269D">
        <w:rPr>
          <w:rFonts w:asciiTheme="minorHAnsi" w:hAnsiTheme="minorHAnsi" w:cstheme="minorHAnsi"/>
          <w:sz w:val="24"/>
          <w:szCs w:val="24"/>
          <w:u w:val="single"/>
        </w:rPr>
        <w:t>4</w:t>
      </w:r>
      <w:r w:rsidR="0082527C">
        <w:rPr>
          <w:rFonts w:asciiTheme="minorHAnsi" w:hAnsiTheme="minorHAnsi" w:cstheme="minorHAnsi"/>
          <w:sz w:val="24"/>
          <w:szCs w:val="24"/>
          <w:u w:val="single"/>
        </w:rPr>
        <w:t xml:space="preserve"> </w:t>
      </w:r>
      <w:r w:rsidR="00CA37B4">
        <w:rPr>
          <w:rFonts w:asciiTheme="minorHAnsi" w:hAnsiTheme="minorHAnsi" w:cstheme="minorHAnsi"/>
          <w:sz w:val="24"/>
          <w:szCs w:val="24"/>
          <w:u w:val="single"/>
        </w:rPr>
        <w:t xml:space="preserve">to </w:t>
      </w:r>
      <w:r w:rsidR="004E65BD">
        <w:rPr>
          <w:rFonts w:asciiTheme="minorHAnsi" w:hAnsiTheme="minorHAnsi" w:cstheme="minorHAnsi"/>
          <w:sz w:val="24"/>
          <w:szCs w:val="24"/>
          <w:u w:val="single"/>
        </w:rPr>
        <w:t xml:space="preserve">12 May </w:t>
      </w:r>
      <w:r w:rsidR="00924FC7">
        <w:rPr>
          <w:rFonts w:asciiTheme="minorHAnsi" w:hAnsiTheme="minorHAnsi" w:cstheme="minorHAnsi"/>
          <w:sz w:val="24"/>
          <w:szCs w:val="24"/>
          <w:u w:val="single"/>
        </w:rPr>
        <w:t>202</w:t>
      </w:r>
      <w:r w:rsidR="006A65C0">
        <w:rPr>
          <w:rFonts w:asciiTheme="minorHAnsi" w:hAnsiTheme="minorHAnsi" w:cstheme="minorHAnsi"/>
          <w:sz w:val="24"/>
          <w:szCs w:val="24"/>
          <w:u w:val="single"/>
        </w:rPr>
        <w:t>4</w:t>
      </w:r>
    </w:p>
    <w:bookmarkEnd w:id="0"/>
    <w:bookmarkEnd w:id="1"/>
    <w:bookmarkEnd w:id="2"/>
    <w:p w14:paraId="21A994E5" w14:textId="70EBC1A0" w:rsidR="007E5662" w:rsidRDefault="007E5662" w:rsidP="00064B2A">
      <w:pPr>
        <w:autoSpaceDE w:val="0"/>
        <w:autoSpaceDN w:val="0"/>
        <w:rPr>
          <w:rFonts w:asciiTheme="minorHAnsi" w:hAnsiTheme="minorHAnsi" w:cstheme="minorHAnsi"/>
          <w:b/>
          <w:bCs/>
          <w:color w:val="000000"/>
          <w:u w:val="single"/>
        </w:rPr>
      </w:pPr>
    </w:p>
    <w:p w14:paraId="6FD93C51" w14:textId="77777777" w:rsidR="00ED21CE" w:rsidRPr="00CD7413" w:rsidRDefault="00ED21CE" w:rsidP="00ED21CE">
      <w:pPr>
        <w:autoSpaceDE w:val="0"/>
        <w:autoSpaceDN w:val="0"/>
        <w:rPr>
          <w:rFonts w:asciiTheme="minorHAnsi" w:hAnsiTheme="minorHAnsi" w:cstheme="minorHAnsi"/>
          <w:b/>
          <w:bCs/>
          <w:color w:val="000000"/>
          <w:u w:val="single"/>
        </w:rPr>
      </w:pPr>
      <w:r w:rsidRPr="00CD7413">
        <w:rPr>
          <w:rFonts w:asciiTheme="minorHAnsi" w:hAnsiTheme="minorHAnsi" w:cstheme="minorHAnsi"/>
          <w:b/>
          <w:bCs/>
          <w:color w:val="000000"/>
          <w:u w:val="single"/>
        </w:rPr>
        <w:t>Infectious and congenital syphilis</w:t>
      </w:r>
    </w:p>
    <w:p w14:paraId="53F75425" w14:textId="77777777" w:rsidR="00CD7413" w:rsidRPr="00CD7413" w:rsidRDefault="00CD7413" w:rsidP="00CD7413">
      <w:pPr>
        <w:autoSpaceDE w:val="0"/>
        <w:autoSpaceDN w:val="0"/>
        <w:rPr>
          <w:rFonts w:asciiTheme="minorHAnsi" w:eastAsiaTheme="minorHAnsi" w:hAnsiTheme="minorHAnsi" w:cstheme="minorHAnsi"/>
        </w:rPr>
      </w:pPr>
      <w:r w:rsidRPr="00CD7413">
        <w:rPr>
          <w:rFonts w:asciiTheme="minorHAnsi" w:hAnsiTheme="minorHAnsi" w:cstheme="minorHAnsi"/>
        </w:rPr>
        <w:t xml:space="preserve">Infectious syphilis notifications are continuing to increase across Australia. Detailed analysis of infectious and congenital syphilis trends in Australia are reported quarterly in the </w:t>
      </w:r>
      <w:hyperlink r:id="rId8" w:history="1">
        <w:r w:rsidRPr="00CD7413">
          <w:rPr>
            <w:rStyle w:val="Hyperlink"/>
            <w:rFonts w:asciiTheme="minorHAnsi" w:hAnsiTheme="minorHAnsi" w:cstheme="minorHAnsi"/>
          </w:rPr>
          <w:t>National syphilis surveillance reports</w:t>
        </w:r>
      </w:hyperlink>
      <w:r w:rsidRPr="00CD7413">
        <w:rPr>
          <w:rStyle w:val="Hyperlink"/>
          <w:rFonts w:asciiTheme="minorHAnsi" w:hAnsiTheme="minorHAnsi" w:cstheme="minorHAnsi"/>
        </w:rPr>
        <w:t>.</w:t>
      </w:r>
    </w:p>
    <w:p w14:paraId="5263EBFA" w14:textId="77777777" w:rsidR="00CD7413" w:rsidRPr="00CD7413" w:rsidRDefault="00CD7413" w:rsidP="00CD7413">
      <w:pPr>
        <w:pStyle w:val="Heading2"/>
        <w:rPr>
          <w:rFonts w:asciiTheme="minorHAnsi" w:eastAsia="Times New Roman" w:hAnsiTheme="minorHAnsi" w:cstheme="minorHAnsi"/>
          <w:sz w:val="24"/>
          <w:szCs w:val="24"/>
        </w:rPr>
      </w:pPr>
      <w:r w:rsidRPr="00CD7413">
        <w:rPr>
          <w:rFonts w:asciiTheme="minorHAnsi" w:eastAsia="Times New Roman" w:hAnsiTheme="minorHAnsi" w:cstheme="minorHAnsi"/>
          <w:sz w:val="24"/>
          <w:szCs w:val="24"/>
        </w:rPr>
        <w:t>Syphilis response</w:t>
      </w:r>
    </w:p>
    <w:p w14:paraId="5E60BC2C" w14:textId="77777777" w:rsidR="00CD7413" w:rsidRPr="00CD7413" w:rsidRDefault="00CD7413" w:rsidP="00CD7413">
      <w:pPr>
        <w:rPr>
          <w:rFonts w:asciiTheme="minorHAnsi" w:eastAsiaTheme="minorHAnsi" w:hAnsiTheme="minorHAnsi" w:cstheme="minorHAnsi"/>
          <w:sz w:val="22"/>
          <w:szCs w:val="22"/>
        </w:rPr>
      </w:pPr>
      <w:r w:rsidRPr="00CD7413">
        <w:rPr>
          <w:rFonts w:asciiTheme="minorHAnsi" w:hAnsiTheme="minorHAnsi" w:cstheme="minorHAnsi"/>
        </w:rPr>
        <w:t xml:space="preserve">The CDNA and BBV STI Standing Committee (BBVSS) are, in collaboration, developing priority public health actions, including those related to workforce and community engagement, to ensure progress is made towards reducing the incidence of syphilis and elimination of congenital syphilis in Australia. For further information on national activities related to syphilis, including the </w:t>
      </w:r>
      <w:hyperlink r:id="rId9" w:history="1">
        <w:r w:rsidRPr="00CD7413">
          <w:rPr>
            <w:rStyle w:val="Hyperlink"/>
            <w:rFonts w:asciiTheme="minorHAnsi" w:hAnsiTheme="minorHAnsi" w:cstheme="minorHAnsi"/>
            <w:i/>
            <w:iCs/>
          </w:rPr>
          <w:t>Don’t fool around with syphilis</w:t>
        </w:r>
      </w:hyperlink>
      <w:r w:rsidRPr="00CD7413">
        <w:rPr>
          <w:rFonts w:asciiTheme="minorHAnsi" w:hAnsiTheme="minorHAnsi" w:cstheme="minorHAnsi"/>
        </w:rPr>
        <w:t xml:space="preserve"> campaign, refer to the </w:t>
      </w:r>
      <w:hyperlink r:id="rId10" w:history="1">
        <w:r w:rsidRPr="00CD7413">
          <w:rPr>
            <w:rStyle w:val="Hyperlink"/>
            <w:rFonts w:asciiTheme="minorHAnsi" w:hAnsiTheme="minorHAnsi" w:cstheme="minorHAnsi"/>
            <w:i/>
            <w:iCs/>
          </w:rPr>
          <w:t xml:space="preserve">National Response to Syphilis </w:t>
        </w:r>
      </w:hyperlink>
      <w:r w:rsidRPr="00CD7413">
        <w:rPr>
          <w:rFonts w:asciiTheme="minorHAnsi" w:hAnsiTheme="minorHAnsi" w:cstheme="minorHAnsi"/>
          <w:i/>
          <w:iCs/>
        </w:rPr>
        <w:t> </w:t>
      </w:r>
      <w:r w:rsidRPr="00CD7413">
        <w:rPr>
          <w:rFonts w:asciiTheme="minorHAnsi" w:hAnsiTheme="minorHAnsi" w:cstheme="minorHAnsi"/>
        </w:rPr>
        <w:t>webpage on the</w:t>
      </w:r>
      <w:r w:rsidRPr="00CD7413">
        <w:rPr>
          <w:rFonts w:asciiTheme="minorHAnsi" w:hAnsiTheme="minorHAnsi" w:cstheme="minorHAnsi"/>
          <w:i/>
          <w:iCs/>
        </w:rPr>
        <w:t xml:space="preserve"> </w:t>
      </w:r>
      <w:r w:rsidRPr="00CD7413">
        <w:rPr>
          <w:rFonts w:asciiTheme="minorHAnsi" w:hAnsiTheme="minorHAnsi" w:cstheme="minorHAnsi"/>
        </w:rPr>
        <w:t>Department’s website.</w:t>
      </w:r>
    </w:p>
    <w:p w14:paraId="2D5B3880" w14:textId="77777777" w:rsidR="00ED21CE" w:rsidRDefault="00ED21CE" w:rsidP="00064B2A">
      <w:pPr>
        <w:autoSpaceDE w:val="0"/>
        <w:autoSpaceDN w:val="0"/>
        <w:rPr>
          <w:rFonts w:asciiTheme="minorHAnsi" w:hAnsiTheme="minorHAnsi" w:cstheme="minorHAnsi"/>
          <w:b/>
          <w:bCs/>
          <w:color w:val="000000"/>
          <w:u w:val="single"/>
        </w:rPr>
      </w:pPr>
    </w:p>
    <w:p w14:paraId="52C2C29C" w14:textId="77777777" w:rsidR="00900D54" w:rsidRDefault="00900D54" w:rsidP="00064B2A">
      <w:pPr>
        <w:autoSpaceDE w:val="0"/>
        <w:autoSpaceDN w:val="0"/>
        <w:rPr>
          <w:rFonts w:asciiTheme="minorHAnsi" w:hAnsiTheme="minorHAnsi" w:cstheme="minorHAnsi"/>
          <w:b/>
          <w:bCs/>
          <w:color w:val="000000"/>
          <w:u w:val="single"/>
        </w:rPr>
      </w:pPr>
    </w:p>
    <w:p w14:paraId="5FBD6806" w14:textId="77777777" w:rsidR="00900D54" w:rsidRPr="00900D54" w:rsidRDefault="00900D54" w:rsidP="00900D54">
      <w:pPr>
        <w:autoSpaceDE w:val="0"/>
        <w:autoSpaceDN w:val="0"/>
        <w:rPr>
          <w:rFonts w:asciiTheme="minorHAnsi" w:hAnsiTheme="minorHAnsi" w:cstheme="minorHAnsi"/>
          <w:b/>
          <w:bCs/>
          <w:color w:val="000000"/>
          <w:u w:val="single"/>
        </w:rPr>
      </w:pPr>
      <w:r w:rsidRPr="00900D54">
        <w:rPr>
          <w:rFonts w:asciiTheme="minorHAnsi" w:hAnsiTheme="minorHAnsi" w:cstheme="minorHAnsi"/>
          <w:b/>
          <w:bCs/>
          <w:color w:val="000000"/>
          <w:u w:val="single"/>
        </w:rPr>
        <w:t xml:space="preserve">Cryptosporidiosis </w:t>
      </w:r>
    </w:p>
    <w:p w14:paraId="13F51E11" w14:textId="004C997B" w:rsidR="00900D54" w:rsidRDefault="00900D54" w:rsidP="00900D54">
      <w:pPr>
        <w:autoSpaceDE w:val="0"/>
        <w:autoSpaceDN w:val="0"/>
        <w:rPr>
          <w:rFonts w:asciiTheme="minorHAnsi" w:hAnsiTheme="minorHAnsi" w:cstheme="minorHAnsi"/>
          <w:color w:val="000000"/>
        </w:rPr>
      </w:pPr>
      <w:r w:rsidRPr="00900D54">
        <w:rPr>
          <w:rFonts w:asciiTheme="minorHAnsi" w:hAnsiTheme="minorHAnsi" w:cstheme="minorHAnsi"/>
          <w:color w:val="000000"/>
        </w:rPr>
        <w:t xml:space="preserve">Cryptosporidiosis is a parasitic infection that commonly presents as gastroenteritis. In the past 12 months (13 May 2023 – 12 May 2024), there have been 12,933 cases of cryptosporidiosis reported to the National Notifiable Diseases Surveillance System (NNDSS), which is 5.7 times higher than the historical five-year mean (n=2,281). In the past 3 months (13 February 2024 – 12 May 2024), there have been 8,144 cases of cryptosporidiosis reported to the NNDSS, which is 10.8 times higher than the historical five-year mean for this period (n=754). The increase in notifications in the past 3 months is largely driven by increased notifications in NSW, </w:t>
      </w:r>
      <w:proofErr w:type="gramStart"/>
      <w:r w:rsidRPr="00900D54">
        <w:rPr>
          <w:rFonts w:asciiTheme="minorHAnsi" w:hAnsiTheme="minorHAnsi" w:cstheme="minorHAnsi"/>
          <w:color w:val="000000"/>
        </w:rPr>
        <w:t>QLD</w:t>
      </w:r>
      <w:proofErr w:type="gramEnd"/>
      <w:r w:rsidRPr="00900D54">
        <w:rPr>
          <w:rFonts w:asciiTheme="minorHAnsi" w:hAnsiTheme="minorHAnsi" w:cstheme="minorHAnsi"/>
          <w:color w:val="000000"/>
        </w:rPr>
        <w:t xml:space="preserve"> and VIC. In this reporting period (29 April 2024 – 12 May 2024) 819 cases of cryptosporidiosis have been notified (302 in QLD, 240 in NSW, 150 in VIC, 62 in WA, 47 in SA, 14 in ACT, 3 in TAS, and 1 in NT). Cryptosporidiosis is commonly acquired by swimming </w:t>
      </w:r>
      <w:proofErr w:type="gramStart"/>
      <w:r w:rsidRPr="00900D54">
        <w:rPr>
          <w:rFonts w:asciiTheme="minorHAnsi" w:hAnsiTheme="minorHAnsi" w:cstheme="minorHAnsi"/>
          <w:color w:val="000000"/>
        </w:rPr>
        <w:t>in</w:t>
      </w:r>
      <w:proofErr w:type="gramEnd"/>
      <w:r w:rsidRPr="00900D54">
        <w:rPr>
          <w:rFonts w:asciiTheme="minorHAnsi" w:hAnsiTheme="minorHAnsi" w:cstheme="minorHAnsi"/>
          <w:color w:val="000000"/>
        </w:rPr>
        <w:t xml:space="preserve"> and swallowing water contaminated with cryptosporidium parasites including swimming pools, water parks, estuaries and inland waterways. The reason for the increase compared to historical periods is unclear but may be related to patterns in temperature and rainfall.</w:t>
      </w:r>
    </w:p>
    <w:p w14:paraId="55A284D1" w14:textId="77777777" w:rsidR="007E648E" w:rsidRDefault="007E648E" w:rsidP="00900D54">
      <w:pPr>
        <w:autoSpaceDE w:val="0"/>
        <w:autoSpaceDN w:val="0"/>
        <w:rPr>
          <w:rFonts w:asciiTheme="minorHAnsi" w:hAnsiTheme="minorHAnsi" w:cstheme="minorHAnsi"/>
          <w:color w:val="000000"/>
        </w:rPr>
      </w:pPr>
    </w:p>
    <w:p w14:paraId="71AF68F9" w14:textId="77777777" w:rsidR="007E648E" w:rsidRDefault="007E648E" w:rsidP="00900D54">
      <w:pPr>
        <w:autoSpaceDE w:val="0"/>
        <w:autoSpaceDN w:val="0"/>
        <w:rPr>
          <w:rFonts w:asciiTheme="minorHAnsi" w:hAnsiTheme="minorHAnsi" w:cstheme="minorHAnsi"/>
          <w:color w:val="000000"/>
        </w:rPr>
      </w:pPr>
    </w:p>
    <w:p w14:paraId="406B486C" w14:textId="7E6F68FC" w:rsidR="007E648E" w:rsidRPr="007E648E" w:rsidRDefault="007E648E" w:rsidP="00900D54">
      <w:pPr>
        <w:autoSpaceDE w:val="0"/>
        <w:autoSpaceDN w:val="0"/>
        <w:rPr>
          <w:rFonts w:asciiTheme="minorHAnsi" w:hAnsiTheme="minorHAnsi" w:cstheme="minorHAnsi"/>
          <w:b/>
          <w:bCs/>
          <w:color w:val="000000"/>
          <w:u w:val="single"/>
        </w:rPr>
      </w:pPr>
      <w:r>
        <w:rPr>
          <w:rFonts w:asciiTheme="minorHAnsi" w:hAnsiTheme="minorHAnsi" w:cstheme="minorHAnsi"/>
          <w:b/>
          <w:bCs/>
          <w:color w:val="000000"/>
          <w:u w:val="single"/>
        </w:rPr>
        <w:t>Pertussis</w:t>
      </w:r>
    </w:p>
    <w:p w14:paraId="5DCE3332" w14:textId="77777777" w:rsidR="007E648E" w:rsidRPr="007E648E" w:rsidRDefault="007E648E" w:rsidP="007E648E">
      <w:pPr>
        <w:autoSpaceDE w:val="0"/>
        <w:autoSpaceDN w:val="0"/>
        <w:rPr>
          <w:rFonts w:asciiTheme="minorHAnsi" w:hAnsiTheme="minorHAnsi" w:cstheme="minorHAnsi"/>
          <w:color w:val="000000"/>
        </w:rPr>
      </w:pPr>
      <w:r w:rsidRPr="007E648E">
        <w:rPr>
          <w:rFonts w:asciiTheme="minorHAnsi" w:hAnsiTheme="minorHAnsi" w:cstheme="minorHAnsi"/>
          <w:color w:val="000000"/>
        </w:rPr>
        <w:t xml:space="preserve">Between Monday 1 January 2024 and Monday 20 May 2024 there have been 6,228 cases of pertussis </w:t>
      </w:r>
      <w:proofErr w:type="spellStart"/>
      <w:r w:rsidRPr="007E648E">
        <w:rPr>
          <w:rFonts w:asciiTheme="minorHAnsi" w:hAnsiTheme="minorHAnsi" w:cstheme="minorHAnsi"/>
          <w:color w:val="000000"/>
        </w:rPr>
        <w:t>notitied</w:t>
      </w:r>
      <w:proofErr w:type="spellEnd"/>
      <w:r w:rsidRPr="007E648E">
        <w:rPr>
          <w:rFonts w:asciiTheme="minorHAnsi" w:hAnsiTheme="minorHAnsi" w:cstheme="minorHAnsi"/>
          <w:color w:val="000000"/>
        </w:rPr>
        <w:t xml:space="preserve"> in Australia. There were 2,447 notifications of pertussis reported in 2023. </w:t>
      </w:r>
    </w:p>
    <w:p w14:paraId="4A8EDBB5" w14:textId="77777777" w:rsidR="007E648E" w:rsidRPr="007E648E" w:rsidRDefault="007E648E" w:rsidP="007E648E">
      <w:pPr>
        <w:autoSpaceDE w:val="0"/>
        <w:autoSpaceDN w:val="0"/>
        <w:rPr>
          <w:rFonts w:asciiTheme="minorHAnsi" w:hAnsiTheme="minorHAnsi" w:cstheme="minorHAnsi"/>
          <w:color w:val="000000"/>
        </w:rPr>
      </w:pPr>
    </w:p>
    <w:p w14:paraId="658F80B9" w14:textId="77777777" w:rsidR="007E648E" w:rsidRPr="007E648E" w:rsidRDefault="007E648E" w:rsidP="007E648E">
      <w:pPr>
        <w:autoSpaceDE w:val="0"/>
        <w:autoSpaceDN w:val="0"/>
        <w:rPr>
          <w:rFonts w:asciiTheme="minorHAnsi" w:hAnsiTheme="minorHAnsi" w:cstheme="minorHAnsi"/>
          <w:color w:val="000000"/>
        </w:rPr>
      </w:pPr>
      <w:r w:rsidRPr="007E648E">
        <w:rPr>
          <w:rFonts w:asciiTheme="minorHAnsi" w:hAnsiTheme="minorHAnsi" w:cstheme="minorHAnsi"/>
          <w:color w:val="000000"/>
        </w:rPr>
        <w:t xml:space="preserve">Notifications of pertussis began increasing from quarter 2 of 2023 in Australia after a few years of limited circulation in Australia, particularly during the COVID-19 pandemic.  </w:t>
      </w:r>
    </w:p>
    <w:p w14:paraId="4D4A2E78" w14:textId="77777777" w:rsidR="007E648E" w:rsidRPr="007E648E" w:rsidRDefault="007E648E" w:rsidP="007E648E">
      <w:pPr>
        <w:autoSpaceDE w:val="0"/>
        <w:autoSpaceDN w:val="0"/>
        <w:rPr>
          <w:rFonts w:asciiTheme="minorHAnsi" w:hAnsiTheme="minorHAnsi" w:cstheme="minorHAnsi"/>
          <w:color w:val="000000"/>
        </w:rPr>
      </w:pPr>
    </w:p>
    <w:p w14:paraId="31E595B3" w14:textId="0B4965C7" w:rsidR="007E648E" w:rsidRPr="007E648E" w:rsidRDefault="007E648E" w:rsidP="007E648E">
      <w:pPr>
        <w:autoSpaceDE w:val="0"/>
        <w:autoSpaceDN w:val="0"/>
        <w:rPr>
          <w:rFonts w:asciiTheme="minorHAnsi" w:hAnsiTheme="minorHAnsi" w:cstheme="minorHAnsi"/>
          <w:color w:val="000000"/>
        </w:rPr>
      </w:pPr>
      <w:r w:rsidRPr="007E648E">
        <w:rPr>
          <w:rFonts w:asciiTheme="minorHAnsi" w:hAnsiTheme="minorHAnsi" w:cstheme="minorHAnsi"/>
          <w:color w:val="000000"/>
        </w:rPr>
        <w:t xml:space="preserve">Weekly notifications continued to increase in 2024 peaking in week 18. In the most recent fortnight (weeks 19-20), a 11% decrease has been observed compared to the previous fortnight. Caution is required as data for the recent week may be incomplete.  </w:t>
      </w:r>
    </w:p>
    <w:p w14:paraId="4FACC147" w14:textId="77777777" w:rsidR="007E648E" w:rsidRPr="007E648E" w:rsidRDefault="007E648E" w:rsidP="007E648E">
      <w:pPr>
        <w:autoSpaceDE w:val="0"/>
        <w:autoSpaceDN w:val="0"/>
        <w:rPr>
          <w:rFonts w:asciiTheme="minorHAnsi" w:hAnsiTheme="minorHAnsi" w:cstheme="minorHAnsi"/>
          <w:color w:val="000000"/>
        </w:rPr>
      </w:pPr>
    </w:p>
    <w:p w14:paraId="43BA3E8F" w14:textId="1260F25A" w:rsidR="007E648E" w:rsidRPr="00900D54" w:rsidRDefault="007E648E" w:rsidP="007E648E">
      <w:pPr>
        <w:autoSpaceDE w:val="0"/>
        <w:autoSpaceDN w:val="0"/>
        <w:rPr>
          <w:rFonts w:asciiTheme="minorHAnsi" w:hAnsiTheme="minorHAnsi" w:cstheme="minorHAnsi"/>
          <w:color w:val="000000"/>
        </w:rPr>
      </w:pPr>
      <w:r w:rsidRPr="007E648E">
        <w:rPr>
          <w:rFonts w:asciiTheme="minorHAnsi" w:hAnsiTheme="minorHAnsi" w:cstheme="minorHAnsi"/>
          <w:color w:val="000000"/>
        </w:rPr>
        <w:t xml:space="preserve">The increase in 2024 is driven by Queensland and New South Wales, with notifications from Queensland making up 45.3% of notifications. Children aged 10-19 years represent the highest notification rate followed by children aged 5-9 years.   </w:t>
      </w:r>
    </w:p>
    <w:p w14:paraId="36AD1476" w14:textId="77777777" w:rsidR="00900D54" w:rsidRDefault="00900D54" w:rsidP="00064B2A">
      <w:pPr>
        <w:autoSpaceDE w:val="0"/>
        <w:autoSpaceDN w:val="0"/>
        <w:rPr>
          <w:rFonts w:asciiTheme="minorHAnsi" w:hAnsiTheme="minorHAnsi" w:cstheme="minorHAnsi"/>
          <w:b/>
          <w:bCs/>
          <w:color w:val="000000"/>
          <w:u w:val="single"/>
        </w:rPr>
      </w:pPr>
    </w:p>
    <w:p w14:paraId="6F716E7D" w14:textId="77777777" w:rsidR="00ED21CE" w:rsidRDefault="00ED21CE" w:rsidP="00064B2A">
      <w:pPr>
        <w:autoSpaceDE w:val="0"/>
        <w:autoSpaceDN w:val="0"/>
        <w:rPr>
          <w:rFonts w:asciiTheme="minorHAnsi" w:hAnsiTheme="minorHAnsi" w:cstheme="minorHAnsi"/>
          <w:b/>
          <w:bCs/>
          <w:color w:val="000000"/>
          <w:u w:val="single"/>
        </w:rPr>
      </w:pPr>
    </w:p>
    <w:p w14:paraId="2E341299" w14:textId="5C19B185" w:rsidR="00064B2A" w:rsidRDefault="00064B2A" w:rsidP="00064B2A">
      <w:pPr>
        <w:autoSpaceDE w:val="0"/>
        <w:autoSpaceDN w:val="0"/>
        <w:rPr>
          <w:rFonts w:asciiTheme="minorHAnsi" w:hAnsiTheme="minorHAnsi" w:cstheme="minorHAnsi"/>
          <w:color w:val="0563C2"/>
          <w:sz w:val="23"/>
          <w:szCs w:val="23"/>
        </w:rPr>
      </w:pPr>
    </w:p>
    <w:p w14:paraId="15978A89" w14:textId="77777777" w:rsidR="00C37A92" w:rsidRPr="0088321F" w:rsidRDefault="00C37A92" w:rsidP="00C37A92">
      <w:pPr>
        <w:keepNext/>
        <w:outlineLvl w:val="0"/>
        <w:rPr>
          <w:rFonts w:asciiTheme="minorHAnsi" w:hAnsiTheme="minorHAnsi" w:cstheme="minorHAnsi"/>
          <w:b/>
          <w:i/>
          <w:sz w:val="16"/>
          <w:szCs w:val="16"/>
          <w:u w:val="single"/>
        </w:rPr>
      </w:pPr>
      <w:r w:rsidRPr="0088321F">
        <w:rPr>
          <w:rFonts w:asciiTheme="minorHAnsi" w:hAnsiTheme="minorHAnsi" w:cstheme="minorHAnsi"/>
          <w:b/>
          <w:i/>
          <w:sz w:val="16"/>
          <w:szCs w:val="16"/>
          <w:u w:val="single"/>
        </w:rPr>
        <w:t xml:space="preserve">Interpretative Notes </w:t>
      </w:r>
    </w:p>
    <w:bookmarkEnd w:id="3"/>
    <w:bookmarkEnd w:id="4"/>
    <w:bookmarkEnd w:id="5"/>
    <w:bookmarkEnd w:id="6"/>
    <w:p w14:paraId="71AA7033" w14:textId="77777777" w:rsidR="00017515" w:rsidRPr="001F17CC" w:rsidRDefault="00017515" w:rsidP="00017515">
      <w:pPr>
        <w:spacing w:after="120"/>
        <w:rPr>
          <w:rFonts w:asciiTheme="minorHAnsi" w:hAnsiTheme="minorHAnsi" w:cstheme="minorHAnsi"/>
          <w:i/>
          <w:sz w:val="16"/>
          <w:szCs w:val="16"/>
        </w:rPr>
      </w:pPr>
      <w:r w:rsidRPr="001F17CC">
        <w:rPr>
          <w:rFonts w:asciiTheme="minorHAnsi" w:hAnsiTheme="minorHAnsi" w:cstheme="minorHAnsi"/>
          <w:i/>
          <w:color w:val="000000"/>
          <w:sz w:val="16"/>
          <w:szCs w:val="16"/>
        </w:rPr>
        <w:t xml:space="preserve">Selected diseases are chosen each fortnight based on either exceeding two standard deviations from the 90 day and/or </w:t>
      </w:r>
      <w:proofErr w:type="gramStart"/>
      <w:r w:rsidRPr="001F17CC">
        <w:rPr>
          <w:rFonts w:asciiTheme="minorHAnsi" w:hAnsiTheme="minorHAnsi" w:cstheme="minorHAnsi"/>
          <w:i/>
          <w:color w:val="000000"/>
          <w:sz w:val="16"/>
          <w:szCs w:val="16"/>
        </w:rPr>
        <w:t>365 day</w:t>
      </w:r>
      <w:proofErr w:type="gramEnd"/>
      <w:r w:rsidRPr="001F17CC">
        <w:rPr>
          <w:rFonts w:asciiTheme="minorHAnsi" w:hAnsiTheme="minorHAnsi" w:cstheme="minorHAnsi"/>
          <w:i/>
          <w:color w:val="000000"/>
          <w:sz w:val="16"/>
          <w:szCs w:val="16"/>
        </w:rPr>
        <w:t xml:space="preserve"> five year rolling mean or other disease issues of significance identified during the reporting period.  </w:t>
      </w:r>
      <w:r w:rsidRPr="001F17CC">
        <w:rPr>
          <w:rFonts w:asciiTheme="minorHAnsi" w:hAnsiTheme="minorHAnsi" w:cstheme="minorHAnsi"/>
          <w:i/>
          <w:sz w:val="16"/>
          <w:szCs w:val="16"/>
        </w:rPr>
        <w:t>All diseases reported are analysed by notification receive date.  Data are extracted each Monday of a CDNA week.</w:t>
      </w:r>
    </w:p>
    <w:p w14:paraId="329F4AD7" w14:textId="77777777" w:rsidR="00017515" w:rsidRPr="001F17CC" w:rsidRDefault="00017515" w:rsidP="00017515">
      <w:pPr>
        <w:autoSpaceDE w:val="0"/>
        <w:autoSpaceDN w:val="0"/>
        <w:adjustRightInd w:val="0"/>
        <w:spacing w:after="120"/>
        <w:rPr>
          <w:rFonts w:asciiTheme="minorHAnsi" w:hAnsiTheme="minorHAnsi" w:cstheme="minorHAnsi"/>
          <w:i/>
          <w:iCs/>
          <w:color w:val="000000"/>
          <w:sz w:val="16"/>
          <w:szCs w:val="16"/>
        </w:rPr>
      </w:pPr>
      <w:r w:rsidRPr="001F17CC">
        <w:rPr>
          <w:rFonts w:asciiTheme="minorHAnsi" w:hAnsiTheme="minorHAnsi" w:cstheme="minorHAnsi"/>
          <w:i/>
          <w:iCs/>
          <w:color w:val="000000"/>
          <w:sz w:val="16"/>
          <w:szCs w:val="16"/>
        </w:rPr>
        <w:t>Totals comprise data from all States and Territories.  Cumulative figures are subject to retrospective revision so there may be discrepancies between the number of new notifications and the increment in the cumulative figure from the previous period.</w:t>
      </w:r>
    </w:p>
    <w:p w14:paraId="2406ECC1" w14:textId="018A02D3" w:rsidR="00017515" w:rsidRPr="001F17CC" w:rsidRDefault="00017515" w:rsidP="00017515">
      <w:pPr>
        <w:autoSpaceDE w:val="0"/>
        <w:autoSpaceDN w:val="0"/>
        <w:adjustRightInd w:val="0"/>
        <w:spacing w:after="120"/>
        <w:rPr>
          <w:rFonts w:asciiTheme="minorHAnsi" w:hAnsiTheme="minorHAnsi" w:cstheme="minorHAnsi"/>
          <w:i/>
          <w:sz w:val="16"/>
          <w:szCs w:val="16"/>
        </w:rPr>
      </w:pPr>
      <w:r w:rsidRPr="001F17CC">
        <w:rPr>
          <w:rFonts w:asciiTheme="minorHAnsi" w:hAnsiTheme="minorHAnsi" w:cstheme="minorHAnsi"/>
          <w:i/>
          <w:sz w:val="16"/>
          <w:szCs w:val="16"/>
          <w:vertAlign w:val="superscript"/>
        </w:rPr>
        <w:t>1</w:t>
      </w:r>
      <w:r w:rsidRPr="001F17CC">
        <w:rPr>
          <w:rFonts w:asciiTheme="minorHAnsi" w:hAnsiTheme="minorHAnsi" w:cstheme="minorHAnsi"/>
          <w:i/>
          <w:sz w:val="16"/>
          <w:szCs w:val="16"/>
        </w:rPr>
        <w:t>The past quarter (90 day) surveillance period includes the date range (</w:t>
      </w:r>
      <w:r w:rsidR="00AF43C7">
        <w:rPr>
          <w:rFonts w:asciiTheme="minorHAnsi" w:hAnsiTheme="minorHAnsi" w:cstheme="minorHAnsi"/>
          <w:i/>
          <w:sz w:val="16"/>
          <w:szCs w:val="16"/>
        </w:rPr>
        <w:t>13/02</w:t>
      </w:r>
      <w:r w:rsidR="0081611F" w:rsidRPr="001F17CC">
        <w:rPr>
          <w:rFonts w:asciiTheme="minorHAnsi" w:hAnsiTheme="minorHAnsi" w:cstheme="minorHAnsi"/>
          <w:i/>
          <w:sz w:val="16"/>
          <w:szCs w:val="16"/>
        </w:rPr>
        <w:t>/20</w:t>
      </w:r>
      <w:r w:rsidR="007F67BA" w:rsidRPr="001F17CC">
        <w:rPr>
          <w:rFonts w:asciiTheme="minorHAnsi" w:hAnsiTheme="minorHAnsi" w:cstheme="minorHAnsi"/>
          <w:i/>
          <w:sz w:val="16"/>
          <w:szCs w:val="16"/>
        </w:rPr>
        <w:t>2</w:t>
      </w:r>
      <w:r w:rsidR="00D1381A" w:rsidRPr="001F17CC">
        <w:rPr>
          <w:rFonts w:asciiTheme="minorHAnsi" w:hAnsiTheme="minorHAnsi" w:cstheme="minorHAnsi"/>
          <w:i/>
          <w:sz w:val="16"/>
          <w:szCs w:val="16"/>
        </w:rPr>
        <w:t>4</w:t>
      </w:r>
      <w:r w:rsidR="0081611F" w:rsidRPr="001F17CC">
        <w:rPr>
          <w:rFonts w:asciiTheme="minorHAnsi" w:hAnsiTheme="minorHAnsi" w:cstheme="minorHAnsi"/>
          <w:i/>
          <w:sz w:val="16"/>
          <w:szCs w:val="16"/>
        </w:rPr>
        <w:t xml:space="preserve"> to</w:t>
      </w:r>
      <w:r w:rsidR="005F4765" w:rsidRPr="001F17CC">
        <w:rPr>
          <w:rFonts w:asciiTheme="minorHAnsi" w:hAnsiTheme="minorHAnsi" w:cstheme="minorHAnsi"/>
          <w:i/>
          <w:sz w:val="16"/>
          <w:szCs w:val="16"/>
        </w:rPr>
        <w:t xml:space="preserve"> </w:t>
      </w:r>
      <w:r w:rsidR="00AF43C7">
        <w:rPr>
          <w:rFonts w:asciiTheme="minorHAnsi" w:hAnsiTheme="minorHAnsi" w:cstheme="minorHAnsi"/>
          <w:i/>
          <w:sz w:val="16"/>
          <w:szCs w:val="16"/>
        </w:rPr>
        <w:t>12/05</w:t>
      </w:r>
      <w:r w:rsidR="009C1059" w:rsidRPr="001F17CC">
        <w:rPr>
          <w:rFonts w:asciiTheme="minorHAnsi" w:hAnsiTheme="minorHAnsi" w:cstheme="minorHAnsi"/>
          <w:i/>
          <w:sz w:val="16"/>
          <w:szCs w:val="16"/>
        </w:rPr>
        <w:t>/20</w:t>
      </w:r>
      <w:r w:rsidR="006A65C0" w:rsidRPr="001F17CC">
        <w:rPr>
          <w:rFonts w:asciiTheme="minorHAnsi" w:hAnsiTheme="minorHAnsi" w:cstheme="minorHAnsi"/>
          <w:i/>
          <w:sz w:val="16"/>
          <w:szCs w:val="16"/>
        </w:rPr>
        <w:t>24</w:t>
      </w:r>
      <w:r w:rsidR="00777AAA" w:rsidRPr="001F17CC">
        <w:rPr>
          <w:rFonts w:asciiTheme="minorHAnsi" w:hAnsiTheme="minorHAnsi" w:cstheme="minorHAnsi"/>
          <w:i/>
          <w:sz w:val="16"/>
          <w:szCs w:val="16"/>
        </w:rPr>
        <w:t>).</w:t>
      </w:r>
    </w:p>
    <w:p w14:paraId="38B56901" w14:textId="3571FD9A" w:rsidR="00017515" w:rsidRPr="001F17CC" w:rsidRDefault="00017515" w:rsidP="00017515">
      <w:pPr>
        <w:autoSpaceDE w:val="0"/>
        <w:autoSpaceDN w:val="0"/>
        <w:adjustRightInd w:val="0"/>
        <w:spacing w:after="120"/>
        <w:rPr>
          <w:rFonts w:asciiTheme="minorHAnsi" w:hAnsiTheme="minorHAnsi" w:cstheme="minorHAnsi"/>
          <w:i/>
          <w:sz w:val="16"/>
          <w:szCs w:val="16"/>
        </w:rPr>
      </w:pPr>
      <w:r w:rsidRPr="001F17CC">
        <w:rPr>
          <w:rFonts w:asciiTheme="minorHAnsi" w:hAnsiTheme="minorHAnsi" w:cstheme="minorHAnsi"/>
          <w:i/>
          <w:sz w:val="16"/>
          <w:szCs w:val="16"/>
          <w:vertAlign w:val="superscript"/>
        </w:rPr>
        <w:t>2</w:t>
      </w:r>
      <w:r w:rsidRPr="001F17CC">
        <w:rPr>
          <w:rFonts w:asciiTheme="minorHAnsi" w:hAnsiTheme="minorHAnsi" w:cstheme="minorHAnsi"/>
          <w:i/>
          <w:sz w:val="16"/>
          <w:szCs w:val="16"/>
        </w:rPr>
        <w:t xml:space="preserve">The quarterly (90 day) five year rolling mean is the average </w:t>
      </w:r>
      <w:r w:rsidR="00D26EE8" w:rsidRPr="001F17CC">
        <w:rPr>
          <w:rFonts w:asciiTheme="minorHAnsi" w:hAnsiTheme="minorHAnsi" w:cstheme="minorHAnsi"/>
          <w:i/>
          <w:sz w:val="16"/>
          <w:szCs w:val="16"/>
        </w:rPr>
        <w:t>of</w:t>
      </w:r>
      <w:r w:rsidR="00CA37B4" w:rsidRPr="001F17CC">
        <w:rPr>
          <w:rFonts w:asciiTheme="minorHAnsi" w:hAnsiTheme="minorHAnsi" w:cstheme="minorHAnsi"/>
          <w:i/>
          <w:sz w:val="16"/>
          <w:szCs w:val="16"/>
        </w:rPr>
        <w:t xml:space="preserve"> 5 intervals of 90 days up to</w:t>
      </w:r>
      <w:r w:rsidR="003603F7" w:rsidRPr="001F17CC">
        <w:rPr>
          <w:rFonts w:asciiTheme="minorHAnsi" w:hAnsiTheme="minorHAnsi" w:cstheme="minorHAnsi"/>
          <w:i/>
          <w:sz w:val="16"/>
          <w:szCs w:val="16"/>
        </w:rPr>
        <w:t xml:space="preserve"> </w:t>
      </w:r>
      <w:r w:rsidR="00AF43C7">
        <w:rPr>
          <w:rFonts w:asciiTheme="minorHAnsi" w:hAnsiTheme="minorHAnsi" w:cstheme="minorHAnsi"/>
          <w:i/>
          <w:sz w:val="16"/>
          <w:szCs w:val="16"/>
        </w:rPr>
        <w:t>12/05</w:t>
      </w:r>
      <w:r w:rsidR="00AF43C7" w:rsidRPr="001F17CC">
        <w:rPr>
          <w:rFonts w:asciiTheme="minorHAnsi" w:hAnsiTheme="minorHAnsi" w:cstheme="minorHAnsi"/>
          <w:i/>
          <w:sz w:val="16"/>
          <w:szCs w:val="16"/>
        </w:rPr>
        <w:t>/2024</w:t>
      </w:r>
      <w:r w:rsidRPr="001F17CC">
        <w:rPr>
          <w:rFonts w:asciiTheme="minorHAnsi" w:hAnsiTheme="minorHAnsi" w:cstheme="minorHAnsi"/>
          <w:i/>
          <w:sz w:val="16"/>
          <w:szCs w:val="16"/>
        </w:rPr>
        <w:t xml:space="preserve">.  The ratio is the notification activity in the past quarter (90 days) compared with the </w:t>
      </w:r>
      <w:proofErr w:type="gramStart"/>
      <w:r w:rsidRPr="001F17CC">
        <w:rPr>
          <w:rFonts w:asciiTheme="minorHAnsi" w:hAnsiTheme="minorHAnsi" w:cstheme="minorHAnsi"/>
          <w:i/>
          <w:sz w:val="16"/>
          <w:szCs w:val="16"/>
        </w:rPr>
        <w:t>five year</w:t>
      </w:r>
      <w:proofErr w:type="gramEnd"/>
      <w:r w:rsidRPr="001F17CC">
        <w:rPr>
          <w:rFonts w:asciiTheme="minorHAnsi" w:hAnsiTheme="minorHAnsi" w:cstheme="minorHAnsi"/>
          <w:i/>
          <w:sz w:val="16"/>
          <w:szCs w:val="16"/>
        </w:rPr>
        <w:t xml:space="preserve"> rolling mean for the same period.</w:t>
      </w:r>
    </w:p>
    <w:p w14:paraId="228A0A61" w14:textId="022E8FEA" w:rsidR="00017515" w:rsidRPr="001F17CC" w:rsidRDefault="00017515" w:rsidP="00017515">
      <w:pPr>
        <w:autoSpaceDE w:val="0"/>
        <w:autoSpaceDN w:val="0"/>
        <w:adjustRightInd w:val="0"/>
        <w:spacing w:after="120"/>
        <w:rPr>
          <w:rFonts w:asciiTheme="minorHAnsi" w:hAnsiTheme="minorHAnsi" w:cstheme="minorHAnsi"/>
          <w:i/>
          <w:sz w:val="16"/>
          <w:szCs w:val="16"/>
        </w:rPr>
      </w:pPr>
      <w:r w:rsidRPr="001F17CC">
        <w:rPr>
          <w:rFonts w:asciiTheme="minorHAnsi" w:hAnsiTheme="minorHAnsi" w:cstheme="minorHAnsi"/>
          <w:i/>
          <w:sz w:val="16"/>
          <w:szCs w:val="16"/>
          <w:vertAlign w:val="superscript"/>
        </w:rPr>
        <w:t>3</w:t>
      </w:r>
      <w:r w:rsidRPr="001F17CC">
        <w:rPr>
          <w:rFonts w:asciiTheme="minorHAnsi" w:hAnsiTheme="minorHAnsi" w:cstheme="minorHAnsi"/>
          <w:i/>
          <w:sz w:val="16"/>
          <w:szCs w:val="16"/>
        </w:rPr>
        <w:t xml:space="preserve">The past year (365 day) surveillance period includes the date range </w:t>
      </w:r>
      <w:r w:rsidR="002C38A0" w:rsidRPr="001F17CC">
        <w:rPr>
          <w:rFonts w:asciiTheme="minorHAnsi" w:hAnsiTheme="minorHAnsi" w:cstheme="minorHAnsi"/>
          <w:i/>
          <w:sz w:val="16"/>
          <w:szCs w:val="16"/>
        </w:rPr>
        <w:t>(</w:t>
      </w:r>
      <w:r w:rsidR="00AF43C7">
        <w:rPr>
          <w:rFonts w:asciiTheme="minorHAnsi" w:hAnsiTheme="minorHAnsi" w:cstheme="minorHAnsi"/>
          <w:i/>
          <w:sz w:val="16"/>
          <w:szCs w:val="16"/>
        </w:rPr>
        <w:t>13/05</w:t>
      </w:r>
      <w:r w:rsidR="00421F52" w:rsidRPr="001F17CC">
        <w:rPr>
          <w:rFonts w:asciiTheme="minorHAnsi" w:hAnsiTheme="minorHAnsi" w:cstheme="minorHAnsi"/>
          <w:i/>
          <w:sz w:val="16"/>
          <w:szCs w:val="16"/>
        </w:rPr>
        <w:t>/</w:t>
      </w:r>
      <w:r w:rsidR="009C1059" w:rsidRPr="001F17CC">
        <w:rPr>
          <w:rFonts w:asciiTheme="minorHAnsi" w:hAnsiTheme="minorHAnsi" w:cstheme="minorHAnsi"/>
          <w:i/>
          <w:sz w:val="16"/>
          <w:szCs w:val="16"/>
        </w:rPr>
        <w:t>202</w:t>
      </w:r>
      <w:r w:rsidR="006A65C0" w:rsidRPr="001F17CC">
        <w:rPr>
          <w:rFonts w:asciiTheme="minorHAnsi" w:hAnsiTheme="minorHAnsi" w:cstheme="minorHAnsi"/>
          <w:i/>
          <w:sz w:val="16"/>
          <w:szCs w:val="16"/>
        </w:rPr>
        <w:t>3</w:t>
      </w:r>
      <w:r w:rsidR="00493076" w:rsidRPr="001F17CC">
        <w:rPr>
          <w:rFonts w:asciiTheme="minorHAnsi" w:hAnsiTheme="minorHAnsi" w:cstheme="minorHAnsi"/>
          <w:i/>
          <w:sz w:val="16"/>
          <w:szCs w:val="16"/>
        </w:rPr>
        <w:t xml:space="preserve"> to</w:t>
      </w:r>
      <w:r w:rsidR="00EA74EE" w:rsidRPr="001F17CC">
        <w:rPr>
          <w:rFonts w:asciiTheme="minorHAnsi" w:hAnsiTheme="minorHAnsi" w:cstheme="minorHAnsi"/>
          <w:i/>
          <w:sz w:val="16"/>
          <w:szCs w:val="16"/>
        </w:rPr>
        <w:t xml:space="preserve"> </w:t>
      </w:r>
      <w:r w:rsidR="00AF43C7">
        <w:rPr>
          <w:rFonts w:asciiTheme="minorHAnsi" w:hAnsiTheme="minorHAnsi" w:cstheme="minorHAnsi"/>
          <w:i/>
          <w:sz w:val="16"/>
          <w:szCs w:val="16"/>
        </w:rPr>
        <w:t>12/05</w:t>
      </w:r>
      <w:r w:rsidR="00AF43C7" w:rsidRPr="001F17CC">
        <w:rPr>
          <w:rFonts w:asciiTheme="minorHAnsi" w:hAnsiTheme="minorHAnsi" w:cstheme="minorHAnsi"/>
          <w:i/>
          <w:sz w:val="16"/>
          <w:szCs w:val="16"/>
        </w:rPr>
        <w:t>/2024</w:t>
      </w:r>
      <w:r w:rsidR="002C38A0" w:rsidRPr="001F17CC">
        <w:rPr>
          <w:rFonts w:asciiTheme="minorHAnsi" w:hAnsiTheme="minorHAnsi" w:cstheme="minorHAnsi"/>
          <w:i/>
          <w:sz w:val="16"/>
          <w:szCs w:val="16"/>
        </w:rPr>
        <w:t>).</w:t>
      </w:r>
    </w:p>
    <w:p w14:paraId="24BCFBDD" w14:textId="57209F56" w:rsidR="00017515" w:rsidRPr="001F17CC" w:rsidRDefault="00017515" w:rsidP="00017515">
      <w:pPr>
        <w:autoSpaceDE w:val="0"/>
        <w:autoSpaceDN w:val="0"/>
        <w:adjustRightInd w:val="0"/>
        <w:spacing w:after="120"/>
        <w:rPr>
          <w:rFonts w:asciiTheme="minorHAnsi" w:hAnsiTheme="minorHAnsi" w:cstheme="minorHAnsi"/>
          <w:i/>
          <w:sz w:val="16"/>
          <w:szCs w:val="16"/>
        </w:rPr>
      </w:pPr>
      <w:r w:rsidRPr="001F17CC">
        <w:rPr>
          <w:rFonts w:asciiTheme="minorHAnsi" w:hAnsiTheme="minorHAnsi" w:cstheme="minorHAnsi"/>
          <w:i/>
          <w:sz w:val="16"/>
          <w:szCs w:val="16"/>
          <w:vertAlign w:val="superscript"/>
        </w:rPr>
        <w:t>4</w:t>
      </w:r>
      <w:r w:rsidRPr="001F17CC">
        <w:rPr>
          <w:rFonts w:asciiTheme="minorHAnsi" w:hAnsiTheme="minorHAnsi" w:cstheme="minorHAnsi"/>
          <w:i/>
          <w:sz w:val="16"/>
          <w:szCs w:val="16"/>
        </w:rPr>
        <w:t>The yearly (365 day) five year rolling mean is the average o</w:t>
      </w:r>
      <w:r w:rsidR="007F67BA" w:rsidRPr="001F17CC">
        <w:rPr>
          <w:rFonts w:asciiTheme="minorHAnsi" w:hAnsiTheme="minorHAnsi" w:cstheme="minorHAnsi"/>
          <w:i/>
          <w:sz w:val="16"/>
          <w:szCs w:val="16"/>
        </w:rPr>
        <w:t xml:space="preserve">f </w:t>
      </w:r>
      <w:r w:rsidR="00CA37B4" w:rsidRPr="001F17CC">
        <w:rPr>
          <w:rFonts w:asciiTheme="minorHAnsi" w:hAnsiTheme="minorHAnsi" w:cstheme="minorHAnsi"/>
          <w:i/>
          <w:sz w:val="16"/>
          <w:szCs w:val="16"/>
        </w:rPr>
        <w:t>5 intervals of 365 days up to</w:t>
      </w:r>
      <w:r w:rsidR="00A13BC6" w:rsidRPr="001F17CC">
        <w:rPr>
          <w:rFonts w:asciiTheme="minorHAnsi" w:hAnsiTheme="minorHAnsi" w:cstheme="minorHAnsi"/>
          <w:i/>
          <w:sz w:val="16"/>
          <w:szCs w:val="16"/>
        </w:rPr>
        <w:t xml:space="preserve"> </w:t>
      </w:r>
      <w:r w:rsidR="00AF43C7">
        <w:rPr>
          <w:rFonts w:asciiTheme="minorHAnsi" w:hAnsiTheme="minorHAnsi" w:cstheme="minorHAnsi"/>
          <w:i/>
          <w:sz w:val="16"/>
          <w:szCs w:val="16"/>
        </w:rPr>
        <w:t>12/05</w:t>
      </w:r>
      <w:r w:rsidR="00AF43C7" w:rsidRPr="001F17CC">
        <w:rPr>
          <w:rFonts w:asciiTheme="minorHAnsi" w:hAnsiTheme="minorHAnsi" w:cstheme="minorHAnsi"/>
          <w:i/>
          <w:sz w:val="16"/>
          <w:szCs w:val="16"/>
        </w:rPr>
        <w:t>/2024</w:t>
      </w:r>
      <w:r w:rsidR="002C38A0" w:rsidRPr="001F17CC">
        <w:rPr>
          <w:rFonts w:asciiTheme="minorHAnsi" w:hAnsiTheme="minorHAnsi" w:cstheme="minorHAnsi"/>
          <w:i/>
          <w:sz w:val="16"/>
          <w:szCs w:val="16"/>
        </w:rPr>
        <w:t>.</w:t>
      </w:r>
      <w:r w:rsidR="00777AAA" w:rsidRPr="001F17CC">
        <w:rPr>
          <w:rFonts w:asciiTheme="minorHAnsi" w:hAnsiTheme="minorHAnsi" w:cstheme="minorHAnsi"/>
          <w:i/>
          <w:sz w:val="16"/>
          <w:szCs w:val="16"/>
        </w:rPr>
        <w:t xml:space="preserve"> </w:t>
      </w:r>
      <w:r w:rsidRPr="001F17CC">
        <w:rPr>
          <w:rFonts w:asciiTheme="minorHAnsi" w:hAnsiTheme="minorHAnsi" w:cstheme="minorHAnsi"/>
          <w:i/>
          <w:sz w:val="16"/>
          <w:szCs w:val="16"/>
        </w:rPr>
        <w:t xml:space="preserve">The ratio is the notification activity in the past year (365 days) compared with the </w:t>
      </w:r>
      <w:proofErr w:type="gramStart"/>
      <w:r w:rsidRPr="001F17CC">
        <w:rPr>
          <w:rFonts w:asciiTheme="minorHAnsi" w:hAnsiTheme="minorHAnsi" w:cstheme="minorHAnsi"/>
          <w:i/>
          <w:sz w:val="16"/>
          <w:szCs w:val="16"/>
        </w:rPr>
        <w:t>five year</w:t>
      </w:r>
      <w:proofErr w:type="gramEnd"/>
      <w:r w:rsidRPr="001F17CC">
        <w:rPr>
          <w:rFonts w:asciiTheme="minorHAnsi" w:hAnsiTheme="minorHAnsi" w:cstheme="minorHAnsi"/>
          <w:i/>
          <w:sz w:val="16"/>
          <w:szCs w:val="16"/>
        </w:rPr>
        <w:t xml:space="preserve"> rolling mean for the same period.</w:t>
      </w:r>
    </w:p>
    <w:p w14:paraId="011711D9" w14:textId="77777777" w:rsidR="00745E0F" w:rsidRPr="0088321F" w:rsidRDefault="00017515" w:rsidP="00FB7FEB">
      <w:pPr>
        <w:autoSpaceDE w:val="0"/>
        <w:autoSpaceDN w:val="0"/>
        <w:adjustRightInd w:val="0"/>
        <w:spacing w:after="120"/>
        <w:rPr>
          <w:rFonts w:asciiTheme="minorHAnsi" w:hAnsiTheme="minorHAnsi" w:cstheme="minorHAnsi"/>
          <w:sz w:val="16"/>
          <w:szCs w:val="16"/>
        </w:rPr>
      </w:pPr>
      <w:r w:rsidRPr="001F17CC">
        <w:rPr>
          <w:rFonts w:asciiTheme="minorHAnsi" w:hAnsiTheme="minorHAnsi" w:cstheme="minorHAnsi"/>
          <w:i/>
          <w:sz w:val="16"/>
          <w:szCs w:val="16"/>
        </w:rPr>
        <w:t xml:space="preserve">The </w:t>
      </w:r>
      <w:proofErr w:type="gramStart"/>
      <w:r w:rsidRPr="001F17CC">
        <w:rPr>
          <w:rFonts w:asciiTheme="minorHAnsi" w:hAnsiTheme="minorHAnsi" w:cstheme="minorHAnsi"/>
          <w:i/>
          <w:sz w:val="16"/>
          <w:szCs w:val="16"/>
        </w:rPr>
        <w:t>five year</w:t>
      </w:r>
      <w:proofErr w:type="gramEnd"/>
      <w:r w:rsidRPr="001F17CC">
        <w:rPr>
          <w:rFonts w:asciiTheme="minorHAnsi" w:hAnsiTheme="minorHAnsi" w:cstheme="minorHAnsi"/>
          <w:i/>
          <w:sz w:val="16"/>
          <w:szCs w:val="16"/>
        </w:rPr>
        <w:t xml:space="preserve"> rolling mean and the ratio of notifications compared with the five year rolling mean should be interpreted with caution.  Changes in surveillance practice, diagnostic techniques and reporting may contribute to increases or decreases in the total notifications received over a </w:t>
      </w:r>
      <w:proofErr w:type="gramStart"/>
      <w:r w:rsidRPr="001F17CC">
        <w:rPr>
          <w:rFonts w:asciiTheme="minorHAnsi" w:hAnsiTheme="minorHAnsi" w:cstheme="minorHAnsi"/>
          <w:i/>
          <w:sz w:val="16"/>
          <w:szCs w:val="16"/>
        </w:rPr>
        <w:t>five year</w:t>
      </w:r>
      <w:proofErr w:type="gramEnd"/>
      <w:r w:rsidRPr="001F17CC">
        <w:rPr>
          <w:rFonts w:asciiTheme="minorHAnsi" w:hAnsiTheme="minorHAnsi" w:cstheme="minorHAnsi"/>
          <w:i/>
          <w:sz w:val="16"/>
          <w:szCs w:val="16"/>
        </w:rPr>
        <w:t xml:space="preserve"> period. Ratios are to be taken as a crude measure of current disease activity and may reflect changes in reporting rather than changes in disease activity.</w:t>
      </w:r>
      <w:r w:rsidRPr="0088321F">
        <w:rPr>
          <w:rFonts w:asciiTheme="minorHAnsi" w:hAnsiTheme="minorHAnsi" w:cstheme="minorHAnsi"/>
          <w:i/>
          <w:sz w:val="16"/>
          <w:szCs w:val="16"/>
        </w:rPr>
        <w:t xml:space="preserve"> </w:t>
      </w:r>
    </w:p>
    <w:sectPr w:rsidR="00745E0F" w:rsidRPr="0088321F" w:rsidSect="00B02E68">
      <w:pgSz w:w="11906" w:h="16838"/>
      <w:pgMar w:top="85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769142" w14:textId="77777777" w:rsidR="00686F54" w:rsidRDefault="00686F54">
      <w:r>
        <w:separator/>
      </w:r>
    </w:p>
  </w:endnote>
  <w:endnote w:type="continuationSeparator" w:id="0">
    <w:p w14:paraId="03EAB2F0" w14:textId="77777777" w:rsidR="00686F54" w:rsidRDefault="00686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146D06" w14:textId="77777777" w:rsidR="00686F54" w:rsidRDefault="00686F54">
      <w:r>
        <w:separator/>
      </w:r>
    </w:p>
  </w:footnote>
  <w:footnote w:type="continuationSeparator" w:id="0">
    <w:p w14:paraId="08E91142" w14:textId="77777777" w:rsidR="00686F54" w:rsidRDefault="00686F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4436F4"/>
    <w:multiLevelType w:val="hybridMultilevel"/>
    <w:tmpl w:val="542687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5D9448DD"/>
    <w:multiLevelType w:val="hybridMultilevel"/>
    <w:tmpl w:val="1FAE998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 w15:restartNumberingAfterBreak="0">
    <w:nsid w:val="6B2E1552"/>
    <w:multiLevelType w:val="hybridMultilevel"/>
    <w:tmpl w:val="214A98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787B5B0B"/>
    <w:multiLevelType w:val="hybridMultilevel"/>
    <w:tmpl w:val="8B0231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45385775">
    <w:abstractNumId w:val="2"/>
  </w:num>
  <w:num w:numId="2" w16cid:durableId="1162816864">
    <w:abstractNumId w:val="0"/>
  </w:num>
  <w:num w:numId="3" w16cid:durableId="1496067094">
    <w:abstractNumId w:val="3"/>
  </w:num>
  <w:num w:numId="4" w16cid:durableId="30228586">
    <w:abstractNumId w:val="3"/>
  </w:num>
  <w:num w:numId="5" w16cid:durableId="116663389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6778"/>
    <w:rsid w:val="000005E0"/>
    <w:rsid w:val="00002D01"/>
    <w:rsid w:val="00007329"/>
    <w:rsid w:val="00007611"/>
    <w:rsid w:val="0001253C"/>
    <w:rsid w:val="0001262E"/>
    <w:rsid w:val="00012E7E"/>
    <w:rsid w:val="00015D80"/>
    <w:rsid w:val="00017515"/>
    <w:rsid w:val="00020E2E"/>
    <w:rsid w:val="00022AC9"/>
    <w:rsid w:val="00023382"/>
    <w:rsid w:val="00027876"/>
    <w:rsid w:val="00031B33"/>
    <w:rsid w:val="00037E7F"/>
    <w:rsid w:val="00037FDE"/>
    <w:rsid w:val="00040729"/>
    <w:rsid w:val="00040F92"/>
    <w:rsid w:val="00041D5F"/>
    <w:rsid w:val="0004244C"/>
    <w:rsid w:val="00050AD8"/>
    <w:rsid w:val="000512A4"/>
    <w:rsid w:val="000562A5"/>
    <w:rsid w:val="00057E93"/>
    <w:rsid w:val="00061E17"/>
    <w:rsid w:val="00063B8A"/>
    <w:rsid w:val="00064B2A"/>
    <w:rsid w:val="00064DE0"/>
    <w:rsid w:val="00066394"/>
    <w:rsid w:val="00066A4F"/>
    <w:rsid w:val="00066AFD"/>
    <w:rsid w:val="000706AB"/>
    <w:rsid w:val="000715D8"/>
    <w:rsid w:val="0007286A"/>
    <w:rsid w:val="00072F3E"/>
    <w:rsid w:val="00074B8B"/>
    <w:rsid w:val="00075127"/>
    <w:rsid w:val="000754CB"/>
    <w:rsid w:val="00077925"/>
    <w:rsid w:val="00082C5E"/>
    <w:rsid w:val="00083A67"/>
    <w:rsid w:val="00085B3F"/>
    <w:rsid w:val="00086423"/>
    <w:rsid w:val="00086ACE"/>
    <w:rsid w:val="0009169A"/>
    <w:rsid w:val="000922AC"/>
    <w:rsid w:val="000935CB"/>
    <w:rsid w:val="0009642A"/>
    <w:rsid w:val="000A0DDD"/>
    <w:rsid w:val="000A1778"/>
    <w:rsid w:val="000A2996"/>
    <w:rsid w:val="000A35D3"/>
    <w:rsid w:val="000A3E15"/>
    <w:rsid w:val="000A4129"/>
    <w:rsid w:val="000A4792"/>
    <w:rsid w:val="000A6CB5"/>
    <w:rsid w:val="000A74F3"/>
    <w:rsid w:val="000B13AA"/>
    <w:rsid w:val="000B242B"/>
    <w:rsid w:val="000B2684"/>
    <w:rsid w:val="000B4118"/>
    <w:rsid w:val="000B5114"/>
    <w:rsid w:val="000B78DF"/>
    <w:rsid w:val="000C3A3D"/>
    <w:rsid w:val="000C6F62"/>
    <w:rsid w:val="000D02C2"/>
    <w:rsid w:val="000D10FF"/>
    <w:rsid w:val="000D1A59"/>
    <w:rsid w:val="000D1F2F"/>
    <w:rsid w:val="000E3FB9"/>
    <w:rsid w:val="000E4F1F"/>
    <w:rsid w:val="000E4FCE"/>
    <w:rsid w:val="000E73F8"/>
    <w:rsid w:val="000F1E6B"/>
    <w:rsid w:val="000F76A9"/>
    <w:rsid w:val="0010056B"/>
    <w:rsid w:val="00100A7F"/>
    <w:rsid w:val="00100CFD"/>
    <w:rsid w:val="00101130"/>
    <w:rsid w:val="00102685"/>
    <w:rsid w:val="001034CA"/>
    <w:rsid w:val="00106778"/>
    <w:rsid w:val="00106847"/>
    <w:rsid w:val="001121C9"/>
    <w:rsid w:val="00116A8E"/>
    <w:rsid w:val="001213C7"/>
    <w:rsid w:val="00121C30"/>
    <w:rsid w:val="00122C8D"/>
    <w:rsid w:val="00123483"/>
    <w:rsid w:val="00124FA0"/>
    <w:rsid w:val="001268E3"/>
    <w:rsid w:val="00126931"/>
    <w:rsid w:val="00126C55"/>
    <w:rsid w:val="00127835"/>
    <w:rsid w:val="0013224D"/>
    <w:rsid w:val="001323EF"/>
    <w:rsid w:val="00132C27"/>
    <w:rsid w:val="00140CE6"/>
    <w:rsid w:val="00142B07"/>
    <w:rsid w:val="0014656A"/>
    <w:rsid w:val="00147C64"/>
    <w:rsid w:val="001519D9"/>
    <w:rsid w:val="00152296"/>
    <w:rsid w:val="00152D38"/>
    <w:rsid w:val="0015388B"/>
    <w:rsid w:val="00154FBD"/>
    <w:rsid w:val="00157616"/>
    <w:rsid w:val="001618F9"/>
    <w:rsid w:val="00163974"/>
    <w:rsid w:val="00166513"/>
    <w:rsid w:val="00172F5F"/>
    <w:rsid w:val="00174CE5"/>
    <w:rsid w:val="00183113"/>
    <w:rsid w:val="00183CC0"/>
    <w:rsid w:val="001840B6"/>
    <w:rsid w:val="00184DD4"/>
    <w:rsid w:val="00186A18"/>
    <w:rsid w:val="0019079E"/>
    <w:rsid w:val="00191BE2"/>
    <w:rsid w:val="00193A6E"/>
    <w:rsid w:val="00194C41"/>
    <w:rsid w:val="00195063"/>
    <w:rsid w:val="001954BF"/>
    <w:rsid w:val="00195EFB"/>
    <w:rsid w:val="00196A32"/>
    <w:rsid w:val="001A3170"/>
    <w:rsid w:val="001A377F"/>
    <w:rsid w:val="001A3B36"/>
    <w:rsid w:val="001A5C18"/>
    <w:rsid w:val="001A5E68"/>
    <w:rsid w:val="001B0B90"/>
    <w:rsid w:val="001B18FC"/>
    <w:rsid w:val="001B331A"/>
    <w:rsid w:val="001B3452"/>
    <w:rsid w:val="001B45B1"/>
    <w:rsid w:val="001B5C72"/>
    <w:rsid w:val="001C0D47"/>
    <w:rsid w:val="001C3D75"/>
    <w:rsid w:val="001C4E13"/>
    <w:rsid w:val="001C63A1"/>
    <w:rsid w:val="001C7346"/>
    <w:rsid w:val="001D283C"/>
    <w:rsid w:val="001D38E6"/>
    <w:rsid w:val="001D4099"/>
    <w:rsid w:val="001D4825"/>
    <w:rsid w:val="001D7A32"/>
    <w:rsid w:val="001D7C9C"/>
    <w:rsid w:val="001D7F91"/>
    <w:rsid w:val="001E07B1"/>
    <w:rsid w:val="001E1D1E"/>
    <w:rsid w:val="001E24EF"/>
    <w:rsid w:val="001E4036"/>
    <w:rsid w:val="001E515F"/>
    <w:rsid w:val="001E6164"/>
    <w:rsid w:val="001F0691"/>
    <w:rsid w:val="001F17CC"/>
    <w:rsid w:val="00203220"/>
    <w:rsid w:val="00204C7A"/>
    <w:rsid w:val="00204F4B"/>
    <w:rsid w:val="00207329"/>
    <w:rsid w:val="002159B5"/>
    <w:rsid w:val="00215D13"/>
    <w:rsid w:val="0021612C"/>
    <w:rsid w:val="0021676B"/>
    <w:rsid w:val="002206B7"/>
    <w:rsid w:val="002240BA"/>
    <w:rsid w:val="00227733"/>
    <w:rsid w:val="00232EC7"/>
    <w:rsid w:val="00236944"/>
    <w:rsid w:val="00236E28"/>
    <w:rsid w:val="0023776D"/>
    <w:rsid w:val="00237FE1"/>
    <w:rsid w:val="00240420"/>
    <w:rsid w:val="00240CBE"/>
    <w:rsid w:val="0024186E"/>
    <w:rsid w:val="002436A4"/>
    <w:rsid w:val="002466DD"/>
    <w:rsid w:val="00250D84"/>
    <w:rsid w:val="002514B9"/>
    <w:rsid w:val="00251640"/>
    <w:rsid w:val="00260CF4"/>
    <w:rsid w:val="00261D30"/>
    <w:rsid w:val="00264CF3"/>
    <w:rsid w:val="00265611"/>
    <w:rsid w:val="0026597C"/>
    <w:rsid w:val="002676EE"/>
    <w:rsid w:val="00270632"/>
    <w:rsid w:val="00271B65"/>
    <w:rsid w:val="00273731"/>
    <w:rsid w:val="00273F82"/>
    <w:rsid w:val="0027570B"/>
    <w:rsid w:val="002820A8"/>
    <w:rsid w:val="00282B57"/>
    <w:rsid w:val="00282B6A"/>
    <w:rsid w:val="002843DB"/>
    <w:rsid w:val="0029005D"/>
    <w:rsid w:val="002901B4"/>
    <w:rsid w:val="00290EAA"/>
    <w:rsid w:val="00291824"/>
    <w:rsid w:val="002925D3"/>
    <w:rsid w:val="002A39F5"/>
    <w:rsid w:val="002A3A96"/>
    <w:rsid w:val="002A6C14"/>
    <w:rsid w:val="002B1A44"/>
    <w:rsid w:val="002B2264"/>
    <w:rsid w:val="002B2390"/>
    <w:rsid w:val="002B4F9D"/>
    <w:rsid w:val="002B66DB"/>
    <w:rsid w:val="002B6E8A"/>
    <w:rsid w:val="002B7391"/>
    <w:rsid w:val="002C16E9"/>
    <w:rsid w:val="002C1D60"/>
    <w:rsid w:val="002C1EDC"/>
    <w:rsid w:val="002C38A0"/>
    <w:rsid w:val="002C59F2"/>
    <w:rsid w:val="002C667F"/>
    <w:rsid w:val="002C7F07"/>
    <w:rsid w:val="002D0BB9"/>
    <w:rsid w:val="002D0D6F"/>
    <w:rsid w:val="002D330C"/>
    <w:rsid w:val="002D44D4"/>
    <w:rsid w:val="002D5CC2"/>
    <w:rsid w:val="002D7C2F"/>
    <w:rsid w:val="002E1413"/>
    <w:rsid w:val="002E4545"/>
    <w:rsid w:val="002E56CD"/>
    <w:rsid w:val="002F1D15"/>
    <w:rsid w:val="002F29B1"/>
    <w:rsid w:val="002F63E9"/>
    <w:rsid w:val="002F75DE"/>
    <w:rsid w:val="00302BA3"/>
    <w:rsid w:val="00305AD3"/>
    <w:rsid w:val="00305C89"/>
    <w:rsid w:val="003066A2"/>
    <w:rsid w:val="00315C99"/>
    <w:rsid w:val="00315E5B"/>
    <w:rsid w:val="00324E86"/>
    <w:rsid w:val="00332BCB"/>
    <w:rsid w:val="00334D95"/>
    <w:rsid w:val="003378E8"/>
    <w:rsid w:val="003378FA"/>
    <w:rsid w:val="00337FDA"/>
    <w:rsid w:val="0034028F"/>
    <w:rsid w:val="0035085A"/>
    <w:rsid w:val="00352484"/>
    <w:rsid w:val="003527C0"/>
    <w:rsid w:val="00352861"/>
    <w:rsid w:val="0035593E"/>
    <w:rsid w:val="003571E8"/>
    <w:rsid w:val="0036000B"/>
    <w:rsid w:val="003603F7"/>
    <w:rsid w:val="003615A9"/>
    <w:rsid w:val="003618DE"/>
    <w:rsid w:val="00362CD7"/>
    <w:rsid w:val="00363047"/>
    <w:rsid w:val="0036597F"/>
    <w:rsid w:val="00365E51"/>
    <w:rsid w:val="0037239E"/>
    <w:rsid w:val="00372840"/>
    <w:rsid w:val="00374A3B"/>
    <w:rsid w:val="0037522E"/>
    <w:rsid w:val="003766ED"/>
    <w:rsid w:val="003769B9"/>
    <w:rsid w:val="003810F4"/>
    <w:rsid w:val="00383610"/>
    <w:rsid w:val="003847B0"/>
    <w:rsid w:val="00386AC9"/>
    <w:rsid w:val="00387DB7"/>
    <w:rsid w:val="00391513"/>
    <w:rsid w:val="0039245E"/>
    <w:rsid w:val="00392720"/>
    <w:rsid w:val="003941CF"/>
    <w:rsid w:val="00394302"/>
    <w:rsid w:val="003960D1"/>
    <w:rsid w:val="00396F6A"/>
    <w:rsid w:val="003A21B8"/>
    <w:rsid w:val="003A43E8"/>
    <w:rsid w:val="003B1C6A"/>
    <w:rsid w:val="003B2238"/>
    <w:rsid w:val="003B2D58"/>
    <w:rsid w:val="003B44B3"/>
    <w:rsid w:val="003B5E01"/>
    <w:rsid w:val="003B72D4"/>
    <w:rsid w:val="003C1E32"/>
    <w:rsid w:val="003C4E02"/>
    <w:rsid w:val="003C5673"/>
    <w:rsid w:val="003C5B5C"/>
    <w:rsid w:val="003C7E8E"/>
    <w:rsid w:val="003D09D9"/>
    <w:rsid w:val="003D0F73"/>
    <w:rsid w:val="003D1E4E"/>
    <w:rsid w:val="003D48B5"/>
    <w:rsid w:val="003D566F"/>
    <w:rsid w:val="003E0059"/>
    <w:rsid w:val="003E0DF1"/>
    <w:rsid w:val="003E17CD"/>
    <w:rsid w:val="003E18C4"/>
    <w:rsid w:val="003E2102"/>
    <w:rsid w:val="003E2389"/>
    <w:rsid w:val="003E239D"/>
    <w:rsid w:val="003E3854"/>
    <w:rsid w:val="003E38AB"/>
    <w:rsid w:val="003E753E"/>
    <w:rsid w:val="003F59E8"/>
    <w:rsid w:val="003F6848"/>
    <w:rsid w:val="003F7666"/>
    <w:rsid w:val="0040078C"/>
    <w:rsid w:val="00400DC9"/>
    <w:rsid w:val="00401EDC"/>
    <w:rsid w:val="00403952"/>
    <w:rsid w:val="00406364"/>
    <w:rsid w:val="00406A35"/>
    <w:rsid w:val="004070D5"/>
    <w:rsid w:val="004074DD"/>
    <w:rsid w:val="00410585"/>
    <w:rsid w:val="0041071F"/>
    <w:rsid w:val="0041470E"/>
    <w:rsid w:val="004148B0"/>
    <w:rsid w:val="00416A58"/>
    <w:rsid w:val="00420ADE"/>
    <w:rsid w:val="00421B4D"/>
    <w:rsid w:val="00421F52"/>
    <w:rsid w:val="00426AA7"/>
    <w:rsid w:val="00426DDE"/>
    <w:rsid w:val="004322F7"/>
    <w:rsid w:val="00432D85"/>
    <w:rsid w:val="00433EB5"/>
    <w:rsid w:val="0043779B"/>
    <w:rsid w:val="00441BDF"/>
    <w:rsid w:val="00441C9D"/>
    <w:rsid w:val="004424A1"/>
    <w:rsid w:val="004424BE"/>
    <w:rsid w:val="00442C9C"/>
    <w:rsid w:val="00443302"/>
    <w:rsid w:val="004441E9"/>
    <w:rsid w:val="00444390"/>
    <w:rsid w:val="0045170F"/>
    <w:rsid w:val="00454B72"/>
    <w:rsid w:val="00455EF7"/>
    <w:rsid w:val="00457383"/>
    <w:rsid w:val="00460D1F"/>
    <w:rsid w:val="0046214E"/>
    <w:rsid w:val="00463B62"/>
    <w:rsid w:val="0046422A"/>
    <w:rsid w:val="004663FC"/>
    <w:rsid w:val="00466443"/>
    <w:rsid w:val="00470B49"/>
    <w:rsid w:val="00471DC6"/>
    <w:rsid w:val="00472BAC"/>
    <w:rsid w:val="004760C9"/>
    <w:rsid w:val="004764CC"/>
    <w:rsid w:val="00480071"/>
    <w:rsid w:val="0048073F"/>
    <w:rsid w:val="00485F6A"/>
    <w:rsid w:val="004875BE"/>
    <w:rsid w:val="00490BA6"/>
    <w:rsid w:val="00493076"/>
    <w:rsid w:val="004934EB"/>
    <w:rsid w:val="00494E10"/>
    <w:rsid w:val="004964BB"/>
    <w:rsid w:val="00496F49"/>
    <w:rsid w:val="004A077E"/>
    <w:rsid w:val="004A0D78"/>
    <w:rsid w:val="004A1FB1"/>
    <w:rsid w:val="004A22C6"/>
    <w:rsid w:val="004A2C90"/>
    <w:rsid w:val="004A3721"/>
    <w:rsid w:val="004A3B31"/>
    <w:rsid w:val="004A449C"/>
    <w:rsid w:val="004A5237"/>
    <w:rsid w:val="004A6FFB"/>
    <w:rsid w:val="004A7C16"/>
    <w:rsid w:val="004B06EF"/>
    <w:rsid w:val="004B1FFD"/>
    <w:rsid w:val="004B2088"/>
    <w:rsid w:val="004B2DDB"/>
    <w:rsid w:val="004B3CE6"/>
    <w:rsid w:val="004B66FF"/>
    <w:rsid w:val="004C0A22"/>
    <w:rsid w:val="004C3583"/>
    <w:rsid w:val="004C3776"/>
    <w:rsid w:val="004C4535"/>
    <w:rsid w:val="004C5E9D"/>
    <w:rsid w:val="004C71C9"/>
    <w:rsid w:val="004D0CB9"/>
    <w:rsid w:val="004D0CF0"/>
    <w:rsid w:val="004D1D1F"/>
    <w:rsid w:val="004D5B1B"/>
    <w:rsid w:val="004D7031"/>
    <w:rsid w:val="004E0021"/>
    <w:rsid w:val="004E1BB0"/>
    <w:rsid w:val="004E2761"/>
    <w:rsid w:val="004E29DE"/>
    <w:rsid w:val="004E5CFC"/>
    <w:rsid w:val="004E65BD"/>
    <w:rsid w:val="004E6CE1"/>
    <w:rsid w:val="004F1147"/>
    <w:rsid w:val="004F1E6E"/>
    <w:rsid w:val="004F2F27"/>
    <w:rsid w:val="004F3E51"/>
    <w:rsid w:val="004F43BA"/>
    <w:rsid w:val="004F541E"/>
    <w:rsid w:val="004F6307"/>
    <w:rsid w:val="004F7C28"/>
    <w:rsid w:val="00502A78"/>
    <w:rsid w:val="00503D6A"/>
    <w:rsid w:val="005065B6"/>
    <w:rsid w:val="00510127"/>
    <w:rsid w:val="00510C32"/>
    <w:rsid w:val="00512F60"/>
    <w:rsid w:val="00513B7F"/>
    <w:rsid w:val="00515DE3"/>
    <w:rsid w:val="00522EBD"/>
    <w:rsid w:val="005254A9"/>
    <w:rsid w:val="00533E50"/>
    <w:rsid w:val="0053460C"/>
    <w:rsid w:val="00540E47"/>
    <w:rsid w:val="005427DF"/>
    <w:rsid w:val="00543AFE"/>
    <w:rsid w:val="005444BF"/>
    <w:rsid w:val="00546EFB"/>
    <w:rsid w:val="0055588B"/>
    <w:rsid w:val="005563B2"/>
    <w:rsid w:val="005635CB"/>
    <w:rsid w:val="00564A91"/>
    <w:rsid w:val="00567DDF"/>
    <w:rsid w:val="0057251B"/>
    <w:rsid w:val="0057335B"/>
    <w:rsid w:val="005734A2"/>
    <w:rsid w:val="00574245"/>
    <w:rsid w:val="00574A3D"/>
    <w:rsid w:val="00576615"/>
    <w:rsid w:val="005778FD"/>
    <w:rsid w:val="0058103F"/>
    <w:rsid w:val="00581344"/>
    <w:rsid w:val="00581932"/>
    <w:rsid w:val="00581DBA"/>
    <w:rsid w:val="00582555"/>
    <w:rsid w:val="00582AF9"/>
    <w:rsid w:val="00582F5F"/>
    <w:rsid w:val="00583EBC"/>
    <w:rsid w:val="00584A97"/>
    <w:rsid w:val="00585A08"/>
    <w:rsid w:val="00587B9D"/>
    <w:rsid w:val="0059042E"/>
    <w:rsid w:val="005909A3"/>
    <w:rsid w:val="00590DD3"/>
    <w:rsid w:val="00590FBC"/>
    <w:rsid w:val="00592E83"/>
    <w:rsid w:val="0059592D"/>
    <w:rsid w:val="00597911"/>
    <w:rsid w:val="00597C3F"/>
    <w:rsid w:val="005A0642"/>
    <w:rsid w:val="005A0E1F"/>
    <w:rsid w:val="005A37EB"/>
    <w:rsid w:val="005A55D8"/>
    <w:rsid w:val="005A6798"/>
    <w:rsid w:val="005B00B2"/>
    <w:rsid w:val="005B1F2C"/>
    <w:rsid w:val="005B38CF"/>
    <w:rsid w:val="005B38F1"/>
    <w:rsid w:val="005B3DE5"/>
    <w:rsid w:val="005B44D0"/>
    <w:rsid w:val="005B4CD0"/>
    <w:rsid w:val="005B7BD4"/>
    <w:rsid w:val="005C1BF2"/>
    <w:rsid w:val="005C6578"/>
    <w:rsid w:val="005D6661"/>
    <w:rsid w:val="005E187B"/>
    <w:rsid w:val="005E3C64"/>
    <w:rsid w:val="005E3D7B"/>
    <w:rsid w:val="005E4D5F"/>
    <w:rsid w:val="005E6C33"/>
    <w:rsid w:val="005E7A22"/>
    <w:rsid w:val="005E7F58"/>
    <w:rsid w:val="005F378B"/>
    <w:rsid w:val="005F444E"/>
    <w:rsid w:val="005F4765"/>
    <w:rsid w:val="005F4EF3"/>
    <w:rsid w:val="005F5850"/>
    <w:rsid w:val="005F613A"/>
    <w:rsid w:val="005F78E1"/>
    <w:rsid w:val="005F7B47"/>
    <w:rsid w:val="00601A64"/>
    <w:rsid w:val="00603444"/>
    <w:rsid w:val="00606CF1"/>
    <w:rsid w:val="00607974"/>
    <w:rsid w:val="006102DF"/>
    <w:rsid w:val="00611373"/>
    <w:rsid w:val="00620D23"/>
    <w:rsid w:val="0062395B"/>
    <w:rsid w:val="00630066"/>
    <w:rsid w:val="00631439"/>
    <w:rsid w:val="00632389"/>
    <w:rsid w:val="00635EB2"/>
    <w:rsid w:val="0064269D"/>
    <w:rsid w:val="00643185"/>
    <w:rsid w:val="00643DD1"/>
    <w:rsid w:val="00646952"/>
    <w:rsid w:val="0065121A"/>
    <w:rsid w:val="00654DD6"/>
    <w:rsid w:val="006553DE"/>
    <w:rsid w:val="00656E29"/>
    <w:rsid w:val="00660EB5"/>
    <w:rsid w:val="00664D78"/>
    <w:rsid w:val="00672E1E"/>
    <w:rsid w:val="00677F7F"/>
    <w:rsid w:val="00680228"/>
    <w:rsid w:val="00680B71"/>
    <w:rsid w:val="00681C6D"/>
    <w:rsid w:val="006837B2"/>
    <w:rsid w:val="00684BDF"/>
    <w:rsid w:val="00686F54"/>
    <w:rsid w:val="006919AF"/>
    <w:rsid w:val="00692EF0"/>
    <w:rsid w:val="006933DD"/>
    <w:rsid w:val="006944A0"/>
    <w:rsid w:val="00695F80"/>
    <w:rsid w:val="006973B8"/>
    <w:rsid w:val="006A1BA4"/>
    <w:rsid w:val="006A43C0"/>
    <w:rsid w:val="006A55BF"/>
    <w:rsid w:val="006A65C0"/>
    <w:rsid w:val="006B0616"/>
    <w:rsid w:val="006B2F27"/>
    <w:rsid w:val="006B33BB"/>
    <w:rsid w:val="006B6E8B"/>
    <w:rsid w:val="006C1B88"/>
    <w:rsid w:val="006C1D26"/>
    <w:rsid w:val="006C3779"/>
    <w:rsid w:val="006C3C13"/>
    <w:rsid w:val="006C4270"/>
    <w:rsid w:val="006C50F0"/>
    <w:rsid w:val="006C6336"/>
    <w:rsid w:val="006C6ED7"/>
    <w:rsid w:val="006C7B7B"/>
    <w:rsid w:val="006D2309"/>
    <w:rsid w:val="006D2CC9"/>
    <w:rsid w:val="006D3A5E"/>
    <w:rsid w:val="006D5B4A"/>
    <w:rsid w:val="006D7853"/>
    <w:rsid w:val="006D785A"/>
    <w:rsid w:val="006D7B15"/>
    <w:rsid w:val="006D7E9D"/>
    <w:rsid w:val="006D7F30"/>
    <w:rsid w:val="006E2DF9"/>
    <w:rsid w:val="006E66AE"/>
    <w:rsid w:val="006E6F66"/>
    <w:rsid w:val="006F12A5"/>
    <w:rsid w:val="006F1993"/>
    <w:rsid w:val="006F1DF3"/>
    <w:rsid w:val="006F2039"/>
    <w:rsid w:val="006F2D0A"/>
    <w:rsid w:val="006F67D4"/>
    <w:rsid w:val="00700311"/>
    <w:rsid w:val="00700888"/>
    <w:rsid w:val="007012DA"/>
    <w:rsid w:val="0070654B"/>
    <w:rsid w:val="00706994"/>
    <w:rsid w:val="00706BF5"/>
    <w:rsid w:val="0071003B"/>
    <w:rsid w:val="00712473"/>
    <w:rsid w:val="00713EE4"/>
    <w:rsid w:val="00714B8A"/>
    <w:rsid w:val="00715B4D"/>
    <w:rsid w:val="00715E03"/>
    <w:rsid w:val="0071646F"/>
    <w:rsid w:val="00716D68"/>
    <w:rsid w:val="00722134"/>
    <w:rsid w:val="007234C7"/>
    <w:rsid w:val="00724838"/>
    <w:rsid w:val="007314F8"/>
    <w:rsid w:val="0073298E"/>
    <w:rsid w:val="00735187"/>
    <w:rsid w:val="00741F32"/>
    <w:rsid w:val="00742060"/>
    <w:rsid w:val="007429F2"/>
    <w:rsid w:val="00742A0A"/>
    <w:rsid w:val="0074541B"/>
    <w:rsid w:val="00745D49"/>
    <w:rsid w:val="00745E0F"/>
    <w:rsid w:val="007472F0"/>
    <w:rsid w:val="00753E72"/>
    <w:rsid w:val="00754429"/>
    <w:rsid w:val="00754945"/>
    <w:rsid w:val="00756694"/>
    <w:rsid w:val="00756E65"/>
    <w:rsid w:val="00761A12"/>
    <w:rsid w:val="00763502"/>
    <w:rsid w:val="00763FAE"/>
    <w:rsid w:val="007675A2"/>
    <w:rsid w:val="00771AF9"/>
    <w:rsid w:val="00772C3A"/>
    <w:rsid w:val="00774CAF"/>
    <w:rsid w:val="0077529C"/>
    <w:rsid w:val="00776FD4"/>
    <w:rsid w:val="00777AAA"/>
    <w:rsid w:val="00780699"/>
    <w:rsid w:val="00782BA7"/>
    <w:rsid w:val="00783F34"/>
    <w:rsid w:val="00783F36"/>
    <w:rsid w:val="00785F75"/>
    <w:rsid w:val="0079001A"/>
    <w:rsid w:val="00791194"/>
    <w:rsid w:val="00791AE5"/>
    <w:rsid w:val="00792003"/>
    <w:rsid w:val="00795992"/>
    <w:rsid w:val="00795C2D"/>
    <w:rsid w:val="00796825"/>
    <w:rsid w:val="00796B89"/>
    <w:rsid w:val="007A0433"/>
    <w:rsid w:val="007A0883"/>
    <w:rsid w:val="007A1A0E"/>
    <w:rsid w:val="007A1FC2"/>
    <w:rsid w:val="007A252B"/>
    <w:rsid w:val="007A26B2"/>
    <w:rsid w:val="007B360A"/>
    <w:rsid w:val="007B4BF2"/>
    <w:rsid w:val="007B4E86"/>
    <w:rsid w:val="007C14EF"/>
    <w:rsid w:val="007C1C15"/>
    <w:rsid w:val="007C3608"/>
    <w:rsid w:val="007C3845"/>
    <w:rsid w:val="007C51F9"/>
    <w:rsid w:val="007D2F35"/>
    <w:rsid w:val="007D37E4"/>
    <w:rsid w:val="007D5A85"/>
    <w:rsid w:val="007D5EAA"/>
    <w:rsid w:val="007D6760"/>
    <w:rsid w:val="007E0CF5"/>
    <w:rsid w:val="007E3E12"/>
    <w:rsid w:val="007E5120"/>
    <w:rsid w:val="007E5662"/>
    <w:rsid w:val="007E648E"/>
    <w:rsid w:val="007E7232"/>
    <w:rsid w:val="007E7AE0"/>
    <w:rsid w:val="007F0A43"/>
    <w:rsid w:val="007F32C9"/>
    <w:rsid w:val="007F38FC"/>
    <w:rsid w:val="007F52A3"/>
    <w:rsid w:val="007F67BA"/>
    <w:rsid w:val="007F6ECF"/>
    <w:rsid w:val="007F766E"/>
    <w:rsid w:val="007F79AB"/>
    <w:rsid w:val="008015D0"/>
    <w:rsid w:val="00807835"/>
    <w:rsid w:val="00815FEE"/>
    <w:rsid w:val="0081611F"/>
    <w:rsid w:val="00816247"/>
    <w:rsid w:val="00821297"/>
    <w:rsid w:val="008226FE"/>
    <w:rsid w:val="0082527C"/>
    <w:rsid w:val="00826072"/>
    <w:rsid w:val="00833116"/>
    <w:rsid w:val="00833D9A"/>
    <w:rsid w:val="008342F1"/>
    <w:rsid w:val="008350AA"/>
    <w:rsid w:val="00836154"/>
    <w:rsid w:val="008468D5"/>
    <w:rsid w:val="00852A19"/>
    <w:rsid w:val="00852E77"/>
    <w:rsid w:val="00853E82"/>
    <w:rsid w:val="0085487C"/>
    <w:rsid w:val="00854ED5"/>
    <w:rsid w:val="008574F9"/>
    <w:rsid w:val="00857758"/>
    <w:rsid w:val="008579AA"/>
    <w:rsid w:val="00862047"/>
    <w:rsid w:val="008622E3"/>
    <w:rsid w:val="0086641F"/>
    <w:rsid w:val="00867F20"/>
    <w:rsid w:val="00871F14"/>
    <w:rsid w:val="008729EA"/>
    <w:rsid w:val="008743B7"/>
    <w:rsid w:val="00876E12"/>
    <w:rsid w:val="0088321F"/>
    <w:rsid w:val="00884883"/>
    <w:rsid w:val="0088606F"/>
    <w:rsid w:val="00890EC4"/>
    <w:rsid w:val="00891E45"/>
    <w:rsid w:val="0089228E"/>
    <w:rsid w:val="00895BAC"/>
    <w:rsid w:val="008A10A2"/>
    <w:rsid w:val="008A12E6"/>
    <w:rsid w:val="008A34BC"/>
    <w:rsid w:val="008A68C9"/>
    <w:rsid w:val="008A7ECD"/>
    <w:rsid w:val="008B3FD9"/>
    <w:rsid w:val="008B65D2"/>
    <w:rsid w:val="008B7903"/>
    <w:rsid w:val="008B7A1F"/>
    <w:rsid w:val="008C0FA0"/>
    <w:rsid w:val="008C168A"/>
    <w:rsid w:val="008C3B79"/>
    <w:rsid w:val="008C79C0"/>
    <w:rsid w:val="008D13B6"/>
    <w:rsid w:val="008D1F02"/>
    <w:rsid w:val="008D22D4"/>
    <w:rsid w:val="008D3318"/>
    <w:rsid w:val="008D58F0"/>
    <w:rsid w:val="008E01AD"/>
    <w:rsid w:val="008E06CB"/>
    <w:rsid w:val="008E2928"/>
    <w:rsid w:val="008E3198"/>
    <w:rsid w:val="008E5B70"/>
    <w:rsid w:val="008E643E"/>
    <w:rsid w:val="008E6DED"/>
    <w:rsid w:val="008F29D3"/>
    <w:rsid w:val="00900AFF"/>
    <w:rsid w:val="00900CB2"/>
    <w:rsid w:val="00900D54"/>
    <w:rsid w:val="0090471B"/>
    <w:rsid w:val="00905A94"/>
    <w:rsid w:val="00906FA0"/>
    <w:rsid w:val="00907260"/>
    <w:rsid w:val="00907D83"/>
    <w:rsid w:val="00913EBD"/>
    <w:rsid w:val="009170FA"/>
    <w:rsid w:val="0091743F"/>
    <w:rsid w:val="009219C4"/>
    <w:rsid w:val="00924FC7"/>
    <w:rsid w:val="00925447"/>
    <w:rsid w:val="00930679"/>
    <w:rsid w:val="00933A55"/>
    <w:rsid w:val="0093634F"/>
    <w:rsid w:val="00936CF9"/>
    <w:rsid w:val="0094291B"/>
    <w:rsid w:val="00946061"/>
    <w:rsid w:val="00946D8F"/>
    <w:rsid w:val="0094749A"/>
    <w:rsid w:val="00951262"/>
    <w:rsid w:val="009554BD"/>
    <w:rsid w:val="0095709C"/>
    <w:rsid w:val="00963C4A"/>
    <w:rsid w:val="0096460C"/>
    <w:rsid w:val="0096546F"/>
    <w:rsid w:val="00966C0A"/>
    <w:rsid w:val="009671A3"/>
    <w:rsid w:val="0096775D"/>
    <w:rsid w:val="009708BD"/>
    <w:rsid w:val="0097287E"/>
    <w:rsid w:val="00972ED0"/>
    <w:rsid w:val="00974076"/>
    <w:rsid w:val="009763CE"/>
    <w:rsid w:val="00977475"/>
    <w:rsid w:val="00984647"/>
    <w:rsid w:val="00984D18"/>
    <w:rsid w:val="0098517C"/>
    <w:rsid w:val="009858D7"/>
    <w:rsid w:val="00990C06"/>
    <w:rsid w:val="00993F67"/>
    <w:rsid w:val="009960BA"/>
    <w:rsid w:val="0099710A"/>
    <w:rsid w:val="00997479"/>
    <w:rsid w:val="009A1FE7"/>
    <w:rsid w:val="009A42E7"/>
    <w:rsid w:val="009A68FA"/>
    <w:rsid w:val="009A6979"/>
    <w:rsid w:val="009B089E"/>
    <w:rsid w:val="009B0CA0"/>
    <w:rsid w:val="009B205C"/>
    <w:rsid w:val="009B3943"/>
    <w:rsid w:val="009B7439"/>
    <w:rsid w:val="009C1059"/>
    <w:rsid w:val="009C4A7B"/>
    <w:rsid w:val="009D0F1D"/>
    <w:rsid w:val="009D244B"/>
    <w:rsid w:val="009D3574"/>
    <w:rsid w:val="009D424B"/>
    <w:rsid w:val="009D53E9"/>
    <w:rsid w:val="009D573C"/>
    <w:rsid w:val="009E0DFD"/>
    <w:rsid w:val="009E3047"/>
    <w:rsid w:val="009E596D"/>
    <w:rsid w:val="009E772E"/>
    <w:rsid w:val="009F0030"/>
    <w:rsid w:val="009F06CF"/>
    <w:rsid w:val="009F228B"/>
    <w:rsid w:val="009F25A7"/>
    <w:rsid w:val="009F28E4"/>
    <w:rsid w:val="009F2EBF"/>
    <w:rsid w:val="009F5BA3"/>
    <w:rsid w:val="009F60E7"/>
    <w:rsid w:val="009F74FF"/>
    <w:rsid w:val="00A002A3"/>
    <w:rsid w:val="00A01580"/>
    <w:rsid w:val="00A0248C"/>
    <w:rsid w:val="00A044A2"/>
    <w:rsid w:val="00A07217"/>
    <w:rsid w:val="00A07EE7"/>
    <w:rsid w:val="00A13BC6"/>
    <w:rsid w:val="00A14541"/>
    <w:rsid w:val="00A16AA6"/>
    <w:rsid w:val="00A20235"/>
    <w:rsid w:val="00A24E83"/>
    <w:rsid w:val="00A25580"/>
    <w:rsid w:val="00A27CA8"/>
    <w:rsid w:val="00A30D49"/>
    <w:rsid w:val="00A320C3"/>
    <w:rsid w:val="00A3272D"/>
    <w:rsid w:val="00A32BC3"/>
    <w:rsid w:val="00A33390"/>
    <w:rsid w:val="00A37375"/>
    <w:rsid w:val="00A42093"/>
    <w:rsid w:val="00A440C6"/>
    <w:rsid w:val="00A464FC"/>
    <w:rsid w:val="00A47FB4"/>
    <w:rsid w:val="00A55701"/>
    <w:rsid w:val="00A5576A"/>
    <w:rsid w:val="00A559A1"/>
    <w:rsid w:val="00A56593"/>
    <w:rsid w:val="00A642E5"/>
    <w:rsid w:val="00A71045"/>
    <w:rsid w:val="00A714BF"/>
    <w:rsid w:val="00A71E1B"/>
    <w:rsid w:val="00A71E24"/>
    <w:rsid w:val="00A77C50"/>
    <w:rsid w:val="00A82D80"/>
    <w:rsid w:val="00A8363A"/>
    <w:rsid w:val="00A83D2C"/>
    <w:rsid w:val="00A85400"/>
    <w:rsid w:val="00A85BE0"/>
    <w:rsid w:val="00A8747E"/>
    <w:rsid w:val="00A87E54"/>
    <w:rsid w:val="00A924A7"/>
    <w:rsid w:val="00A9666B"/>
    <w:rsid w:val="00A97013"/>
    <w:rsid w:val="00A97D06"/>
    <w:rsid w:val="00AA038F"/>
    <w:rsid w:val="00AA03D2"/>
    <w:rsid w:val="00AA146C"/>
    <w:rsid w:val="00AA1C56"/>
    <w:rsid w:val="00AA31CD"/>
    <w:rsid w:val="00AA51D4"/>
    <w:rsid w:val="00AA6BF4"/>
    <w:rsid w:val="00AB10F2"/>
    <w:rsid w:val="00AB1B4D"/>
    <w:rsid w:val="00AB282A"/>
    <w:rsid w:val="00AB41B7"/>
    <w:rsid w:val="00AB7948"/>
    <w:rsid w:val="00AC2C65"/>
    <w:rsid w:val="00AC45F1"/>
    <w:rsid w:val="00AC7504"/>
    <w:rsid w:val="00AD2659"/>
    <w:rsid w:val="00AD4E44"/>
    <w:rsid w:val="00AD72B9"/>
    <w:rsid w:val="00AD764B"/>
    <w:rsid w:val="00AF06FE"/>
    <w:rsid w:val="00AF0884"/>
    <w:rsid w:val="00AF16AB"/>
    <w:rsid w:val="00AF38F9"/>
    <w:rsid w:val="00AF43C7"/>
    <w:rsid w:val="00AF4609"/>
    <w:rsid w:val="00AF52D0"/>
    <w:rsid w:val="00AF5BF5"/>
    <w:rsid w:val="00AF7900"/>
    <w:rsid w:val="00AF7ABA"/>
    <w:rsid w:val="00B02E68"/>
    <w:rsid w:val="00B06389"/>
    <w:rsid w:val="00B0707D"/>
    <w:rsid w:val="00B0788D"/>
    <w:rsid w:val="00B12477"/>
    <w:rsid w:val="00B127DF"/>
    <w:rsid w:val="00B15C86"/>
    <w:rsid w:val="00B15FBE"/>
    <w:rsid w:val="00B20A8B"/>
    <w:rsid w:val="00B22EC9"/>
    <w:rsid w:val="00B22FF9"/>
    <w:rsid w:val="00B254A9"/>
    <w:rsid w:val="00B2582F"/>
    <w:rsid w:val="00B25B89"/>
    <w:rsid w:val="00B25EC8"/>
    <w:rsid w:val="00B264A9"/>
    <w:rsid w:val="00B30CF2"/>
    <w:rsid w:val="00B3281A"/>
    <w:rsid w:val="00B343CD"/>
    <w:rsid w:val="00B354F9"/>
    <w:rsid w:val="00B36320"/>
    <w:rsid w:val="00B4091F"/>
    <w:rsid w:val="00B412A9"/>
    <w:rsid w:val="00B533B1"/>
    <w:rsid w:val="00B536A6"/>
    <w:rsid w:val="00B56DFE"/>
    <w:rsid w:val="00B57ED4"/>
    <w:rsid w:val="00B6318A"/>
    <w:rsid w:val="00B63613"/>
    <w:rsid w:val="00B64002"/>
    <w:rsid w:val="00B66681"/>
    <w:rsid w:val="00B7402C"/>
    <w:rsid w:val="00B8146C"/>
    <w:rsid w:val="00B8542C"/>
    <w:rsid w:val="00B8569F"/>
    <w:rsid w:val="00B85791"/>
    <w:rsid w:val="00B86F11"/>
    <w:rsid w:val="00B92768"/>
    <w:rsid w:val="00B92A11"/>
    <w:rsid w:val="00B94A0D"/>
    <w:rsid w:val="00B951A4"/>
    <w:rsid w:val="00BA0D3F"/>
    <w:rsid w:val="00BA1080"/>
    <w:rsid w:val="00BA2AFF"/>
    <w:rsid w:val="00BA5CA0"/>
    <w:rsid w:val="00BA6834"/>
    <w:rsid w:val="00BA6B7A"/>
    <w:rsid w:val="00BA7109"/>
    <w:rsid w:val="00BA7B7E"/>
    <w:rsid w:val="00BB2BE1"/>
    <w:rsid w:val="00BB4E97"/>
    <w:rsid w:val="00BB5C10"/>
    <w:rsid w:val="00BC1817"/>
    <w:rsid w:val="00BC2F57"/>
    <w:rsid w:val="00BC51DC"/>
    <w:rsid w:val="00BC6617"/>
    <w:rsid w:val="00BD157C"/>
    <w:rsid w:val="00BD34BD"/>
    <w:rsid w:val="00BD4E41"/>
    <w:rsid w:val="00BD78F5"/>
    <w:rsid w:val="00BE3A40"/>
    <w:rsid w:val="00BE6D9E"/>
    <w:rsid w:val="00BF1760"/>
    <w:rsid w:val="00BF2BC6"/>
    <w:rsid w:val="00BF3076"/>
    <w:rsid w:val="00BF6100"/>
    <w:rsid w:val="00BF7752"/>
    <w:rsid w:val="00C0248B"/>
    <w:rsid w:val="00C03319"/>
    <w:rsid w:val="00C044F4"/>
    <w:rsid w:val="00C0491F"/>
    <w:rsid w:val="00C05A7D"/>
    <w:rsid w:val="00C1031B"/>
    <w:rsid w:val="00C10E28"/>
    <w:rsid w:val="00C13CA9"/>
    <w:rsid w:val="00C20334"/>
    <w:rsid w:val="00C22CF7"/>
    <w:rsid w:val="00C22E2E"/>
    <w:rsid w:val="00C239A8"/>
    <w:rsid w:val="00C23A30"/>
    <w:rsid w:val="00C2431E"/>
    <w:rsid w:val="00C2514E"/>
    <w:rsid w:val="00C25201"/>
    <w:rsid w:val="00C31B52"/>
    <w:rsid w:val="00C332F8"/>
    <w:rsid w:val="00C34F54"/>
    <w:rsid w:val="00C354D2"/>
    <w:rsid w:val="00C37502"/>
    <w:rsid w:val="00C37A92"/>
    <w:rsid w:val="00C43AEF"/>
    <w:rsid w:val="00C449B8"/>
    <w:rsid w:val="00C44BDB"/>
    <w:rsid w:val="00C46388"/>
    <w:rsid w:val="00C5031E"/>
    <w:rsid w:val="00C50B42"/>
    <w:rsid w:val="00C50E9B"/>
    <w:rsid w:val="00C513BD"/>
    <w:rsid w:val="00C54813"/>
    <w:rsid w:val="00C6700B"/>
    <w:rsid w:val="00C74A5A"/>
    <w:rsid w:val="00C75C5E"/>
    <w:rsid w:val="00C764E5"/>
    <w:rsid w:val="00C76B80"/>
    <w:rsid w:val="00C81133"/>
    <w:rsid w:val="00C8118E"/>
    <w:rsid w:val="00C81290"/>
    <w:rsid w:val="00C81FD7"/>
    <w:rsid w:val="00C872E8"/>
    <w:rsid w:val="00C90959"/>
    <w:rsid w:val="00C92096"/>
    <w:rsid w:val="00C943E6"/>
    <w:rsid w:val="00C94804"/>
    <w:rsid w:val="00C9490F"/>
    <w:rsid w:val="00C95D46"/>
    <w:rsid w:val="00C96BE0"/>
    <w:rsid w:val="00CA0FCF"/>
    <w:rsid w:val="00CA1F09"/>
    <w:rsid w:val="00CA1F4D"/>
    <w:rsid w:val="00CA37B4"/>
    <w:rsid w:val="00CA6AEF"/>
    <w:rsid w:val="00CB48F6"/>
    <w:rsid w:val="00CC0423"/>
    <w:rsid w:val="00CC2F7C"/>
    <w:rsid w:val="00CC589A"/>
    <w:rsid w:val="00CC5BBC"/>
    <w:rsid w:val="00CD0C8A"/>
    <w:rsid w:val="00CD1CE0"/>
    <w:rsid w:val="00CD5BEE"/>
    <w:rsid w:val="00CD63DC"/>
    <w:rsid w:val="00CD7413"/>
    <w:rsid w:val="00CE0235"/>
    <w:rsid w:val="00CE1FA5"/>
    <w:rsid w:val="00CE3546"/>
    <w:rsid w:val="00CE49D8"/>
    <w:rsid w:val="00CF059B"/>
    <w:rsid w:val="00CF19AE"/>
    <w:rsid w:val="00CF4999"/>
    <w:rsid w:val="00CF4DE3"/>
    <w:rsid w:val="00CF6AA5"/>
    <w:rsid w:val="00CF6E2B"/>
    <w:rsid w:val="00D02BA4"/>
    <w:rsid w:val="00D04C77"/>
    <w:rsid w:val="00D05EE2"/>
    <w:rsid w:val="00D06430"/>
    <w:rsid w:val="00D1131C"/>
    <w:rsid w:val="00D1381A"/>
    <w:rsid w:val="00D13B01"/>
    <w:rsid w:val="00D1421B"/>
    <w:rsid w:val="00D1518E"/>
    <w:rsid w:val="00D16E64"/>
    <w:rsid w:val="00D177D2"/>
    <w:rsid w:val="00D20ED7"/>
    <w:rsid w:val="00D22FC6"/>
    <w:rsid w:val="00D25405"/>
    <w:rsid w:val="00D2667B"/>
    <w:rsid w:val="00D26EE8"/>
    <w:rsid w:val="00D27D05"/>
    <w:rsid w:val="00D30930"/>
    <w:rsid w:val="00D30F57"/>
    <w:rsid w:val="00D31B8E"/>
    <w:rsid w:val="00D34D39"/>
    <w:rsid w:val="00D374BF"/>
    <w:rsid w:val="00D40896"/>
    <w:rsid w:val="00D40E37"/>
    <w:rsid w:val="00D413CA"/>
    <w:rsid w:val="00D41548"/>
    <w:rsid w:val="00D4284B"/>
    <w:rsid w:val="00D445E0"/>
    <w:rsid w:val="00D44B06"/>
    <w:rsid w:val="00D47393"/>
    <w:rsid w:val="00D47C16"/>
    <w:rsid w:val="00D507CC"/>
    <w:rsid w:val="00D508E6"/>
    <w:rsid w:val="00D53FCF"/>
    <w:rsid w:val="00D574F3"/>
    <w:rsid w:val="00D61E9B"/>
    <w:rsid w:val="00D6281B"/>
    <w:rsid w:val="00D63469"/>
    <w:rsid w:val="00D67337"/>
    <w:rsid w:val="00D70B48"/>
    <w:rsid w:val="00D7354D"/>
    <w:rsid w:val="00D80D49"/>
    <w:rsid w:val="00D81E67"/>
    <w:rsid w:val="00D8508E"/>
    <w:rsid w:val="00D86F04"/>
    <w:rsid w:val="00D87132"/>
    <w:rsid w:val="00D874FF"/>
    <w:rsid w:val="00D91481"/>
    <w:rsid w:val="00D9350F"/>
    <w:rsid w:val="00D94752"/>
    <w:rsid w:val="00D94B80"/>
    <w:rsid w:val="00D95252"/>
    <w:rsid w:val="00D96A60"/>
    <w:rsid w:val="00DA34FE"/>
    <w:rsid w:val="00DA531E"/>
    <w:rsid w:val="00DA7CC2"/>
    <w:rsid w:val="00DB02CA"/>
    <w:rsid w:val="00DB0DDF"/>
    <w:rsid w:val="00DB2130"/>
    <w:rsid w:val="00DB3256"/>
    <w:rsid w:val="00DB3309"/>
    <w:rsid w:val="00DB41BA"/>
    <w:rsid w:val="00DB4D70"/>
    <w:rsid w:val="00DB580F"/>
    <w:rsid w:val="00DB61E9"/>
    <w:rsid w:val="00DB7DBC"/>
    <w:rsid w:val="00DC1953"/>
    <w:rsid w:val="00DC3372"/>
    <w:rsid w:val="00DC5468"/>
    <w:rsid w:val="00DC73B9"/>
    <w:rsid w:val="00DD2E27"/>
    <w:rsid w:val="00DD4AFC"/>
    <w:rsid w:val="00DD4E3F"/>
    <w:rsid w:val="00DD4EF4"/>
    <w:rsid w:val="00DE11A4"/>
    <w:rsid w:val="00DE1B5E"/>
    <w:rsid w:val="00DE58A1"/>
    <w:rsid w:val="00DE5FA2"/>
    <w:rsid w:val="00DE7F24"/>
    <w:rsid w:val="00DF0228"/>
    <w:rsid w:val="00DF2042"/>
    <w:rsid w:val="00DF6159"/>
    <w:rsid w:val="00DF63BC"/>
    <w:rsid w:val="00E02BE8"/>
    <w:rsid w:val="00E03C7E"/>
    <w:rsid w:val="00E04FBA"/>
    <w:rsid w:val="00E0626B"/>
    <w:rsid w:val="00E10770"/>
    <w:rsid w:val="00E10AAC"/>
    <w:rsid w:val="00E1423A"/>
    <w:rsid w:val="00E14302"/>
    <w:rsid w:val="00E14ED1"/>
    <w:rsid w:val="00E15615"/>
    <w:rsid w:val="00E1794E"/>
    <w:rsid w:val="00E2145C"/>
    <w:rsid w:val="00E24741"/>
    <w:rsid w:val="00E27225"/>
    <w:rsid w:val="00E272F2"/>
    <w:rsid w:val="00E30D50"/>
    <w:rsid w:val="00E3303B"/>
    <w:rsid w:val="00E33473"/>
    <w:rsid w:val="00E37E15"/>
    <w:rsid w:val="00E423A5"/>
    <w:rsid w:val="00E42A68"/>
    <w:rsid w:val="00E4405A"/>
    <w:rsid w:val="00E44587"/>
    <w:rsid w:val="00E45001"/>
    <w:rsid w:val="00E45411"/>
    <w:rsid w:val="00E47669"/>
    <w:rsid w:val="00E50ED6"/>
    <w:rsid w:val="00E514D9"/>
    <w:rsid w:val="00E525AC"/>
    <w:rsid w:val="00E53BCB"/>
    <w:rsid w:val="00E556C4"/>
    <w:rsid w:val="00E56130"/>
    <w:rsid w:val="00E601DD"/>
    <w:rsid w:val="00E60A56"/>
    <w:rsid w:val="00E61EEF"/>
    <w:rsid w:val="00E61F0A"/>
    <w:rsid w:val="00E621D2"/>
    <w:rsid w:val="00E633DB"/>
    <w:rsid w:val="00E67D4A"/>
    <w:rsid w:val="00E713DD"/>
    <w:rsid w:val="00E71A60"/>
    <w:rsid w:val="00E72681"/>
    <w:rsid w:val="00E7368B"/>
    <w:rsid w:val="00E76B2D"/>
    <w:rsid w:val="00E802D5"/>
    <w:rsid w:val="00E8281E"/>
    <w:rsid w:val="00E8363C"/>
    <w:rsid w:val="00E84ECA"/>
    <w:rsid w:val="00E86DEE"/>
    <w:rsid w:val="00E871E1"/>
    <w:rsid w:val="00E87947"/>
    <w:rsid w:val="00E90C2D"/>
    <w:rsid w:val="00E911D1"/>
    <w:rsid w:val="00E92E39"/>
    <w:rsid w:val="00E96362"/>
    <w:rsid w:val="00EA59C9"/>
    <w:rsid w:val="00EA74EE"/>
    <w:rsid w:val="00EB26EC"/>
    <w:rsid w:val="00EB3651"/>
    <w:rsid w:val="00EB3957"/>
    <w:rsid w:val="00EB3F20"/>
    <w:rsid w:val="00EB54ED"/>
    <w:rsid w:val="00EB6118"/>
    <w:rsid w:val="00EB7BC9"/>
    <w:rsid w:val="00EC1BBA"/>
    <w:rsid w:val="00ED21CE"/>
    <w:rsid w:val="00ED2863"/>
    <w:rsid w:val="00ED7F90"/>
    <w:rsid w:val="00EE2EB4"/>
    <w:rsid w:val="00EF083E"/>
    <w:rsid w:val="00EF1BE7"/>
    <w:rsid w:val="00EF2C25"/>
    <w:rsid w:val="00EF308C"/>
    <w:rsid w:val="00F04EEA"/>
    <w:rsid w:val="00F058D9"/>
    <w:rsid w:val="00F07280"/>
    <w:rsid w:val="00F1203A"/>
    <w:rsid w:val="00F130F3"/>
    <w:rsid w:val="00F17C30"/>
    <w:rsid w:val="00F204C8"/>
    <w:rsid w:val="00F20F23"/>
    <w:rsid w:val="00F2228E"/>
    <w:rsid w:val="00F24F90"/>
    <w:rsid w:val="00F3064C"/>
    <w:rsid w:val="00F368E6"/>
    <w:rsid w:val="00F44599"/>
    <w:rsid w:val="00F50E7A"/>
    <w:rsid w:val="00F527AE"/>
    <w:rsid w:val="00F52FA0"/>
    <w:rsid w:val="00F5634B"/>
    <w:rsid w:val="00F56CE5"/>
    <w:rsid w:val="00F57A70"/>
    <w:rsid w:val="00F600CA"/>
    <w:rsid w:val="00F60AF7"/>
    <w:rsid w:val="00F60E83"/>
    <w:rsid w:val="00F62B26"/>
    <w:rsid w:val="00F6432A"/>
    <w:rsid w:val="00F6572C"/>
    <w:rsid w:val="00F67698"/>
    <w:rsid w:val="00F67EF2"/>
    <w:rsid w:val="00F70EF5"/>
    <w:rsid w:val="00F718BD"/>
    <w:rsid w:val="00F71DE5"/>
    <w:rsid w:val="00F73206"/>
    <w:rsid w:val="00F7551C"/>
    <w:rsid w:val="00F75F4B"/>
    <w:rsid w:val="00F76FA5"/>
    <w:rsid w:val="00F801F9"/>
    <w:rsid w:val="00F80625"/>
    <w:rsid w:val="00F816D5"/>
    <w:rsid w:val="00F82045"/>
    <w:rsid w:val="00F8245B"/>
    <w:rsid w:val="00F82BEC"/>
    <w:rsid w:val="00F93170"/>
    <w:rsid w:val="00F9420E"/>
    <w:rsid w:val="00F945F8"/>
    <w:rsid w:val="00FA024E"/>
    <w:rsid w:val="00FA0559"/>
    <w:rsid w:val="00FA1F08"/>
    <w:rsid w:val="00FA25D0"/>
    <w:rsid w:val="00FA31CC"/>
    <w:rsid w:val="00FA3FBB"/>
    <w:rsid w:val="00FA4C4B"/>
    <w:rsid w:val="00FA6A0C"/>
    <w:rsid w:val="00FB2532"/>
    <w:rsid w:val="00FB2781"/>
    <w:rsid w:val="00FB3405"/>
    <w:rsid w:val="00FB3484"/>
    <w:rsid w:val="00FB361E"/>
    <w:rsid w:val="00FB3645"/>
    <w:rsid w:val="00FB42F7"/>
    <w:rsid w:val="00FB4507"/>
    <w:rsid w:val="00FB5EC1"/>
    <w:rsid w:val="00FB64CD"/>
    <w:rsid w:val="00FB7FEB"/>
    <w:rsid w:val="00FC0772"/>
    <w:rsid w:val="00FC304E"/>
    <w:rsid w:val="00FC32FF"/>
    <w:rsid w:val="00FC4584"/>
    <w:rsid w:val="00FC6CD9"/>
    <w:rsid w:val="00FD0A83"/>
    <w:rsid w:val="00FD1917"/>
    <w:rsid w:val="00FD4675"/>
    <w:rsid w:val="00FD51A2"/>
    <w:rsid w:val="00FD5FE3"/>
    <w:rsid w:val="00FD7839"/>
    <w:rsid w:val="00FE060C"/>
    <w:rsid w:val="00FE1094"/>
    <w:rsid w:val="00FE42D9"/>
    <w:rsid w:val="00FE4D6D"/>
    <w:rsid w:val="00FE5C23"/>
    <w:rsid w:val="00FE65E5"/>
    <w:rsid w:val="00FE66E4"/>
    <w:rsid w:val="00FF029A"/>
    <w:rsid w:val="00FF1467"/>
    <w:rsid w:val="00FF27AB"/>
    <w:rsid w:val="00FF2921"/>
    <w:rsid w:val="00FF3117"/>
    <w:rsid w:val="00FF37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610A71"/>
  <w15:docId w15:val="{FF77D157-7AD8-485D-AED4-7071916B5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6546F"/>
    <w:rPr>
      <w:sz w:val="24"/>
      <w:szCs w:val="24"/>
    </w:rPr>
  </w:style>
  <w:style w:type="paragraph" w:styleId="Heading1">
    <w:name w:val="heading 1"/>
    <w:basedOn w:val="Normal"/>
    <w:next w:val="Normal"/>
    <w:qFormat/>
    <w:rsid w:val="00106778"/>
    <w:pPr>
      <w:keepNext/>
      <w:spacing w:line="360" w:lineRule="auto"/>
      <w:outlineLvl w:val="0"/>
    </w:pPr>
    <w:rPr>
      <w:rFonts w:ascii="Arial" w:hAnsi="Arial" w:cs="Arial"/>
      <w:b/>
      <w:bCs/>
      <w:color w:val="000000"/>
      <w:sz w:val="22"/>
      <w:szCs w:val="22"/>
    </w:rPr>
  </w:style>
  <w:style w:type="paragraph" w:styleId="Heading2">
    <w:name w:val="heading 2"/>
    <w:basedOn w:val="Normal"/>
    <w:next w:val="Normal"/>
    <w:link w:val="Heading2Char"/>
    <w:semiHidden/>
    <w:unhideWhenUsed/>
    <w:qFormat/>
    <w:rsid w:val="005B00B2"/>
    <w:pPr>
      <w:keepNext/>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semiHidden/>
    <w:unhideWhenUsed/>
    <w:qFormat/>
    <w:rsid w:val="0009169A"/>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C9490F"/>
    <w:rPr>
      <w:rFonts w:ascii="Tahoma" w:hAnsi="Tahoma" w:cs="Tahoma"/>
      <w:sz w:val="16"/>
      <w:szCs w:val="16"/>
    </w:rPr>
  </w:style>
  <w:style w:type="character" w:styleId="Hyperlink">
    <w:name w:val="Hyperlink"/>
    <w:rsid w:val="007012DA"/>
    <w:rPr>
      <w:color w:val="0000FF"/>
      <w:u w:val="single"/>
    </w:rPr>
  </w:style>
  <w:style w:type="paragraph" w:styleId="Header">
    <w:name w:val="header"/>
    <w:basedOn w:val="Normal"/>
    <w:rsid w:val="00C513BD"/>
    <w:pPr>
      <w:tabs>
        <w:tab w:val="center" w:pos="4153"/>
        <w:tab w:val="right" w:pos="8306"/>
      </w:tabs>
    </w:pPr>
  </w:style>
  <w:style w:type="paragraph" w:styleId="Footer">
    <w:name w:val="footer"/>
    <w:basedOn w:val="Normal"/>
    <w:rsid w:val="00C513BD"/>
    <w:pPr>
      <w:tabs>
        <w:tab w:val="center" w:pos="4153"/>
        <w:tab w:val="right" w:pos="8306"/>
      </w:tabs>
    </w:pPr>
  </w:style>
  <w:style w:type="paragraph" w:customStyle="1" w:styleId="Char">
    <w:name w:val="Char"/>
    <w:basedOn w:val="Normal"/>
    <w:rsid w:val="00FF3117"/>
    <w:rPr>
      <w:rFonts w:ascii="Arial" w:hAnsi="Arial" w:cs="Arial"/>
      <w:sz w:val="22"/>
      <w:szCs w:val="22"/>
      <w:lang w:eastAsia="en-US"/>
    </w:rPr>
  </w:style>
  <w:style w:type="paragraph" w:customStyle="1" w:styleId="CharCharCharCharCharCharChar">
    <w:name w:val="Char Char Char Char Char Char Char"/>
    <w:basedOn w:val="Normal"/>
    <w:rsid w:val="00B15C86"/>
    <w:rPr>
      <w:rFonts w:ascii="Arial" w:hAnsi="Arial" w:cs="Arial"/>
      <w:color w:val="000000"/>
      <w:sz w:val="22"/>
      <w:szCs w:val="22"/>
      <w:lang w:eastAsia="en-US"/>
    </w:rPr>
  </w:style>
  <w:style w:type="character" w:customStyle="1" w:styleId="Heading3Char">
    <w:name w:val="Heading 3 Char"/>
    <w:link w:val="Heading3"/>
    <w:semiHidden/>
    <w:rsid w:val="0009169A"/>
    <w:rPr>
      <w:rFonts w:ascii="Cambria" w:eastAsia="Times New Roman" w:hAnsi="Cambria" w:cs="Times New Roman"/>
      <w:b/>
      <w:bCs/>
      <w:sz w:val="26"/>
      <w:szCs w:val="26"/>
    </w:rPr>
  </w:style>
  <w:style w:type="paragraph" w:styleId="ListBullet">
    <w:name w:val="List Bullet"/>
    <w:basedOn w:val="Normal"/>
    <w:rsid w:val="0041470E"/>
    <w:pPr>
      <w:tabs>
        <w:tab w:val="num" w:pos="720"/>
      </w:tabs>
      <w:spacing w:after="60"/>
      <w:ind w:left="720" w:right="28" w:hanging="360"/>
    </w:pPr>
    <w:rPr>
      <w:rFonts w:ascii="Calibri" w:hAnsi="Calibri" w:cs="Arial"/>
      <w:sz w:val="22"/>
      <w:szCs w:val="22"/>
    </w:rPr>
  </w:style>
  <w:style w:type="character" w:customStyle="1" w:styleId="Heading2Char">
    <w:name w:val="Heading 2 Char"/>
    <w:basedOn w:val="DefaultParagraphFont"/>
    <w:link w:val="Heading2"/>
    <w:semiHidden/>
    <w:rsid w:val="005B00B2"/>
    <w:rPr>
      <w:rFonts w:asciiTheme="majorHAnsi" w:eastAsiaTheme="majorEastAsia" w:hAnsiTheme="majorHAnsi" w:cstheme="majorBidi"/>
      <w:b/>
      <w:bCs/>
      <w:i/>
      <w:iCs/>
      <w:sz w:val="28"/>
      <w:szCs w:val="28"/>
    </w:rPr>
  </w:style>
  <w:style w:type="paragraph" w:styleId="NormalWeb">
    <w:name w:val="Normal (Web)"/>
    <w:basedOn w:val="Normal"/>
    <w:uiPriority w:val="99"/>
    <w:unhideWhenUsed/>
    <w:rsid w:val="005B00B2"/>
    <w:pPr>
      <w:spacing w:before="100" w:beforeAutospacing="1" w:after="100" w:afterAutospacing="1"/>
    </w:pPr>
    <w:rPr>
      <w:rFonts w:eastAsia="Calibri"/>
    </w:rPr>
  </w:style>
  <w:style w:type="paragraph" w:styleId="ListParagraph">
    <w:name w:val="List Paragraph"/>
    <w:basedOn w:val="Normal"/>
    <w:uiPriority w:val="34"/>
    <w:qFormat/>
    <w:rsid w:val="001B45B1"/>
    <w:pPr>
      <w:ind w:left="720"/>
    </w:pPr>
    <w:rPr>
      <w:rFonts w:ascii="Calibri" w:eastAsiaTheme="minorHAnsi" w:hAnsi="Calibri"/>
      <w:sz w:val="22"/>
      <w:szCs w:val="22"/>
      <w:lang w:eastAsia="en-US"/>
    </w:rPr>
  </w:style>
  <w:style w:type="paragraph" w:customStyle="1" w:styleId="Default">
    <w:name w:val="Default"/>
    <w:basedOn w:val="Normal"/>
    <w:rsid w:val="006D7E9D"/>
    <w:pPr>
      <w:autoSpaceDE w:val="0"/>
      <w:autoSpaceDN w:val="0"/>
    </w:pPr>
    <w:rPr>
      <w:rFonts w:ascii="Arial" w:eastAsiaTheme="minorHAnsi" w:hAnsi="Arial" w:cs="Arial"/>
      <w:color w:val="000000"/>
    </w:rPr>
  </w:style>
  <w:style w:type="paragraph" w:styleId="PlainText">
    <w:name w:val="Plain Text"/>
    <w:basedOn w:val="Normal"/>
    <w:link w:val="PlainTextChar"/>
    <w:uiPriority w:val="99"/>
    <w:unhideWhenUsed/>
    <w:rsid w:val="00C2431E"/>
    <w:rPr>
      <w:rFonts w:ascii="Calibri" w:eastAsiaTheme="minorHAnsi" w:hAnsi="Calibri" w:cs="Calibri"/>
      <w:sz w:val="22"/>
      <w:szCs w:val="22"/>
      <w:lang w:eastAsia="en-US"/>
    </w:rPr>
  </w:style>
  <w:style w:type="character" w:customStyle="1" w:styleId="PlainTextChar">
    <w:name w:val="Plain Text Char"/>
    <w:basedOn w:val="DefaultParagraphFont"/>
    <w:link w:val="PlainText"/>
    <w:uiPriority w:val="99"/>
    <w:rsid w:val="00C2431E"/>
    <w:rPr>
      <w:rFonts w:ascii="Calibri" w:eastAsiaTheme="minorHAnsi" w:hAnsi="Calibri" w:cs="Calibri"/>
      <w:sz w:val="22"/>
      <w:szCs w:val="22"/>
      <w:lang w:eastAsia="en-US"/>
    </w:rPr>
  </w:style>
  <w:style w:type="character" w:styleId="Emphasis">
    <w:name w:val="Emphasis"/>
    <w:basedOn w:val="DefaultParagraphFont"/>
    <w:uiPriority w:val="20"/>
    <w:qFormat/>
    <w:rsid w:val="006A55BF"/>
    <w:rPr>
      <w:i/>
      <w:iCs/>
    </w:rPr>
  </w:style>
  <w:style w:type="character" w:styleId="UnresolvedMention">
    <w:name w:val="Unresolved Mention"/>
    <w:basedOn w:val="DefaultParagraphFont"/>
    <w:uiPriority w:val="99"/>
    <w:semiHidden/>
    <w:unhideWhenUsed/>
    <w:rsid w:val="00251640"/>
    <w:rPr>
      <w:color w:val="605E5C"/>
      <w:shd w:val="clear" w:color="auto" w:fill="E1DFDD"/>
    </w:rPr>
  </w:style>
  <w:style w:type="paragraph" w:customStyle="1" w:styleId="xmsonormal">
    <w:name w:val="x_msonormal"/>
    <w:basedOn w:val="Normal"/>
    <w:rsid w:val="007E5662"/>
    <w:rPr>
      <w:rFonts w:ascii="Calibri" w:eastAsiaTheme="minorHAnsi" w:hAnsi="Calibri" w:cs="Calibri"/>
      <w:sz w:val="22"/>
      <w:szCs w:val="22"/>
    </w:rPr>
  </w:style>
  <w:style w:type="character" w:customStyle="1" w:styleId="markynid5d1ps">
    <w:name w:val="markynid5d1ps"/>
    <w:basedOn w:val="DefaultParagraphFont"/>
    <w:rsid w:val="007E5662"/>
  </w:style>
  <w:style w:type="character" w:customStyle="1" w:styleId="contentpasted0">
    <w:name w:val="contentpasted0"/>
    <w:basedOn w:val="DefaultParagraphFont"/>
    <w:rsid w:val="007E5662"/>
  </w:style>
  <w:style w:type="paragraph" w:styleId="Revision">
    <w:name w:val="Revision"/>
    <w:hidden/>
    <w:uiPriority w:val="99"/>
    <w:semiHidden/>
    <w:rsid w:val="00086AC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98738">
      <w:bodyDiv w:val="1"/>
      <w:marLeft w:val="0"/>
      <w:marRight w:val="0"/>
      <w:marTop w:val="0"/>
      <w:marBottom w:val="0"/>
      <w:divBdr>
        <w:top w:val="none" w:sz="0" w:space="0" w:color="auto"/>
        <w:left w:val="none" w:sz="0" w:space="0" w:color="auto"/>
        <w:bottom w:val="none" w:sz="0" w:space="0" w:color="auto"/>
        <w:right w:val="none" w:sz="0" w:space="0" w:color="auto"/>
      </w:divBdr>
    </w:div>
    <w:div w:id="98062693">
      <w:bodyDiv w:val="1"/>
      <w:marLeft w:val="0"/>
      <w:marRight w:val="0"/>
      <w:marTop w:val="0"/>
      <w:marBottom w:val="0"/>
      <w:divBdr>
        <w:top w:val="none" w:sz="0" w:space="0" w:color="auto"/>
        <w:left w:val="none" w:sz="0" w:space="0" w:color="auto"/>
        <w:bottom w:val="none" w:sz="0" w:space="0" w:color="auto"/>
        <w:right w:val="none" w:sz="0" w:space="0" w:color="auto"/>
      </w:divBdr>
    </w:div>
    <w:div w:id="103115458">
      <w:bodyDiv w:val="1"/>
      <w:marLeft w:val="0"/>
      <w:marRight w:val="0"/>
      <w:marTop w:val="0"/>
      <w:marBottom w:val="0"/>
      <w:divBdr>
        <w:top w:val="none" w:sz="0" w:space="0" w:color="auto"/>
        <w:left w:val="none" w:sz="0" w:space="0" w:color="auto"/>
        <w:bottom w:val="none" w:sz="0" w:space="0" w:color="auto"/>
        <w:right w:val="none" w:sz="0" w:space="0" w:color="auto"/>
      </w:divBdr>
    </w:div>
    <w:div w:id="111293557">
      <w:bodyDiv w:val="1"/>
      <w:marLeft w:val="0"/>
      <w:marRight w:val="0"/>
      <w:marTop w:val="0"/>
      <w:marBottom w:val="0"/>
      <w:divBdr>
        <w:top w:val="none" w:sz="0" w:space="0" w:color="auto"/>
        <w:left w:val="none" w:sz="0" w:space="0" w:color="auto"/>
        <w:bottom w:val="none" w:sz="0" w:space="0" w:color="auto"/>
        <w:right w:val="none" w:sz="0" w:space="0" w:color="auto"/>
      </w:divBdr>
    </w:div>
    <w:div w:id="116684589">
      <w:bodyDiv w:val="1"/>
      <w:marLeft w:val="0"/>
      <w:marRight w:val="0"/>
      <w:marTop w:val="0"/>
      <w:marBottom w:val="0"/>
      <w:divBdr>
        <w:top w:val="none" w:sz="0" w:space="0" w:color="auto"/>
        <w:left w:val="none" w:sz="0" w:space="0" w:color="auto"/>
        <w:bottom w:val="none" w:sz="0" w:space="0" w:color="auto"/>
        <w:right w:val="none" w:sz="0" w:space="0" w:color="auto"/>
      </w:divBdr>
    </w:div>
    <w:div w:id="143738659">
      <w:bodyDiv w:val="1"/>
      <w:marLeft w:val="0"/>
      <w:marRight w:val="0"/>
      <w:marTop w:val="0"/>
      <w:marBottom w:val="0"/>
      <w:divBdr>
        <w:top w:val="none" w:sz="0" w:space="0" w:color="auto"/>
        <w:left w:val="none" w:sz="0" w:space="0" w:color="auto"/>
        <w:bottom w:val="none" w:sz="0" w:space="0" w:color="auto"/>
        <w:right w:val="none" w:sz="0" w:space="0" w:color="auto"/>
      </w:divBdr>
    </w:div>
    <w:div w:id="149253675">
      <w:bodyDiv w:val="1"/>
      <w:marLeft w:val="0"/>
      <w:marRight w:val="0"/>
      <w:marTop w:val="0"/>
      <w:marBottom w:val="0"/>
      <w:divBdr>
        <w:top w:val="none" w:sz="0" w:space="0" w:color="auto"/>
        <w:left w:val="none" w:sz="0" w:space="0" w:color="auto"/>
        <w:bottom w:val="none" w:sz="0" w:space="0" w:color="auto"/>
        <w:right w:val="none" w:sz="0" w:space="0" w:color="auto"/>
      </w:divBdr>
    </w:div>
    <w:div w:id="154688745">
      <w:bodyDiv w:val="1"/>
      <w:marLeft w:val="0"/>
      <w:marRight w:val="0"/>
      <w:marTop w:val="0"/>
      <w:marBottom w:val="0"/>
      <w:divBdr>
        <w:top w:val="none" w:sz="0" w:space="0" w:color="auto"/>
        <w:left w:val="none" w:sz="0" w:space="0" w:color="auto"/>
        <w:bottom w:val="none" w:sz="0" w:space="0" w:color="auto"/>
        <w:right w:val="none" w:sz="0" w:space="0" w:color="auto"/>
      </w:divBdr>
    </w:div>
    <w:div w:id="216163282">
      <w:bodyDiv w:val="1"/>
      <w:marLeft w:val="0"/>
      <w:marRight w:val="0"/>
      <w:marTop w:val="0"/>
      <w:marBottom w:val="0"/>
      <w:divBdr>
        <w:top w:val="none" w:sz="0" w:space="0" w:color="auto"/>
        <w:left w:val="none" w:sz="0" w:space="0" w:color="auto"/>
        <w:bottom w:val="none" w:sz="0" w:space="0" w:color="auto"/>
        <w:right w:val="none" w:sz="0" w:space="0" w:color="auto"/>
      </w:divBdr>
    </w:div>
    <w:div w:id="220747871">
      <w:bodyDiv w:val="1"/>
      <w:marLeft w:val="0"/>
      <w:marRight w:val="0"/>
      <w:marTop w:val="0"/>
      <w:marBottom w:val="0"/>
      <w:divBdr>
        <w:top w:val="none" w:sz="0" w:space="0" w:color="auto"/>
        <w:left w:val="none" w:sz="0" w:space="0" w:color="auto"/>
        <w:bottom w:val="none" w:sz="0" w:space="0" w:color="auto"/>
        <w:right w:val="none" w:sz="0" w:space="0" w:color="auto"/>
      </w:divBdr>
    </w:div>
    <w:div w:id="229191665">
      <w:bodyDiv w:val="1"/>
      <w:marLeft w:val="0"/>
      <w:marRight w:val="0"/>
      <w:marTop w:val="0"/>
      <w:marBottom w:val="0"/>
      <w:divBdr>
        <w:top w:val="none" w:sz="0" w:space="0" w:color="auto"/>
        <w:left w:val="none" w:sz="0" w:space="0" w:color="auto"/>
        <w:bottom w:val="none" w:sz="0" w:space="0" w:color="auto"/>
        <w:right w:val="none" w:sz="0" w:space="0" w:color="auto"/>
      </w:divBdr>
    </w:div>
    <w:div w:id="286738558">
      <w:bodyDiv w:val="1"/>
      <w:marLeft w:val="0"/>
      <w:marRight w:val="0"/>
      <w:marTop w:val="0"/>
      <w:marBottom w:val="0"/>
      <w:divBdr>
        <w:top w:val="none" w:sz="0" w:space="0" w:color="auto"/>
        <w:left w:val="none" w:sz="0" w:space="0" w:color="auto"/>
        <w:bottom w:val="none" w:sz="0" w:space="0" w:color="auto"/>
        <w:right w:val="none" w:sz="0" w:space="0" w:color="auto"/>
      </w:divBdr>
    </w:div>
    <w:div w:id="359360373">
      <w:bodyDiv w:val="1"/>
      <w:marLeft w:val="0"/>
      <w:marRight w:val="0"/>
      <w:marTop w:val="0"/>
      <w:marBottom w:val="0"/>
      <w:divBdr>
        <w:top w:val="none" w:sz="0" w:space="0" w:color="auto"/>
        <w:left w:val="none" w:sz="0" w:space="0" w:color="auto"/>
        <w:bottom w:val="none" w:sz="0" w:space="0" w:color="auto"/>
        <w:right w:val="none" w:sz="0" w:space="0" w:color="auto"/>
      </w:divBdr>
    </w:div>
    <w:div w:id="413626650">
      <w:bodyDiv w:val="1"/>
      <w:marLeft w:val="0"/>
      <w:marRight w:val="0"/>
      <w:marTop w:val="0"/>
      <w:marBottom w:val="0"/>
      <w:divBdr>
        <w:top w:val="none" w:sz="0" w:space="0" w:color="auto"/>
        <w:left w:val="none" w:sz="0" w:space="0" w:color="auto"/>
        <w:bottom w:val="none" w:sz="0" w:space="0" w:color="auto"/>
        <w:right w:val="none" w:sz="0" w:space="0" w:color="auto"/>
      </w:divBdr>
    </w:div>
    <w:div w:id="417679238">
      <w:bodyDiv w:val="1"/>
      <w:marLeft w:val="0"/>
      <w:marRight w:val="0"/>
      <w:marTop w:val="0"/>
      <w:marBottom w:val="0"/>
      <w:divBdr>
        <w:top w:val="none" w:sz="0" w:space="0" w:color="auto"/>
        <w:left w:val="none" w:sz="0" w:space="0" w:color="auto"/>
        <w:bottom w:val="none" w:sz="0" w:space="0" w:color="auto"/>
        <w:right w:val="none" w:sz="0" w:space="0" w:color="auto"/>
      </w:divBdr>
    </w:div>
    <w:div w:id="428888103">
      <w:bodyDiv w:val="1"/>
      <w:marLeft w:val="0"/>
      <w:marRight w:val="0"/>
      <w:marTop w:val="0"/>
      <w:marBottom w:val="0"/>
      <w:divBdr>
        <w:top w:val="none" w:sz="0" w:space="0" w:color="auto"/>
        <w:left w:val="none" w:sz="0" w:space="0" w:color="auto"/>
        <w:bottom w:val="none" w:sz="0" w:space="0" w:color="auto"/>
        <w:right w:val="none" w:sz="0" w:space="0" w:color="auto"/>
      </w:divBdr>
    </w:div>
    <w:div w:id="434834809">
      <w:bodyDiv w:val="1"/>
      <w:marLeft w:val="0"/>
      <w:marRight w:val="0"/>
      <w:marTop w:val="0"/>
      <w:marBottom w:val="0"/>
      <w:divBdr>
        <w:top w:val="none" w:sz="0" w:space="0" w:color="auto"/>
        <w:left w:val="none" w:sz="0" w:space="0" w:color="auto"/>
        <w:bottom w:val="none" w:sz="0" w:space="0" w:color="auto"/>
        <w:right w:val="none" w:sz="0" w:space="0" w:color="auto"/>
      </w:divBdr>
    </w:div>
    <w:div w:id="435291365">
      <w:bodyDiv w:val="1"/>
      <w:marLeft w:val="0"/>
      <w:marRight w:val="0"/>
      <w:marTop w:val="0"/>
      <w:marBottom w:val="0"/>
      <w:divBdr>
        <w:top w:val="none" w:sz="0" w:space="0" w:color="auto"/>
        <w:left w:val="none" w:sz="0" w:space="0" w:color="auto"/>
        <w:bottom w:val="none" w:sz="0" w:space="0" w:color="auto"/>
        <w:right w:val="none" w:sz="0" w:space="0" w:color="auto"/>
      </w:divBdr>
    </w:div>
    <w:div w:id="532617113">
      <w:bodyDiv w:val="1"/>
      <w:marLeft w:val="0"/>
      <w:marRight w:val="0"/>
      <w:marTop w:val="0"/>
      <w:marBottom w:val="0"/>
      <w:divBdr>
        <w:top w:val="none" w:sz="0" w:space="0" w:color="auto"/>
        <w:left w:val="none" w:sz="0" w:space="0" w:color="auto"/>
        <w:bottom w:val="none" w:sz="0" w:space="0" w:color="auto"/>
        <w:right w:val="none" w:sz="0" w:space="0" w:color="auto"/>
      </w:divBdr>
    </w:div>
    <w:div w:id="548034922">
      <w:bodyDiv w:val="1"/>
      <w:marLeft w:val="0"/>
      <w:marRight w:val="0"/>
      <w:marTop w:val="0"/>
      <w:marBottom w:val="0"/>
      <w:divBdr>
        <w:top w:val="none" w:sz="0" w:space="0" w:color="auto"/>
        <w:left w:val="none" w:sz="0" w:space="0" w:color="auto"/>
        <w:bottom w:val="none" w:sz="0" w:space="0" w:color="auto"/>
        <w:right w:val="none" w:sz="0" w:space="0" w:color="auto"/>
      </w:divBdr>
    </w:div>
    <w:div w:id="562330499">
      <w:bodyDiv w:val="1"/>
      <w:marLeft w:val="0"/>
      <w:marRight w:val="0"/>
      <w:marTop w:val="0"/>
      <w:marBottom w:val="0"/>
      <w:divBdr>
        <w:top w:val="none" w:sz="0" w:space="0" w:color="auto"/>
        <w:left w:val="none" w:sz="0" w:space="0" w:color="auto"/>
        <w:bottom w:val="none" w:sz="0" w:space="0" w:color="auto"/>
        <w:right w:val="none" w:sz="0" w:space="0" w:color="auto"/>
      </w:divBdr>
    </w:div>
    <w:div w:id="567963620">
      <w:bodyDiv w:val="1"/>
      <w:marLeft w:val="0"/>
      <w:marRight w:val="0"/>
      <w:marTop w:val="0"/>
      <w:marBottom w:val="0"/>
      <w:divBdr>
        <w:top w:val="none" w:sz="0" w:space="0" w:color="auto"/>
        <w:left w:val="none" w:sz="0" w:space="0" w:color="auto"/>
        <w:bottom w:val="none" w:sz="0" w:space="0" w:color="auto"/>
        <w:right w:val="none" w:sz="0" w:space="0" w:color="auto"/>
      </w:divBdr>
    </w:div>
    <w:div w:id="573009430">
      <w:bodyDiv w:val="1"/>
      <w:marLeft w:val="0"/>
      <w:marRight w:val="0"/>
      <w:marTop w:val="0"/>
      <w:marBottom w:val="0"/>
      <w:divBdr>
        <w:top w:val="none" w:sz="0" w:space="0" w:color="auto"/>
        <w:left w:val="none" w:sz="0" w:space="0" w:color="auto"/>
        <w:bottom w:val="none" w:sz="0" w:space="0" w:color="auto"/>
        <w:right w:val="none" w:sz="0" w:space="0" w:color="auto"/>
      </w:divBdr>
    </w:div>
    <w:div w:id="577403295">
      <w:bodyDiv w:val="1"/>
      <w:marLeft w:val="0"/>
      <w:marRight w:val="0"/>
      <w:marTop w:val="0"/>
      <w:marBottom w:val="0"/>
      <w:divBdr>
        <w:top w:val="none" w:sz="0" w:space="0" w:color="auto"/>
        <w:left w:val="none" w:sz="0" w:space="0" w:color="auto"/>
        <w:bottom w:val="none" w:sz="0" w:space="0" w:color="auto"/>
        <w:right w:val="none" w:sz="0" w:space="0" w:color="auto"/>
      </w:divBdr>
    </w:div>
    <w:div w:id="583999188">
      <w:bodyDiv w:val="1"/>
      <w:marLeft w:val="0"/>
      <w:marRight w:val="0"/>
      <w:marTop w:val="0"/>
      <w:marBottom w:val="0"/>
      <w:divBdr>
        <w:top w:val="none" w:sz="0" w:space="0" w:color="auto"/>
        <w:left w:val="none" w:sz="0" w:space="0" w:color="auto"/>
        <w:bottom w:val="none" w:sz="0" w:space="0" w:color="auto"/>
        <w:right w:val="none" w:sz="0" w:space="0" w:color="auto"/>
      </w:divBdr>
    </w:div>
    <w:div w:id="679892331">
      <w:bodyDiv w:val="1"/>
      <w:marLeft w:val="0"/>
      <w:marRight w:val="0"/>
      <w:marTop w:val="0"/>
      <w:marBottom w:val="0"/>
      <w:divBdr>
        <w:top w:val="none" w:sz="0" w:space="0" w:color="auto"/>
        <w:left w:val="none" w:sz="0" w:space="0" w:color="auto"/>
        <w:bottom w:val="none" w:sz="0" w:space="0" w:color="auto"/>
        <w:right w:val="none" w:sz="0" w:space="0" w:color="auto"/>
      </w:divBdr>
    </w:div>
    <w:div w:id="703798261">
      <w:bodyDiv w:val="1"/>
      <w:marLeft w:val="0"/>
      <w:marRight w:val="0"/>
      <w:marTop w:val="0"/>
      <w:marBottom w:val="0"/>
      <w:divBdr>
        <w:top w:val="none" w:sz="0" w:space="0" w:color="auto"/>
        <w:left w:val="none" w:sz="0" w:space="0" w:color="auto"/>
        <w:bottom w:val="none" w:sz="0" w:space="0" w:color="auto"/>
        <w:right w:val="none" w:sz="0" w:space="0" w:color="auto"/>
      </w:divBdr>
    </w:div>
    <w:div w:id="728960575">
      <w:bodyDiv w:val="1"/>
      <w:marLeft w:val="0"/>
      <w:marRight w:val="0"/>
      <w:marTop w:val="0"/>
      <w:marBottom w:val="0"/>
      <w:divBdr>
        <w:top w:val="none" w:sz="0" w:space="0" w:color="auto"/>
        <w:left w:val="none" w:sz="0" w:space="0" w:color="auto"/>
        <w:bottom w:val="none" w:sz="0" w:space="0" w:color="auto"/>
        <w:right w:val="none" w:sz="0" w:space="0" w:color="auto"/>
      </w:divBdr>
    </w:div>
    <w:div w:id="734813061">
      <w:bodyDiv w:val="1"/>
      <w:marLeft w:val="0"/>
      <w:marRight w:val="0"/>
      <w:marTop w:val="0"/>
      <w:marBottom w:val="0"/>
      <w:divBdr>
        <w:top w:val="none" w:sz="0" w:space="0" w:color="auto"/>
        <w:left w:val="none" w:sz="0" w:space="0" w:color="auto"/>
        <w:bottom w:val="none" w:sz="0" w:space="0" w:color="auto"/>
        <w:right w:val="none" w:sz="0" w:space="0" w:color="auto"/>
      </w:divBdr>
    </w:div>
    <w:div w:id="746224245">
      <w:bodyDiv w:val="1"/>
      <w:marLeft w:val="0"/>
      <w:marRight w:val="0"/>
      <w:marTop w:val="0"/>
      <w:marBottom w:val="0"/>
      <w:divBdr>
        <w:top w:val="none" w:sz="0" w:space="0" w:color="auto"/>
        <w:left w:val="none" w:sz="0" w:space="0" w:color="auto"/>
        <w:bottom w:val="none" w:sz="0" w:space="0" w:color="auto"/>
        <w:right w:val="none" w:sz="0" w:space="0" w:color="auto"/>
      </w:divBdr>
    </w:div>
    <w:div w:id="756293357">
      <w:bodyDiv w:val="1"/>
      <w:marLeft w:val="0"/>
      <w:marRight w:val="0"/>
      <w:marTop w:val="0"/>
      <w:marBottom w:val="0"/>
      <w:divBdr>
        <w:top w:val="none" w:sz="0" w:space="0" w:color="auto"/>
        <w:left w:val="none" w:sz="0" w:space="0" w:color="auto"/>
        <w:bottom w:val="none" w:sz="0" w:space="0" w:color="auto"/>
        <w:right w:val="none" w:sz="0" w:space="0" w:color="auto"/>
      </w:divBdr>
    </w:div>
    <w:div w:id="775640427">
      <w:bodyDiv w:val="1"/>
      <w:marLeft w:val="0"/>
      <w:marRight w:val="0"/>
      <w:marTop w:val="0"/>
      <w:marBottom w:val="0"/>
      <w:divBdr>
        <w:top w:val="none" w:sz="0" w:space="0" w:color="auto"/>
        <w:left w:val="none" w:sz="0" w:space="0" w:color="auto"/>
        <w:bottom w:val="none" w:sz="0" w:space="0" w:color="auto"/>
        <w:right w:val="none" w:sz="0" w:space="0" w:color="auto"/>
      </w:divBdr>
    </w:div>
    <w:div w:id="820274954">
      <w:bodyDiv w:val="1"/>
      <w:marLeft w:val="0"/>
      <w:marRight w:val="0"/>
      <w:marTop w:val="0"/>
      <w:marBottom w:val="0"/>
      <w:divBdr>
        <w:top w:val="none" w:sz="0" w:space="0" w:color="auto"/>
        <w:left w:val="none" w:sz="0" w:space="0" w:color="auto"/>
        <w:bottom w:val="none" w:sz="0" w:space="0" w:color="auto"/>
        <w:right w:val="none" w:sz="0" w:space="0" w:color="auto"/>
      </w:divBdr>
    </w:div>
    <w:div w:id="831456763">
      <w:bodyDiv w:val="1"/>
      <w:marLeft w:val="0"/>
      <w:marRight w:val="0"/>
      <w:marTop w:val="0"/>
      <w:marBottom w:val="0"/>
      <w:divBdr>
        <w:top w:val="none" w:sz="0" w:space="0" w:color="auto"/>
        <w:left w:val="none" w:sz="0" w:space="0" w:color="auto"/>
        <w:bottom w:val="none" w:sz="0" w:space="0" w:color="auto"/>
        <w:right w:val="none" w:sz="0" w:space="0" w:color="auto"/>
      </w:divBdr>
    </w:div>
    <w:div w:id="839538056">
      <w:bodyDiv w:val="1"/>
      <w:marLeft w:val="0"/>
      <w:marRight w:val="0"/>
      <w:marTop w:val="0"/>
      <w:marBottom w:val="0"/>
      <w:divBdr>
        <w:top w:val="none" w:sz="0" w:space="0" w:color="auto"/>
        <w:left w:val="none" w:sz="0" w:space="0" w:color="auto"/>
        <w:bottom w:val="none" w:sz="0" w:space="0" w:color="auto"/>
        <w:right w:val="none" w:sz="0" w:space="0" w:color="auto"/>
      </w:divBdr>
    </w:div>
    <w:div w:id="866677018">
      <w:bodyDiv w:val="1"/>
      <w:marLeft w:val="0"/>
      <w:marRight w:val="0"/>
      <w:marTop w:val="0"/>
      <w:marBottom w:val="0"/>
      <w:divBdr>
        <w:top w:val="none" w:sz="0" w:space="0" w:color="auto"/>
        <w:left w:val="none" w:sz="0" w:space="0" w:color="auto"/>
        <w:bottom w:val="none" w:sz="0" w:space="0" w:color="auto"/>
        <w:right w:val="none" w:sz="0" w:space="0" w:color="auto"/>
      </w:divBdr>
    </w:div>
    <w:div w:id="892546890">
      <w:bodyDiv w:val="1"/>
      <w:marLeft w:val="0"/>
      <w:marRight w:val="0"/>
      <w:marTop w:val="0"/>
      <w:marBottom w:val="0"/>
      <w:divBdr>
        <w:top w:val="none" w:sz="0" w:space="0" w:color="auto"/>
        <w:left w:val="none" w:sz="0" w:space="0" w:color="auto"/>
        <w:bottom w:val="none" w:sz="0" w:space="0" w:color="auto"/>
        <w:right w:val="none" w:sz="0" w:space="0" w:color="auto"/>
      </w:divBdr>
    </w:div>
    <w:div w:id="952597332">
      <w:bodyDiv w:val="1"/>
      <w:marLeft w:val="0"/>
      <w:marRight w:val="0"/>
      <w:marTop w:val="0"/>
      <w:marBottom w:val="0"/>
      <w:divBdr>
        <w:top w:val="none" w:sz="0" w:space="0" w:color="auto"/>
        <w:left w:val="none" w:sz="0" w:space="0" w:color="auto"/>
        <w:bottom w:val="none" w:sz="0" w:space="0" w:color="auto"/>
        <w:right w:val="none" w:sz="0" w:space="0" w:color="auto"/>
      </w:divBdr>
    </w:div>
    <w:div w:id="959649787">
      <w:bodyDiv w:val="1"/>
      <w:marLeft w:val="0"/>
      <w:marRight w:val="0"/>
      <w:marTop w:val="0"/>
      <w:marBottom w:val="0"/>
      <w:divBdr>
        <w:top w:val="none" w:sz="0" w:space="0" w:color="auto"/>
        <w:left w:val="none" w:sz="0" w:space="0" w:color="auto"/>
        <w:bottom w:val="none" w:sz="0" w:space="0" w:color="auto"/>
        <w:right w:val="none" w:sz="0" w:space="0" w:color="auto"/>
      </w:divBdr>
    </w:div>
    <w:div w:id="985623772">
      <w:bodyDiv w:val="1"/>
      <w:marLeft w:val="0"/>
      <w:marRight w:val="0"/>
      <w:marTop w:val="0"/>
      <w:marBottom w:val="0"/>
      <w:divBdr>
        <w:top w:val="none" w:sz="0" w:space="0" w:color="auto"/>
        <w:left w:val="none" w:sz="0" w:space="0" w:color="auto"/>
        <w:bottom w:val="none" w:sz="0" w:space="0" w:color="auto"/>
        <w:right w:val="none" w:sz="0" w:space="0" w:color="auto"/>
      </w:divBdr>
    </w:div>
    <w:div w:id="993679536">
      <w:bodyDiv w:val="1"/>
      <w:marLeft w:val="0"/>
      <w:marRight w:val="0"/>
      <w:marTop w:val="0"/>
      <w:marBottom w:val="0"/>
      <w:divBdr>
        <w:top w:val="none" w:sz="0" w:space="0" w:color="auto"/>
        <w:left w:val="none" w:sz="0" w:space="0" w:color="auto"/>
        <w:bottom w:val="none" w:sz="0" w:space="0" w:color="auto"/>
        <w:right w:val="none" w:sz="0" w:space="0" w:color="auto"/>
      </w:divBdr>
    </w:div>
    <w:div w:id="1012337480">
      <w:bodyDiv w:val="1"/>
      <w:marLeft w:val="0"/>
      <w:marRight w:val="0"/>
      <w:marTop w:val="0"/>
      <w:marBottom w:val="0"/>
      <w:divBdr>
        <w:top w:val="none" w:sz="0" w:space="0" w:color="auto"/>
        <w:left w:val="none" w:sz="0" w:space="0" w:color="auto"/>
        <w:bottom w:val="none" w:sz="0" w:space="0" w:color="auto"/>
        <w:right w:val="none" w:sz="0" w:space="0" w:color="auto"/>
      </w:divBdr>
    </w:div>
    <w:div w:id="1021392236">
      <w:bodyDiv w:val="1"/>
      <w:marLeft w:val="0"/>
      <w:marRight w:val="0"/>
      <w:marTop w:val="0"/>
      <w:marBottom w:val="0"/>
      <w:divBdr>
        <w:top w:val="none" w:sz="0" w:space="0" w:color="auto"/>
        <w:left w:val="none" w:sz="0" w:space="0" w:color="auto"/>
        <w:bottom w:val="none" w:sz="0" w:space="0" w:color="auto"/>
        <w:right w:val="none" w:sz="0" w:space="0" w:color="auto"/>
      </w:divBdr>
    </w:div>
    <w:div w:id="1030453492">
      <w:bodyDiv w:val="1"/>
      <w:marLeft w:val="0"/>
      <w:marRight w:val="0"/>
      <w:marTop w:val="0"/>
      <w:marBottom w:val="0"/>
      <w:divBdr>
        <w:top w:val="none" w:sz="0" w:space="0" w:color="auto"/>
        <w:left w:val="none" w:sz="0" w:space="0" w:color="auto"/>
        <w:bottom w:val="none" w:sz="0" w:space="0" w:color="auto"/>
        <w:right w:val="none" w:sz="0" w:space="0" w:color="auto"/>
      </w:divBdr>
    </w:div>
    <w:div w:id="1032192188">
      <w:bodyDiv w:val="1"/>
      <w:marLeft w:val="0"/>
      <w:marRight w:val="0"/>
      <w:marTop w:val="0"/>
      <w:marBottom w:val="0"/>
      <w:divBdr>
        <w:top w:val="none" w:sz="0" w:space="0" w:color="auto"/>
        <w:left w:val="none" w:sz="0" w:space="0" w:color="auto"/>
        <w:bottom w:val="none" w:sz="0" w:space="0" w:color="auto"/>
        <w:right w:val="none" w:sz="0" w:space="0" w:color="auto"/>
      </w:divBdr>
    </w:div>
    <w:div w:id="1067144540">
      <w:bodyDiv w:val="1"/>
      <w:marLeft w:val="0"/>
      <w:marRight w:val="0"/>
      <w:marTop w:val="0"/>
      <w:marBottom w:val="0"/>
      <w:divBdr>
        <w:top w:val="none" w:sz="0" w:space="0" w:color="auto"/>
        <w:left w:val="none" w:sz="0" w:space="0" w:color="auto"/>
        <w:bottom w:val="none" w:sz="0" w:space="0" w:color="auto"/>
        <w:right w:val="none" w:sz="0" w:space="0" w:color="auto"/>
      </w:divBdr>
    </w:div>
    <w:div w:id="1071273980">
      <w:bodyDiv w:val="1"/>
      <w:marLeft w:val="0"/>
      <w:marRight w:val="0"/>
      <w:marTop w:val="0"/>
      <w:marBottom w:val="0"/>
      <w:divBdr>
        <w:top w:val="none" w:sz="0" w:space="0" w:color="auto"/>
        <w:left w:val="none" w:sz="0" w:space="0" w:color="auto"/>
        <w:bottom w:val="none" w:sz="0" w:space="0" w:color="auto"/>
        <w:right w:val="none" w:sz="0" w:space="0" w:color="auto"/>
      </w:divBdr>
    </w:div>
    <w:div w:id="1136995058">
      <w:bodyDiv w:val="1"/>
      <w:marLeft w:val="0"/>
      <w:marRight w:val="0"/>
      <w:marTop w:val="0"/>
      <w:marBottom w:val="0"/>
      <w:divBdr>
        <w:top w:val="none" w:sz="0" w:space="0" w:color="auto"/>
        <w:left w:val="none" w:sz="0" w:space="0" w:color="auto"/>
        <w:bottom w:val="none" w:sz="0" w:space="0" w:color="auto"/>
        <w:right w:val="none" w:sz="0" w:space="0" w:color="auto"/>
      </w:divBdr>
    </w:div>
    <w:div w:id="1159493951">
      <w:bodyDiv w:val="1"/>
      <w:marLeft w:val="0"/>
      <w:marRight w:val="0"/>
      <w:marTop w:val="0"/>
      <w:marBottom w:val="0"/>
      <w:divBdr>
        <w:top w:val="none" w:sz="0" w:space="0" w:color="auto"/>
        <w:left w:val="none" w:sz="0" w:space="0" w:color="auto"/>
        <w:bottom w:val="none" w:sz="0" w:space="0" w:color="auto"/>
        <w:right w:val="none" w:sz="0" w:space="0" w:color="auto"/>
      </w:divBdr>
    </w:div>
    <w:div w:id="1166479486">
      <w:bodyDiv w:val="1"/>
      <w:marLeft w:val="0"/>
      <w:marRight w:val="0"/>
      <w:marTop w:val="0"/>
      <w:marBottom w:val="0"/>
      <w:divBdr>
        <w:top w:val="none" w:sz="0" w:space="0" w:color="auto"/>
        <w:left w:val="none" w:sz="0" w:space="0" w:color="auto"/>
        <w:bottom w:val="none" w:sz="0" w:space="0" w:color="auto"/>
        <w:right w:val="none" w:sz="0" w:space="0" w:color="auto"/>
      </w:divBdr>
    </w:div>
    <w:div w:id="1181624166">
      <w:bodyDiv w:val="1"/>
      <w:marLeft w:val="0"/>
      <w:marRight w:val="0"/>
      <w:marTop w:val="0"/>
      <w:marBottom w:val="0"/>
      <w:divBdr>
        <w:top w:val="none" w:sz="0" w:space="0" w:color="auto"/>
        <w:left w:val="none" w:sz="0" w:space="0" w:color="auto"/>
        <w:bottom w:val="none" w:sz="0" w:space="0" w:color="auto"/>
        <w:right w:val="none" w:sz="0" w:space="0" w:color="auto"/>
      </w:divBdr>
    </w:div>
    <w:div w:id="1206522552">
      <w:bodyDiv w:val="1"/>
      <w:marLeft w:val="0"/>
      <w:marRight w:val="0"/>
      <w:marTop w:val="0"/>
      <w:marBottom w:val="0"/>
      <w:divBdr>
        <w:top w:val="none" w:sz="0" w:space="0" w:color="auto"/>
        <w:left w:val="none" w:sz="0" w:space="0" w:color="auto"/>
        <w:bottom w:val="none" w:sz="0" w:space="0" w:color="auto"/>
        <w:right w:val="none" w:sz="0" w:space="0" w:color="auto"/>
      </w:divBdr>
    </w:div>
    <w:div w:id="1211574597">
      <w:bodyDiv w:val="1"/>
      <w:marLeft w:val="0"/>
      <w:marRight w:val="0"/>
      <w:marTop w:val="0"/>
      <w:marBottom w:val="0"/>
      <w:divBdr>
        <w:top w:val="none" w:sz="0" w:space="0" w:color="auto"/>
        <w:left w:val="none" w:sz="0" w:space="0" w:color="auto"/>
        <w:bottom w:val="none" w:sz="0" w:space="0" w:color="auto"/>
        <w:right w:val="none" w:sz="0" w:space="0" w:color="auto"/>
      </w:divBdr>
    </w:div>
    <w:div w:id="1222207702">
      <w:bodyDiv w:val="1"/>
      <w:marLeft w:val="0"/>
      <w:marRight w:val="0"/>
      <w:marTop w:val="0"/>
      <w:marBottom w:val="0"/>
      <w:divBdr>
        <w:top w:val="none" w:sz="0" w:space="0" w:color="auto"/>
        <w:left w:val="none" w:sz="0" w:space="0" w:color="auto"/>
        <w:bottom w:val="none" w:sz="0" w:space="0" w:color="auto"/>
        <w:right w:val="none" w:sz="0" w:space="0" w:color="auto"/>
      </w:divBdr>
    </w:div>
    <w:div w:id="1227423923">
      <w:bodyDiv w:val="1"/>
      <w:marLeft w:val="0"/>
      <w:marRight w:val="0"/>
      <w:marTop w:val="0"/>
      <w:marBottom w:val="0"/>
      <w:divBdr>
        <w:top w:val="none" w:sz="0" w:space="0" w:color="auto"/>
        <w:left w:val="none" w:sz="0" w:space="0" w:color="auto"/>
        <w:bottom w:val="none" w:sz="0" w:space="0" w:color="auto"/>
        <w:right w:val="none" w:sz="0" w:space="0" w:color="auto"/>
      </w:divBdr>
    </w:div>
    <w:div w:id="1229922495">
      <w:bodyDiv w:val="1"/>
      <w:marLeft w:val="0"/>
      <w:marRight w:val="0"/>
      <w:marTop w:val="0"/>
      <w:marBottom w:val="0"/>
      <w:divBdr>
        <w:top w:val="none" w:sz="0" w:space="0" w:color="auto"/>
        <w:left w:val="none" w:sz="0" w:space="0" w:color="auto"/>
        <w:bottom w:val="none" w:sz="0" w:space="0" w:color="auto"/>
        <w:right w:val="none" w:sz="0" w:space="0" w:color="auto"/>
      </w:divBdr>
    </w:div>
    <w:div w:id="1237057836">
      <w:bodyDiv w:val="1"/>
      <w:marLeft w:val="0"/>
      <w:marRight w:val="0"/>
      <w:marTop w:val="0"/>
      <w:marBottom w:val="0"/>
      <w:divBdr>
        <w:top w:val="none" w:sz="0" w:space="0" w:color="auto"/>
        <w:left w:val="none" w:sz="0" w:space="0" w:color="auto"/>
        <w:bottom w:val="none" w:sz="0" w:space="0" w:color="auto"/>
        <w:right w:val="none" w:sz="0" w:space="0" w:color="auto"/>
      </w:divBdr>
    </w:div>
    <w:div w:id="1245069975">
      <w:bodyDiv w:val="1"/>
      <w:marLeft w:val="0"/>
      <w:marRight w:val="0"/>
      <w:marTop w:val="0"/>
      <w:marBottom w:val="0"/>
      <w:divBdr>
        <w:top w:val="none" w:sz="0" w:space="0" w:color="auto"/>
        <w:left w:val="none" w:sz="0" w:space="0" w:color="auto"/>
        <w:bottom w:val="none" w:sz="0" w:space="0" w:color="auto"/>
        <w:right w:val="none" w:sz="0" w:space="0" w:color="auto"/>
      </w:divBdr>
    </w:div>
    <w:div w:id="1269464111">
      <w:bodyDiv w:val="1"/>
      <w:marLeft w:val="0"/>
      <w:marRight w:val="0"/>
      <w:marTop w:val="0"/>
      <w:marBottom w:val="0"/>
      <w:divBdr>
        <w:top w:val="none" w:sz="0" w:space="0" w:color="auto"/>
        <w:left w:val="none" w:sz="0" w:space="0" w:color="auto"/>
        <w:bottom w:val="none" w:sz="0" w:space="0" w:color="auto"/>
        <w:right w:val="none" w:sz="0" w:space="0" w:color="auto"/>
      </w:divBdr>
    </w:div>
    <w:div w:id="1291666320">
      <w:bodyDiv w:val="1"/>
      <w:marLeft w:val="0"/>
      <w:marRight w:val="0"/>
      <w:marTop w:val="0"/>
      <w:marBottom w:val="0"/>
      <w:divBdr>
        <w:top w:val="none" w:sz="0" w:space="0" w:color="auto"/>
        <w:left w:val="none" w:sz="0" w:space="0" w:color="auto"/>
        <w:bottom w:val="none" w:sz="0" w:space="0" w:color="auto"/>
        <w:right w:val="none" w:sz="0" w:space="0" w:color="auto"/>
      </w:divBdr>
    </w:div>
    <w:div w:id="1316880466">
      <w:bodyDiv w:val="1"/>
      <w:marLeft w:val="0"/>
      <w:marRight w:val="0"/>
      <w:marTop w:val="0"/>
      <w:marBottom w:val="0"/>
      <w:divBdr>
        <w:top w:val="none" w:sz="0" w:space="0" w:color="auto"/>
        <w:left w:val="none" w:sz="0" w:space="0" w:color="auto"/>
        <w:bottom w:val="none" w:sz="0" w:space="0" w:color="auto"/>
        <w:right w:val="none" w:sz="0" w:space="0" w:color="auto"/>
      </w:divBdr>
    </w:div>
    <w:div w:id="1319841025">
      <w:bodyDiv w:val="1"/>
      <w:marLeft w:val="0"/>
      <w:marRight w:val="0"/>
      <w:marTop w:val="0"/>
      <w:marBottom w:val="0"/>
      <w:divBdr>
        <w:top w:val="none" w:sz="0" w:space="0" w:color="auto"/>
        <w:left w:val="none" w:sz="0" w:space="0" w:color="auto"/>
        <w:bottom w:val="none" w:sz="0" w:space="0" w:color="auto"/>
        <w:right w:val="none" w:sz="0" w:space="0" w:color="auto"/>
      </w:divBdr>
    </w:div>
    <w:div w:id="1357777516">
      <w:bodyDiv w:val="1"/>
      <w:marLeft w:val="0"/>
      <w:marRight w:val="0"/>
      <w:marTop w:val="0"/>
      <w:marBottom w:val="0"/>
      <w:divBdr>
        <w:top w:val="none" w:sz="0" w:space="0" w:color="auto"/>
        <w:left w:val="none" w:sz="0" w:space="0" w:color="auto"/>
        <w:bottom w:val="none" w:sz="0" w:space="0" w:color="auto"/>
        <w:right w:val="none" w:sz="0" w:space="0" w:color="auto"/>
      </w:divBdr>
    </w:div>
    <w:div w:id="1359047932">
      <w:bodyDiv w:val="1"/>
      <w:marLeft w:val="0"/>
      <w:marRight w:val="0"/>
      <w:marTop w:val="0"/>
      <w:marBottom w:val="0"/>
      <w:divBdr>
        <w:top w:val="none" w:sz="0" w:space="0" w:color="auto"/>
        <w:left w:val="none" w:sz="0" w:space="0" w:color="auto"/>
        <w:bottom w:val="none" w:sz="0" w:space="0" w:color="auto"/>
        <w:right w:val="none" w:sz="0" w:space="0" w:color="auto"/>
      </w:divBdr>
    </w:div>
    <w:div w:id="1370111945">
      <w:bodyDiv w:val="1"/>
      <w:marLeft w:val="0"/>
      <w:marRight w:val="0"/>
      <w:marTop w:val="0"/>
      <w:marBottom w:val="0"/>
      <w:divBdr>
        <w:top w:val="none" w:sz="0" w:space="0" w:color="auto"/>
        <w:left w:val="none" w:sz="0" w:space="0" w:color="auto"/>
        <w:bottom w:val="none" w:sz="0" w:space="0" w:color="auto"/>
        <w:right w:val="none" w:sz="0" w:space="0" w:color="auto"/>
      </w:divBdr>
    </w:div>
    <w:div w:id="1414594589">
      <w:bodyDiv w:val="1"/>
      <w:marLeft w:val="0"/>
      <w:marRight w:val="0"/>
      <w:marTop w:val="0"/>
      <w:marBottom w:val="0"/>
      <w:divBdr>
        <w:top w:val="none" w:sz="0" w:space="0" w:color="auto"/>
        <w:left w:val="none" w:sz="0" w:space="0" w:color="auto"/>
        <w:bottom w:val="none" w:sz="0" w:space="0" w:color="auto"/>
        <w:right w:val="none" w:sz="0" w:space="0" w:color="auto"/>
      </w:divBdr>
    </w:div>
    <w:div w:id="1415400734">
      <w:bodyDiv w:val="1"/>
      <w:marLeft w:val="0"/>
      <w:marRight w:val="0"/>
      <w:marTop w:val="0"/>
      <w:marBottom w:val="0"/>
      <w:divBdr>
        <w:top w:val="none" w:sz="0" w:space="0" w:color="auto"/>
        <w:left w:val="none" w:sz="0" w:space="0" w:color="auto"/>
        <w:bottom w:val="none" w:sz="0" w:space="0" w:color="auto"/>
        <w:right w:val="none" w:sz="0" w:space="0" w:color="auto"/>
      </w:divBdr>
    </w:div>
    <w:div w:id="1430200579">
      <w:bodyDiv w:val="1"/>
      <w:marLeft w:val="0"/>
      <w:marRight w:val="0"/>
      <w:marTop w:val="0"/>
      <w:marBottom w:val="0"/>
      <w:divBdr>
        <w:top w:val="none" w:sz="0" w:space="0" w:color="auto"/>
        <w:left w:val="none" w:sz="0" w:space="0" w:color="auto"/>
        <w:bottom w:val="none" w:sz="0" w:space="0" w:color="auto"/>
        <w:right w:val="none" w:sz="0" w:space="0" w:color="auto"/>
      </w:divBdr>
    </w:div>
    <w:div w:id="1475218982">
      <w:bodyDiv w:val="1"/>
      <w:marLeft w:val="0"/>
      <w:marRight w:val="0"/>
      <w:marTop w:val="0"/>
      <w:marBottom w:val="0"/>
      <w:divBdr>
        <w:top w:val="none" w:sz="0" w:space="0" w:color="auto"/>
        <w:left w:val="none" w:sz="0" w:space="0" w:color="auto"/>
        <w:bottom w:val="none" w:sz="0" w:space="0" w:color="auto"/>
        <w:right w:val="none" w:sz="0" w:space="0" w:color="auto"/>
      </w:divBdr>
    </w:div>
    <w:div w:id="1518810414">
      <w:bodyDiv w:val="1"/>
      <w:marLeft w:val="0"/>
      <w:marRight w:val="0"/>
      <w:marTop w:val="0"/>
      <w:marBottom w:val="0"/>
      <w:divBdr>
        <w:top w:val="none" w:sz="0" w:space="0" w:color="auto"/>
        <w:left w:val="none" w:sz="0" w:space="0" w:color="auto"/>
        <w:bottom w:val="none" w:sz="0" w:space="0" w:color="auto"/>
        <w:right w:val="none" w:sz="0" w:space="0" w:color="auto"/>
      </w:divBdr>
    </w:div>
    <w:div w:id="1518929273">
      <w:bodyDiv w:val="1"/>
      <w:marLeft w:val="0"/>
      <w:marRight w:val="0"/>
      <w:marTop w:val="0"/>
      <w:marBottom w:val="0"/>
      <w:divBdr>
        <w:top w:val="none" w:sz="0" w:space="0" w:color="auto"/>
        <w:left w:val="none" w:sz="0" w:space="0" w:color="auto"/>
        <w:bottom w:val="none" w:sz="0" w:space="0" w:color="auto"/>
        <w:right w:val="none" w:sz="0" w:space="0" w:color="auto"/>
      </w:divBdr>
    </w:div>
    <w:div w:id="1528372668">
      <w:bodyDiv w:val="1"/>
      <w:marLeft w:val="0"/>
      <w:marRight w:val="0"/>
      <w:marTop w:val="0"/>
      <w:marBottom w:val="0"/>
      <w:divBdr>
        <w:top w:val="none" w:sz="0" w:space="0" w:color="auto"/>
        <w:left w:val="none" w:sz="0" w:space="0" w:color="auto"/>
        <w:bottom w:val="none" w:sz="0" w:space="0" w:color="auto"/>
        <w:right w:val="none" w:sz="0" w:space="0" w:color="auto"/>
      </w:divBdr>
    </w:div>
    <w:div w:id="1549880462">
      <w:bodyDiv w:val="1"/>
      <w:marLeft w:val="0"/>
      <w:marRight w:val="0"/>
      <w:marTop w:val="0"/>
      <w:marBottom w:val="0"/>
      <w:divBdr>
        <w:top w:val="none" w:sz="0" w:space="0" w:color="auto"/>
        <w:left w:val="none" w:sz="0" w:space="0" w:color="auto"/>
        <w:bottom w:val="none" w:sz="0" w:space="0" w:color="auto"/>
        <w:right w:val="none" w:sz="0" w:space="0" w:color="auto"/>
      </w:divBdr>
    </w:div>
    <w:div w:id="1558276127">
      <w:bodyDiv w:val="1"/>
      <w:marLeft w:val="0"/>
      <w:marRight w:val="0"/>
      <w:marTop w:val="0"/>
      <w:marBottom w:val="0"/>
      <w:divBdr>
        <w:top w:val="none" w:sz="0" w:space="0" w:color="auto"/>
        <w:left w:val="none" w:sz="0" w:space="0" w:color="auto"/>
        <w:bottom w:val="none" w:sz="0" w:space="0" w:color="auto"/>
        <w:right w:val="none" w:sz="0" w:space="0" w:color="auto"/>
      </w:divBdr>
    </w:div>
    <w:div w:id="1559627579">
      <w:bodyDiv w:val="1"/>
      <w:marLeft w:val="0"/>
      <w:marRight w:val="0"/>
      <w:marTop w:val="0"/>
      <w:marBottom w:val="0"/>
      <w:divBdr>
        <w:top w:val="none" w:sz="0" w:space="0" w:color="auto"/>
        <w:left w:val="none" w:sz="0" w:space="0" w:color="auto"/>
        <w:bottom w:val="none" w:sz="0" w:space="0" w:color="auto"/>
        <w:right w:val="none" w:sz="0" w:space="0" w:color="auto"/>
      </w:divBdr>
    </w:div>
    <w:div w:id="1565068514">
      <w:bodyDiv w:val="1"/>
      <w:marLeft w:val="0"/>
      <w:marRight w:val="0"/>
      <w:marTop w:val="0"/>
      <w:marBottom w:val="0"/>
      <w:divBdr>
        <w:top w:val="none" w:sz="0" w:space="0" w:color="auto"/>
        <w:left w:val="none" w:sz="0" w:space="0" w:color="auto"/>
        <w:bottom w:val="none" w:sz="0" w:space="0" w:color="auto"/>
        <w:right w:val="none" w:sz="0" w:space="0" w:color="auto"/>
      </w:divBdr>
    </w:div>
    <w:div w:id="1572883370">
      <w:bodyDiv w:val="1"/>
      <w:marLeft w:val="0"/>
      <w:marRight w:val="0"/>
      <w:marTop w:val="0"/>
      <w:marBottom w:val="0"/>
      <w:divBdr>
        <w:top w:val="none" w:sz="0" w:space="0" w:color="auto"/>
        <w:left w:val="none" w:sz="0" w:space="0" w:color="auto"/>
        <w:bottom w:val="none" w:sz="0" w:space="0" w:color="auto"/>
        <w:right w:val="none" w:sz="0" w:space="0" w:color="auto"/>
      </w:divBdr>
    </w:div>
    <w:div w:id="1578706303">
      <w:bodyDiv w:val="1"/>
      <w:marLeft w:val="0"/>
      <w:marRight w:val="0"/>
      <w:marTop w:val="0"/>
      <w:marBottom w:val="0"/>
      <w:divBdr>
        <w:top w:val="none" w:sz="0" w:space="0" w:color="auto"/>
        <w:left w:val="none" w:sz="0" w:space="0" w:color="auto"/>
        <w:bottom w:val="none" w:sz="0" w:space="0" w:color="auto"/>
        <w:right w:val="none" w:sz="0" w:space="0" w:color="auto"/>
      </w:divBdr>
    </w:div>
    <w:div w:id="1601058946">
      <w:bodyDiv w:val="1"/>
      <w:marLeft w:val="0"/>
      <w:marRight w:val="0"/>
      <w:marTop w:val="0"/>
      <w:marBottom w:val="0"/>
      <w:divBdr>
        <w:top w:val="none" w:sz="0" w:space="0" w:color="auto"/>
        <w:left w:val="none" w:sz="0" w:space="0" w:color="auto"/>
        <w:bottom w:val="none" w:sz="0" w:space="0" w:color="auto"/>
        <w:right w:val="none" w:sz="0" w:space="0" w:color="auto"/>
      </w:divBdr>
    </w:div>
    <w:div w:id="1602566937">
      <w:bodyDiv w:val="1"/>
      <w:marLeft w:val="0"/>
      <w:marRight w:val="0"/>
      <w:marTop w:val="0"/>
      <w:marBottom w:val="0"/>
      <w:divBdr>
        <w:top w:val="none" w:sz="0" w:space="0" w:color="auto"/>
        <w:left w:val="none" w:sz="0" w:space="0" w:color="auto"/>
        <w:bottom w:val="none" w:sz="0" w:space="0" w:color="auto"/>
        <w:right w:val="none" w:sz="0" w:space="0" w:color="auto"/>
      </w:divBdr>
    </w:div>
    <w:div w:id="1674649616">
      <w:bodyDiv w:val="1"/>
      <w:marLeft w:val="0"/>
      <w:marRight w:val="0"/>
      <w:marTop w:val="0"/>
      <w:marBottom w:val="0"/>
      <w:divBdr>
        <w:top w:val="none" w:sz="0" w:space="0" w:color="auto"/>
        <w:left w:val="none" w:sz="0" w:space="0" w:color="auto"/>
        <w:bottom w:val="none" w:sz="0" w:space="0" w:color="auto"/>
        <w:right w:val="none" w:sz="0" w:space="0" w:color="auto"/>
      </w:divBdr>
      <w:divsChild>
        <w:div w:id="1540513593">
          <w:marLeft w:val="0"/>
          <w:marRight w:val="0"/>
          <w:marTop w:val="0"/>
          <w:marBottom w:val="0"/>
          <w:divBdr>
            <w:top w:val="none" w:sz="0" w:space="0" w:color="auto"/>
            <w:left w:val="none" w:sz="0" w:space="0" w:color="auto"/>
            <w:bottom w:val="none" w:sz="0" w:space="0" w:color="auto"/>
            <w:right w:val="none" w:sz="0" w:space="0" w:color="auto"/>
          </w:divBdr>
        </w:div>
        <w:div w:id="831407823">
          <w:marLeft w:val="0"/>
          <w:marRight w:val="0"/>
          <w:marTop w:val="0"/>
          <w:marBottom w:val="0"/>
          <w:divBdr>
            <w:top w:val="none" w:sz="0" w:space="0" w:color="auto"/>
            <w:left w:val="none" w:sz="0" w:space="0" w:color="auto"/>
            <w:bottom w:val="none" w:sz="0" w:space="0" w:color="auto"/>
            <w:right w:val="none" w:sz="0" w:space="0" w:color="auto"/>
          </w:divBdr>
        </w:div>
        <w:div w:id="241569117">
          <w:marLeft w:val="0"/>
          <w:marRight w:val="0"/>
          <w:marTop w:val="0"/>
          <w:marBottom w:val="0"/>
          <w:divBdr>
            <w:top w:val="none" w:sz="0" w:space="0" w:color="auto"/>
            <w:left w:val="none" w:sz="0" w:space="0" w:color="auto"/>
            <w:bottom w:val="none" w:sz="0" w:space="0" w:color="auto"/>
            <w:right w:val="none" w:sz="0" w:space="0" w:color="auto"/>
          </w:divBdr>
        </w:div>
        <w:div w:id="677079617">
          <w:marLeft w:val="0"/>
          <w:marRight w:val="0"/>
          <w:marTop w:val="0"/>
          <w:marBottom w:val="0"/>
          <w:divBdr>
            <w:top w:val="none" w:sz="0" w:space="0" w:color="auto"/>
            <w:left w:val="none" w:sz="0" w:space="0" w:color="auto"/>
            <w:bottom w:val="none" w:sz="0" w:space="0" w:color="auto"/>
            <w:right w:val="none" w:sz="0" w:space="0" w:color="auto"/>
          </w:divBdr>
        </w:div>
      </w:divsChild>
    </w:div>
    <w:div w:id="1682196696">
      <w:bodyDiv w:val="1"/>
      <w:marLeft w:val="0"/>
      <w:marRight w:val="0"/>
      <w:marTop w:val="0"/>
      <w:marBottom w:val="0"/>
      <w:divBdr>
        <w:top w:val="none" w:sz="0" w:space="0" w:color="auto"/>
        <w:left w:val="none" w:sz="0" w:space="0" w:color="auto"/>
        <w:bottom w:val="none" w:sz="0" w:space="0" w:color="auto"/>
        <w:right w:val="none" w:sz="0" w:space="0" w:color="auto"/>
      </w:divBdr>
    </w:div>
    <w:div w:id="1766030783">
      <w:bodyDiv w:val="1"/>
      <w:marLeft w:val="0"/>
      <w:marRight w:val="0"/>
      <w:marTop w:val="0"/>
      <w:marBottom w:val="0"/>
      <w:divBdr>
        <w:top w:val="none" w:sz="0" w:space="0" w:color="auto"/>
        <w:left w:val="none" w:sz="0" w:space="0" w:color="auto"/>
        <w:bottom w:val="none" w:sz="0" w:space="0" w:color="auto"/>
        <w:right w:val="none" w:sz="0" w:space="0" w:color="auto"/>
      </w:divBdr>
    </w:div>
    <w:div w:id="1785804502">
      <w:bodyDiv w:val="1"/>
      <w:marLeft w:val="0"/>
      <w:marRight w:val="0"/>
      <w:marTop w:val="0"/>
      <w:marBottom w:val="0"/>
      <w:divBdr>
        <w:top w:val="none" w:sz="0" w:space="0" w:color="auto"/>
        <w:left w:val="none" w:sz="0" w:space="0" w:color="auto"/>
        <w:bottom w:val="none" w:sz="0" w:space="0" w:color="auto"/>
        <w:right w:val="none" w:sz="0" w:space="0" w:color="auto"/>
      </w:divBdr>
    </w:div>
    <w:div w:id="1800033147">
      <w:bodyDiv w:val="1"/>
      <w:marLeft w:val="0"/>
      <w:marRight w:val="0"/>
      <w:marTop w:val="0"/>
      <w:marBottom w:val="0"/>
      <w:divBdr>
        <w:top w:val="none" w:sz="0" w:space="0" w:color="auto"/>
        <w:left w:val="none" w:sz="0" w:space="0" w:color="auto"/>
        <w:bottom w:val="none" w:sz="0" w:space="0" w:color="auto"/>
        <w:right w:val="none" w:sz="0" w:space="0" w:color="auto"/>
      </w:divBdr>
    </w:div>
    <w:div w:id="1811897506">
      <w:bodyDiv w:val="1"/>
      <w:marLeft w:val="0"/>
      <w:marRight w:val="0"/>
      <w:marTop w:val="0"/>
      <w:marBottom w:val="0"/>
      <w:divBdr>
        <w:top w:val="none" w:sz="0" w:space="0" w:color="auto"/>
        <w:left w:val="none" w:sz="0" w:space="0" w:color="auto"/>
        <w:bottom w:val="none" w:sz="0" w:space="0" w:color="auto"/>
        <w:right w:val="none" w:sz="0" w:space="0" w:color="auto"/>
      </w:divBdr>
    </w:div>
    <w:div w:id="1827017897">
      <w:bodyDiv w:val="1"/>
      <w:marLeft w:val="0"/>
      <w:marRight w:val="0"/>
      <w:marTop w:val="0"/>
      <w:marBottom w:val="0"/>
      <w:divBdr>
        <w:top w:val="none" w:sz="0" w:space="0" w:color="auto"/>
        <w:left w:val="none" w:sz="0" w:space="0" w:color="auto"/>
        <w:bottom w:val="none" w:sz="0" w:space="0" w:color="auto"/>
        <w:right w:val="none" w:sz="0" w:space="0" w:color="auto"/>
      </w:divBdr>
    </w:div>
    <w:div w:id="1848402486">
      <w:bodyDiv w:val="1"/>
      <w:marLeft w:val="0"/>
      <w:marRight w:val="0"/>
      <w:marTop w:val="0"/>
      <w:marBottom w:val="0"/>
      <w:divBdr>
        <w:top w:val="none" w:sz="0" w:space="0" w:color="auto"/>
        <w:left w:val="none" w:sz="0" w:space="0" w:color="auto"/>
        <w:bottom w:val="none" w:sz="0" w:space="0" w:color="auto"/>
        <w:right w:val="none" w:sz="0" w:space="0" w:color="auto"/>
      </w:divBdr>
    </w:div>
    <w:div w:id="1856647887">
      <w:bodyDiv w:val="1"/>
      <w:marLeft w:val="0"/>
      <w:marRight w:val="0"/>
      <w:marTop w:val="0"/>
      <w:marBottom w:val="0"/>
      <w:divBdr>
        <w:top w:val="none" w:sz="0" w:space="0" w:color="auto"/>
        <w:left w:val="none" w:sz="0" w:space="0" w:color="auto"/>
        <w:bottom w:val="none" w:sz="0" w:space="0" w:color="auto"/>
        <w:right w:val="none" w:sz="0" w:space="0" w:color="auto"/>
      </w:divBdr>
    </w:div>
    <w:div w:id="1888640062">
      <w:bodyDiv w:val="1"/>
      <w:marLeft w:val="0"/>
      <w:marRight w:val="0"/>
      <w:marTop w:val="0"/>
      <w:marBottom w:val="0"/>
      <w:divBdr>
        <w:top w:val="none" w:sz="0" w:space="0" w:color="auto"/>
        <w:left w:val="none" w:sz="0" w:space="0" w:color="auto"/>
        <w:bottom w:val="none" w:sz="0" w:space="0" w:color="auto"/>
        <w:right w:val="none" w:sz="0" w:space="0" w:color="auto"/>
      </w:divBdr>
    </w:div>
    <w:div w:id="1890526896">
      <w:bodyDiv w:val="1"/>
      <w:marLeft w:val="0"/>
      <w:marRight w:val="0"/>
      <w:marTop w:val="0"/>
      <w:marBottom w:val="0"/>
      <w:divBdr>
        <w:top w:val="none" w:sz="0" w:space="0" w:color="auto"/>
        <w:left w:val="none" w:sz="0" w:space="0" w:color="auto"/>
        <w:bottom w:val="none" w:sz="0" w:space="0" w:color="auto"/>
        <w:right w:val="none" w:sz="0" w:space="0" w:color="auto"/>
      </w:divBdr>
    </w:div>
    <w:div w:id="1907953347">
      <w:bodyDiv w:val="1"/>
      <w:marLeft w:val="0"/>
      <w:marRight w:val="0"/>
      <w:marTop w:val="0"/>
      <w:marBottom w:val="0"/>
      <w:divBdr>
        <w:top w:val="none" w:sz="0" w:space="0" w:color="auto"/>
        <w:left w:val="none" w:sz="0" w:space="0" w:color="auto"/>
        <w:bottom w:val="none" w:sz="0" w:space="0" w:color="auto"/>
        <w:right w:val="none" w:sz="0" w:space="0" w:color="auto"/>
      </w:divBdr>
    </w:div>
    <w:div w:id="1919510142">
      <w:bodyDiv w:val="1"/>
      <w:marLeft w:val="0"/>
      <w:marRight w:val="0"/>
      <w:marTop w:val="0"/>
      <w:marBottom w:val="0"/>
      <w:divBdr>
        <w:top w:val="none" w:sz="0" w:space="0" w:color="auto"/>
        <w:left w:val="none" w:sz="0" w:space="0" w:color="auto"/>
        <w:bottom w:val="none" w:sz="0" w:space="0" w:color="auto"/>
        <w:right w:val="none" w:sz="0" w:space="0" w:color="auto"/>
      </w:divBdr>
    </w:div>
    <w:div w:id="1921716156">
      <w:bodyDiv w:val="1"/>
      <w:marLeft w:val="0"/>
      <w:marRight w:val="0"/>
      <w:marTop w:val="0"/>
      <w:marBottom w:val="0"/>
      <w:divBdr>
        <w:top w:val="none" w:sz="0" w:space="0" w:color="auto"/>
        <w:left w:val="none" w:sz="0" w:space="0" w:color="auto"/>
        <w:bottom w:val="none" w:sz="0" w:space="0" w:color="auto"/>
        <w:right w:val="none" w:sz="0" w:space="0" w:color="auto"/>
      </w:divBdr>
    </w:div>
    <w:div w:id="1923030354">
      <w:bodyDiv w:val="1"/>
      <w:marLeft w:val="0"/>
      <w:marRight w:val="0"/>
      <w:marTop w:val="0"/>
      <w:marBottom w:val="0"/>
      <w:divBdr>
        <w:top w:val="none" w:sz="0" w:space="0" w:color="auto"/>
        <w:left w:val="none" w:sz="0" w:space="0" w:color="auto"/>
        <w:bottom w:val="none" w:sz="0" w:space="0" w:color="auto"/>
        <w:right w:val="none" w:sz="0" w:space="0" w:color="auto"/>
      </w:divBdr>
    </w:div>
    <w:div w:id="1928153683">
      <w:bodyDiv w:val="1"/>
      <w:marLeft w:val="0"/>
      <w:marRight w:val="0"/>
      <w:marTop w:val="0"/>
      <w:marBottom w:val="0"/>
      <w:divBdr>
        <w:top w:val="none" w:sz="0" w:space="0" w:color="auto"/>
        <w:left w:val="none" w:sz="0" w:space="0" w:color="auto"/>
        <w:bottom w:val="none" w:sz="0" w:space="0" w:color="auto"/>
        <w:right w:val="none" w:sz="0" w:space="0" w:color="auto"/>
      </w:divBdr>
    </w:div>
    <w:div w:id="1934122066">
      <w:bodyDiv w:val="1"/>
      <w:marLeft w:val="0"/>
      <w:marRight w:val="0"/>
      <w:marTop w:val="0"/>
      <w:marBottom w:val="0"/>
      <w:divBdr>
        <w:top w:val="none" w:sz="0" w:space="0" w:color="auto"/>
        <w:left w:val="none" w:sz="0" w:space="0" w:color="auto"/>
        <w:bottom w:val="none" w:sz="0" w:space="0" w:color="auto"/>
        <w:right w:val="none" w:sz="0" w:space="0" w:color="auto"/>
      </w:divBdr>
    </w:div>
    <w:div w:id="1951039209">
      <w:bodyDiv w:val="1"/>
      <w:marLeft w:val="0"/>
      <w:marRight w:val="0"/>
      <w:marTop w:val="0"/>
      <w:marBottom w:val="0"/>
      <w:divBdr>
        <w:top w:val="none" w:sz="0" w:space="0" w:color="auto"/>
        <w:left w:val="none" w:sz="0" w:space="0" w:color="auto"/>
        <w:bottom w:val="none" w:sz="0" w:space="0" w:color="auto"/>
        <w:right w:val="none" w:sz="0" w:space="0" w:color="auto"/>
      </w:divBdr>
    </w:div>
    <w:div w:id="1963729376">
      <w:bodyDiv w:val="1"/>
      <w:marLeft w:val="0"/>
      <w:marRight w:val="0"/>
      <w:marTop w:val="0"/>
      <w:marBottom w:val="0"/>
      <w:divBdr>
        <w:top w:val="none" w:sz="0" w:space="0" w:color="auto"/>
        <w:left w:val="none" w:sz="0" w:space="0" w:color="auto"/>
        <w:bottom w:val="none" w:sz="0" w:space="0" w:color="auto"/>
        <w:right w:val="none" w:sz="0" w:space="0" w:color="auto"/>
      </w:divBdr>
    </w:div>
    <w:div w:id="2018341969">
      <w:bodyDiv w:val="1"/>
      <w:marLeft w:val="0"/>
      <w:marRight w:val="0"/>
      <w:marTop w:val="0"/>
      <w:marBottom w:val="0"/>
      <w:divBdr>
        <w:top w:val="none" w:sz="0" w:space="0" w:color="auto"/>
        <w:left w:val="none" w:sz="0" w:space="0" w:color="auto"/>
        <w:bottom w:val="none" w:sz="0" w:space="0" w:color="auto"/>
        <w:right w:val="none" w:sz="0" w:space="0" w:color="auto"/>
      </w:divBdr>
    </w:div>
    <w:div w:id="2027561851">
      <w:bodyDiv w:val="1"/>
      <w:marLeft w:val="0"/>
      <w:marRight w:val="0"/>
      <w:marTop w:val="0"/>
      <w:marBottom w:val="0"/>
      <w:divBdr>
        <w:top w:val="none" w:sz="0" w:space="0" w:color="auto"/>
        <w:left w:val="none" w:sz="0" w:space="0" w:color="auto"/>
        <w:bottom w:val="none" w:sz="0" w:space="0" w:color="auto"/>
        <w:right w:val="none" w:sz="0" w:space="0" w:color="auto"/>
      </w:divBdr>
    </w:div>
    <w:div w:id="2038117466">
      <w:bodyDiv w:val="1"/>
      <w:marLeft w:val="0"/>
      <w:marRight w:val="0"/>
      <w:marTop w:val="0"/>
      <w:marBottom w:val="0"/>
      <w:divBdr>
        <w:top w:val="none" w:sz="0" w:space="0" w:color="auto"/>
        <w:left w:val="none" w:sz="0" w:space="0" w:color="auto"/>
        <w:bottom w:val="none" w:sz="0" w:space="0" w:color="auto"/>
        <w:right w:val="none" w:sz="0" w:space="0" w:color="auto"/>
      </w:divBdr>
    </w:div>
    <w:div w:id="2072073058">
      <w:bodyDiv w:val="1"/>
      <w:marLeft w:val="0"/>
      <w:marRight w:val="0"/>
      <w:marTop w:val="0"/>
      <w:marBottom w:val="0"/>
      <w:divBdr>
        <w:top w:val="none" w:sz="0" w:space="0" w:color="auto"/>
        <w:left w:val="none" w:sz="0" w:space="0" w:color="auto"/>
        <w:bottom w:val="none" w:sz="0" w:space="0" w:color="auto"/>
        <w:right w:val="none" w:sz="0" w:space="0" w:color="auto"/>
      </w:divBdr>
    </w:div>
    <w:div w:id="2087610411">
      <w:bodyDiv w:val="1"/>
      <w:marLeft w:val="0"/>
      <w:marRight w:val="0"/>
      <w:marTop w:val="0"/>
      <w:marBottom w:val="0"/>
      <w:divBdr>
        <w:top w:val="none" w:sz="0" w:space="0" w:color="auto"/>
        <w:left w:val="none" w:sz="0" w:space="0" w:color="auto"/>
        <w:bottom w:val="none" w:sz="0" w:space="0" w:color="auto"/>
        <w:right w:val="none" w:sz="0" w:space="0" w:color="auto"/>
      </w:divBdr>
    </w:div>
    <w:div w:id="2108233451">
      <w:bodyDiv w:val="1"/>
      <w:marLeft w:val="0"/>
      <w:marRight w:val="0"/>
      <w:marTop w:val="0"/>
      <w:marBottom w:val="0"/>
      <w:divBdr>
        <w:top w:val="none" w:sz="0" w:space="0" w:color="auto"/>
        <w:left w:val="none" w:sz="0" w:space="0" w:color="auto"/>
        <w:bottom w:val="none" w:sz="0" w:space="0" w:color="auto"/>
        <w:right w:val="none" w:sz="0" w:space="0" w:color="auto"/>
      </w:divBdr>
    </w:div>
    <w:div w:id="2117285212">
      <w:bodyDiv w:val="1"/>
      <w:marLeft w:val="0"/>
      <w:marRight w:val="0"/>
      <w:marTop w:val="0"/>
      <w:marBottom w:val="0"/>
      <w:divBdr>
        <w:top w:val="none" w:sz="0" w:space="0" w:color="auto"/>
        <w:left w:val="none" w:sz="0" w:space="0" w:color="auto"/>
        <w:bottom w:val="none" w:sz="0" w:space="0" w:color="auto"/>
        <w:right w:val="none" w:sz="0" w:space="0" w:color="auto"/>
      </w:divBdr>
    </w:div>
    <w:div w:id="2143183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ealth.gov.au/resources/collections/national-syphilis-monitoring-report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health.gov.au/our-work/national-response-to-syphilis" TargetMode="External"/><Relationship Id="rId4" Type="http://schemas.openxmlformats.org/officeDocument/2006/relationships/settings" Target="settings.xml"/><Relationship Id="rId9" Type="http://schemas.openxmlformats.org/officeDocument/2006/relationships/hyperlink" Target="https://www.health.gov.au/dont-fool-around-with-syphili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B2D0CA-EA40-4FDA-B4BA-6F70932584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1841</TotalTime>
  <Pages>2</Pages>
  <Words>726</Words>
  <Characters>4259</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NNDSS Fortnightly Report to CDNA - 15 April to 28 April 2024</vt:lpstr>
    </vt:vector>
  </TitlesOfParts>
  <Company>DHA</Company>
  <LinksUpToDate>false</LinksUpToDate>
  <CharactersWithSpaces>4976</CharactersWithSpaces>
  <SharedDoc>false</SharedDoc>
  <HLinks>
    <vt:vector size="6" baseType="variant">
      <vt:variant>
        <vt:i4>3211361</vt:i4>
      </vt:variant>
      <vt:variant>
        <vt:i4>0</vt:i4>
      </vt:variant>
      <vt:variant>
        <vt:i4>0</vt:i4>
      </vt:variant>
      <vt:variant>
        <vt:i4>5</vt:i4>
      </vt:variant>
      <vt:variant>
        <vt:lpwstr>http://www.health.gov.au/cdnareport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NNDSS Fortnightly Report to CDNA - 15 April to 28 April 2024</dc:title>
  <dc:subject>Communicable Diseases; National Notifiable Diseases Surveillance System (NNDSS)</dc:subject>
  <dc:creator>Australian Government Department of Health and Aged Care</dc:creator>
  <cp:keywords>Communicable Diseases; National Notifiable Diseases Surveillance System (NNDSS)</cp:keywords>
  <cp:revision>20</cp:revision>
  <cp:lastPrinted>2021-04-13T23:49:00Z</cp:lastPrinted>
  <dcterms:created xsi:type="dcterms:W3CDTF">2024-02-14T02:36:00Z</dcterms:created>
  <dcterms:modified xsi:type="dcterms:W3CDTF">2024-05-21T05:17:00Z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y fmtid="{D5CDD505-2E9C-101B-9397-08002B2CF9AE}" pid="8" name="_DocHome">
    <vt:i4>1117990621</vt:i4>
  </property>
</Properties>
</file>