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charts/chartEx3.xml" ContentType="application/vnd.ms-office.chartex+xml"/>
  <Override PartName="/word/charts/style5.xml" ContentType="application/vnd.ms-office.chartstyle+xml"/>
  <Override PartName="/word/charts/colors5.xml" ContentType="application/vnd.ms-office.chartcolorstyle+xml"/>
  <Override PartName="/word/charts/chartEx4.xml" ContentType="application/vnd.ms-office.chartex+xml"/>
  <Override PartName="/word/charts/style6.xml" ContentType="application/vnd.ms-office.chartstyle+xml"/>
  <Override PartName="/word/charts/colors6.xml" ContentType="application/vnd.ms-office.chartcolorstyle+xml"/>
  <Override PartName="/word/charts/chart3.xml" ContentType="application/vnd.openxmlformats-officedocument.drawingml.chart+xml"/>
  <Override PartName="/word/charts/style7.xml" ContentType="application/vnd.ms-office.chartstyle+xml"/>
  <Override PartName="/word/charts/colors7.xml" ContentType="application/vnd.ms-office.chartcolorstyle+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F42B" w14:textId="1A6B61FC" w:rsidR="00045E79" w:rsidRDefault="001F5C18" w:rsidP="00045E79">
      <w:pPr>
        <w:pStyle w:val="Title"/>
      </w:pPr>
      <w:r w:rsidRPr="00045E79">
        <w:drawing>
          <wp:anchor distT="0" distB="0" distL="114300" distR="114300" simplePos="0" relativeHeight="251658240" behindDoc="1" locked="0" layoutInCell="1" allowOverlap="1" wp14:anchorId="76E39A92" wp14:editId="7C14CFE2">
            <wp:simplePos x="0" y="0"/>
            <wp:positionH relativeFrom="page">
              <wp:align>center</wp:align>
            </wp:positionH>
            <wp:positionV relativeFrom="page">
              <wp:align>center</wp:align>
            </wp:positionV>
            <wp:extent cx="7558767" cy="10691999"/>
            <wp:effectExtent l="0" t="0" r="444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page">
              <wp14:pctWidth>0</wp14:pctWidth>
            </wp14:sizeRelH>
            <wp14:sizeRelV relativeFrom="page">
              <wp14:pctHeight>0</wp14:pctHeight>
            </wp14:sizeRelV>
          </wp:anchor>
        </w:drawing>
      </w:r>
      <w:r w:rsidR="00045E79" w:rsidRPr="00045E79">
        <w:t>Medical Research</w:t>
      </w:r>
      <w:r w:rsidR="00583FFC">
        <w:t xml:space="preserve"> </w:t>
      </w:r>
      <w:r w:rsidR="00045E79" w:rsidRPr="00045E79">
        <w:t>Future Fund</w:t>
      </w:r>
    </w:p>
    <w:p w14:paraId="433FC8D4" w14:textId="265E1136" w:rsidR="00045E79" w:rsidRDefault="00045E79" w:rsidP="00045E79">
      <w:pPr>
        <w:pStyle w:val="Subtitle"/>
      </w:pPr>
      <w:r w:rsidRPr="00CD59E2">
        <mc:AlternateContent>
          <mc:Choice Requires="wps">
            <w:drawing>
              <wp:anchor distT="45720" distB="45720" distL="114300" distR="114300" simplePos="0" relativeHeight="251658241" behindDoc="0" locked="0" layoutInCell="1" allowOverlap="1" wp14:anchorId="68CAA315" wp14:editId="40DF4D52">
                <wp:simplePos x="0" y="0"/>
                <wp:positionH relativeFrom="margin">
                  <wp:posOffset>-76200</wp:posOffset>
                </wp:positionH>
                <wp:positionV relativeFrom="paragraph">
                  <wp:posOffset>6221730</wp:posOffset>
                </wp:positionV>
                <wp:extent cx="2360930" cy="140462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F73F5F" w14:textId="5298FC25" w:rsidR="00045E79" w:rsidRPr="00045E79" w:rsidRDefault="00496829" w:rsidP="00045E79">
                            <w:pPr>
                              <w:pStyle w:val="Subtitle"/>
                              <w:rPr>
                                <w:b/>
                                <w:bCs/>
                                <w:sz w:val="40"/>
                                <w:szCs w:val="40"/>
                              </w:rPr>
                            </w:pPr>
                            <w:r w:rsidRPr="00496829">
                              <w:rPr>
                                <w:b/>
                                <w:sz w:val="40"/>
                                <w:szCs w:val="40"/>
                              </w:rPr>
                              <w:t xml:space="preserve">May </w:t>
                            </w:r>
                            <w:r w:rsidR="00026FD4" w:rsidRPr="00496829">
                              <w:rPr>
                                <w:b/>
                                <w:sz w:val="40"/>
                                <w:szCs w:val="40"/>
                              </w:rPr>
                              <w:t>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CAA315" id="_x0000_t202" coordsize="21600,21600" o:spt="202" path="m,l,21600r21600,l21600,xe">
                <v:stroke joinstyle="miter"/>
                <v:path gradientshapeok="t" o:connecttype="rect"/>
              </v:shapetype>
              <v:shape id="Text Box 217" o:spid="_x0000_s1026" type="#_x0000_t202" alt="&quot;&quot;" style="position:absolute;left:0;text-align:left;margin-left:-6pt;margin-top:489.9pt;width:185.9pt;height:110.6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" filled="f" stroked="f">
                <v:textbox style="mso-fit-shape-to-text:t">
                  <w:txbxContent>
                    <w:p w14:paraId="23F73F5F" w14:textId="5298FC25" w:rsidR="00045E79" w:rsidRPr="00045E79" w:rsidRDefault="00496829" w:rsidP="00045E79">
                      <w:pPr>
                        <w:pStyle w:val="Subtitle"/>
                        <w:rPr>
                          <w:b/>
                          <w:bCs/>
                          <w:sz w:val="40"/>
                          <w:szCs w:val="40"/>
                        </w:rPr>
                      </w:pPr>
                      <w:r w:rsidRPr="00496829">
                        <w:rPr>
                          <w:b/>
                          <w:sz w:val="40"/>
                          <w:szCs w:val="40"/>
                        </w:rPr>
                        <w:t xml:space="preserve">May </w:t>
                      </w:r>
                      <w:r w:rsidR="00026FD4" w:rsidRPr="00496829">
                        <w:rPr>
                          <w:b/>
                          <w:sz w:val="40"/>
                          <w:szCs w:val="40"/>
                        </w:rPr>
                        <w:t>2024</w:t>
                      </w:r>
                    </w:p>
                  </w:txbxContent>
                </v:textbox>
                <w10:wrap anchorx="margin"/>
              </v:shape>
            </w:pict>
          </mc:Fallback>
        </mc:AlternateContent>
      </w:r>
      <w:bookmarkStart w:id="0" w:name="_Hlk128497029"/>
      <w:r w:rsidR="00D8373A" w:rsidRPr="00D8373A">
        <w:t>202</w:t>
      </w:r>
      <w:r w:rsidR="00F47C31">
        <w:t>3</w:t>
      </w:r>
      <w:r w:rsidR="00D8373A" w:rsidRPr="00D8373A">
        <w:t xml:space="preserve"> Early to Mid-Career Researchers</w:t>
      </w:r>
      <w:r w:rsidR="00D8373A">
        <w:t xml:space="preserve"> Grant Opportunity </w:t>
      </w:r>
      <w:bookmarkEnd w:id="0"/>
      <w:r w:rsidR="00726F42">
        <w:t>Outcomes</w:t>
      </w:r>
      <w:r w:rsidR="00A20D2B">
        <w:t xml:space="preserve"> Data</w:t>
      </w:r>
    </w:p>
    <w:p w14:paraId="2EA4D889" w14:textId="6227BFC4" w:rsidR="00353F91" w:rsidRPr="00353F91" w:rsidRDefault="00353F91" w:rsidP="00353F91">
      <w:pPr>
        <w:rPr>
          <w:lang w:eastAsia="en-AU"/>
        </w:rPr>
        <w:sectPr w:rsidR="00353F91" w:rsidRPr="00353F91" w:rsidSect="001413B5">
          <w:headerReference w:type="even"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pPr>
    </w:p>
    <w:sdt>
      <w:sdtPr>
        <w:id w:val="-1270537540"/>
        <w:docPartObj>
          <w:docPartGallery w:val="Table of Contents"/>
          <w:docPartUnique/>
        </w:docPartObj>
      </w:sdtPr>
      <w:sdtEndPr>
        <w:rPr>
          <w:rFonts w:eastAsia="Times New Roman" w:cs="Times New Roman"/>
          <w:noProof/>
          <w:color w:val="auto"/>
          <w:sz w:val="21"/>
          <w:szCs w:val="21"/>
          <w:lang w:val="en-AU"/>
        </w:rPr>
      </w:sdtEndPr>
      <w:sdtContent>
        <w:p w14:paraId="4E376A3D" w14:textId="0001A4FD" w:rsidR="002F323A" w:rsidRPr="006B6624" w:rsidRDefault="002F323A" w:rsidP="00CE3E77">
          <w:pPr>
            <w:pStyle w:val="TOCHeading"/>
          </w:pPr>
          <w:r w:rsidRPr="008010CC">
            <w:t>Contents</w:t>
          </w:r>
        </w:p>
        <w:p w14:paraId="62B25469" w14:textId="273C6B72" w:rsidR="00470689" w:rsidRDefault="002F323A">
          <w:pPr>
            <w:pStyle w:val="TOC1"/>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\o "1-3" \h \z \u </w:instrText>
          </w:r>
          <w:r>
            <w:fldChar w:fldCharType="separate"/>
          </w:r>
          <w:hyperlink w:anchor="_Toc168043230" w:history="1">
            <w:r w:rsidR="00470689" w:rsidRPr="00A53A8B">
              <w:rPr>
                <w:rStyle w:val="Hyperlink"/>
                <w:noProof/>
              </w:rPr>
              <w:t>Overview</w:t>
            </w:r>
            <w:r w:rsidR="00470689">
              <w:rPr>
                <w:noProof/>
                <w:webHidden/>
              </w:rPr>
              <w:tab/>
            </w:r>
            <w:r w:rsidR="00470689">
              <w:rPr>
                <w:noProof/>
                <w:webHidden/>
              </w:rPr>
              <w:fldChar w:fldCharType="begin"/>
            </w:r>
            <w:r w:rsidR="00470689">
              <w:rPr>
                <w:noProof/>
                <w:webHidden/>
              </w:rPr>
              <w:instrText xml:space="preserve"> PAGEREF _Toc168043230 \h </w:instrText>
            </w:r>
            <w:r w:rsidR="00470689">
              <w:rPr>
                <w:noProof/>
                <w:webHidden/>
              </w:rPr>
            </w:r>
            <w:r w:rsidR="00470689">
              <w:rPr>
                <w:noProof/>
                <w:webHidden/>
              </w:rPr>
              <w:fldChar w:fldCharType="separate"/>
            </w:r>
            <w:r w:rsidR="00232428">
              <w:rPr>
                <w:noProof/>
                <w:webHidden/>
              </w:rPr>
              <w:t>2</w:t>
            </w:r>
            <w:r w:rsidR="00470689">
              <w:rPr>
                <w:noProof/>
                <w:webHidden/>
              </w:rPr>
              <w:fldChar w:fldCharType="end"/>
            </w:r>
          </w:hyperlink>
        </w:p>
        <w:p w14:paraId="6E5D3674" w14:textId="0B20C054" w:rsidR="00470689" w:rsidRDefault="00000000">
          <w:pPr>
            <w:pStyle w:val="TOC1"/>
            <w:rPr>
              <w:rFonts w:asciiTheme="minorHAnsi" w:eastAsiaTheme="minorEastAsia" w:hAnsiTheme="minorHAnsi" w:cstheme="minorBidi"/>
              <w:noProof/>
              <w:kern w:val="2"/>
              <w:sz w:val="22"/>
              <w:szCs w:val="22"/>
              <w:lang w:eastAsia="en-AU"/>
              <w14:ligatures w14:val="standardContextual"/>
            </w:rPr>
          </w:pPr>
          <w:hyperlink w:anchor="_Toc168043231" w:history="1">
            <w:r w:rsidR="00470689" w:rsidRPr="00A53A8B">
              <w:rPr>
                <w:rStyle w:val="Hyperlink"/>
                <w:noProof/>
              </w:rPr>
              <w:t>Assessment</w:t>
            </w:r>
            <w:r w:rsidR="00470689">
              <w:rPr>
                <w:noProof/>
                <w:webHidden/>
              </w:rPr>
              <w:tab/>
            </w:r>
            <w:r w:rsidR="00470689">
              <w:rPr>
                <w:noProof/>
                <w:webHidden/>
              </w:rPr>
              <w:fldChar w:fldCharType="begin"/>
            </w:r>
            <w:r w:rsidR="00470689">
              <w:rPr>
                <w:noProof/>
                <w:webHidden/>
              </w:rPr>
              <w:instrText xml:space="preserve"> PAGEREF _Toc168043231 \h </w:instrText>
            </w:r>
            <w:r w:rsidR="00470689">
              <w:rPr>
                <w:noProof/>
                <w:webHidden/>
              </w:rPr>
            </w:r>
            <w:r w:rsidR="00470689">
              <w:rPr>
                <w:noProof/>
                <w:webHidden/>
              </w:rPr>
              <w:fldChar w:fldCharType="separate"/>
            </w:r>
            <w:r w:rsidR="00232428">
              <w:rPr>
                <w:noProof/>
                <w:webHidden/>
              </w:rPr>
              <w:t>4</w:t>
            </w:r>
            <w:r w:rsidR="00470689">
              <w:rPr>
                <w:noProof/>
                <w:webHidden/>
              </w:rPr>
              <w:fldChar w:fldCharType="end"/>
            </w:r>
          </w:hyperlink>
        </w:p>
        <w:p w14:paraId="08FEF914" w14:textId="61050C0B"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2" w:history="1">
            <w:r w:rsidR="00470689" w:rsidRPr="00A53A8B">
              <w:rPr>
                <w:rStyle w:val="Hyperlink"/>
                <w:noProof/>
              </w:rPr>
              <w:t>Assessment criteria</w:t>
            </w:r>
            <w:r w:rsidR="00470689">
              <w:rPr>
                <w:noProof/>
                <w:webHidden/>
              </w:rPr>
              <w:tab/>
            </w:r>
            <w:r w:rsidR="00470689">
              <w:rPr>
                <w:noProof/>
                <w:webHidden/>
              </w:rPr>
              <w:fldChar w:fldCharType="begin"/>
            </w:r>
            <w:r w:rsidR="00470689">
              <w:rPr>
                <w:noProof/>
                <w:webHidden/>
              </w:rPr>
              <w:instrText xml:space="preserve"> PAGEREF _Toc168043232 \h </w:instrText>
            </w:r>
            <w:r w:rsidR="00470689">
              <w:rPr>
                <w:noProof/>
                <w:webHidden/>
              </w:rPr>
            </w:r>
            <w:r w:rsidR="00470689">
              <w:rPr>
                <w:noProof/>
                <w:webHidden/>
              </w:rPr>
              <w:fldChar w:fldCharType="separate"/>
            </w:r>
            <w:r w:rsidR="00232428">
              <w:rPr>
                <w:noProof/>
                <w:webHidden/>
              </w:rPr>
              <w:t>4</w:t>
            </w:r>
            <w:r w:rsidR="00470689">
              <w:rPr>
                <w:noProof/>
                <w:webHidden/>
              </w:rPr>
              <w:fldChar w:fldCharType="end"/>
            </w:r>
          </w:hyperlink>
        </w:p>
        <w:p w14:paraId="38A62E56" w14:textId="74D21EBD"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3" w:history="1">
            <w:r w:rsidR="00470689" w:rsidRPr="00A53A8B">
              <w:rPr>
                <w:rStyle w:val="Hyperlink"/>
                <w:noProof/>
              </w:rPr>
              <w:t>Applications assessed</w:t>
            </w:r>
            <w:r w:rsidR="00470689">
              <w:rPr>
                <w:noProof/>
                <w:webHidden/>
              </w:rPr>
              <w:tab/>
            </w:r>
            <w:r w:rsidR="00470689">
              <w:rPr>
                <w:noProof/>
                <w:webHidden/>
              </w:rPr>
              <w:fldChar w:fldCharType="begin"/>
            </w:r>
            <w:r w:rsidR="00470689">
              <w:rPr>
                <w:noProof/>
                <w:webHidden/>
              </w:rPr>
              <w:instrText xml:space="preserve"> PAGEREF _Toc168043233 \h </w:instrText>
            </w:r>
            <w:r w:rsidR="00470689">
              <w:rPr>
                <w:noProof/>
                <w:webHidden/>
              </w:rPr>
            </w:r>
            <w:r w:rsidR="00470689">
              <w:rPr>
                <w:noProof/>
                <w:webHidden/>
              </w:rPr>
              <w:fldChar w:fldCharType="separate"/>
            </w:r>
            <w:r w:rsidR="00232428">
              <w:rPr>
                <w:noProof/>
                <w:webHidden/>
              </w:rPr>
              <w:t>4</w:t>
            </w:r>
            <w:r w:rsidR="00470689">
              <w:rPr>
                <w:noProof/>
                <w:webHidden/>
              </w:rPr>
              <w:fldChar w:fldCharType="end"/>
            </w:r>
          </w:hyperlink>
        </w:p>
        <w:p w14:paraId="5A4C6A50" w14:textId="527A1646" w:rsidR="00470689" w:rsidRDefault="00000000">
          <w:pPr>
            <w:pStyle w:val="TOC1"/>
            <w:rPr>
              <w:rFonts w:asciiTheme="minorHAnsi" w:eastAsiaTheme="minorEastAsia" w:hAnsiTheme="minorHAnsi" w:cstheme="minorBidi"/>
              <w:noProof/>
              <w:kern w:val="2"/>
              <w:sz w:val="22"/>
              <w:szCs w:val="22"/>
              <w:lang w:eastAsia="en-AU"/>
              <w14:ligatures w14:val="standardContextual"/>
            </w:rPr>
          </w:pPr>
          <w:hyperlink w:anchor="_Toc168043234" w:history="1">
            <w:r w:rsidR="00470689" w:rsidRPr="00A53A8B">
              <w:rPr>
                <w:rStyle w:val="Hyperlink"/>
                <w:noProof/>
              </w:rPr>
              <w:t>Summary of Outcomes</w:t>
            </w:r>
            <w:r w:rsidR="00470689">
              <w:rPr>
                <w:noProof/>
                <w:webHidden/>
              </w:rPr>
              <w:tab/>
            </w:r>
            <w:r w:rsidR="00470689">
              <w:rPr>
                <w:noProof/>
                <w:webHidden/>
              </w:rPr>
              <w:fldChar w:fldCharType="begin"/>
            </w:r>
            <w:r w:rsidR="00470689">
              <w:rPr>
                <w:noProof/>
                <w:webHidden/>
              </w:rPr>
              <w:instrText xml:space="preserve"> PAGEREF _Toc168043234 \h </w:instrText>
            </w:r>
            <w:r w:rsidR="00470689">
              <w:rPr>
                <w:noProof/>
                <w:webHidden/>
              </w:rPr>
            </w:r>
            <w:r w:rsidR="00470689">
              <w:rPr>
                <w:noProof/>
                <w:webHidden/>
              </w:rPr>
              <w:fldChar w:fldCharType="separate"/>
            </w:r>
            <w:r w:rsidR="00232428">
              <w:rPr>
                <w:noProof/>
                <w:webHidden/>
              </w:rPr>
              <w:t>6</w:t>
            </w:r>
            <w:r w:rsidR="00470689">
              <w:rPr>
                <w:noProof/>
                <w:webHidden/>
              </w:rPr>
              <w:fldChar w:fldCharType="end"/>
            </w:r>
          </w:hyperlink>
        </w:p>
        <w:p w14:paraId="40976D6F" w14:textId="3B9CFB50"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5" w:history="1">
            <w:r w:rsidR="00470689" w:rsidRPr="00A53A8B">
              <w:rPr>
                <w:rStyle w:val="Hyperlink"/>
                <w:noProof/>
              </w:rPr>
              <w:t>Funding awarded</w:t>
            </w:r>
            <w:r w:rsidR="00470689">
              <w:rPr>
                <w:noProof/>
                <w:webHidden/>
              </w:rPr>
              <w:tab/>
            </w:r>
            <w:r w:rsidR="00470689">
              <w:rPr>
                <w:noProof/>
                <w:webHidden/>
              </w:rPr>
              <w:fldChar w:fldCharType="begin"/>
            </w:r>
            <w:r w:rsidR="00470689">
              <w:rPr>
                <w:noProof/>
                <w:webHidden/>
              </w:rPr>
              <w:instrText xml:space="preserve"> PAGEREF _Toc168043235 \h </w:instrText>
            </w:r>
            <w:r w:rsidR="00470689">
              <w:rPr>
                <w:noProof/>
                <w:webHidden/>
              </w:rPr>
            </w:r>
            <w:r w:rsidR="00470689">
              <w:rPr>
                <w:noProof/>
                <w:webHidden/>
              </w:rPr>
              <w:fldChar w:fldCharType="separate"/>
            </w:r>
            <w:r w:rsidR="00232428">
              <w:rPr>
                <w:noProof/>
                <w:webHidden/>
              </w:rPr>
              <w:t>6</w:t>
            </w:r>
            <w:r w:rsidR="00470689">
              <w:rPr>
                <w:noProof/>
                <w:webHidden/>
              </w:rPr>
              <w:fldChar w:fldCharType="end"/>
            </w:r>
          </w:hyperlink>
        </w:p>
        <w:p w14:paraId="0C4E0428" w14:textId="183946BE"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6" w:history="1">
            <w:r w:rsidR="00470689" w:rsidRPr="00A53A8B">
              <w:rPr>
                <w:rStyle w:val="Hyperlink"/>
                <w:noProof/>
              </w:rPr>
              <w:t>Outcomes by broad research area</w:t>
            </w:r>
            <w:r w:rsidR="00470689">
              <w:rPr>
                <w:noProof/>
                <w:webHidden/>
              </w:rPr>
              <w:tab/>
            </w:r>
            <w:r w:rsidR="00470689">
              <w:rPr>
                <w:noProof/>
                <w:webHidden/>
              </w:rPr>
              <w:fldChar w:fldCharType="begin"/>
            </w:r>
            <w:r w:rsidR="00470689">
              <w:rPr>
                <w:noProof/>
                <w:webHidden/>
              </w:rPr>
              <w:instrText xml:space="preserve"> PAGEREF _Toc168043236 \h </w:instrText>
            </w:r>
            <w:r w:rsidR="00470689">
              <w:rPr>
                <w:noProof/>
                <w:webHidden/>
              </w:rPr>
            </w:r>
            <w:r w:rsidR="00470689">
              <w:rPr>
                <w:noProof/>
                <w:webHidden/>
              </w:rPr>
              <w:fldChar w:fldCharType="separate"/>
            </w:r>
            <w:r w:rsidR="00232428">
              <w:rPr>
                <w:noProof/>
                <w:webHidden/>
              </w:rPr>
              <w:t>9</w:t>
            </w:r>
            <w:r w:rsidR="00470689">
              <w:rPr>
                <w:noProof/>
                <w:webHidden/>
              </w:rPr>
              <w:fldChar w:fldCharType="end"/>
            </w:r>
          </w:hyperlink>
        </w:p>
        <w:p w14:paraId="28023B4A" w14:textId="2128654C"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7" w:history="1">
            <w:r w:rsidR="00470689" w:rsidRPr="00A53A8B">
              <w:rPr>
                <w:rStyle w:val="Hyperlink"/>
                <w:noProof/>
              </w:rPr>
              <w:t>Outcomes by Fields of Research</w:t>
            </w:r>
            <w:r w:rsidR="00470689">
              <w:rPr>
                <w:noProof/>
                <w:webHidden/>
              </w:rPr>
              <w:tab/>
            </w:r>
            <w:r w:rsidR="00470689">
              <w:rPr>
                <w:noProof/>
                <w:webHidden/>
              </w:rPr>
              <w:fldChar w:fldCharType="begin"/>
            </w:r>
            <w:r w:rsidR="00470689">
              <w:rPr>
                <w:noProof/>
                <w:webHidden/>
              </w:rPr>
              <w:instrText xml:space="preserve"> PAGEREF _Toc168043237 \h </w:instrText>
            </w:r>
            <w:r w:rsidR="00470689">
              <w:rPr>
                <w:noProof/>
                <w:webHidden/>
              </w:rPr>
            </w:r>
            <w:r w:rsidR="00470689">
              <w:rPr>
                <w:noProof/>
                <w:webHidden/>
              </w:rPr>
              <w:fldChar w:fldCharType="separate"/>
            </w:r>
            <w:r w:rsidR="00232428">
              <w:rPr>
                <w:noProof/>
                <w:webHidden/>
              </w:rPr>
              <w:t>10</w:t>
            </w:r>
            <w:r w:rsidR="00470689">
              <w:rPr>
                <w:noProof/>
                <w:webHidden/>
              </w:rPr>
              <w:fldChar w:fldCharType="end"/>
            </w:r>
          </w:hyperlink>
        </w:p>
        <w:p w14:paraId="78A947AB" w14:textId="409BF676"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8" w:history="1">
            <w:r w:rsidR="00470689" w:rsidRPr="00A53A8B">
              <w:rPr>
                <w:rStyle w:val="Hyperlink"/>
                <w:noProof/>
              </w:rPr>
              <w:t>Outcomes by states and territories</w:t>
            </w:r>
            <w:r w:rsidR="00470689">
              <w:rPr>
                <w:noProof/>
                <w:webHidden/>
              </w:rPr>
              <w:tab/>
            </w:r>
            <w:r w:rsidR="00470689">
              <w:rPr>
                <w:noProof/>
                <w:webHidden/>
              </w:rPr>
              <w:fldChar w:fldCharType="begin"/>
            </w:r>
            <w:r w:rsidR="00470689">
              <w:rPr>
                <w:noProof/>
                <w:webHidden/>
              </w:rPr>
              <w:instrText xml:space="preserve"> PAGEREF _Toc168043238 \h </w:instrText>
            </w:r>
            <w:r w:rsidR="00470689">
              <w:rPr>
                <w:noProof/>
                <w:webHidden/>
              </w:rPr>
            </w:r>
            <w:r w:rsidR="00470689">
              <w:rPr>
                <w:noProof/>
                <w:webHidden/>
              </w:rPr>
              <w:fldChar w:fldCharType="separate"/>
            </w:r>
            <w:r w:rsidR="00232428">
              <w:rPr>
                <w:noProof/>
                <w:webHidden/>
              </w:rPr>
              <w:t>11</w:t>
            </w:r>
            <w:r w:rsidR="00470689">
              <w:rPr>
                <w:noProof/>
                <w:webHidden/>
              </w:rPr>
              <w:fldChar w:fldCharType="end"/>
            </w:r>
          </w:hyperlink>
        </w:p>
        <w:p w14:paraId="112F5765" w14:textId="653CAE0A"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39" w:history="1">
            <w:r w:rsidR="00470689" w:rsidRPr="00A53A8B">
              <w:rPr>
                <w:rStyle w:val="Hyperlink"/>
                <w:noProof/>
              </w:rPr>
              <w:t>Outcomes by Eligible Organisation</w:t>
            </w:r>
            <w:r w:rsidR="00470689">
              <w:rPr>
                <w:noProof/>
                <w:webHidden/>
              </w:rPr>
              <w:tab/>
            </w:r>
            <w:r w:rsidR="00470689">
              <w:rPr>
                <w:noProof/>
                <w:webHidden/>
              </w:rPr>
              <w:fldChar w:fldCharType="begin"/>
            </w:r>
            <w:r w:rsidR="00470689">
              <w:rPr>
                <w:noProof/>
                <w:webHidden/>
              </w:rPr>
              <w:instrText xml:space="preserve"> PAGEREF _Toc168043239 \h </w:instrText>
            </w:r>
            <w:r w:rsidR="00470689">
              <w:rPr>
                <w:noProof/>
                <w:webHidden/>
              </w:rPr>
            </w:r>
            <w:r w:rsidR="00470689">
              <w:rPr>
                <w:noProof/>
                <w:webHidden/>
              </w:rPr>
              <w:fldChar w:fldCharType="separate"/>
            </w:r>
            <w:r w:rsidR="00232428">
              <w:rPr>
                <w:noProof/>
                <w:webHidden/>
              </w:rPr>
              <w:t>12</w:t>
            </w:r>
            <w:r w:rsidR="00470689">
              <w:rPr>
                <w:noProof/>
                <w:webHidden/>
              </w:rPr>
              <w:fldChar w:fldCharType="end"/>
            </w:r>
          </w:hyperlink>
        </w:p>
        <w:p w14:paraId="6038834C" w14:textId="2C60BE39" w:rsidR="00470689" w:rsidRDefault="00000000">
          <w:pPr>
            <w:pStyle w:val="TOC1"/>
            <w:rPr>
              <w:rFonts w:asciiTheme="minorHAnsi" w:eastAsiaTheme="minorEastAsia" w:hAnsiTheme="minorHAnsi" w:cstheme="minorBidi"/>
              <w:noProof/>
              <w:kern w:val="2"/>
              <w:sz w:val="22"/>
              <w:szCs w:val="22"/>
              <w:lang w:eastAsia="en-AU"/>
              <w14:ligatures w14:val="standardContextual"/>
            </w:rPr>
          </w:pPr>
          <w:hyperlink w:anchor="_Toc168043240" w:history="1">
            <w:r w:rsidR="00470689" w:rsidRPr="00A53A8B">
              <w:rPr>
                <w:rStyle w:val="Hyperlink"/>
                <w:noProof/>
              </w:rPr>
              <w:t>Characteristics of Chief Investigators</w:t>
            </w:r>
            <w:r w:rsidR="00470689">
              <w:rPr>
                <w:noProof/>
                <w:webHidden/>
              </w:rPr>
              <w:tab/>
            </w:r>
            <w:r w:rsidR="00470689">
              <w:rPr>
                <w:noProof/>
                <w:webHidden/>
              </w:rPr>
              <w:fldChar w:fldCharType="begin"/>
            </w:r>
            <w:r w:rsidR="00470689">
              <w:rPr>
                <w:noProof/>
                <w:webHidden/>
              </w:rPr>
              <w:instrText xml:space="preserve"> PAGEREF _Toc168043240 \h </w:instrText>
            </w:r>
            <w:r w:rsidR="00470689">
              <w:rPr>
                <w:noProof/>
                <w:webHidden/>
              </w:rPr>
            </w:r>
            <w:r w:rsidR="00470689">
              <w:rPr>
                <w:noProof/>
                <w:webHidden/>
              </w:rPr>
              <w:fldChar w:fldCharType="separate"/>
            </w:r>
            <w:r w:rsidR="00232428">
              <w:rPr>
                <w:noProof/>
                <w:webHidden/>
              </w:rPr>
              <w:t>15</w:t>
            </w:r>
            <w:r w:rsidR="00470689">
              <w:rPr>
                <w:noProof/>
                <w:webHidden/>
              </w:rPr>
              <w:fldChar w:fldCharType="end"/>
            </w:r>
          </w:hyperlink>
        </w:p>
        <w:p w14:paraId="7311F0FE" w14:textId="2502EE25"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1" w:history="1">
            <w:r w:rsidR="00470689" w:rsidRPr="00A53A8B">
              <w:rPr>
                <w:rStyle w:val="Hyperlink"/>
                <w:noProof/>
              </w:rPr>
              <w:t>Gender of CIA</w:t>
            </w:r>
            <w:r w:rsidR="00470689">
              <w:rPr>
                <w:noProof/>
                <w:webHidden/>
              </w:rPr>
              <w:tab/>
            </w:r>
            <w:r w:rsidR="00470689">
              <w:rPr>
                <w:noProof/>
                <w:webHidden/>
              </w:rPr>
              <w:fldChar w:fldCharType="begin"/>
            </w:r>
            <w:r w:rsidR="00470689">
              <w:rPr>
                <w:noProof/>
                <w:webHidden/>
              </w:rPr>
              <w:instrText xml:space="preserve"> PAGEREF _Toc168043241 \h </w:instrText>
            </w:r>
            <w:r w:rsidR="00470689">
              <w:rPr>
                <w:noProof/>
                <w:webHidden/>
              </w:rPr>
            </w:r>
            <w:r w:rsidR="00470689">
              <w:rPr>
                <w:noProof/>
                <w:webHidden/>
              </w:rPr>
              <w:fldChar w:fldCharType="separate"/>
            </w:r>
            <w:r w:rsidR="00232428">
              <w:rPr>
                <w:noProof/>
                <w:webHidden/>
              </w:rPr>
              <w:t>15</w:t>
            </w:r>
            <w:r w:rsidR="00470689">
              <w:rPr>
                <w:noProof/>
                <w:webHidden/>
              </w:rPr>
              <w:fldChar w:fldCharType="end"/>
            </w:r>
          </w:hyperlink>
        </w:p>
        <w:p w14:paraId="1257402E" w14:textId="74DBA0F1"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2" w:history="1">
            <w:r w:rsidR="00470689" w:rsidRPr="00A53A8B">
              <w:rPr>
                <w:rStyle w:val="Hyperlink"/>
                <w:noProof/>
              </w:rPr>
              <w:t>Years post-PhD of CIA</w:t>
            </w:r>
            <w:r w:rsidR="00470689">
              <w:rPr>
                <w:noProof/>
                <w:webHidden/>
              </w:rPr>
              <w:tab/>
            </w:r>
            <w:r w:rsidR="00470689">
              <w:rPr>
                <w:noProof/>
                <w:webHidden/>
              </w:rPr>
              <w:fldChar w:fldCharType="begin"/>
            </w:r>
            <w:r w:rsidR="00470689">
              <w:rPr>
                <w:noProof/>
                <w:webHidden/>
              </w:rPr>
              <w:instrText xml:space="preserve"> PAGEREF _Toc168043242 \h </w:instrText>
            </w:r>
            <w:r w:rsidR="00470689">
              <w:rPr>
                <w:noProof/>
                <w:webHidden/>
              </w:rPr>
            </w:r>
            <w:r w:rsidR="00470689">
              <w:rPr>
                <w:noProof/>
                <w:webHidden/>
              </w:rPr>
              <w:fldChar w:fldCharType="separate"/>
            </w:r>
            <w:r w:rsidR="00232428">
              <w:rPr>
                <w:noProof/>
                <w:webHidden/>
              </w:rPr>
              <w:t>16</w:t>
            </w:r>
            <w:r w:rsidR="00470689">
              <w:rPr>
                <w:noProof/>
                <w:webHidden/>
              </w:rPr>
              <w:fldChar w:fldCharType="end"/>
            </w:r>
          </w:hyperlink>
        </w:p>
        <w:p w14:paraId="3845DA96" w14:textId="08311148"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3" w:history="1">
            <w:r w:rsidR="00470689" w:rsidRPr="00A53A8B">
              <w:rPr>
                <w:rStyle w:val="Hyperlink"/>
                <w:noProof/>
              </w:rPr>
              <w:t>First Nations investigators</w:t>
            </w:r>
            <w:r w:rsidR="00470689">
              <w:rPr>
                <w:noProof/>
                <w:webHidden/>
              </w:rPr>
              <w:tab/>
            </w:r>
            <w:r w:rsidR="00470689">
              <w:rPr>
                <w:noProof/>
                <w:webHidden/>
              </w:rPr>
              <w:fldChar w:fldCharType="begin"/>
            </w:r>
            <w:r w:rsidR="00470689">
              <w:rPr>
                <w:noProof/>
                <w:webHidden/>
              </w:rPr>
              <w:instrText xml:space="preserve"> PAGEREF _Toc168043243 \h </w:instrText>
            </w:r>
            <w:r w:rsidR="00470689">
              <w:rPr>
                <w:noProof/>
                <w:webHidden/>
              </w:rPr>
            </w:r>
            <w:r w:rsidR="00470689">
              <w:rPr>
                <w:noProof/>
                <w:webHidden/>
              </w:rPr>
              <w:fldChar w:fldCharType="separate"/>
            </w:r>
            <w:r w:rsidR="00232428">
              <w:rPr>
                <w:noProof/>
                <w:webHidden/>
              </w:rPr>
              <w:t>17</w:t>
            </w:r>
            <w:r w:rsidR="00470689">
              <w:rPr>
                <w:noProof/>
                <w:webHidden/>
              </w:rPr>
              <w:fldChar w:fldCharType="end"/>
            </w:r>
          </w:hyperlink>
        </w:p>
        <w:p w14:paraId="6ADF76F8" w14:textId="48A1DFC1"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4" w:history="1">
            <w:r w:rsidR="00470689" w:rsidRPr="00A53A8B">
              <w:rPr>
                <w:rStyle w:val="Hyperlink"/>
                <w:noProof/>
              </w:rPr>
              <w:t>Size of investigator teams</w:t>
            </w:r>
            <w:r w:rsidR="00470689">
              <w:rPr>
                <w:noProof/>
                <w:webHidden/>
              </w:rPr>
              <w:tab/>
            </w:r>
            <w:r w:rsidR="00470689">
              <w:rPr>
                <w:noProof/>
                <w:webHidden/>
              </w:rPr>
              <w:fldChar w:fldCharType="begin"/>
            </w:r>
            <w:r w:rsidR="00470689">
              <w:rPr>
                <w:noProof/>
                <w:webHidden/>
              </w:rPr>
              <w:instrText xml:space="preserve"> PAGEREF _Toc168043244 \h </w:instrText>
            </w:r>
            <w:r w:rsidR="00470689">
              <w:rPr>
                <w:noProof/>
                <w:webHidden/>
              </w:rPr>
            </w:r>
            <w:r w:rsidR="00470689">
              <w:rPr>
                <w:noProof/>
                <w:webHidden/>
              </w:rPr>
              <w:fldChar w:fldCharType="separate"/>
            </w:r>
            <w:r w:rsidR="00232428">
              <w:rPr>
                <w:noProof/>
                <w:webHidden/>
              </w:rPr>
              <w:t>17</w:t>
            </w:r>
            <w:r w:rsidR="00470689">
              <w:rPr>
                <w:noProof/>
                <w:webHidden/>
              </w:rPr>
              <w:fldChar w:fldCharType="end"/>
            </w:r>
          </w:hyperlink>
        </w:p>
        <w:p w14:paraId="19E3F711" w14:textId="14E9FABD"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5" w:history="1">
            <w:r w:rsidR="00470689" w:rsidRPr="00A53A8B">
              <w:rPr>
                <w:rStyle w:val="Hyperlink"/>
                <w:noProof/>
              </w:rPr>
              <w:t>Gender of investigator teams</w:t>
            </w:r>
            <w:r w:rsidR="00470689">
              <w:rPr>
                <w:noProof/>
                <w:webHidden/>
              </w:rPr>
              <w:tab/>
            </w:r>
            <w:r w:rsidR="00470689">
              <w:rPr>
                <w:noProof/>
                <w:webHidden/>
              </w:rPr>
              <w:fldChar w:fldCharType="begin"/>
            </w:r>
            <w:r w:rsidR="00470689">
              <w:rPr>
                <w:noProof/>
                <w:webHidden/>
              </w:rPr>
              <w:instrText xml:space="preserve"> PAGEREF _Toc168043245 \h </w:instrText>
            </w:r>
            <w:r w:rsidR="00470689">
              <w:rPr>
                <w:noProof/>
                <w:webHidden/>
              </w:rPr>
            </w:r>
            <w:r w:rsidR="00470689">
              <w:rPr>
                <w:noProof/>
                <w:webHidden/>
              </w:rPr>
              <w:fldChar w:fldCharType="separate"/>
            </w:r>
            <w:r w:rsidR="00232428">
              <w:rPr>
                <w:noProof/>
                <w:webHidden/>
              </w:rPr>
              <w:t>17</w:t>
            </w:r>
            <w:r w:rsidR="00470689">
              <w:rPr>
                <w:noProof/>
                <w:webHidden/>
              </w:rPr>
              <w:fldChar w:fldCharType="end"/>
            </w:r>
          </w:hyperlink>
        </w:p>
        <w:p w14:paraId="5989FB1A" w14:textId="42C4FE9D"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6" w:history="1">
            <w:r w:rsidR="00470689" w:rsidRPr="00A53A8B">
              <w:rPr>
                <w:rStyle w:val="Hyperlink"/>
                <w:noProof/>
              </w:rPr>
              <w:t>Years post-PhD of investigator teams</w:t>
            </w:r>
            <w:r w:rsidR="00470689">
              <w:rPr>
                <w:noProof/>
                <w:webHidden/>
              </w:rPr>
              <w:tab/>
            </w:r>
            <w:r w:rsidR="00470689">
              <w:rPr>
                <w:noProof/>
                <w:webHidden/>
              </w:rPr>
              <w:fldChar w:fldCharType="begin"/>
            </w:r>
            <w:r w:rsidR="00470689">
              <w:rPr>
                <w:noProof/>
                <w:webHidden/>
              </w:rPr>
              <w:instrText xml:space="preserve"> PAGEREF _Toc168043246 \h </w:instrText>
            </w:r>
            <w:r w:rsidR="00470689">
              <w:rPr>
                <w:noProof/>
                <w:webHidden/>
              </w:rPr>
            </w:r>
            <w:r w:rsidR="00470689">
              <w:rPr>
                <w:noProof/>
                <w:webHidden/>
              </w:rPr>
              <w:fldChar w:fldCharType="separate"/>
            </w:r>
            <w:r w:rsidR="00232428">
              <w:rPr>
                <w:noProof/>
                <w:webHidden/>
              </w:rPr>
              <w:t>18</w:t>
            </w:r>
            <w:r w:rsidR="00470689">
              <w:rPr>
                <w:noProof/>
                <w:webHidden/>
              </w:rPr>
              <w:fldChar w:fldCharType="end"/>
            </w:r>
          </w:hyperlink>
        </w:p>
        <w:p w14:paraId="1D72E991" w14:textId="3D85DDA6" w:rsidR="00470689" w:rsidRDefault="00000000">
          <w:pPr>
            <w:pStyle w:val="TOC1"/>
            <w:rPr>
              <w:rFonts w:asciiTheme="minorHAnsi" w:eastAsiaTheme="minorEastAsia" w:hAnsiTheme="minorHAnsi" w:cstheme="minorBidi"/>
              <w:noProof/>
              <w:kern w:val="2"/>
              <w:sz w:val="22"/>
              <w:szCs w:val="22"/>
              <w:lang w:eastAsia="en-AU"/>
              <w14:ligatures w14:val="standardContextual"/>
            </w:rPr>
          </w:pPr>
          <w:hyperlink w:anchor="_Toc168043247" w:history="1">
            <w:r w:rsidR="00470689" w:rsidRPr="00A53A8B">
              <w:rPr>
                <w:rStyle w:val="Hyperlink"/>
                <w:noProof/>
              </w:rPr>
              <w:t>Appendix A.  Table of grants awarded</w:t>
            </w:r>
            <w:r w:rsidR="00470689">
              <w:rPr>
                <w:noProof/>
                <w:webHidden/>
              </w:rPr>
              <w:tab/>
            </w:r>
            <w:r w:rsidR="00470689">
              <w:rPr>
                <w:noProof/>
                <w:webHidden/>
              </w:rPr>
              <w:fldChar w:fldCharType="begin"/>
            </w:r>
            <w:r w:rsidR="00470689">
              <w:rPr>
                <w:noProof/>
                <w:webHidden/>
              </w:rPr>
              <w:instrText xml:space="preserve"> PAGEREF _Toc168043247 \h </w:instrText>
            </w:r>
            <w:r w:rsidR="00470689">
              <w:rPr>
                <w:noProof/>
                <w:webHidden/>
              </w:rPr>
            </w:r>
            <w:r w:rsidR="00470689">
              <w:rPr>
                <w:noProof/>
                <w:webHidden/>
              </w:rPr>
              <w:fldChar w:fldCharType="separate"/>
            </w:r>
            <w:r w:rsidR="00232428">
              <w:rPr>
                <w:noProof/>
                <w:webHidden/>
              </w:rPr>
              <w:t>19</w:t>
            </w:r>
            <w:r w:rsidR="00470689">
              <w:rPr>
                <w:noProof/>
                <w:webHidden/>
              </w:rPr>
              <w:fldChar w:fldCharType="end"/>
            </w:r>
          </w:hyperlink>
        </w:p>
        <w:p w14:paraId="5C772056" w14:textId="15EE7C65" w:rsidR="00470689" w:rsidRDefault="00000000">
          <w:pPr>
            <w:pStyle w:val="TOC1"/>
            <w:rPr>
              <w:rFonts w:asciiTheme="minorHAnsi" w:eastAsiaTheme="minorEastAsia" w:hAnsiTheme="minorHAnsi" w:cstheme="minorBidi"/>
              <w:noProof/>
              <w:kern w:val="2"/>
              <w:sz w:val="22"/>
              <w:szCs w:val="22"/>
              <w:lang w:eastAsia="en-AU"/>
              <w14:ligatures w14:val="standardContextual"/>
            </w:rPr>
          </w:pPr>
          <w:hyperlink w:anchor="_Toc168043248" w:history="1">
            <w:r w:rsidR="00470689" w:rsidRPr="00A53A8B">
              <w:rPr>
                <w:rStyle w:val="Hyperlink"/>
                <w:noProof/>
              </w:rPr>
              <w:t>Appendix B.  The MRFF Early to Mid-Career Researcher Initiative</w:t>
            </w:r>
            <w:r w:rsidR="00470689">
              <w:rPr>
                <w:noProof/>
                <w:webHidden/>
              </w:rPr>
              <w:tab/>
            </w:r>
            <w:r w:rsidR="00470689">
              <w:rPr>
                <w:noProof/>
                <w:webHidden/>
              </w:rPr>
              <w:fldChar w:fldCharType="begin"/>
            </w:r>
            <w:r w:rsidR="00470689">
              <w:rPr>
                <w:noProof/>
                <w:webHidden/>
              </w:rPr>
              <w:instrText xml:space="preserve"> PAGEREF _Toc168043248 \h </w:instrText>
            </w:r>
            <w:r w:rsidR="00470689">
              <w:rPr>
                <w:noProof/>
                <w:webHidden/>
              </w:rPr>
            </w:r>
            <w:r w:rsidR="00470689">
              <w:rPr>
                <w:noProof/>
                <w:webHidden/>
              </w:rPr>
              <w:fldChar w:fldCharType="separate"/>
            </w:r>
            <w:r w:rsidR="00232428">
              <w:rPr>
                <w:noProof/>
                <w:webHidden/>
              </w:rPr>
              <w:t>21</w:t>
            </w:r>
            <w:r w:rsidR="00470689">
              <w:rPr>
                <w:noProof/>
                <w:webHidden/>
              </w:rPr>
              <w:fldChar w:fldCharType="end"/>
            </w:r>
          </w:hyperlink>
        </w:p>
        <w:p w14:paraId="61207A14" w14:textId="62F62658" w:rsidR="00470689" w:rsidRDefault="00000000">
          <w:pPr>
            <w:pStyle w:val="TOC2"/>
            <w:tabs>
              <w:tab w:val="right" w:leader="dot" w:pos="9060"/>
            </w:tabs>
            <w:rPr>
              <w:rFonts w:asciiTheme="minorHAnsi" w:eastAsiaTheme="minorEastAsia" w:hAnsiTheme="minorHAnsi" w:cstheme="minorBidi"/>
              <w:noProof/>
              <w:kern w:val="2"/>
              <w:sz w:val="22"/>
              <w:szCs w:val="22"/>
              <w:lang w:eastAsia="en-AU"/>
              <w14:ligatures w14:val="standardContextual"/>
            </w:rPr>
          </w:pPr>
          <w:hyperlink w:anchor="_Toc168043249" w:history="1">
            <w:r w:rsidR="00470689" w:rsidRPr="00A53A8B">
              <w:rPr>
                <w:rStyle w:val="Hyperlink"/>
                <w:noProof/>
              </w:rPr>
              <w:t>Focus of the 2024 Early to Mid-Career Researchers Grant Opportunity</w:t>
            </w:r>
            <w:r w:rsidR="00470689">
              <w:rPr>
                <w:noProof/>
                <w:webHidden/>
              </w:rPr>
              <w:tab/>
            </w:r>
            <w:r w:rsidR="00470689">
              <w:rPr>
                <w:noProof/>
                <w:webHidden/>
              </w:rPr>
              <w:fldChar w:fldCharType="begin"/>
            </w:r>
            <w:r w:rsidR="00470689">
              <w:rPr>
                <w:noProof/>
                <w:webHidden/>
              </w:rPr>
              <w:instrText xml:space="preserve"> PAGEREF _Toc168043249 \h </w:instrText>
            </w:r>
            <w:r w:rsidR="00470689">
              <w:rPr>
                <w:noProof/>
                <w:webHidden/>
              </w:rPr>
            </w:r>
            <w:r w:rsidR="00470689">
              <w:rPr>
                <w:noProof/>
                <w:webHidden/>
              </w:rPr>
              <w:fldChar w:fldCharType="separate"/>
            </w:r>
            <w:r w:rsidR="00232428">
              <w:rPr>
                <w:noProof/>
                <w:webHidden/>
              </w:rPr>
              <w:t>21</w:t>
            </w:r>
            <w:r w:rsidR="00470689">
              <w:rPr>
                <w:noProof/>
                <w:webHidden/>
              </w:rPr>
              <w:fldChar w:fldCharType="end"/>
            </w:r>
          </w:hyperlink>
        </w:p>
        <w:p w14:paraId="35F82E41" w14:textId="1B345040" w:rsidR="00470689" w:rsidRDefault="00000000">
          <w:pPr>
            <w:pStyle w:val="TOC1"/>
            <w:rPr>
              <w:rFonts w:asciiTheme="minorHAnsi" w:eastAsiaTheme="minorEastAsia" w:hAnsiTheme="minorHAnsi" w:cstheme="minorBidi"/>
              <w:noProof/>
              <w:kern w:val="2"/>
              <w:sz w:val="22"/>
              <w:szCs w:val="22"/>
              <w:lang w:eastAsia="en-AU"/>
              <w14:ligatures w14:val="standardContextual"/>
            </w:rPr>
          </w:pPr>
          <w:hyperlink w:anchor="_Toc168043250" w:history="1">
            <w:r w:rsidR="00470689" w:rsidRPr="00A53A8B">
              <w:rPr>
                <w:rStyle w:val="Hyperlink"/>
                <w:noProof/>
              </w:rPr>
              <w:t>Glossary</w:t>
            </w:r>
            <w:r w:rsidR="00470689">
              <w:rPr>
                <w:noProof/>
                <w:webHidden/>
              </w:rPr>
              <w:tab/>
            </w:r>
            <w:r w:rsidR="00470689">
              <w:rPr>
                <w:noProof/>
                <w:webHidden/>
              </w:rPr>
              <w:fldChar w:fldCharType="begin"/>
            </w:r>
            <w:r w:rsidR="00470689">
              <w:rPr>
                <w:noProof/>
                <w:webHidden/>
              </w:rPr>
              <w:instrText xml:space="preserve"> PAGEREF _Toc168043250 \h </w:instrText>
            </w:r>
            <w:r w:rsidR="00470689">
              <w:rPr>
                <w:noProof/>
                <w:webHidden/>
              </w:rPr>
            </w:r>
            <w:r w:rsidR="00470689">
              <w:rPr>
                <w:noProof/>
                <w:webHidden/>
              </w:rPr>
              <w:fldChar w:fldCharType="separate"/>
            </w:r>
            <w:r w:rsidR="00232428">
              <w:rPr>
                <w:noProof/>
                <w:webHidden/>
              </w:rPr>
              <w:t>23</w:t>
            </w:r>
            <w:r w:rsidR="00470689">
              <w:rPr>
                <w:noProof/>
                <w:webHidden/>
              </w:rPr>
              <w:fldChar w:fldCharType="end"/>
            </w:r>
          </w:hyperlink>
        </w:p>
        <w:p w14:paraId="61E8BF54" w14:textId="0D13370D" w:rsidR="00CF14A6" w:rsidRDefault="002F323A" w:rsidP="00CE201D">
          <w:pPr>
            <w:sectPr w:rsidR="00CF14A6" w:rsidSect="001413B5">
              <w:headerReference w:type="even" r:id="rId17"/>
              <w:headerReference w:type="default" r:id="rId18"/>
              <w:footerReference w:type="even" r:id="rId19"/>
              <w:footerReference w:type="default" r:id="rId20"/>
              <w:headerReference w:type="first" r:id="rId21"/>
              <w:footerReference w:type="first" r:id="rId22"/>
              <w:pgSz w:w="11906" w:h="16838" w:code="9"/>
              <w:pgMar w:top="1701" w:right="1418" w:bottom="1418" w:left="1418" w:header="709" w:footer="567" w:gutter="0"/>
              <w:pgNumType w:fmt="lowerRoman" w:start="1"/>
              <w:cols w:space="708"/>
              <w:docGrid w:linePitch="360"/>
            </w:sectPr>
          </w:pPr>
          <w:r>
            <w:rPr>
              <w:b/>
              <w:bCs/>
              <w:noProof/>
            </w:rPr>
            <w:fldChar w:fldCharType="end"/>
          </w:r>
        </w:p>
      </w:sdtContent>
    </w:sdt>
    <w:p w14:paraId="6380C8E4" w14:textId="77777777" w:rsidR="00C6705E" w:rsidRDefault="00C6705E" w:rsidP="00CE3E77">
      <w:pPr>
        <w:pStyle w:val="Heading1"/>
        <w:sectPr w:rsidR="00C6705E" w:rsidSect="001413B5">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01" w:right="1418" w:bottom="1418" w:left="1418" w:header="709" w:footer="567" w:gutter="0"/>
          <w:cols w:space="708"/>
          <w:docGrid w:linePitch="360"/>
        </w:sectPr>
      </w:pPr>
    </w:p>
    <w:p w14:paraId="09FDECF0" w14:textId="5B9208D3" w:rsidR="006645F3" w:rsidRPr="00A15524" w:rsidRDefault="00F0074F" w:rsidP="00A15524">
      <w:pPr>
        <w:pStyle w:val="Heading1"/>
      </w:pPr>
      <w:bookmarkStart w:id="1" w:name="_Toc168043230"/>
      <w:r>
        <w:lastRenderedPageBreak/>
        <w:t>Overview</w:t>
      </w:r>
      <w:bookmarkEnd w:id="1"/>
    </w:p>
    <w:p w14:paraId="777BD505" w14:textId="77777777" w:rsidR="00620D01" w:rsidRDefault="00620D01" w:rsidP="00A15524">
      <w:r w:rsidRPr="009B51D2">
        <w:t>Early to Mid-</w:t>
      </w:r>
      <w:r w:rsidRPr="00A15524">
        <w:t>Career</w:t>
      </w:r>
      <w:r w:rsidRPr="009B51D2">
        <w:t xml:space="preserve"> Researchers (EMCR) are researchers in the first 10 years of employment since completing </w:t>
      </w:r>
      <w:r>
        <w:t>post-doctoral</w:t>
      </w:r>
      <w:r w:rsidRPr="009B51D2">
        <w:t xml:space="preserve"> research training. The</w:t>
      </w:r>
      <w:r w:rsidRPr="00B95348">
        <w:t xml:space="preserve"> Medical Research Future Fund (MRFF)</w:t>
      </w:r>
      <w:r w:rsidRPr="009B51D2">
        <w:t xml:space="preserve"> </w:t>
      </w:r>
      <w:hyperlink r:id="rId29">
        <w:r w:rsidRPr="6327227D">
          <w:rPr>
            <w:rStyle w:val="Hyperlink"/>
            <w:sz w:val="22"/>
            <w:szCs w:val="22"/>
          </w:rPr>
          <w:t>Early to Mid-Career Researchers initiative</w:t>
        </w:r>
      </w:hyperlink>
      <w:r w:rsidRPr="009B51D2">
        <w:t xml:space="preserve"> will invest $384.2 million over 10 years from 2022</w:t>
      </w:r>
      <w:r>
        <w:noBreakHyphen/>
      </w:r>
      <w:r w:rsidRPr="009B51D2">
        <w:t xml:space="preserve">23 in EMCRs. The EMCR initiative will address the </w:t>
      </w:r>
      <w:r w:rsidRPr="6327227D">
        <w:t>needs</w:t>
      </w:r>
      <w:r w:rsidRPr="009B51D2">
        <w:t xml:space="preserve"> of emerging leaders by providing targeted funding that enables EMCRs to lead research projects as named investigators.</w:t>
      </w:r>
    </w:p>
    <w:p w14:paraId="3E32FC79" w14:textId="2C5E2E6C" w:rsidR="00681C06" w:rsidRPr="00A15524" w:rsidRDefault="00681C06" w:rsidP="00A15524">
      <w:r w:rsidRPr="00A15524">
        <w:t xml:space="preserve">The Early to Mid-Career Researchers </w:t>
      </w:r>
      <w:r w:rsidR="00F01FA1" w:rsidRPr="00A15524">
        <w:t>i</w:t>
      </w:r>
      <w:r w:rsidRPr="00A15524">
        <w:t xml:space="preserve">nitiative aims to enable or support emerging researcher leaders to: </w:t>
      </w:r>
    </w:p>
    <w:p w14:paraId="450C804E" w14:textId="77777777" w:rsidR="00681C06" w:rsidRPr="000E54E6" w:rsidRDefault="00681C06" w:rsidP="00A15524">
      <w:pPr>
        <w:pStyle w:val="ListBullet"/>
      </w:pPr>
      <w:r w:rsidRPr="000E54E6">
        <w:t>make breakthrough discoveries, develop their skills, and progress their careers in Australia, and</w:t>
      </w:r>
    </w:p>
    <w:p w14:paraId="0BA2FBB8" w14:textId="0C3A7710" w:rsidR="00681C06" w:rsidRPr="000E54E6" w:rsidRDefault="00681C06" w:rsidP="00A15524">
      <w:pPr>
        <w:pStyle w:val="ListBullet"/>
      </w:pPr>
      <w:r w:rsidRPr="000E54E6">
        <w:t>address intractable health issues and/or accelerate research translation with the potential to transform health care and/or health systems.</w:t>
      </w:r>
    </w:p>
    <w:p w14:paraId="6EE4E22C" w14:textId="77777777" w:rsidR="000E54E6" w:rsidRPr="00A15524" w:rsidRDefault="000E54E6" w:rsidP="00A15524">
      <w:r w:rsidRPr="00A15524">
        <w:t>There are 3 streams within this initiative:</w:t>
      </w:r>
    </w:p>
    <w:p w14:paraId="5DC59C9B" w14:textId="77777777" w:rsidR="000E54E6" w:rsidRPr="000E54E6" w:rsidRDefault="000E54E6" w:rsidP="00A15524">
      <w:pPr>
        <w:pStyle w:val="ListBullet"/>
      </w:pPr>
      <w:r w:rsidRPr="000E54E6">
        <w:t>$84 million for early career researchers to develop and test novel solutions for challenging health issues. The incubator grants model will support early-stage small-scale research projects.</w:t>
      </w:r>
    </w:p>
    <w:p w14:paraId="0115D26F" w14:textId="77777777" w:rsidR="000E54E6" w:rsidRPr="000E54E6" w:rsidRDefault="000E54E6" w:rsidP="00A15524">
      <w:pPr>
        <w:pStyle w:val="ListBullet"/>
      </w:pPr>
      <w:r w:rsidRPr="000E54E6">
        <w:t>$206 million for mid-career researchers to lead large interdisciplinary teams to drive improvements in health care and/or the health system. The accelerator grants model will fund large-scale programs of work.</w:t>
      </w:r>
    </w:p>
    <w:p w14:paraId="3D36A3EC" w14:textId="77777777" w:rsidR="000E54E6" w:rsidRPr="000E54E6" w:rsidRDefault="000E54E6" w:rsidP="00A15524">
      <w:pPr>
        <w:pStyle w:val="ListBullet"/>
      </w:pPr>
      <w:r w:rsidRPr="000E54E6">
        <w:t>$95 million for EMCRs to lead co-funded projects that will accelerate the translation of research outcomes. The targeted call for research model will support research-industry collaboration and translation into practice.</w:t>
      </w:r>
    </w:p>
    <w:p w14:paraId="24C15EAB" w14:textId="027A8922" w:rsidR="000306BA" w:rsidRPr="00A15524" w:rsidRDefault="00C526B8" w:rsidP="00361E69">
      <w:r w:rsidRPr="00A15524">
        <w:t xml:space="preserve">Under the </w:t>
      </w:r>
      <w:hyperlink r:id="rId30" w:history="1">
        <w:r w:rsidRPr="00CB0678">
          <w:rPr>
            <w:rStyle w:val="Hyperlink"/>
            <w:sz w:val="22"/>
            <w:szCs w:val="22"/>
          </w:rPr>
          <w:t>MRFF Monitoring,</w:t>
        </w:r>
        <w:r>
          <w:rPr>
            <w:rStyle w:val="Hyperlink"/>
            <w:sz w:val="22"/>
            <w:szCs w:val="22"/>
          </w:rPr>
          <w:t xml:space="preserve"> </w:t>
        </w:r>
        <w:r w:rsidRPr="00CB0678">
          <w:rPr>
            <w:rStyle w:val="Hyperlink"/>
            <w:sz w:val="22"/>
            <w:szCs w:val="22"/>
          </w:rPr>
          <w:t>Evaluation and Learning Strategy 2020-21 to 2023-24</w:t>
        </w:r>
      </w:hyperlink>
      <w:r w:rsidRPr="00A15524">
        <w:t>, t</w:t>
      </w:r>
      <w:r w:rsidR="00CE67FF" w:rsidRPr="00A15524">
        <w:t>he department is committed to providing annual reports</w:t>
      </w:r>
      <w:r w:rsidR="00833785" w:rsidRPr="00A15524">
        <w:t xml:space="preserve"> detailing the outcomes of the EMCR initiative.</w:t>
      </w:r>
      <w:r w:rsidR="00C6705E" w:rsidRPr="00A15524">
        <w:t xml:space="preserve"> </w:t>
      </w:r>
      <w:r w:rsidR="000306BA" w:rsidRPr="00A15524">
        <w:t xml:space="preserve">Further details about the </w:t>
      </w:r>
      <w:r w:rsidR="00F76DAE" w:rsidRPr="00A15524">
        <w:t xml:space="preserve">EMCR initiative </w:t>
      </w:r>
      <w:r w:rsidR="00617625" w:rsidRPr="00A15524">
        <w:t>are</w:t>
      </w:r>
      <w:r w:rsidR="00F76DAE" w:rsidRPr="00A15524">
        <w:t xml:space="preserve"> provided in Appendix B.</w:t>
      </w:r>
    </w:p>
    <w:p w14:paraId="5C34C134" w14:textId="05E40DA3" w:rsidR="000E54E6" w:rsidRPr="00A15524" w:rsidRDefault="005E68E2" w:rsidP="00A15524">
      <w:pPr>
        <w:pStyle w:val="Heading2"/>
      </w:pPr>
      <w:r w:rsidRPr="00A15524">
        <w:t xml:space="preserve">2021 </w:t>
      </w:r>
      <w:r w:rsidR="00505184" w:rsidRPr="00A15524">
        <w:t>Early to Mid-Career Researchers Grant Opportunity</w:t>
      </w:r>
    </w:p>
    <w:p w14:paraId="54CE9DD4" w14:textId="317C59CC" w:rsidR="00A540AB" w:rsidRPr="00361E69" w:rsidRDefault="0081625C" w:rsidP="00361E69">
      <w:r w:rsidRPr="00361E69">
        <w:t xml:space="preserve">The first grant opportunity opened under the EMCR initiative was the </w:t>
      </w:r>
      <w:hyperlink r:id="rId31" w:history="1">
        <w:r w:rsidRPr="00361E69">
          <w:rPr>
            <w:rStyle w:val="Hyperlink"/>
          </w:rPr>
          <w:t>2021 Early to Mid</w:t>
        </w:r>
        <w:r w:rsidRPr="00361E69">
          <w:rPr>
            <w:rStyle w:val="Hyperlink"/>
          </w:rPr>
          <w:noBreakHyphen/>
          <w:t>Career Researchers Grant Opportunity</w:t>
        </w:r>
      </w:hyperlink>
      <w:r w:rsidRPr="00361E69">
        <w:t xml:space="preserve">, which opened on 20 December 2021 and closed on 20 July 2022. A total of 23 grants </w:t>
      </w:r>
      <w:r w:rsidR="00D06282" w:rsidRPr="00361E69">
        <w:t>w</w:t>
      </w:r>
      <w:r w:rsidR="00742B29" w:rsidRPr="00361E69">
        <w:t>as</w:t>
      </w:r>
      <w:r w:rsidRPr="00361E69">
        <w:t xml:space="preserve"> awarded to a combined value of $42.8</w:t>
      </w:r>
      <w:r w:rsidR="00223BB4" w:rsidRPr="00361E69">
        <w:t xml:space="preserve"> million</w:t>
      </w:r>
      <w:r w:rsidR="00733CE3" w:rsidRPr="00361E69">
        <w:t>. A report on the outcomes of the grant opportunity was</w:t>
      </w:r>
      <w:r w:rsidR="00A540AB" w:rsidRPr="00361E69">
        <w:t xml:space="preserve"> released on 3 April 2023</w:t>
      </w:r>
      <w:r w:rsidR="005446EE" w:rsidRPr="00361E69">
        <w:t xml:space="preserve"> based on data </w:t>
      </w:r>
      <w:r w:rsidR="00A540AB" w:rsidRPr="00361E69">
        <w:t xml:space="preserve">available up to </w:t>
      </w:r>
      <w:r w:rsidR="00BF2796" w:rsidRPr="00361E69">
        <w:t>8</w:t>
      </w:r>
      <w:r w:rsidR="009F795A" w:rsidRPr="00361E69">
        <w:t xml:space="preserve"> March 2023.</w:t>
      </w:r>
      <w:r w:rsidR="00A540AB" w:rsidRPr="00361E69">
        <w:t xml:space="preserve"> The key findings of the report </w:t>
      </w:r>
      <w:r w:rsidR="00744CB4" w:rsidRPr="00361E69">
        <w:t>included</w:t>
      </w:r>
      <w:r w:rsidR="00A540AB" w:rsidRPr="00361E69">
        <w:t>:</w:t>
      </w:r>
    </w:p>
    <w:p w14:paraId="6109DF6A" w14:textId="77777777" w:rsidR="00A540AB" w:rsidRDefault="00A540AB" w:rsidP="00A15524">
      <w:pPr>
        <w:pStyle w:val="ListBullet"/>
      </w:pPr>
      <w:r>
        <w:t xml:space="preserve">Overall, the grant opportunity was highly subscribed and received a larger than anticipated number of applications. </w:t>
      </w:r>
    </w:p>
    <w:p w14:paraId="52CCC33E" w14:textId="7F799F6C" w:rsidR="00A540AB" w:rsidRDefault="00CC0A8D" w:rsidP="00A15524">
      <w:pPr>
        <w:pStyle w:val="ListBullet"/>
      </w:pPr>
      <w:r>
        <w:t>F</w:t>
      </w:r>
      <w:r w:rsidR="00A540AB">
        <w:t>unding rates for the grant opportunity were low due to the high application numbers.</w:t>
      </w:r>
    </w:p>
    <w:p w14:paraId="146B0448" w14:textId="49280870" w:rsidR="00A540AB" w:rsidRDefault="007700DF" w:rsidP="00A15524">
      <w:pPr>
        <w:pStyle w:val="ListBullet"/>
      </w:pPr>
      <w:r>
        <w:t>F</w:t>
      </w:r>
      <w:r w:rsidR="00A540AB">
        <w:t>emale CIAs were awarded a higher proportion of grants and funding than male CIAs.</w:t>
      </w:r>
    </w:p>
    <w:p w14:paraId="7785CAE1" w14:textId="40D5E604" w:rsidR="00A540AB" w:rsidRDefault="00A540AB" w:rsidP="00A15524">
      <w:pPr>
        <w:pStyle w:val="ListBullet"/>
      </w:pPr>
      <w:r>
        <w:t>The largest number of grants was awarded to individuals who had completed their PhDs less than 5 years ago</w:t>
      </w:r>
      <w:r w:rsidR="00A20D2B">
        <w:t>.</w:t>
      </w:r>
    </w:p>
    <w:p w14:paraId="62C5148B" w14:textId="68E5F1EE" w:rsidR="00A540AB" w:rsidRDefault="00A540AB" w:rsidP="00A15524">
      <w:pPr>
        <w:pStyle w:val="ListBullet"/>
      </w:pPr>
      <w:r>
        <w:t>Over 80% of CIs who received funding had completed their PhDs less than 11 years ago</w:t>
      </w:r>
      <w:r w:rsidR="00A20D2B">
        <w:t>.</w:t>
      </w:r>
    </w:p>
    <w:p w14:paraId="3DB20D9C" w14:textId="77777777" w:rsidR="00A540AB" w:rsidRDefault="00A540AB" w:rsidP="00A15524">
      <w:pPr>
        <w:pStyle w:val="ListBullet"/>
      </w:pPr>
      <w:r>
        <w:t>The research areas of Clinical Medicine and Science Research represented over half of the proportion of funding awarded.</w:t>
      </w:r>
    </w:p>
    <w:p w14:paraId="1C67E108" w14:textId="2CE58322" w:rsidR="005E68E2" w:rsidRPr="00A15524" w:rsidRDefault="005E68E2" w:rsidP="00A15524">
      <w:pPr>
        <w:pStyle w:val="Heading2"/>
      </w:pPr>
      <w:r w:rsidRPr="00A15524">
        <w:t xml:space="preserve">2023 </w:t>
      </w:r>
      <w:r w:rsidR="00505184" w:rsidRPr="00A15524">
        <w:t>Early to Mid-Career Researchers Grant Opportunity</w:t>
      </w:r>
    </w:p>
    <w:p w14:paraId="4A8B2D56" w14:textId="4AF78528" w:rsidR="00AA5705" w:rsidRPr="00A15524" w:rsidRDefault="007700DF" w:rsidP="00FE7BC7">
      <w:pPr>
        <w:jc w:val="both"/>
      </w:pPr>
      <w:r w:rsidRPr="00A15524">
        <w:t xml:space="preserve">The second grant opportunity </w:t>
      </w:r>
      <w:r w:rsidR="00F2069B" w:rsidRPr="00A15524">
        <w:t xml:space="preserve">under the EMCR initiative </w:t>
      </w:r>
      <w:r w:rsidRPr="00A15524">
        <w:t xml:space="preserve">was the </w:t>
      </w:r>
      <w:hyperlink r:id="rId32" w:history="1">
        <w:r w:rsidRPr="00EF7E0F">
          <w:rPr>
            <w:rStyle w:val="Hyperlink"/>
            <w:sz w:val="22"/>
            <w:szCs w:val="22"/>
          </w:rPr>
          <w:t>2023 Early to Mid-Career Researchers Grant Opportunity</w:t>
        </w:r>
      </w:hyperlink>
      <w:r w:rsidRPr="00A15524">
        <w:t xml:space="preserve">, which opened on 15 February 2023 and closed on 21 June 2023. </w:t>
      </w:r>
      <w:r w:rsidRPr="00A15524">
        <w:lastRenderedPageBreak/>
        <w:t xml:space="preserve">A total of 25 grants </w:t>
      </w:r>
      <w:r w:rsidR="00241660" w:rsidRPr="00A15524">
        <w:t>was</w:t>
      </w:r>
      <w:r w:rsidRPr="00A15524">
        <w:t xml:space="preserve"> awarded with a combined value of $42.3 million. </w:t>
      </w:r>
      <w:r w:rsidR="00EE5133" w:rsidRPr="00A15524">
        <w:t xml:space="preserve">This </w:t>
      </w:r>
      <w:r w:rsidR="008C0B38" w:rsidRPr="00A15524">
        <w:t xml:space="preserve">current </w:t>
      </w:r>
      <w:r w:rsidR="00EE5133" w:rsidRPr="00A15524">
        <w:t xml:space="preserve">report is the second to provide an overview of applicant data for the </w:t>
      </w:r>
      <w:r w:rsidR="00FB1347" w:rsidRPr="00A15524">
        <w:t>EMCR g</w:t>
      </w:r>
      <w:r w:rsidR="00EE5133" w:rsidRPr="00A15524">
        <w:t xml:space="preserve">rant </w:t>
      </w:r>
      <w:r w:rsidR="00FB1347" w:rsidRPr="00A15524">
        <w:t>o</w:t>
      </w:r>
      <w:r w:rsidR="00EE5133" w:rsidRPr="00A15524">
        <w:t>pportunities</w:t>
      </w:r>
      <w:r w:rsidR="00AA5705" w:rsidRPr="00A15524">
        <w:t>, and covers the same topics as the previous report</w:t>
      </w:r>
      <w:r w:rsidR="00BE7838" w:rsidRPr="00A15524">
        <w:t xml:space="preserve">, using </w:t>
      </w:r>
      <w:r w:rsidR="00AA5705" w:rsidRPr="00A15524">
        <w:t xml:space="preserve">data available </w:t>
      </w:r>
      <w:r w:rsidR="00BE7838" w:rsidRPr="00A15524">
        <w:t xml:space="preserve">as at </w:t>
      </w:r>
      <w:r w:rsidR="00AA5705" w:rsidRPr="00A15524">
        <w:t>January 2024.</w:t>
      </w:r>
    </w:p>
    <w:p w14:paraId="30F0061D" w14:textId="65DBD44C" w:rsidR="00F54C92" w:rsidRPr="00A15524" w:rsidRDefault="00233540" w:rsidP="00A15524">
      <w:pPr>
        <w:pStyle w:val="Heading2"/>
      </w:pPr>
      <w:r w:rsidRPr="00A15524">
        <w:t>Enhancements</w:t>
      </w:r>
    </w:p>
    <w:p w14:paraId="22306EF0" w14:textId="4271587A" w:rsidR="0094645E" w:rsidRPr="00CD59E2" w:rsidRDefault="006F2471" w:rsidP="00CD59E2">
      <w:r w:rsidRPr="00CD59E2">
        <w:t>Relative</w:t>
      </w:r>
      <w:r w:rsidR="009C7696" w:rsidRPr="00CD59E2">
        <w:t xml:space="preserve"> to the 2021 grant opportunity</w:t>
      </w:r>
      <w:r w:rsidRPr="00CD59E2">
        <w:t xml:space="preserve">, </w:t>
      </w:r>
      <w:r w:rsidR="00956B1B" w:rsidRPr="00CD59E2">
        <w:t>S</w:t>
      </w:r>
      <w:r w:rsidR="003F2E94" w:rsidRPr="00CD59E2">
        <w:t>treams</w:t>
      </w:r>
      <w:r w:rsidR="009C7696" w:rsidRPr="00CD59E2">
        <w:t xml:space="preserve"> 1 and 2 were adjusted to focus specifically on research that benefit</w:t>
      </w:r>
      <w:r w:rsidR="00147DFF" w:rsidRPr="00CD59E2">
        <w:t>s</w:t>
      </w:r>
      <w:r w:rsidR="009C7696" w:rsidRPr="00CD59E2">
        <w:t xml:space="preserve"> </w:t>
      </w:r>
      <w:hyperlink r:id="rId33" w:anchor=":~:text=The%20current%20MRFF%20priorities%20are%3A%20consumer-driven%20research%20research,research%20health%20and%20medical%20researcher%20capacity%20and%20capability" w:history="1">
        <w:r w:rsidR="00B75907" w:rsidRPr="00CD59E2">
          <w:rPr>
            <w:rStyle w:val="Hyperlink"/>
          </w:rPr>
          <w:t>P</w:t>
        </w:r>
        <w:r w:rsidR="009C7696" w:rsidRPr="00CD59E2">
          <w:rPr>
            <w:rStyle w:val="Hyperlink"/>
          </w:rPr>
          <w:t xml:space="preserve">riority </w:t>
        </w:r>
        <w:r w:rsidR="00B75907" w:rsidRPr="00CD59E2">
          <w:rPr>
            <w:rStyle w:val="Hyperlink"/>
          </w:rPr>
          <w:t>Po</w:t>
        </w:r>
        <w:r w:rsidR="009C7696" w:rsidRPr="00CD59E2">
          <w:rPr>
            <w:rStyle w:val="Hyperlink"/>
          </w:rPr>
          <w:t>pulation</w:t>
        </w:r>
        <w:r w:rsidR="00C660AE" w:rsidRPr="00CD59E2">
          <w:rPr>
            <w:rStyle w:val="Hyperlink"/>
          </w:rPr>
          <w:t>s</w:t>
        </w:r>
      </w:hyperlink>
      <w:r w:rsidR="00F23DF6" w:rsidRPr="00CD59E2">
        <w:footnoteReference w:id="2"/>
      </w:r>
      <w:r w:rsidR="00410CD3" w:rsidRPr="00CD59E2">
        <w:t>,</w:t>
      </w:r>
      <w:r w:rsidR="00B75907" w:rsidRPr="00CD59E2" w:rsidDel="00410CD3">
        <w:t xml:space="preserve"> </w:t>
      </w:r>
      <w:r w:rsidR="0084300E" w:rsidRPr="00CD59E2">
        <w:t>align</w:t>
      </w:r>
      <w:r w:rsidR="00410CD3" w:rsidRPr="00CD59E2">
        <w:t>ing</w:t>
      </w:r>
      <w:r w:rsidR="0084300E" w:rsidRPr="00CD59E2">
        <w:t xml:space="preserve"> with </w:t>
      </w:r>
      <w:r w:rsidR="0011031A" w:rsidRPr="00CD59E2">
        <w:t xml:space="preserve">the Australian Medical Research and Innovation Priorities </w:t>
      </w:r>
      <w:r w:rsidR="00410CD3" w:rsidRPr="00CD59E2">
        <w:t>2022-2024</w:t>
      </w:r>
      <w:r w:rsidRPr="00CD59E2">
        <w:t>. T</w:t>
      </w:r>
      <w:r w:rsidR="00B75907" w:rsidRPr="00CD59E2">
        <w:t xml:space="preserve">he change was intended to </w:t>
      </w:r>
      <w:r w:rsidR="00C4305C" w:rsidRPr="00CD59E2">
        <w:t>support mobilisation of the EMCR workforce to address inequalities in health research outcomes across the research landscap</w:t>
      </w:r>
      <w:r w:rsidR="0094645E" w:rsidRPr="00CD59E2">
        <w:t>e</w:t>
      </w:r>
      <w:r w:rsidR="00C27F05" w:rsidRPr="00CD59E2">
        <w:t>.</w:t>
      </w:r>
    </w:p>
    <w:p w14:paraId="78C6DA0D" w14:textId="062D4789" w:rsidR="006645F3" w:rsidRPr="00A15524" w:rsidRDefault="00DA7FCB" w:rsidP="00A15524">
      <w:pPr>
        <w:pStyle w:val="Heading2"/>
      </w:pPr>
      <w:r w:rsidRPr="00A15524">
        <w:t>O</w:t>
      </w:r>
      <w:r w:rsidR="00023503" w:rsidRPr="00A15524">
        <w:t>bjective</w:t>
      </w:r>
      <w:r w:rsidR="00972FAA" w:rsidRPr="00A15524">
        <w:t>s and funding available</w:t>
      </w:r>
    </w:p>
    <w:p w14:paraId="7FA81C14" w14:textId="29494050" w:rsidR="00145230" w:rsidRPr="00CD59E2" w:rsidRDefault="006645F3" w:rsidP="00CD59E2">
      <w:bookmarkStart w:id="2" w:name="_Hlk129547022"/>
      <w:r w:rsidRPr="00CD59E2">
        <w:t xml:space="preserve">Consistent with the </w:t>
      </w:r>
      <w:r w:rsidRPr="00361E69">
        <w:rPr>
          <w:rStyle w:val="Emphasis"/>
        </w:rPr>
        <w:t>Medical Research Future Fund Act 2015</w:t>
      </w:r>
      <w:r w:rsidRPr="00CD59E2">
        <w:t xml:space="preserve">, the objective of </w:t>
      </w:r>
      <w:r w:rsidR="00023503" w:rsidRPr="00CD59E2">
        <w:t xml:space="preserve">the EMCR </w:t>
      </w:r>
      <w:r w:rsidRPr="00CD59E2">
        <w:t>grant opportunity is to provide grants of financial assistance to support Australian medical research and medical innovation projects</w:t>
      </w:r>
      <w:r w:rsidR="00C41F9E" w:rsidRPr="00CD59E2">
        <w:t>.</w:t>
      </w:r>
    </w:p>
    <w:tbl>
      <w:tblPr>
        <w:tblStyle w:val="DepartmentofHealthtable"/>
        <w:tblW w:w="0" w:type="auto"/>
        <w:tblLook w:val="0420" w:firstRow="1" w:lastRow="0" w:firstColumn="0" w:lastColumn="0" w:noHBand="0" w:noVBand="1"/>
      </w:tblPr>
      <w:tblGrid>
        <w:gridCol w:w="1428"/>
        <w:gridCol w:w="3568"/>
        <w:gridCol w:w="1003"/>
        <w:gridCol w:w="1980"/>
        <w:gridCol w:w="1081"/>
      </w:tblGrid>
      <w:tr w:rsidR="00361E69" w:rsidRPr="00361E69" w14:paraId="627C8FD3" w14:textId="77777777" w:rsidTr="00361E69">
        <w:trPr>
          <w:cnfStyle w:val="100000000000" w:firstRow="1" w:lastRow="0" w:firstColumn="0" w:lastColumn="0" w:oddVBand="0" w:evenVBand="0" w:oddHBand="0" w:evenHBand="0" w:firstRowFirstColumn="0" w:firstRowLastColumn="0" w:lastRowFirstColumn="0" w:lastRowLastColumn="0"/>
        </w:trPr>
        <w:tc>
          <w:tcPr>
            <w:tcW w:w="0" w:type="auto"/>
          </w:tcPr>
          <w:p w14:paraId="406110B2" w14:textId="50600E01" w:rsidR="001413B5" w:rsidRPr="00361E69" w:rsidRDefault="001413B5" w:rsidP="00361E69">
            <w:pPr>
              <w:pStyle w:val="StyleTableHeaderWhite"/>
            </w:pPr>
            <w:r w:rsidRPr="00361E69">
              <w:t>Stream</w:t>
            </w:r>
          </w:p>
        </w:tc>
        <w:tc>
          <w:tcPr>
            <w:tcW w:w="0" w:type="auto"/>
          </w:tcPr>
          <w:p w14:paraId="66CA4BB6" w14:textId="10062497" w:rsidR="001413B5" w:rsidRPr="00361E69" w:rsidRDefault="001413B5" w:rsidP="00361E69">
            <w:pPr>
              <w:pStyle w:val="StyleTableHeaderWhite"/>
            </w:pPr>
            <w:r w:rsidRPr="00361E69">
              <w:t>Objective</w:t>
            </w:r>
          </w:p>
        </w:tc>
        <w:tc>
          <w:tcPr>
            <w:tcW w:w="0" w:type="auto"/>
          </w:tcPr>
          <w:p w14:paraId="79C77728" w14:textId="56B681BB" w:rsidR="001413B5" w:rsidRPr="00361E69" w:rsidRDefault="001413B5" w:rsidP="00361E69">
            <w:pPr>
              <w:pStyle w:val="StyleTableHeaderWhite"/>
            </w:pPr>
            <w:r w:rsidRPr="00361E69">
              <w:t>Duration</w:t>
            </w:r>
          </w:p>
        </w:tc>
        <w:tc>
          <w:tcPr>
            <w:tcW w:w="0" w:type="auto"/>
          </w:tcPr>
          <w:p w14:paraId="743324E7" w14:textId="329BCAB6" w:rsidR="001413B5" w:rsidRPr="00361E69" w:rsidRDefault="001413B5" w:rsidP="00361E69">
            <w:pPr>
              <w:pStyle w:val="StyleTableHeaderWhite"/>
            </w:pPr>
            <w:r w:rsidRPr="00361E69">
              <w:t>Grant size</w:t>
            </w:r>
          </w:p>
        </w:tc>
        <w:tc>
          <w:tcPr>
            <w:tcW w:w="0" w:type="auto"/>
          </w:tcPr>
          <w:p w14:paraId="691B96FE" w14:textId="1DBC718D" w:rsidR="001413B5" w:rsidRPr="00361E69" w:rsidRDefault="001413B5" w:rsidP="00361E69">
            <w:pPr>
              <w:pStyle w:val="StyleTableHeaderWhite"/>
            </w:pPr>
            <w:r w:rsidRPr="00361E69">
              <w:t>Funding available in 2023</w:t>
            </w:r>
          </w:p>
        </w:tc>
      </w:tr>
      <w:tr w:rsidR="001413B5" w:rsidRPr="00B309D7" w14:paraId="629A74CF" w14:textId="77777777" w:rsidTr="00361E69">
        <w:trPr>
          <w:cnfStyle w:val="000000100000" w:firstRow="0" w:lastRow="0" w:firstColumn="0" w:lastColumn="0" w:oddVBand="0" w:evenVBand="0" w:oddHBand="1" w:evenHBand="0" w:firstRowFirstColumn="0" w:firstRowLastColumn="0" w:lastRowFirstColumn="0" w:lastRowLastColumn="0"/>
        </w:trPr>
        <w:tc>
          <w:tcPr>
            <w:tcW w:w="0" w:type="auto"/>
          </w:tcPr>
          <w:p w14:paraId="5FA66DAA" w14:textId="20282A66" w:rsidR="001413B5" w:rsidRPr="00B309D7" w:rsidRDefault="001413B5" w:rsidP="00361E69">
            <w:pPr>
              <w:pStyle w:val="Tabletextleft"/>
            </w:pPr>
            <w:r w:rsidRPr="00B309D7">
              <w:t>Stream 1 (</w:t>
            </w:r>
            <w:hyperlink r:id="rId34" w:history="1">
              <w:r w:rsidRPr="00B309D7">
                <w:rPr>
                  <w:rStyle w:val="Hyperlink"/>
                </w:rPr>
                <w:t>Incubator</w:t>
              </w:r>
            </w:hyperlink>
            <w:r w:rsidRPr="00B309D7">
              <w:t>)</w:t>
            </w:r>
          </w:p>
        </w:tc>
        <w:tc>
          <w:tcPr>
            <w:tcW w:w="0" w:type="auto"/>
          </w:tcPr>
          <w:p w14:paraId="0EC9EEB3" w14:textId="3FEF4174" w:rsidR="001413B5" w:rsidRPr="00B309D7" w:rsidRDefault="001413B5" w:rsidP="00361E69">
            <w:pPr>
              <w:pStyle w:val="Tabletextleft"/>
            </w:pPr>
            <w:r w:rsidRPr="00B309D7">
              <w:t>To conduct early stage, small scale research, led by early-career researchers, that seeks to assess the potential and feasibility of novel strategies to address a critical or intractable health issue in one or more Priority Populations</w:t>
            </w:r>
          </w:p>
        </w:tc>
        <w:tc>
          <w:tcPr>
            <w:tcW w:w="0" w:type="auto"/>
          </w:tcPr>
          <w:p w14:paraId="73D6F7A1" w14:textId="58AED408" w:rsidR="001413B5" w:rsidRPr="00B309D7" w:rsidRDefault="001413B5" w:rsidP="00361E69">
            <w:pPr>
              <w:pStyle w:val="Tabletextleft"/>
            </w:pPr>
            <w:r w:rsidRPr="00B309D7">
              <w:t>Maximum 2 years</w:t>
            </w:r>
          </w:p>
        </w:tc>
        <w:tc>
          <w:tcPr>
            <w:tcW w:w="0" w:type="auto"/>
          </w:tcPr>
          <w:p w14:paraId="18E6DAF2" w14:textId="46092F64" w:rsidR="001413B5" w:rsidRPr="00B309D7" w:rsidRDefault="001413B5" w:rsidP="00361E69">
            <w:pPr>
              <w:pStyle w:val="Tabletextleft"/>
            </w:pPr>
            <w:r w:rsidRPr="00B309D7">
              <w:t>Between $200,000 and $1M</w:t>
            </w:r>
          </w:p>
        </w:tc>
        <w:tc>
          <w:tcPr>
            <w:tcW w:w="0" w:type="auto"/>
          </w:tcPr>
          <w:p w14:paraId="6B6A2857" w14:textId="696BEC29" w:rsidR="001413B5" w:rsidRPr="00B309D7" w:rsidRDefault="001413B5" w:rsidP="00361E69">
            <w:pPr>
              <w:pStyle w:val="Tabletextleft"/>
            </w:pPr>
            <w:r w:rsidRPr="00B309D7">
              <w:t>$9M*</w:t>
            </w:r>
          </w:p>
        </w:tc>
      </w:tr>
      <w:tr w:rsidR="001413B5" w:rsidRPr="00B309D7" w14:paraId="75D66393" w14:textId="77777777" w:rsidTr="00361E69">
        <w:trPr>
          <w:cnfStyle w:val="000000010000" w:firstRow="0" w:lastRow="0" w:firstColumn="0" w:lastColumn="0" w:oddVBand="0" w:evenVBand="0" w:oddHBand="0" w:evenHBand="1" w:firstRowFirstColumn="0" w:firstRowLastColumn="0" w:lastRowFirstColumn="0" w:lastRowLastColumn="0"/>
        </w:trPr>
        <w:tc>
          <w:tcPr>
            <w:tcW w:w="0" w:type="auto"/>
          </w:tcPr>
          <w:p w14:paraId="5A8015EB" w14:textId="6C4FE31E" w:rsidR="001413B5" w:rsidRPr="00B309D7" w:rsidRDefault="001413B5" w:rsidP="00361E69">
            <w:pPr>
              <w:pStyle w:val="Tabletextleft"/>
            </w:pPr>
            <w:r w:rsidRPr="00B309D7">
              <w:t>Stream 2 (</w:t>
            </w:r>
            <w:hyperlink r:id="rId35" w:history="1">
              <w:r w:rsidRPr="00B309D7">
                <w:rPr>
                  <w:rStyle w:val="Hyperlink"/>
                </w:rPr>
                <w:t>Accelerator</w:t>
              </w:r>
            </w:hyperlink>
            <w:r w:rsidRPr="00B309D7">
              <w:t>)</w:t>
            </w:r>
          </w:p>
        </w:tc>
        <w:tc>
          <w:tcPr>
            <w:tcW w:w="0" w:type="auto"/>
          </w:tcPr>
          <w:p w14:paraId="7ED5C7B6" w14:textId="4FC8EA43" w:rsidR="001413B5" w:rsidRPr="00B309D7" w:rsidRDefault="001413B5" w:rsidP="00361E69">
            <w:pPr>
              <w:pStyle w:val="Tabletextleft"/>
            </w:pPr>
            <w:r w:rsidRPr="00B309D7">
              <w:t>To establish a large-scale interdisciplinary research program, led by mid-career researchers, that drives implementation of substantial improvements to health care and/or health system effectiveness for one or more Priority Populations</w:t>
            </w:r>
          </w:p>
        </w:tc>
        <w:tc>
          <w:tcPr>
            <w:tcW w:w="0" w:type="auto"/>
          </w:tcPr>
          <w:p w14:paraId="6A5B8E2C" w14:textId="69CFE9A0" w:rsidR="001413B5" w:rsidRPr="00B309D7" w:rsidRDefault="001413B5" w:rsidP="00361E69">
            <w:pPr>
              <w:pStyle w:val="Tabletextleft"/>
            </w:pPr>
            <w:r w:rsidRPr="00B309D7">
              <w:t>Maximum 5 years</w:t>
            </w:r>
          </w:p>
        </w:tc>
        <w:tc>
          <w:tcPr>
            <w:tcW w:w="0" w:type="auto"/>
          </w:tcPr>
          <w:p w14:paraId="556A0DF7" w14:textId="68427E6F" w:rsidR="001413B5" w:rsidRPr="00B309D7" w:rsidRDefault="001413B5" w:rsidP="00361E69">
            <w:pPr>
              <w:pStyle w:val="Tabletextleft"/>
            </w:pPr>
            <w:r w:rsidRPr="00B309D7">
              <w:t>Between $3M and $5M</w:t>
            </w:r>
          </w:p>
        </w:tc>
        <w:tc>
          <w:tcPr>
            <w:tcW w:w="0" w:type="auto"/>
          </w:tcPr>
          <w:p w14:paraId="60A6B0B8" w14:textId="59F943F6" w:rsidR="001413B5" w:rsidRPr="00B309D7" w:rsidRDefault="001413B5" w:rsidP="00361E69">
            <w:pPr>
              <w:pStyle w:val="Tabletextleft"/>
            </w:pPr>
            <w:r w:rsidRPr="00B309D7">
              <w:t>$25.8M</w:t>
            </w:r>
          </w:p>
        </w:tc>
      </w:tr>
      <w:tr w:rsidR="001413B5" w:rsidRPr="00B309D7" w14:paraId="3CB20249" w14:textId="77777777" w:rsidTr="00361E69">
        <w:trPr>
          <w:cnfStyle w:val="000000100000" w:firstRow="0" w:lastRow="0" w:firstColumn="0" w:lastColumn="0" w:oddVBand="0" w:evenVBand="0" w:oddHBand="1" w:evenHBand="0" w:firstRowFirstColumn="0" w:firstRowLastColumn="0" w:lastRowFirstColumn="0" w:lastRowLastColumn="0"/>
        </w:trPr>
        <w:tc>
          <w:tcPr>
            <w:tcW w:w="0" w:type="auto"/>
          </w:tcPr>
          <w:p w14:paraId="3CB6EB59" w14:textId="4AB113D3" w:rsidR="001413B5" w:rsidRPr="00B309D7" w:rsidRDefault="001413B5" w:rsidP="00361E69">
            <w:pPr>
              <w:pStyle w:val="Tabletextleft"/>
            </w:pPr>
            <w:r w:rsidRPr="00B309D7">
              <w:t>Stream 3 (Targeted Call for Research)</w:t>
            </w:r>
          </w:p>
        </w:tc>
        <w:tc>
          <w:tcPr>
            <w:tcW w:w="0" w:type="auto"/>
          </w:tcPr>
          <w:p w14:paraId="506F935E" w14:textId="06526F3B" w:rsidR="001413B5" w:rsidRPr="00B309D7" w:rsidRDefault="001413B5" w:rsidP="00361E69">
            <w:pPr>
              <w:pStyle w:val="Tabletextleft"/>
            </w:pPr>
            <w:r w:rsidRPr="00B309D7">
              <w:t>To utilise co-funding between the MRFF, a sponsoring academic organisation and partner organisation(s) to accelerate translation of research led by early to mid-career researchers</w:t>
            </w:r>
          </w:p>
        </w:tc>
        <w:tc>
          <w:tcPr>
            <w:tcW w:w="0" w:type="auto"/>
          </w:tcPr>
          <w:p w14:paraId="6375556A" w14:textId="2381DB4A" w:rsidR="001413B5" w:rsidRPr="00B309D7" w:rsidRDefault="001413B5" w:rsidP="00361E69">
            <w:pPr>
              <w:pStyle w:val="Tabletextleft"/>
            </w:pPr>
            <w:r w:rsidRPr="00B309D7">
              <w:t>Maximum 4 years</w:t>
            </w:r>
          </w:p>
        </w:tc>
        <w:tc>
          <w:tcPr>
            <w:tcW w:w="0" w:type="auto"/>
          </w:tcPr>
          <w:p w14:paraId="275A9C4D" w14:textId="47C669D8" w:rsidR="001413B5" w:rsidRPr="00B309D7" w:rsidRDefault="001413B5" w:rsidP="00361E69">
            <w:pPr>
              <w:pStyle w:val="Tabletextleft"/>
            </w:pPr>
            <w:r w:rsidRPr="00B309D7">
              <w:t>Up to $2M from MRFF with co-funding from other participating organisations**</w:t>
            </w:r>
          </w:p>
        </w:tc>
        <w:tc>
          <w:tcPr>
            <w:tcW w:w="0" w:type="auto"/>
          </w:tcPr>
          <w:p w14:paraId="5A2AF2D0" w14:textId="21D753A5" w:rsidR="001413B5" w:rsidRPr="00B309D7" w:rsidRDefault="001413B5" w:rsidP="00361E69">
            <w:pPr>
              <w:pStyle w:val="Tabletextleft"/>
            </w:pPr>
            <w:r w:rsidRPr="00B309D7">
              <w:t>$10M</w:t>
            </w:r>
          </w:p>
        </w:tc>
      </w:tr>
    </w:tbl>
    <w:p w14:paraId="55920FD4" w14:textId="4F2F0C52" w:rsidR="00D834F4" w:rsidRPr="00361E69" w:rsidRDefault="00D834F4" w:rsidP="00361E69">
      <w:pPr>
        <w:pStyle w:val="FootnoteText"/>
        <w:rPr>
          <w:rStyle w:val="FootnoteReference"/>
        </w:rPr>
      </w:pPr>
      <w:r w:rsidRPr="00361E69">
        <w:rPr>
          <w:rStyle w:val="FootnoteReference"/>
        </w:rPr>
        <w:t>* An increase of $2M from 2021 for Stream 1.</w:t>
      </w:r>
    </w:p>
    <w:p w14:paraId="29EB1894" w14:textId="0ED44349" w:rsidR="00E52538" w:rsidRDefault="00D834F4" w:rsidP="00361E69">
      <w:pPr>
        <w:pStyle w:val="FootnoteText"/>
      </w:pPr>
      <w:r w:rsidRPr="00361E69">
        <w:rPr>
          <w:rStyle w:val="FootnoteReference"/>
        </w:rPr>
        <w:t>*</w:t>
      </w:r>
      <w:r w:rsidR="002C6EFC" w:rsidRPr="00361E69">
        <w:rPr>
          <w:rStyle w:val="FootnoteReference"/>
        </w:rPr>
        <w:t>* Details about the co-funding requirements are available in the Grant Opportunity Guidelines</w:t>
      </w:r>
      <w:r w:rsidR="00F95510" w:rsidRPr="00361E69">
        <w:rPr>
          <w:rStyle w:val="FootnoteReference"/>
        </w:rPr>
        <w:t xml:space="preserve">. </w:t>
      </w:r>
      <w:r w:rsidR="00436EC0" w:rsidRPr="00361E69">
        <w:rPr>
          <w:rStyle w:val="FootnoteReference"/>
        </w:rPr>
        <w:t>In the analysis within this report only the contribution from the MRFF is listed.</w:t>
      </w:r>
    </w:p>
    <w:p w14:paraId="1582CE69" w14:textId="6077E0C5" w:rsidR="00955E6E" w:rsidRDefault="00955E6E" w:rsidP="00955E6E">
      <w:r>
        <w:br w:type="page"/>
      </w:r>
    </w:p>
    <w:bookmarkEnd w:id="2"/>
    <w:p w14:paraId="353E9028" w14:textId="2DD422FD" w:rsidR="00D834F4" w:rsidRPr="00A15524" w:rsidRDefault="0025679D" w:rsidP="00A15524">
      <w:pPr>
        <w:pStyle w:val="Heading2"/>
      </w:pPr>
      <w:r w:rsidRPr="00A15524">
        <w:lastRenderedPageBreak/>
        <w:t>Investig</w:t>
      </w:r>
      <w:r w:rsidR="002F46AF" w:rsidRPr="00A15524">
        <w:t>a</w:t>
      </w:r>
      <w:r w:rsidRPr="00A15524">
        <w:t>tor</w:t>
      </w:r>
      <w:r w:rsidR="002F46AF" w:rsidRPr="00A15524">
        <w:t xml:space="preserve"> eligibility</w:t>
      </w:r>
    </w:p>
    <w:p w14:paraId="3C5617A9" w14:textId="6107FA5F" w:rsidR="00431BCE" w:rsidRPr="00CD59E2" w:rsidRDefault="00A5252E" w:rsidP="00B309D7">
      <w:r w:rsidRPr="00CD59E2">
        <w:t>For</w:t>
      </w:r>
      <w:r w:rsidR="00431BCE" w:rsidRPr="00CD59E2">
        <w:t xml:space="preserve"> the 202</w:t>
      </w:r>
      <w:r w:rsidR="004643C8" w:rsidRPr="00CD59E2">
        <w:t>3</w:t>
      </w:r>
      <w:r w:rsidR="00431BCE" w:rsidRPr="00CD59E2">
        <w:t xml:space="preserve"> Early </w:t>
      </w:r>
      <w:r w:rsidR="00431BCE" w:rsidRPr="00B309D7">
        <w:t>to</w:t>
      </w:r>
      <w:r w:rsidR="00431BCE" w:rsidRPr="00CD59E2">
        <w:t xml:space="preserve"> Mid-Career Researchers Grant Opportunity:</w:t>
      </w:r>
    </w:p>
    <w:p w14:paraId="4DD679D9" w14:textId="3E88612F" w:rsidR="00431BCE" w:rsidRPr="00B309D7" w:rsidRDefault="00431BCE" w:rsidP="00B309D7">
      <w:pPr>
        <w:pStyle w:val="ListBullet"/>
      </w:pPr>
      <w:r w:rsidRPr="00B309D7">
        <w:t>an early-career researcher is defined as an individual who is within five years post PhD (i.e. within five years of their PhD award date), excluding career disruptions.</w:t>
      </w:r>
    </w:p>
    <w:p w14:paraId="380D504D" w14:textId="1C4D39AE" w:rsidR="00431BCE" w:rsidRPr="00B309D7" w:rsidRDefault="00431BCE" w:rsidP="00B309D7">
      <w:pPr>
        <w:pStyle w:val="ListBullet"/>
      </w:pPr>
      <w:r w:rsidRPr="00B309D7">
        <w:t>a mid-career researcher is defined as an individual who is between five and ten years post PhD (i.e. between five and ten years of their PhD award date), excluding career disruptions</w:t>
      </w:r>
      <w:r w:rsidR="00FA3B19" w:rsidRPr="00B309D7">
        <w:t>.</w:t>
      </w:r>
    </w:p>
    <w:p w14:paraId="14CF8FF5" w14:textId="70CDB946" w:rsidR="00CF607F" w:rsidRPr="00A15524" w:rsidRDefault="00CF607F" w:rsidP="00A15524">
      <w:r w:rsidRPr="00A15524">
        <w:t>Each stream has specific eligibility requirements for the career stage and composition of the Chief Investigator (CI) team. Each stream is designed to support teams of EMCRs working on projects together and to encourage EMCRs to form and develop collaborations to embed a wider range of perspectives to complex research problems.</w:t>
      </w:r>
    </w:p>
    <w:p w14:paraId="1DF2F001" w14:textId="299BB80E" w:rsidR="007A5054" w:rsidRPr="00A15524" w:rsidRDefault="00431BCE" w:rsidP="00A15524">
      <w:r w:rsidRPr="00A15524">
        <w:t>Stream 1</w:t>
      </w:r>
      <w:r w:rsidR="00D246F4" w:rsidRPr="00A15524">
        <w:t xml:space="preserve"> </w:t>
      </w:r>
      <w:r w:rsidRPr="00A15524">
        <w:t>support</w:t>
      </w:r>
      <w:r w:rsidR="005D5758" w:rsidRPr="00A15524">
        <w:t>s an</w:t>
      </w:r>
      <w:r w:rsidR="00712A5E" w:rsidRPr="00A15524">
        <w:t xml:space="preserve"> </w:t>
      </w:r>
      <w:r w:rsidRPr="00A15524">
        <w:t>ECR</w:t>
      </w:r>
      <w:r w:rsidR="00231B59" w:rsidRPr="00A15524">
        <w:t xml:space="preserve"> CIA </w:t>
      </w:r>
      <w:r w:rsidRPr="00A15524">
        <w:t xml:space="preserve">working </w:t>
      </w:r>
      <w:r w:rsidR="00D87224" w:rsidRPr="00A15524">
        <w:t xml:space="preserve">with </w:t>
      </w:r>
      <w:r w:rsidRPr="00A15524">
        <w:t>a team of CIs compris</w:t>
      </w:r>
      <w:r w:rsidR="00DC5B33" w:rsidRPr="00A15524">
        <w:t xml:space="preserve">ing </w:t>
      </w:r>
      <w:r w:rsidRPr="00A15524">
        <w:t>at least 80% ECRs. Stream 2 support</w:t>
      </w:r>
      <w:r w:rsidR="005D5758" w:rsidRPr="00A15524">
        <w:t>s</w:t>
      </w:r>
      <w:r w:rsidR="00A24BAB" w:rsidRPr="00A15524">
        <w:t xml:space="preserve"> a</w:t>
      </w:r>
      <w:r w:rsidR="0053486E" w:rsidRPr="00A15524">
        <w:t xml:space="preserve"> mid</w:t>
      </w:r>
      <w:r w:rsidR="002242B0" w:rsidRPr="00A15524">
        <w:noBreakHyphen/>
      </w:r>
      <w:r w:rsidR="0053486E" w:rsidRPr="00A15524">
        <w:t xml:space="preserve">career CIA to lead a </w:t>
      </w:r>
      <w:r w:rsidRPr="00A15524">
        <w:t xml:space="preserve">team </w:t>
      </w:r>
      <w:r w:rsidR="002118A8" w:rsidRPr="00A15524">
        <w:t>of CIs compris</w:t>
      </w:r>
      <w:r w:rsidR="00905DCF" w:rsidRPr="00A15524">
        <w:t>i</w:t>
      </w:r>
      <w:r w:rsidR="005428F1" w:rsidRPr="00A15524">
        <w:t xml:space="preserve">ng </w:t>
      </w:r>
      <w:r w:rsidR="002118A8" w:rsidRPr="00A15524">
        <w:t xml:space="preserve">at least 80% MCRs. </w:t>
      </w:r>
      <w:r w:rsidR="003634CF" w:rsidRPr="00A15524">
        <w:t>Stre</w:t>
      </w:r>
      <w:r w:rsidR="00060107" w:rsidRPr="00A15524">
        <w:t xml:space="preserve">am </w:t>
      </w:r>
      <w:r w:rsidR="008777E2" w:rsidRPr="00A15524">
        <w:t xml:space="preserve">3 </w:t>
      </w:r>
      <w:r w:rsidR="005D5758" w:rsidRPr="00A15524">
        <w:t>support</w:t>
      </w:r>
      <w:r w:rsidR="00B1493F" w:rsidRPr="00A15524">
        <w:t>s</w:t>
      </w:r>
      <w:r w:rsidR="005D5758" w:rsidRPr="00A15524">
        <w:t xml:space="preserve"> </w:t>
      </w:r>
      <w:r w:rsidR="00A57B49" w:rsidRPr="00A15524">
        <w:t>an early or mid-career CIA</w:t>
      </w:r>
      <w:r w:rsidR="004E562C" w:rsidRPr="00A15524">
        <w:t xml:space="preserve"> to lead </w:t>
      </w:r>
      <w:r w:rsidR="00F05816" w:rsidRPr="00A15524">
        <w:t xml:space="preserve">a research team comprising both </w:t>
      </w:r>
      <w:r w:rsidR="002118A8" w:rsidRPr="00A15524">
        <w:t>EMCR</w:t>
      </w:r>
      <w:r w:rsidR="00B747D3" w:rsidRPr="00A15524">
        <w:t>s</w:t>
      </w:r>
      <w:r w:rsidR="00F05816" w:rsidRPr="00A15524">
        <w:t xml:space="preserve"> and </w:t>
      </w:r>
      <w:r w:rsidR="002118A8" w:rsidRPr="00A15524">
        <w:t>more experienced researchers.</w:t>
      </w:r>
      <w:r w:rsidR="00294AEA" w:rsidRPr="00A15524">
        <w:t xml:space="preserve"> </w:t>
      </w:r>
    </w:p>
    <w:p w14:paraId="2003149D" w14:textId="633E4505" w:rsidR="00DB2FA2" w:rsidRPr="002912DA" w:rsidRDefault="00DB2FA2" w:rsidP="002912DA">
      <w:r w:rsidRPr="002912DA">
        <w:t xml:space="preserve">All eligibility requirements </w:t>
      </w:r>
      <w:r w:rsidR="00D777CF" w:rsidRPr="002912DA">
        <w:t>above are</w:t>
      </w:r>
      <w:r w:rsidRPr="002912DA">
        <w:t xml:space="preserve"> comparable to the 2021 </w:t>
      </w:r>
      <w:r w:rsidR="008521FA" w:rsidRPr="002912DA">
        <w:t>g</w:t>
      </w:r>
      <w:r w:rsidRPr="002912DA">
        <w:t xml:space="preserve">rant </w:t>
      </w:r>
      <w:r w:rsidR="008521FA" w:rsidRPr="002912DA">
        <w:t>o</w:t>
      </w:r>
      <w:r w:rsidRPr="002912DA">
        <w:t>pportunit</w:t>
      </w:r>
      <w:r w:rsidR="007A5054" w:rsidRPr="002912DA">
        <w:t>y</w:t>
      </w:r>
      <w:r w:rsidR="008B27FB" w:rsidRPr="002912DA">
        <w:t>.</w:t>
      </w:r>
    </w:p>
    <w:p w14:paraId="0E9F065E" w14:textId="77777777" w:rsidR="003C2C5D" w:rsidRPr="002912DA" w:rsidRDefault="003C2C5D" w:rsidP="002912DA">
      <w:r w:rsidRPr="002912DA">
        <w:t xml:space="preserve">The 2023 Early to Mid-Career Researchers Grant Opportunity was administered by the National Health and Medical Research Council (NHMRC). </w:t>
      </w:r>
    </w:p>
    <w:p w14:paraId="5E2F6185" w14:textId="7A4AED7C" w:rsidR="00EC5D53" w:rsidRPr="00A15524" w:rsidRDefault="00EC5D53" w:rsidP="00A15524">
      <w:pPr>
        <w:pStyle w:val="Heading1"/>
      </w:pPr>
      <w:bookmarkStart w:id="3" w:name="_Toc168043231"/>
      <w:r>
        <w:t>Assessment</w:t>
      </w:r>
      <w:bookmarkEnd w:id="3"/>
    </w:p>
    <w:p w14:paraId="55771BCE" w14:textId="4E704B8D" w:rsidR="004D521D" w:rsidRPr="00A15524" w:rsidRDefault="004D521D" w:rsidP="00A15524">
      <w:pPr>
        <w:pStyle w:val="Heading2"/>
      </w:pPr>
      <w:bookmarkStart w:id="4" w:name="_Toc168043232"/>
      <w:r w:rsidRPr="00E6756B">
        <w:t>Assessment criteria</w:t>
      </w:r>
      <w:bookmarkEnd w:id="4"/>
    </w:p>
    <w:p w14:paraId="5062E189" w14:textId="224EA55B" w:rsidR="00EB45C0" w:rsidRPr="002912DA" w:rsidRDefault="00817B23" w:rsidP="002912DA">
      <w:r w:rsidRPr="002912DA">
        <w:t xml:space="preserve">Applications were assessed against four assessment criteria </w:t>
      </w:r>
      <w:r w:rsidR="00EB45C0" w:rsidRPr="002912DA">
        <w:t>with a weighting given to each</w:t>
      </w:r>
      <w:r w:rsidR="00E77590" w:rsidRPr="002912DA">
        <w:t xml:space="preserve"> of the three</w:t>
      </w:r>
      <w:r w:rsidR="00EB45C0" w:rsidRPr="002912DA">
        <w:t xml:space="preserve"> technical criteri</w:t>
      </w:r>
      <w:r w:rsidR="000D34BF" w:rsidRPr="002912DA">
        <w:t>a</w:t>
      </w:r>
      <w:r w:rsidR="00EB45C0" w:rsidRPr="002912DA">
        <w:t xml:space="preserve">, </w:t>
      </w:r>
      <w:r w:rsidR="00E77590" w:rsidRPr="002912DA">
        <w:t xml:space="preserve">and no weighting applied to the </w:t>
      </w:r>
      <w:r w:rsidR="00EB45C0" w:rsidRPr="002912DA">
        <w:t>non-technical assessment criterion</w:t>
      </w:r>
      <w:r w:rsidR="00E77590" w:rsidRPr="002912DA">
        <w:t>:</w:t>
      </w:r>
    </w:p>
    <w:tbl>
      <w:tblPr>
        <w:tblStyle w:val="DepartmentofHealthtable"/>
        <w:tblW w:w="0" w:type="auto"/>
        <w:tblLook w:val="04A0" w:firstRow="1" w:lastRow="0" w:firstColumn="1" w:lastColumn="0" w:noHBand="0" w:noVBand="1"/>
      </w:tblPr>
      <w:tblGrid>
        <w:gridCol w:w="5949"/>
        <w:gridCol w:w="1422"/>
      </w:tblGrid>
      <w:tr w:rsidR="00E77590" w:rsidRPr="001F432C" w14:paraId="187756E9" w14:textId="77777777" w:rsidTr="00955E6E">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8719634" w14:textId="754B846B" w:rsidR="00E77590" w:rsidRPr="00955E6E" w:rsidRDefault="00F121D1" w:rsidP="00955E6E">
            <w:pPr>
              <w:pStyle w:val="StyleTableHeaderWhite"/>
            </w:pPr>
            <w:r w:rsidRPr="001F432C">
              <w:t>Criterion</w:t>
            </w:r>
          </w:p>
        </w:tc>
        <w:tc>
          <w:tcPr>
            <w:tcW w:w="1422" w:type="dxa"/>
          </w:tcPr>
          <w:p w14:paraId="789C1FA8" w14:textId="4FDB5C88" w:rsidR="00E77590" w:rsidRPr="001F432C" w:rsidRDefault="00F121D1" w:rsidP="00955E6E">
            <w:pPr>
              <w:pStyle w:val="StyleTableHeaderWhite"/>
              <w:cnfStyle w:val="100000000000" w:firstRow="1" w:lastRow="0" w:firstColumn="0" w:lastColumn="0" w:oddVBand="0" w:evenVBand="0" w:oddHBand="0" w:evenHBand="0" w:firstRowFirstColumn="0" w:firstRowLastColumn="0" w:lastRowFirstColumn="0" w:lastRowLastColumn="0"/>
            </w:pPr>
            <w:r w:rsidRPr="001F432C">
              <w:t>Weighting</w:t>
            </w:r>
            <w:r w:rsidR="00B86DCB" w:rsidRPr="001F432C">
              <w:t xml:space="preserve"> (%)</w:t>
            </w:r>
          </w:p>
        </w:tc>
      </w:tr>
      <w:tr w:rsidR="00E77590" w:rsidRPr="001F432C" w14:paraId="0529D222" w14:textId="77777777" w:rsidTr="001F432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949" w:type="dxa"/>
          </w:tcPr>
          <w:p w14:paraId="354DEB42" w14:textId="5F23945E" w:rsidR="00E77590" w:rsidRPr="001F432C" w:rsidRDefault="00F121D1" w:rsidP="00955E6E">
            <w:pPr>
              <w:pStyle w:val="Tabletextleft"/>
            </w:pPr>
            <w:r w:rsidRPr="001F432C">
              <w:t>Project impact</w:t>
            </w:r>
          </w:p>
        </w:tc>
        <w:tc>
          <w:tcPr>
            <w:tcW w:w="1422" w:type="dxa"/>
          </w:tcPr>
          <w:p w14:paraId="094708D0" w14:textId="2D799C3B" w:rsidR="00E77590" w:rsidRPr="001F432C" w:rsidRDefault="00F121D1" w:rsidP="00955E6E">
            <w:pPr>
              <w:pStyle w:val="Tabletextleft"/>
              <w:cnfStyle w:val="000000100000" w:firstRow="0" w:lastRow="0" w:firstColumn="0" w:lastColumn="0" w:oddVBand="0" w:evenVBand="0" w:oddHBand="1" w:evenHBand="0" w:firstRowFirstColumn="0" w:firstRowLastColumn="0" w:lastRowFirstColumn="0" w:lastRowLastColumn="0"/>
            </w:pPr>
            <w:r w:rsidRPr="001F432C">
              <w:t>40</w:t>
            </w:r>
          </w:p>
        </w:tc>
      </w:tr>
      <w:tr w:rsidR="00E77590" w:rsidRPr="001F432C" w14:paraId="00DA4CCF" w14:textId="77777777" w:rsidTr="001F432C">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949" w:type="dxa"/>
          </w:tcPr>
          <w:p w14:paraId="306F092A" w14:textId="40D4B0FF" w:rsidR="00E77590" w:rsidRPr="001F432C" w:rsidRDefault="00F121D1" w:rsidP="00955E6E">
            <w:pPr>
              <w:pStyle w:val="Tabletextleft"/>
            </w:pPr>
            <w:r w:rsidRPr="001F432C">
              <w:t>Project methodology</w:t>
            </w:r>
          </w:p>
        </w:tc>
        <w:tc>
          <w:tcPr>
            <w:tcW w:w="1422" w:type="dxa"/>
          </w:tcPr>
          <w:p w14:paraId="2EBF6D8B" w14:textId="2D6B6092" w:rsidR="00E77590" w:rsidRPr="001F432C" w:rsidRDefault="00F121D1" w:rsidP="00955E6E">
            <w:pPr>
              <w:pStyle w:val="Tabletextleft"/>
              <w:cnfStyle w:val="000000010000" w:firstRow="0" w:lastRow="0" w:firstColumn="0" w:lastColumn="0" w:oddVBand="0" w:evenVBand="0" w:oddHBand="0" w:evenHBand="1" w:firstRowFirstColumn="0" w:firstRowLastColumn="0" w:lastRowFirstColumn="0" w:lastRowLastColumn="0"/>
            </w:pPr>
            <w:r w:rsidRPr="001F432C">
              <w:t>30</w:t>
            </w:r>
          </w:p>
        </w:tc>
      </w:tr>
      <w:tr w:rsidR="00E77590" w:rsidRPr="001F432C" w14:paraId="26D0BA8C" w14:textId="77777777" w:rsidTr="001F432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949" w:type="dxa"/>
          </w:tcPr>
          <w:p w14:paraId="51C15679" w14:textId="4050A6FD" w:rsidR="00E77590" w:rsidRPr="001F432C" w:rsidRDefault="00F121D1" w:rsidP="00955E6E">
            <w:pPr>
              <w:pStyle w:val="Tabletextleft"/>
            </w:pPr>
            <w:r w:rsidRPr="001F432C">
              <w:t>Capacity, capability and resources to deliver the project</w:t>
            </w:r>
          </w:p>
        </w:tc>
        <w:tc>
          <w:tcPr>
            <w:tcW w:w="1422" w:type="dxa"/>
          </w:tcPr>
          <w:p w14:paraId="011F3F6C" w14:textId="0B64926A" w:rsidR="00E77590" w:rsidRPr="001F432C" w:rsidRDefault="00F121D1" w:rsidP="00955E6E">
            <w:pPr>
              <w:pStyle w:val="Tabletextleft"/>
              <w:cnfStyle w:val="000000100000" w:firstRow="0" w:lastRow="0" w:firstColumn="0" w:lastColumn="0" w:oddVBand="0" w:evenVBand="0" w:oddHBand="1" w:evenHBand="0" w:firstRowFirstColumn="0" w:firstRowLastColumn="0" w:lastRowFirstColumn="0" w:lastRowLastColumn="0"/>
            </w:pPr>
            <w:r w:rsidRPr="001F432C">
              <w:t>30</w:t>
            </w:r>
          </w:p>
        </w:tc>
      </w:tr>
      <w:tr w:rsidR="00F121D1" w:rsidRPr="001F432C" w14:paraId="667BBE5E" w14:textId="77777777" w:rsidTr="001F432C">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949" w:type="dxa"/>
          </w:tcPr>
          <w:p w14:paraId="38FFCC0B" w14:textId="01C2E4A0" w:rsidR="00F121D1" w:rsidRPr="001F432C" w:rsidRDefault="00F121D1" w:rsidP="00955E6E">
            <w:pPr>
              <w:pStyle w:val="Tabletextleft"/>
            </w:pPr>
            <w:r w:rsidRPr="001F432C">
              <w:t>Overall Value and Risk of the Project</w:t>
            </w:r>
          </w:p>
        </w:tc>
        <w:tc>
          <w:tcPr>
            <w:tcW w:w="1422" w:type="dxa"/>
          </w:tcPr>
          <w:p w14:paraId="4843A773" w14:textId="1106507C" w:rsidR="00F121D1" w:rsidRPr="001F432C" w:rsidRDefault="00F121D1" w:rsidP="00955E6E">
            <w:pPr>
              <w:pStyle w:val="Tabletextleft"/>
              <w:cnfStyle w:val="000000010000" w:firstRow="0" w:lastRow="0" w:firstColumn="0" w:lastColumn="0" w:oddVBand="0" w:evenVBand="0" w:oddHBand="0" w:evenHBand="1" w:firstRowFirstColumn="0" w:firstRowLastColumn="0" w:lastRowFirstColumn="0" w:lastRowLastColumn="0"/>
            </w:pPr>
            <w:r w:rsidRPr="001F432C">
              <w:t>Non-weighted</w:t>
            </w:r>
          </w:p>
        </w:tc>
      </w:tr>
    </w:tbl>
    <w:p w14:paraId="20B9B051" w14:textId="3BDF2150" w:rsidR="00CA3B3F" w:rsidRPr="00955E6E" w:rsidRDefault="00E678FB" w:rsidP="00955E6E">
      <w:pPr>
        <w:pStyle w:val="Heading2"/>
      </w:pPr>
      <w:bookmarkStart w:id="5" w:name="_Toc168043233"/>
      <w:r>
        <w:t>Applications assessed</w:t>
      </w:r>
      <w:bookmarkEnd w:id="5"/>
    </w:p>
    <w:p w14:paraId="79DEC2D2" w14:textId="4DB477EF" w:rsidR="003C2C5D" w:rsidRPr="00B309D7" w:rsidRDefault="004C4691" w:rsidP="00B309D7">
      <w:pPr>
        <w:jc w:val="both"/>
      </w:pPr>
      <w:r w:rsidRPr="00A15524">
        <w:t xml:space="preserve">Applications for funding under the MRFF undergo rigorous assessment by an independent </w:t>
      </w:r>
      <w:hyperlink r:id="rId36">
        <w:r w:rsidRPr="38F6B3BE">
          <w:rPr>
            <w:rStyle w:val="Hyperlink"/>
            <w:sz w:val="22"/>
            <w:szCs w:val="22"/>
          </w:rPr>
          <w:t>grant assessment committee (GAC)</w:t>
        </w:r>
      </w:hyperlink>
      <w:r w:rsidRPr="00A15524">
        <w:t xml:space="preserve">. </w:t>
      </w:r>
      <w:r w:rsidR="00BF2796" w:rsidRPr="00A15524">
        <w:t>Eighty-one i</w:t>
      </w:r>
      <w:r w:rsidRPr="00A15524">
        <w:t>ndependent experts were involved in the assessment of this grant opportunity.</w:t>
      </w:r>
    </w:p>
    <w:p w14:paraId="4FCB08D0" w14:textId="2CFE77AF" w:rsidR="00924C0A" w:rsidRPr="00B309D7" w:rsidRDefault="00924C0A" w:rsidP="00B309D7">
      <w:pPr>
        <w:jc w:val="both"/>
      </w:pPr>
      <w:r w:rsidRPr="00A15524">
        <w:t>A total of 145 applications were received</w:t>
      </w:r>
      <w:r w:rsidR="000B3190" w:rsidRPr="00A15524">
        <w:t>.</w:t>
      </w:r>
      <w:r w:rsidR="002936B9" w:rsidRPr="00CD59E2">
        <w:rPr>
          <w:rStyle w:val="FootnoteReference"/>
        </w:rPr>
        <w:footnoteReference w:id="3"/>
      </w:r>
      <w:r w:rsidRPr="00A15524">
        <w:t xml:space="preserve"> No applications were found to be ineligible based on the criteria outlined in the Grant Opportunity Guidelines and one application was withdrawn at the applicant’s request.</w:t>
      </w:r>
    </w:p>
    <w:p w14:paraId="08C23A32" w14:textId="39F2A707" w:rsidR="00924C0A" w:rsidRPr="00CD59E2" w:rsidRDefault="00924C0A" w:rsidP="00CD59E2">
      <w:r w:rsidRPr="00CD59E2">
        <w:t xml:space="preserve">The eligible applications underwent initial assessment and scoring by three independent experts. A total of 88 eligible applications progressed for consideration by the GAC (Figure </w:t>
      </w:r>
      <w:r w:rsidR="00ED2356" w:rsidRPr="00CD59E2">
        <w:t>1</w:t>
      </w:r>
      <w:r w:rsidRPr="00CD59E2">
        <w:t xml:space="preserve"> displays the numbers per stream). The number of applications that advanced to the GAC was determined to ensure that the combined value of the requested budgets in each stream represented at least 1.5 times the available funding for that stream. For Stream 3, all applications progressed to full assessment by the committee. After full assessment and scoring at the GAC, 6</w:t>
      </w:r>
      <w:r w:rsidR="00E150DF" w:rsidRPr="00CD59E2">
        <w:t>1</w:t>
      </w:r>
      <w:r w:rsidRPr="00CD59E2">
        <w:t xml:space="preserve"> applications </w:t>
      </w:r>
      <w:r w:rsidR="00E150DF" w:rsidRPr="00CD59E2">
        <w:lastRenderedPageBreak/>
        <w:t>were not funded</w:t>
      </w:r>
      <w:r w:rsidRPr="00CD59E2">
        <w:t>.</w:t>
      </w:r>
      <w:r w:rsidRPr="00CD59E2">
        <w:footnoteReference w:id="4"/>
      </w:r>
      <w:r w:rsidRPr="00CD59E2">
        <w:t xml:space="preserve"> Two applications to Stream 3 were withdrawn due to duplicate applications being awarded funding from other Commonwealth grant sources</w:t>
      </w:r>
      <w:r w:rsidR="000B3190" w:rsidRPr="00CD59E2">
        <w:t>.</w:t>
      </w:r>
      <w:r w:rsidRPr="00D10606">
        <w:rPr>
          <w:rStyle w:val="FootnoteReference"/>
        </w:rPr>
        <w:footnoteReference w:id="5"/>
      </w:r>
    </w:p>
    <w:p w14:paraId="6AE0F9B4" w14:textId="0CDA52F0" w:rsidR="00B309D7" w:rsidRPr="00B309D7" w:rsidRDefault="00B309D7" w:rsidP="00B309D7">
      <w:pPr>
        <w:pStyle w:val="Caption"/>
      </w:pPr>
      <w:r>
        <w:t xml:space="preserve">Figure </w:t>
      </w:r>
      <w:r>
        <w:fldChar w:fldCharType="begin"/>
      </w:r>
      <w:r>
        <w:instrText xml:space="preserve"> SEQ Figure \* ARABIC </w:instrText>
      </w:r>
      <w:r>
        <w:fldChar w:fldCharType="separate"/>
      </w:r>
      <w:r w:rsidR="002912DA">
        <w:rPr>
          <w:noProof/>
        </w:rPr>
        <w:t>1</w:t>
      </w:r>
      <w:r>
        <w:fldChar w:fldCharType="end"/>
      </w:r>
      <w:r w:rsidRPr="005F1A98">
        <w:t xml:space="preserve"> – Number of applications at each stage</w:t>
      </w:r>
    </w:p>
    <w:p w14:paraId="715E9BE3" w14:textId="00EAB62D" w:rsidR="00B309D7" w:rsidRPr="00CD59E2" w:rsidRDefault="00B309D7" w:rsidP="00CD59E2">
      <w:r w:rsidRPr="00CD59E2">
        <w:drawing>
          <wp:inline distT="0" distB="0" distL="0" distR="0" wp14:anchorId="54CA3F12" wp14:editId="16D41FBC">
            <wp:extent cx="5759450" cy="5003165"/>
            <wp:effectExtent l="0" t="0" r="0" b="0"/>
            <wp:docPr id="11" name="Picture 11" descr="Diagram illustrating the number of applications at each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illustrating the number of applications at each stage"/>
                    <pic:cNvPicPr/>
                  </pic:nvPicPr>
                  <pic:blipFill>
                    <a:blip r:embed="rId37"/>
                    <a:stretch>
                      <a:fillRect/>
                    </a:stretch>
                  </pic:blipFill>
                  <pic:spPr>
                    <a:xfrm>
                      <a:off x="0" y="0"/>
                      <a:ext cx="5759450" cy="5003165"/>
                    </a:xfrm>
                    <a:prstGeom prst="rect">
                      <a:avLst/>
                    </a:prstGeom>
                  </pic:spPr>
                </pic:pic>
              </a:graphicData>
            </a:graphic>
          </wp:inline>
        </w:drawing>
      </w:r>
    </w:p>
    <w:p w14:paraId="7F6A0C7F" w14:textId="4A7E50DA" w:rsidR="00D10606" w:rsidRDefault="00924C0A" w:rsidP="00B309D7">
      <w:pPr>
        <w:jc w:val="both"/>
      </w:pPr>
      <w:r w:rsidRPr="00A15524">
        <w:t>For each stream, applications were funded based on rank (as assessed by the GAC) until the total funding available for the stream had been reached. The remaining applications across all streams were then pooled into a combined ranked merit list, with funding allocated until the total funding available for this grant opportunity was reached.</w:t>
      </w:r>
      <w:r w:rsidRPr="00C035C1">
        <w:t xml:space="preserve"> </w:t>
      </w:r>
      <w:r w:rsidRPr="00A15524">
        <w:t xml:space="preserve">An additional application from Stream 2 was funded through this process resulting in the total value awarded from this stream being higher than the allocation (see Table </w:t>
      </w:r>
      <w:r w:rsidR="00130F18" w:rsidRPr="00A15524">
        <w:t>1</w:t>
      </w:r>
      <w:r w:rsidRPr="00A15524">
        <w:t>).</w:t>
      </w:r>
      <w:r w:rsidRPr="00CD59E2">
        <w:rPr>
          <w:rStyle w:val="FootnoteReference"/>
        </w:rPr>
        <w:footnoteReference w:id="6"/>
      </w:r>
      <w:r w:rsidRPr="00A15524">
        <w:t xml:space="preserve"> </w:t>
      </w:r>
      <w:r w:rsidR="00D10606">
        <w:br w:type="page"/>
      </w:r>
    </w:p>
    <w:p w14:paraId="79460CCD" w14:textId="48BDB486" w:rsidR="007E783B" w:rsidRPr="00CE3E77" w:rsidRDefault="007E783B" w:rsidP="007E783B">
      <w:pPr>
        <w:pStyle w:val="Heading1"/>
      </w:pPr>
      <w:bookmarkStart w:id="6" w:name="_Toc168043234"/>
      <w:r w:rsidRPr="00CE3E77">
        <w:lastRenderedPageBreak/>
        <w:t xml:space="preserve">Summary of </w:t>
      </w:r>
      <w:r>
        <w:t>Outcomes</w:t>
      </w:r>
      <w:bookmarkEnd w:id="6"/>
    </w:p>
    <w:p w14:paraId="0D897E16" w14:textId="3F6C11DC" w:rsidR="004F6C78" w:rsidRPr="00CD59E2" w:rsidRDefault="004F6C78" w:rsidP="00CD59E2">
      <w:r w:rsidRPr="00CD59E2">
        <w:t xml:space="preserve">Key </w:t>
      </w:r>
      <w:r w:rsidR="007C2F39" w:rsidRPr="00CD59E2">
        <w:t>highlights of the outcomes of the 2023 Early to Mid-Career Researcher Grant Opportunity are</w:t>
      </w:r>
      <w:r w:rsidRPr="00CD59E2">
        <w:t>:</w:t>
      </w:r>
    </w:p>
    <w:p w14:paraId="3249B0FF" w14:textId="597B7494" w:rsidR="004F6C78" w:rsidRPr="00B309D7" w:rsidRDefault="004F6C78" w:rsidP="00B309D7">
      <w:pPr>
        <w:pStyle w:val="ListBullet"/>
      </w:pPr>
      <w:r w:rsidRPr="00B309D7">
        <w:t xml:space="preserve">The grant opportunity saw a </w:t>
      </w:r>
      <w:r w:rsidR="00FC46C8" w:rsidRPr="00B309D7">
        <w:t>reduced</w:t>
      </w:r>
      <w:r w:rsidRPr="00B309D7">
        <w:t xml:space="preserve"> number of applications compared to the 2021 grant opportunity. Funded rates increased due to both </w:t>
      </w:r>
      <w:r w:rsidR="008A4B1D" w:rsidRPr="00B309D7">
        <w:t xml:space="preserve">a </w:t>
      </w:r>
      <w:r w:rsidRPr="00B309D7">
        <w:t xml:space="preserve">reduction in </w:t>
      </w:r>
      <w:r w:rsidR="008A4B1D" w:rsidRPr="00B309D7">
        <w:t xml:space="preserve">the </w:t>
      </w:r>
      <w:r w:rsidR="007C2F39" w:rsidRPr="00B309D7">
        <w:t xml:space="preserve">number of </w:t>
      </w:r>
      <w:r w:rsidRPr="00B309D7">
        <w:t>application</w:t>
      </w:r>
      <w:r w:rsidR="007C2F39" w:rsidRPr="00B309D7">
        <w:t xml:space="preserve">s </w:t>
      </w:r>
      <w:r w:rsidR="007203CF" w:rsidRPr="00B309D7">
        <w:t xml:space="preserve">and for Stream 1, </w:t>
      </w:r>
      <w:r w:rsidR="007C2F39" w:rsidRPr="00B309D7">
        <w:t xml:space="preserve">an </w:t>
      </w:r>
      <w:r w:rsidRPr="00B309D7">
        <w:t xml:space="preserve">increase in </w:t>
      </w:r>
      <w:r w:rsidR="00FC46C8" w:rsidRPr="00B309D7">
        <w:t xml:space="preserve">quantum of </w:t>
      </w:r>
      <w:r w:rsidRPr="00B309D7">
        <w:t>funding</w:t>
      </w:r>
      <w:r w:rsidR="00FC46C8" w:rsidRPr="00B309D7">
        <w:t xml:space="preserve"> available</w:t>
      </w:r>
      <w:r w:rsidRPr="00B309D7">
        <w:t>.</w:t>
      </w:r>
    </w:p>
    <w:p w14:paraId="11937DF8" w14:textId="724D963A" w:rsidR="004F6C78" w:rsidRPr="00B309D7" w:rsidRDefault="004F6C78" w:rsidP="00B309D7">
      <w:pPr>
        <w:pStyle w:val="ListBullet"/>
      </w:pPr>
      <w:r w:rsidRPr="00B309D7">
        <w:t>An additional $2.5 million was awarded to Stream 1 projects led by early career researchers.</w:t>
      </w:r>
    </w:p>
    <w:p w14:paraId="62544E23" w14:textId="3D59FCDD" w:rsidR="004F6C78" w:rsidRPr="00B309D7" w:rsidRDefault="004F6C78" w:rsidP="00B309D7">
      <w:pPr>
        <w:pStyle w:val="ListBullet"/>
      </w:pPr>
      <w:r w:rsidRPr="00B309D7">
        <w:t>Female CIAs continued to be awarded a higher proportion of grants and funding than male CIAs</w:t>
      </w:r>
      <w:r w:rsidR="00841A70" w:rsidRPr="00B309D7">
        <w:t>.</w:t>
      </w:r>
    </w:p>
    <w:p w14:paraId="574673A6" w14:textId="1CD2C6F9" w:rsidR="004F6C78" w:rsidRPr="00B309D7" w:rsidRDefault="004F6C78" w:rsidP="00B309D7">
      <w:pPr>
        <w:pStyle w:val="ListBullet"/>
      </w:pPr>
      <w:r w:rsidRPr="00B309D7">
        <w:t xml:space="preserve">The proportion of funding awarded by broad research area </w:t>
      </w:r>
      <w:r w:rsidR="007203CF" w:rsidRPr="00B309D7">
        <w:t xml:space="preserve">was highest for </w:t>
      </w:r>
      <w:r w:rsidRPr="00B309D7">
        <w:t>Public Health research</w:t>
      </w:r>
      <w:r w:rsidR="00841A70" w:rsidRPr="00B309D7">
        <w:t>.</w:t>
      </w:r>
    </w:p>
    <w:p w14:paraId="44CF8677" w14:textId="29BDAA80" w:rsidR="004F6C78" w:rsidRPr="00B309D7" w:rsidRDefault="004F6C78" w:rsidP="00B309D7">
      <w:pPr>
        <w:pStyle w:val="ListBullet"/>
      </w:pPr>
      <w:r w:rsidRPr="00B309D7">
        <w:t>First Nations CIAs were awarded 13.9% of total funding.</w:t>
      </w:r>
    </w:p>
    <w:p w14:paraId="686650EE" w14:textId="3E31D1E9" w:rsidR="004F6C78" w:rsidRPr="00B309D7" w:rsidRDefault="004F6C78" w:rsidP="00B309D7">
      <w:pPr>
        <w:pStyle w:val="ListBullet"/>
      </w:pPr>
      <w:r w:rsidRPr="00B309D7">
        <w:t>CIs who completed their PhD less than 11 years ago continue to make up the majority of those awarded funding</w:t>
      </w:r>
      <w:r w:rsidR="007C2F39" w:rsidRPr="00B309D7">
        <w:t>.</w:t>
      </w:r>
    </w:p>
    <w:p w14:paraId="58E0D1DB" w14:textId="77777777" w:rsidR="007E783B" w:rsidRPr="00E6756B" w:rsidRDefault="007E783B" w:rsidP="007E783B">
      <w:pPr>
        <w:pStyle w:val="Heading2"/>
      </w:pPr>
      <w:bookmarkStart w:id="7" w:name="_Toc168043235"/>
      <w:r w:rsidRPr="00E6756B">
        <w:t>Funding awarded</w:t>
      </w:r>
      <w:bookmarkEnd w:id="7"/>
    </w:p>
    <w:p w14:paraId="43DF927A" w14:textId="54C40919" w:rsidR="007E783B" w:rsidRPr="00CD59E2" w:rsidRDefault="007E783B" w:rsidP="00CD59E2">
      <w:r w:rsidRPr="00CD59E2">
        <w:t xml:space="preserve">The grant opportunity was well subscribed and received 145 eligible applications. A total of 25 grants were awarded with a combined value of $42.3 million. Table 1 provides a breakdown of the funded amounts by stream and Appendix </w:t>
      </w:r>
      <w:r w:rsidR="001E39B8" w:rsidRPr="00CD59E2">
        <w:t>A</w:t>
      </w:r>
      <w:r w:rsidRPr="00CD59E2">
        <w:t xml:space="preserve"> lists details of all funded projects.</w:t>
      </w:r>
    </w:p>
    <w:p w14:paraId="5E45D599" w14:textId="15EC5443" w:rsidR="007E783B" w:rsidRPr="00223BB4" w:rsidRDefault="00955E6E" w:rsidP="00955E6E">
      <w:pPr>
        <w:pStyle w:val="Caption"/>
      </w:pPr>
      <w:r>
        <w:t xml:space="preserve">Table </w:t>
      </w:r>
      <w:r>
        <w:fldChar w:fldCharType="begin"/>
      </w:r>
      <w:r>
        <w:instrText xml:space="preserve"> SEQ Table \* ARABIC </w:instrText>
      </w:r>
      <w:r>
        <w:fldChar w:fldCharType="separate"/>
      </w:r>
      <w:r w:rsidR="00D85F07">
        <w:rPr>
          <w:noProof/>
        </w:rPr>
        <w:t>1</w:t>
      </w:r>
      <w:r>
        <w:fldChar w:fldCharType="end"/>
      </w:r>
      <w:r w:rsidR="007E783B" w:rsidRPr="00223BB4">
        <w:t xml:space="preserve"> – Grants awarded</w:t>
      </w:r>
    </w:p>
    <w:tbl>
      <w:tblPr>
        <w:tblStyle w:val="DepartmentofHealthtable"/>
        <w:tblW w:w="9072" w:type="dxa"/>
        <w:tblLayout w:type="fixed"/>
        <w:tblLook w:val="04A0" w:firstRow="1" w:lastRow="0" w:firstColumn="1" w:lastColumn="0" w:noHBand="0" w:noVBand="1"/>
      </w:tblPr>
      <w:tblGrid>
        <w:gridCol w:w="1270"/>
        <w:gridCol w:w="1271"/>
        <w:gridCol w:w="1694"/>
        <w:gridCol w:w="1694"/>
        <w:gridCol w:w="1553"/>
        <w:gridCol w:w="1553"/>
        <w:gridCol w:w="37"/>
      </w:tblGrid>
      <w:tr w:rsidR="005C3C8F" w:rsidRPr="00B309D7" w14:paraId="0902951B" w14:textId="77777777" w:rsidTr="00B309D7">
        <w:trPr>
          <w:gridAfter w:val="1"/>
          <w:cnfStyle w:val="100000000000" w:firstRow="1" w:lastRow="0" w:firstColumn="0" w:lastColumn="0" w:oddVBand="0" w:evenVBand="0" w:oddHBand="0" w:evenHBand="0" w:firstRowFirstColumn="0" w:firstRowLastColumn="0" w:lastRowFirstColumn="0" w:lastRowLastColumn="0"/>
          <w:wAfter w:w="37" w:type="dxa"/>
          <w:trHeight w:val="283"/>
          <w:tblHeader/>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82025B9" w14:textId="77777777" w:rsidR="005C3C8F" w:rsidRPr="00B309D7" w:rsidRDefault="005C3C8F" w:rsidP="00955E6E">
            <w:pPr>
              <w:pStyle w:val="StyleTableHeaderWhite"/>
            </w:pPr>
            <w:r w:rsidRPr="00B309D7">
              <w:t>Stream</w:t>
            </w:r>
          </w:p>
        </w:tc>
        <w:tc>
          <w:tcPr>
            <w:tcW w:w="1271" w:type="dxa"/>
            <w:hideMark/>
          </w:tcPr>
          <w:p w14:paraId="44540D90" w14:textId="5EC33941" w:rsidR="005C3C8F" w:rsidRPr="00B309D7" w:rsidRDefault="005C3C8F"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Grants awarded</w:t>
            </w:r>
            <w:r w:rsidR="00B309D7" w:rsidRPr="00B309D7">
              <w:t xml:space="preserve"> </w:t>
            </w:r>
            <w:r w:rsidRPr="00B309D7">
              <w:t>(n)</w:t>
            </w:r>
          </w:p>
        </w:tc>
        <w:tc>
          <w:tcPr>
            <w:tcW w:w="1694" w:type="dxa"/>
            <w:hideMark/>
          </w:tcPr>
          <w:p w14:paraId="6799219B" w14:textId="34F05D24" w:rsidR="005C3C8F" w:rsidRPr="00B309D7" w:rsidRDefault="005C3C8F"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Total value ($)</w:t>
            </w:r>
          </w:p>
        </w:tc>
        <w:tc>
          <w:tcPr>
            <w:tcW w:w="1694" w:type="dxa"/>
            <w:hideMark/>
          </w:tcPr>
          <w:p w14:paraId="78AB1E68" w14:textId="1E1C6D59" w:rsidR="005C3C8F" w:rsidRPr="00B309D7" w:rsidRDefault="005C3C8F"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Mean amount awarded ($)</w:t>
            </w:r>
          </w:p>
        </w:tc>
        <w:tc>
          <w:tcPr>
            <w:tcW w:w="1553" w:type="dxa"/>
            <w:hideMark/>
          </w:tcPr>
          <w:p w14:paraId="57BA7996" w14:textId="5E7B3465" w:rsidR="005C3C8F" w:rsidRPr="00B309D7" w:rsidRDefault="005C3C8F"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Highest</w:t>
            </w:r>
            <w:r w:rsidR="00B309D7" w:rsidRPr="00B309D7">
              <w:t xml:space="preserve"> </w:t>
            </w:r>
            <w:r w:rsidRPr="00B309D7">
              <w:t>Amount ($)</w:t>
            </w:r>
          </w:p>
        </w:tc>
        <w:tc>
          <w:tcPr>
            <w:tcW w:w="1553" w:type="dxa"/>
            <w:hideMark/>
          </w:tcPr>
          <w:p w14:paraId="27D7486F" w14:textId="0D0FDBDC" w:rsidR="005C3C8F" w:rsidRPr="00B309D7" w:rsidRDefault="005C3C8F"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Lowest</w:t>
            </w:r>
            <w:r w:rsidR="00B309D7" w:rsidRPr="00B309D7">
              <w:t xml:space="preserve"> </w:t>
            </w:r>
            <w:r w:rsidRPr="00B309D7">
              <w:t>Amount ($)</w:t>
            </w:r>
          </w:p>
        </w:tc>
      </w:tr>
      <w:tr w:rsidR="001C3DCE" w:rsidRPr="00B309D7" w14:paraId="4781D54F" w14:textId="77777777" w:rsidTr="00B309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31EEAED" w14:textId="77777777" w:rsidR="001C3DCE" w:rsidRPr="00B309D7" w:rsidRDefault="001C3DCE" w:rsidP="00955E6E">
            <w:pPr>
              <w:pStyle w:val="Tabletextcentre"/>
            </w:pPr>
            <w:r w:rsidRPr="00B309D7">
              <w:t>Stream 1</w:t>
            </w:r>
          </w:p>
        </w:tc>
        <w:tc>
          <w:tcPr>
            <w:tcW w:w="1271" w:type="dxa"/>
            <w:noWrap/>
            <w:hideMark/>
          </w:tcPr>
          <w:p w14:paraId="14274FD5" w14:textId="77777777"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13</w:t>
            </w:r>
          </w:p>
        </w:tc>
        <w:tc>
          <w:tcPr>
            <w:tcW w:w="1694" w:type="dxa"/>
            <w:noWrap/>
            <w:hideMark/>
          </w:tcPr>
          <w:p w14:paraId="432E47AA" w14:textId="5F098D64"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8,937,985.94</w:t>
            </w:r>
          </w:p>
        </w:tc>
        <w:tc>
          <w:tcPr>
            <w:tcW w:w="1694" w:type="dxa"/>
            <w:noWrap/>
            <w:hideMark/>
          </w:tcPr>
          <w:p w14:paraId="618021D1" w14:textId="204194FE"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687,537.38</w:t>
            </w:r>
          </w:p>
        </w:tc>
        <w:tc>
          <w:tcPr>
            <w:tcW w:w="1553" w:type="dxa"/>
            <w:hideMark/>
          </w:tcPr>
          <w:p w14:paraId="0B9E3FB2" w14:textId="0DCA6190"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993,500.10</w:t>
            </w:r>
          </w:p>
        </w:tc>
        <w:tc>
          <w:tcPr>
            <w:tcW w:w="1590" w:type="dxa"/>
            <w:gridSpan w:val="2"/>
            <w:hideMark/>
          </w:tcPr>
          <w:p w14:paraId="50FE514D" w14:textId="6F383963"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344,920.70</w:t>
            </w:r>
          </w:p>
        </w:tc>
      </w:tr>
      <w:tr w:rsidR="001C3DCE" w:rsidRPr="00B309D7" w14:paraId="16B305DB" w14:textId="77777777" w:rsidTr="00B309D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AE10579" w14:textId="77777777" w:rsidR="001C3DCE" w:rsidRPr="00B309D7" w:rsidRDefault="001C3DCE" w:rsidP="00955E6E">
            <w:pPr>
              <w:pStyle w:val="Tabletextcentre"/>
            </w:pPr>
            <w:r w:rsidRPr="00B309D7">
              <w:t>Stream 2</w:t>
            </w:r>
          </w:p>
        </w:tc>
        <w:tc>
          <w:tcPr>
            <w:tcW w:w="1271" w:type="dxa"/>
            <w:noWrap/>
            <w:hideMark/>
          </w:tcPr>
          <w:p w14:paraId="059BE1A1" w14:textId="77777777"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6</w:t>
            </w:r>
          </w:p>
        </w:tc>
        <w:tc>
          <w:tcPr>
            <w:tcW w:w="1694" w:type="dxa"/>
            <w:noWrap/>
            <w:hideMark/>
          </w:tcPr>
          <w:p w14:paraId="482B9BD4" w14:textId="0C8228DF"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28,223,048.45</w:t>
            </w:r>
          </w:p>
        </w:tc>
        <w:tc>
          <w:tcPr>
            <w:tcW w:w="1694" w:type="dxa"/>
            <w:noWrap/>
            <w:hideMark/>
          </w:tcPr>
          <w:p w14:paraId="4C05F2A6" w14:textId="0EFD8D5F"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4,703,841.41</w:t>
            </w:r>
          </w:p>
        </w:tc>
        <w:tc>
          <w:tcPr>
            <w:tcW w:w="1553" w:type="dxa"/>
            <w:hideMark/>
          </w:tcPr>
          <w:p w14:paraId="1B3AB3F5" w14:textId="280D7B20"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4,999,953.60</w:t>
            </w:r>
          </w:p>
        </w:tc>
        <w:tc>
          <w:tcPr>
            <w:tcW w:w="1590" w:type="dxa"/>
            <w:gridSpan w:val="2"/>
            <w:hideMark/>
          </w:tcPr>
          <w:p w14:paraId="361675D4" w14:textId="5AFE7703"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3,470,823.35</w:t>
            </w:r>
          </w:p>
        </w:tc>
      </w:tr>
      <w:tr w:rsidR="001C3DCE" w:rsidRPr="00B309D7" w14:paraId="5044F9FE" w14:textId="77777777" w:rsidTr="00B309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CF4731B" w14:textId="77777777" w:rsidR="001C3DCE" w:rsidRPr="00B309D7" w:rsidRDefault="001C3DCE" w:rsidP="00955E6E">
            <w:pPr>
              <w:pStyle w:val="Tabletextcentre"/>
            </w:pPr>
            <w:r w:rsidRPr="00B309D7">
              <w:t>Stream 3</w:t>
            </w:r>
          </w:p>
        </w:tc>
        <w:tc>
          <w:tcPr>
            <w:tcW w:w="1271" w:type="dxa"/>
            <w:noWrap/>
            <w:hideMark/>
          </w:tcPr>
          <w:p w14:paraId="78F0B6C3" w14:textId="77777777"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6</w:t>
            </w:r>
          </w:p>
        </w:tc>
        <w:tc>
          <w:tcPr>
            <w:tcW w:w="1694" w:type="dxa"/>
            <w:noWrap/>
            <w:hideMark/>
          </w:tcPr>
          <w:p w14:paraId="45A03CAB" w14:textId="7866A9EE"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rPr>
                <w:highlight w:val="yellow"/>
              </w:rPr>
            </w:pPr>
            <w:r w:rsidRPr="00B309D7">
              <w:t>5,175,530.68</w:t>
            </w:r>
          </w:p>
        </w:tc>
        <w:tc>
          <w:tcPr>
            <w:tcW w:w="1694" w:type="dxa"/>
            <w:noWrap/>
            <w:hideMark/>
          </w:tcPr>
          <w:p w14:paraId="2F444044" w14:textId="302538B9"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rPr>
                <w:highlight w:val="yellow"/>
              </w:rPr>
            </w:pPr>
            <w:r w:rsidRPr="00B309D7">
              <w:t>862,588.45</w:t>
            </w:r>
          </w:p>
        </w:tc>
        <w:tc>
          <w:tcPr>
            <w:tcW w:w="1553" w:type="dxa"/>
            <w:hideMark/>
          </w:tcPr>
          <w:p w14:paraId="686249DE" w14:textId="28393BBD"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1,279,641.90</w:t>
            </w:r>
          </w:p>
        </w:tc>
        <w:tc>
          <w:tcPr>
            <w:tcW w:w="1590" w:type="dxa"/>
            <w:gridSpan w:val="2"/>
            <w:hideMark/>
          </w:tcPr>
          <w:p w14:paraId="1DB8A956" w14:textId="6F28853B" w:rsidR="001C3DCE" w:rsidRPr="00B309D7" w:rsidRDefault="001C3DCE"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469,078.50</w:t>
            </w:r>
          </w:p>
        </w:tc>
      </w:tr>
      <w:tr w:rsidR="001C3DCE" w:rsidRPr="00B309D7" w14:paraId="477A014B" w14:textId="77777777" w:rsidTr="00B309D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137767F" w14:textId="77777777" w:rsidR="001C3DCE" w:rsidRPr="00B309D7" w:rsidRDefault="001C3DCE" w:rsidP="00955E6E">
            <w:pPr>
              <w:pStyle w:val="Tabletextcentre"/>
            </w:pPr>
            <w:r w:rsidRPr="00B309D7">
              <w:t>All streams</w:t>
            </w:r>
          </w:p>
        </w:tc>
        <w:tc>
          <w:tcPr>
            <w:tcW w:w="1271" w:type="dxa"/>
            <w:noWrap/>
            <w:hideMark/>
          </w:tcPr>
          <w:p w14:paraId="47C984DB" w14:textId="77777777"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25</w:t>
            </w:r>
          </w:p>
        </w:tc>
        <w:tc>
          <w:tcPr>
            <w:tcW w:w="1694" w:type="dxa"/>
            <w:noWrap/>
            <w:hideMark/>
          </w:tcPr>
          <w:p w14:paraId="18FAB189" w14:textId="15921523"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42,336,565.07</w:t>
            </w:r>
          </w:p>
        </w:tc>
        <w:tc>
          <w:tcPr>
            <w:tcW w:w="1694" w:type="dxa"/>
            <w:noWrap/>
            <w:hideMark/>
          </w:tcPr>
          <w:p w14:paraId="647989E4" w14:textId="1EFDE86D"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1,693,462.60</w:t>
            </w:r>
          </w:p>
        </w:tc>
        <w:tc>
          <w:tcPr>
            <w:tcW w:w="1553" w:type="dxa"/>
            <w:hideMark/>
          </w:tcPr>
          <w:p w14:paraId="25ABE7B7" w14:textId="36B59595"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4,999,953.60</w:t>
            </w:r>
          </w:p>
        </w:tc>
        <w:tc>
          <w:tcPr>
            <w:tcW w:w="1590" w:type="dxa"/>
            <w:gridSpan w:val="2"/>
            <w:hideMark/>
          </w:tcPr>
          <w:p w14:paraId="4EE522EF" w14:textId="008C0BCB" w:rsidR="001C3DCE" w:rsidRPr="00B309D7" w:rsidRDefault="001C3DCE"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344,920.70</w:t>
            </w:r>
          </w:p>
        </w:tc>
      </w:tr>
    </w:tbl>
    <w:p w14:paraId="775CE61C" w14:textId="3B8947FC" w:rsidR="00421960" w:rsidRPr="002912DA" w:rsidRDefault="007E783B" w:rsidP="002912DA">
      <w:r w:rsidRPr="002912DA">
        <w:t>The 2023 grant opportunity showed a decrease in the number of applications across all streams, which is reflected in the overall funding rates (see Table 2). Funded rates after GAC assessment also increased from 2021, however not to as great an extent as the overall funded rate (Table 2, Figure 2). The number of grants awarded within the 2023 grant opportunity across Streams 2 and 3 was similar to the 2021 grant opportunity</w:t>
      </w:r>
      <w:r w:rsidR="006746F3" w:rsidRPr="002912DA">
        <w:t xml:space="preserve">, however </w:t>
      </w:r>
      <w:r w:rsidR="009D16A1" w:rsidRPr="002912DA">
        <w:t xml:space="preserve">the total value awarded to Stream 3 grants was </w:t>
      </w:r>
      <w:r w:rsidR="00DD05F9" w:rsidRPr="002912DA">
        <w:t xml:space="preserve">$3 million </w:t>
      </w:r>
      <w:r w:rsidR="009D16A1" w:rsidRPr="002912DA">
        <w:t>lower</w:t>
      </w:r>
      <w:r w:rsidR="00C2681E" w:rsidRPr="002912DA">
        <w:t xml:space="preserve"> in 2023 compa</w:t>
      </w:r>
      <w:r w:rsidR="004656FF" w:rsidRPr="002912DA">
        <w:t>r</w:t>
      </w:r>
      <w:r w:rsidR="00C2681E" w:rsidRPr="002912DA">
        <w:t>ed to 2</w:t>
      </w:r>
      <w:r w:rsidR="004656FF" w:rsidRPr="002912DA">
        <w:t>021</w:t>
      </w:r>
      <w:r w:rsidRPr="002912DA">
        <w:t>. Stream 1 recorded an increase in the number of grants awarded (</w:t>
      </w:r>
      <w:r w:rsidR="00D10606">
        <w:fldChar w:fldCharType="begin"/>
      </w:r>
      <w:r w:rsidR="00D10606">
        <w:instrText xml:space="preserve"> REF _Ref169009240 \h </w:instrText>
      </w:r>
      <w:r w:rsidR="00D10606">
        <w:fldChar w:fldCharType="separate"/>
      </w:r>
      <w:r w:rsidR="00D10606">
        <w:t xml:space="preserve">Table </w:t>
      </w:r>
      <w:r w:rsidR="00D10606">
        <w:rPr>
          <w:noProof/>
        </w:rPr>
        <w:t>2</w:t>
      </w:r>
      <w:r w:rsidR="00D10606">
        <w:fldChar w:fldCharType="end"/>
      </w:r>
      <w:r w:rsidRPr="002912DA">
        <w:t xml:space="preserve">, </w:t>
      </w:r>
      <w:r w:rsidR="00D10606">
        <w:fldChar w:fldCharType="begin"/>
      </w:r>
      <w:r w:rsidR="00D10606">
        <w:instrText xml:space="preserve"> REF _Ref169009228 \h </w:instrText>
      </w:r>
      <w:r w:rsidR="00D10606">
        <w:fldChar w:fldCharType="separate"/>
      </w:r>
      <w:r w:rsidR="00D10606">
        <w:t xml:space="preserve">Figure </w:t>
      </w:r>
      <w:r w:rsidR="00D10606">
        <w:rPr>
          <w:noProof/>
        </w:rPr>
        <w:t>3</w:t>
      </w:r>
      <w:r w:rsidR="00D10606">
        <w:fldChar w:fldCharType="end"/>
      </w:r>
      <w:r w:rsidRPr="002912DA">
        <w:t>). This reflects the</w:t>
      </w:r>
      <w:r w:rsidRPr="002912DA" w:rsidDel="00951E93">
        <w:t xml:space="preserve"> </w:t>
      </w:r>
      <w:r w:rsidR="00680EA9" w:rsidRPr="002912DA">
        <w:t xml:space="preserve">$2 million </w:t>
      </w:r>
      <w:r w:rsidR="00951E93" w:rsidRPr="002912DA">
        <w:t xml:space="preserve">increased </w:t>
      </w:r>
      <w:r w:rsidRPr="002912DA">
        <w:t>allocation for Stream 1 within the 2023 grant opportunity. In total, an additional $2</w:t>
      </w:r>
      <w:r w:rsidR="00680EA9" w:rsidRPr="002912DA">
        <w:t>.5</w:t>
      </w:r>
      <w:r w:rsidRPr="002912DA">
        <w:t xml:space="preserve"> million of funding was awarded to Stream 1 projects led by early career researchers</w:t>
      </w:r>
      <w:r w:rsidR="00897A60" w:rsidRPr="002912DA">
        <w:t xml:space="preserve"> in 2023 as compared to 2021</w:t>
      </w:r>
      <w:r w:rsidRPr="002912DA">
        <w:t>.</w:t>
      </w:r>
    </w:p>
    <w:p w14:paraId="42CCA7F5" w14:textId="79582EB0" w:rsidR="007E783B" w:rsidRPr="004E73C7" w:rsidRDefault="00955E6E" w:rsidP="00955E6E">
      <w:pPr>
        <w:pStyle w:val="Caption"/>
      </w:pPr>
      <w:bookmarkStart w:id="8" w:name="_Ref169009240"/>
      <w:r>
        <w:t xml:space="preserve">Table </w:t>
      </w:r>
      <w:r>
        <w:fldChar w:fldCharType="begin"/>
      </w:r>
      <w:r>
        <w:instrText xml:space="preserve"> SEQ Table \* ARABIC </w:instrText>
      </w:r>
      <w:r>
        <w:fldChar w:fldCharType="separate"/>
      </w:r>
      <w:r w:rsidR="00D85F07">
        <w:rPr>
          <w:noProof/>
        </w:rPr>
        <w:t>2</w:t>
      </w:r>
      <w:r>
        <w:fldChar w:fldCharType="end"/>
      </w:r>
      <w:bookmarkEnd w:id="8"/>
      <w:r w:rsidR="007E783B" w:rsidRPr="00FD195F">
        <w:t xml:space="preserve"> – Number of applications, applications considered by GAC, and grants awarded per stream</w:t>
      </w:r>
    </w:p>
    <w:tbl>
      <w:tblPr>
        <w:tblStyle w:val="DepartmentofHealthtable"/>
        <w:tblW w:w="9125" w:type="dxa"/>
        <w:tblLook w:val="04A0" w:firstRow="1" w:lastRow="0" w:firstColumn="1" w:lastColumn="0" w:noHBand="0" w:noVBand="1"/>
      </w:tblPr>
      <w:tblGrid>
        <w:gridCol w:w="907"/>
        <w:gridCol w:w="543"/>
        <w:gridCol w:w="1231"/>
        <w:gridCol w:w="1277"/>
        <w:gridCol w:w="899"/>
        <w:gridCol w:w="813"/>
        <w:gridCol w:w="838"/>
        <w:gridCol w:w="1312"/>
        <w:gridCol w:w="1305"/>
      </w:tblGrid>
      <w:tr w:rsidR="00B309D7" w:rsidRPr="00B309D7" w14:paraId="73C4CEC4" w14:textId="77777777" w:rsidTr="00CD59E2">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907" w:type="dxa"/>
            <w:hideMark/>
          </w:tcPr>
          <w:p w14:paraId="40543B78" w14:textId="77777777" w:rsidR="007E783B" w:rsidRPr="00B309D7" w:rsidRDefault="007E783B" w:rsidP="00955E6E">
            <w:pPr>
              <w:pStyle w:val="StyleTableHeaderWhite"/>
            </w:pPr>
            <w:r w:rsidRPr="00B309D7">
              <w:t>Stream</w:t>
            </w:r>
          </w:p>
        </w:tc>
        <w:tc>
          <w:tcPr>
            <w:tcW w:w="0" w:type="auto"/>
            <w:hideMark/>
          </w:tcPr>
          <w:p w14:paraId="7A7A3FC9" w14:textId="77777777" w:rsidR="007E783B"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Year</w:t>
            </w:r>
          </w:p>
        </w:tc>
        <w:tc>
          <w:tcPr>
            <w:tcW w:w="0" w:type="auto"/>
            <w:hideMark/>
          </w:tcPr>
          <w:p w14:paraId="3EEDF004" w14:textId="42B403A9" w:rsidR="00B927F8"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Applications</w:t>
            </w:r>
            <w:r w:rsidR="00CD59E2">
              <w:t xml:space="preserve"> </w:t>
            </w:r>
            <w:r w:rsidR="00B927F8" w:rsidRPr="00B309D7">
              <w:t>(n)</w:t>
            </w:r>
          </w:p>
        </w:tc>
        <w:tc>
          <w:tcPr>
            <w:tcW w:w="0" w:type="auto"/>
            <w:hideMark/>
          </w:tcPr>
          <w:p w14:paraId="491D95CE" w14:textId="428BBFFA" w:rsidR="00B927F8"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Applications assessed</w:t>
            </w:r>
            <w:r w:rsidR="00421960" w:rsidRPr="00B309D7">
              <w:t xml:space="preserve"> by GAC</w:t>
            </w:r>
            <w:r w:rsidR="002912DA">
              <w:t xml:space="preserve"> </w:t>
            </w:r>
            <w:r w:rsidR="00B927F8" w:rsidRPr="00B309D7">
              <w:t>(n)</w:t>
            </w:r>
          </w:p>
        </w:tc>
        <w:tc>
          <w:tcPr>
            <w:tcW w:w="0" w:type="auto"/>
            <w:hideMark/>
          </w:tcPr>
          <w:p w14:paraId="0F08DD33" w14:textId="61D542E2" w:rsidR="00B927F8"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Grants awarded</w:t>
            </w:r>
            <w:r w:rsidR="002912DA">
              <w:t xml:space="preserve"> </w:t>
            </w:r>
            <w:r w:rsidR="00B927F8" w:rsidRPr="00B309D7">
              <w:t>(n)</w:t>
            </w:r>
          </w:p>
        </w:tc>
        <w:tc>
          <w:tcPr>
            <w:tcW w:w="0" w:type="auto"/>
            <w:hideMark/>
          </w:tcPr>
          <w:p w14:paraId="621AAD70" w14:textId="77777777" w:rsidR="007E783B"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Funded rate (%)</w:t>
            </w:r>
          </w:p>
        </w:tc>
        <w:tc>
          <w:tcPr>
            <w:tcW w:w="0" w:type="auto"/>
            <w:hideMark/>
          </w:tcPr>
          <w:p w14:paraId="347C9F91" w14:textId="77777777" w:rsidR="007E783B"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Funded rate after GAC (%)</w:t>
            </w:r>
          </w:p>
        </w:tc>
        <w:tc>
          <w:tcPr>
            <w:tcW w:w="0" w:type="auto"/>
            <w:hideMark/>
          </w:tcPr>
          <w:p w14:paraId="2C025D83" w14:textId="0AB28E83" w:rsidR="007E783B"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Stream allocation ($)</w:t>
            </w:r>
          </w:p>
        </w:tc>
        <w:tc>
          <w:tcPr>
            <w:tcW w:w="0" w:type="auto"/>
            <w:hideMark/>
          </w:tcPr>
          <w:p w14:paraId="71CA2A47" w14:textId="77777777" w:rsidR="007E783B" w:rsidRPr="00B309D7" w:rsidRDefault="007E783B" w:rsidP="00955E6E">
            <w:pPr>
              <w:pStyle w:val="StyleTableHeaderWhite"/>
              <w:cnfStyle w:val="100000000000" w:firstRow="1" w:lastRow="0" w:firstColumn="0" w:lastColumn="0" w:oddVBand="0" w:evenVBand="0" w:oddHBand="0" w:evenHBand="0" w:firstRowFirstColumn="0" w:firstRowLastColumn="0" w:lastRowFirstColumn="0" w:lastRowLastColumn="0"/>
            </w:pPr>
            <w:r w:rsidRPr="00B309D7">
              <w:t>Value awarded ($)</w:t>
            </w:r>
          </w:p>
        </w:tc>
      </w:tr>
      <w:tr w:rsidR="00B309D7" w:rsidRPr="00B309D7" w14:paraId="686B4688" w14:textId="77777777" w:rsidTr="00CD59E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val="restart"/>
            <w:hideMark/>
          </w:tcPr>
          <w:p w14:paraId="603D2179" w14:textId="5D291C98" w:rsidR="003121F0" w:rsidRPr="00B309D7" w:rsidRDefault="003121F0" w:rsidP="00955E6E">
            <w:pPr>
              <w:pStyle w:val="Tabletextcentre"/>
            </w:pPr>
            <w:r w:rsidRPr="00B309D7">
              <w:t>1 </w:t>
            </w:r>
          </w:p>
        </w:tc>
        <w:tc>
          <w:tcPr>
            <w:tcW w:w="0" w:type="auto"/>
            <w:hideMark/>
          </w:tcPr>
          <w:p w14:paraId="243A0AEE"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2023</w:t>
            </w:r>
          </w:p>
        </w:tc>
        <w:tc>
          <w:tcPr>
            <w:tcW w:w="0" w:type="auto"/>
            <w:hideMark/>
          </w:tcPr>
          <w:p w14:paraId="61C21C7C"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93</w:t>
            </w:r>
          </w:p>
        </w:tc>
        <w:tc>
          <w:tcPr>
            <w:tcW w:w="0" w:type="auto"/>
            <w:hideMark/>
          </w:tcPr>
          <w:p w14:paraId="6ECB9A95"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54</w:t>
            </w:r>
          </w:p>
        </w:tc>
        <w:tc>
          <w:tcPr>
            <w:tcW w:w="0" w:type="auto"/>
            <w:hideMark/>
          </w:tcPr>
          <w:p w14:paraId="13F648A8"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13</w:t>
            </w:r>
          </w:p>
        </w:tc>
        <w:tc>
          <w:tcPr>
            <w:tcW w:w="0" w:type="auto"/>
            <w:hideMark/>
          </w:tcPr>
          <w:p w14:paraId="6A4E18B0"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14</w:t>
            </w:r>
          </w:p>
        </w:tc>
        <w:tc>
          <w:tcPr>
            <w:tcW w:w="0" w:type="auto"/>
            <w:hideMark/>
          </w:tcPr>
          <w:p w14:paraId="511618F7"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24.1</w:t>
            </w:r>
          </w:p>
        </w:tc>
        <w:tc>
          <w:tcPr>
            <w:tcW w:w="0" w:type="auto"/>
            <w:hideMark/>
          </w:tcPr>
          <w:p w14:paraId="57C88D54" w14:textId="64EF6B5A"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9,000,000.00</w:t>
            </w:r>
          </w:p>
        </w:tc>
        <w:tc>
          <w:tcPr>
            <w:tcW w:w="0" w:type="auto"/>
            <w:hideMark/>
          </w:tcPr>
          <w:p w14:paraId="43E2A1F0"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8,937,985.94</w:t>
            </w:r>
          </w:p>
        </w:tc>
      </w:tr>
      <w:tr w:rsidR="00B309D7" w:rsidRPr="00B309D7" w14:paraId="5BDFD904" w14:textId="77777777" w:rsidTr="00CD59E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hideMark/>
          </w:tcPr>
          <w:p w14:paraId="767DC125" w14:textId="035C7BE6" w:rsidR="003121F0" w:rsidRPr="00B309D7" w:rsidRDefault="003121F0" w:rsidP="00955E6E">
            <w:pPr>
              <w:pStyle w:val="Tabletextcentre"/>
            </w:pPr>
          </w:p>
        </w:tc>
        <w:tc>
          <w:tcPr>
            <w:tcW w:w="0" w:type="auto"/>
            <w:hideMark/>
          </w:tcPr>
          <w:p w14:paraId="51679E4E"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2021</w:t>
            </w:r>
          </w:p>
        </w:tc>
        <w:tc>
          <w:tcPr>
            <w:tcW w:w="0" w:type="auto"/>
            <w:hideMark/>
          </w:tcPr>
          <w:p w14:paraId="0F30E58A"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307</w:t>
            </w:r>
          </w:p>
        </w:tc>
        <w:tc>
          <w:tcPr>
            <w:tcW w:w="0" w:type="auto"/>
            <w:hideMark/>
          </w:tcPr>
          <w:p w14:paraId="61E29262"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53</w:t>
            </w:r>
          </w:p>
        </w:tc>
        <w:tc>
          <w:tcPr>
            <w:tcW w:w="0" w:type="auto"/>
            <w:hideMark/>
          </w:tcPr>
          <w:p w14:paraId="4C169CBB"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9</w:t>
            </w:r>
          </w:p>
        </w:tc>
        <w:tc>
          <w:tcPr>
            <w:tcW w:w="0" w:type="auto"/>
            <w:hideMark/>
          </w:tcPr>
          <w:p w14:paraId="1A8797B0"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2.9</w:t>
            </w:r>
          </w:p>
        </w:tc>
        <w:tc>
          <w:tcPr>
            <w:tcW w:w="0" w:type="auto"/>
            <w:hideMark/>
          </w:tcPr>
          <w:p w14:paraId="5ED3080A"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17</w:t>
            </w:r>
          </w:p>
        </w:tc>
        <w:tc>
          <w:tcPr>
            <w:tcW w:w="0" w:type="auto"/>
            <w:hideMark/>
          </w:tcPr>
          <w:p w14:paraId="60E83DF3" w14:textId="1BF365DB"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7,000,000.00</w:t>
            </w:r>
          </w:p>
        </w:tc>
        <w:tc>
          <w:tcPr>
            <w:tcW w:w="0" w:type="auto"/>
            <w:hideMark/>
          </w:tcPr>
          <w:p w14:paraId="489D76B5"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6,416,096.00</w:t>
            </w:r>
          </w:p>
        </w:tc>
      </w:tr>
      <w:tr w:rsidR="00B309D7" w:rsidRPr="00B309D7" w14:paraId="18279B4D" w14:textId="77777777" w:rsidTr="00CD59E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val="restart"/>
            <w:hideMark/>
          </w:tcPr>
          <w:p w14:paraId="3595516F" w14:textId="446F2057" w:rsidR="003121F0" w:rsidRPr="00B309D7" w:rsidRDefault="003121F0" w:rsidP="00955E6E">
            <w:pPr>
              <w:pStyle w:val="Tabletextcentre"/>
            </w:pPr>
            <w:r w:rsidRPr="00B309D7">
              <w:lastRenderedPageBreak/>
              <w:t>2</w:t>
            </w:r>
          </w:p>
        </w:tc>
        <w:tc>
          <w:tcPr>
            <w:tcW w:w="0" w:type="auto"/>
            <w:hideMark/>
          </w:tcPr>
          <w:p w14:paraId="3C61E724"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2023</w:t>
            </w:r>
          </w:p>
        </w:tc>
        <w:tc>
          <w:tcPr>
            <w:tcW w:w="0" w:type="auto"/>
            <w:hideMark/>
          </w:tcPr>
          <w:p w14:paraId="12ED256D"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41</w:t>
            </w:r>
          </w:p>
        </w:tc>
        <w:tc>
          <w:tcPr>
            <w:tcW w:w="0" w:type="auto"/>
            <w:hideMark/>
          </w:tcPr>
          <w:p w14:paraId="2EC175CE"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23</w:t>
            </w:r>
          </w:p>
        </w:tc>
        <w:tc>
          <w:tcPr>
            <w:tcW w:w="0" w:type="auto"/>
            <w:hideMark/>
          </w:tcPr>
          <w:p w14:paraId="4ED123F2"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6</w:t>
            </w:r>
          </w:p>
        </w:tc>
        <w:tc>
          <w:tcPr>
            <w:tcW w:w="0" w:type="auto"/>
            <w:hideMark/>
          </w:tcPr>
          <w:p w14:paraId="485CD906"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14.6</w:t>
            </w:r>
          </w:p>
        </w:tc>
        <w:tc>
          <w:tcPr>
            <w:tcW w:w="0" w:type="auto"/>
            <w:hideMark/>
          </w:tcPr>
          <w:p w14:paraId="2CFE9A6A"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26.1</w:t>
            </w:r>
          </w:p>
        </w:tc>
        <w:tc>
          <w:tcPr>
            <w:tcW w:w="0" w:type="auto"/>
            <w:hideMark/>
          </w:tcPr>
          <w:p w14:paraId="3E76A92D" w14:textId="56A0043A"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25,800,000.00</w:t>
            </w:r>
          </w:p>
        </w:tc>
        <w:tc>
          <w:tcPr>
            <w:tcW w:w="0" w:type="auto"/>
            <w:hideMark/>
          </w:tcPr>
          <w:p w14:paraId="694506ED"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28,223,048.45</w:t>
            </w:r>
          </w:p>
        </w:tc>
      </w:tr>
      <w:tr w:rsidR="00B309D7" w:rsidRPr="00B309D7" w14:paraId="594EC688" w14:textId="77777777" w:rsidTr="00CD59E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hideMark/>
          </w:tcPr>
          <w:p w14:paraId="427D8D59" w14:textId="32764F4F" w:rsidR="003121F0" w:rsidRPr="00B309D7" w:rsidRDefault="003121F0" w:rsidP="00955E6E">
            <w:pPr>
              <w:pStyle w:val="Tabletextcentre"/>
            </w:pPr>
          </w:p>
        </w:tc>
        <w:tc>
          <w:tcPr>
            <w:tcW w:w="0" w:type="auto"/>
            <w:hideMark/>
          </w:tcPr>
          <w:p w14:paraId="65A467E5"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2021</w:t>
            </w:r>
          </w:p>
        </w:tc>
        <w:tc>
          <w:tcPr>
            <w:tcW w:w="0" w:type="auto"/>
            <w:hideMark/>
          </w:tcPr>
          <w:p w14:paraId="6F32B0DA"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100</w:t>
            </w:r>
          </w:p>
        </w:tc>
        <w:tc>
          <w:tcPr>
            <w:tcW w:w="0" w:type="auto"/>
            <w:hideMark/>
          </w:tcPr>
          <w:p w14:paraId="06B79449"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30</w:t>
            </w:r>
          </w:p>
        </w:tc>
        <w:tc>
          <w:tcPr>
            <w:tcW w:w="0" w:type="auto"/>
            <w:hideMark/>
          </w:tcPr>
          <w:p w14:paraId="4BC05603"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6</w:t>
            </w:r>
          </w:p>
        </w:tc>
        <w:tc>
          <w:tcPr>
            <w:tcW w:w="0" w:type="auto"/>
            <w:hideMark/>
          </w:tcPr>
          <w:p w14:paraId="2CB09259"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6</w:t>
            </w:r>
          </w:p>
        </w:tc>
        <w:tc>
          <w:tcPr>
            <w:tcW w:w="0" w:type="auto"/>
            <w:hideMark/>
          </w:tcPr>
          <w:p w14:paraId="0CEB3155"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20</w:t>
            </w:r>
          </w:p>
        </w:tc>
        <w:tc>
          <w:tcPr>
            <w:tcW w:w="0" w:type="auto"/>
            <w:hideMark/>
          </w:tcPr>
          <w:p w14:paraId="35D04AEB" w14:textId="2AF30418"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25,800,000.00</w:t>
            </w:r>
          </w:p>
        </w:tc>
        <w:tc>
          <w:tcPr>
            <w:tcW w:w="0" w:type="auto"/>
            <w:hideMark/>
          </w:tcPr>
          <w:p w14:paraId="12D6E653"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28,196,959.00</w:t>
            </w:r>
          </w:p>
        </w:tc>
      </w:tr>
      <w:tr w:rsidR="00B309D7" w:rsidRPr="00B309D7" w14:paraId="7813F995" w14:textId="77777777" w:rsidTr="00CD59E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val="restart"/>
            <w:hideMark/>
          </w:tcPr>
          <w:p w14:paraId="3E233B14" w14:textId="3ACB6EA0" w:rsidR="003121F0" w:rsidRPr="00B309D7" w:rsidRDefault="003121F0" w:rsidP="00955E6E">
            <w:pPr>
              <w:pStyle w:val="Tabletextcentre"/>
            </w:pPr>
            <w:r w:rsidRPr="00B309D7">
              <w:t>3</w:t>
            </w:r>
          </w:p>
        </w:tc>
        <w:tc>
          <w:tcPr>
            <w:tcW w:w="0" w:type="auto"/>
            <w:hideMark/>
          </w:tcPr>
          <w:p w14:paraId="689E48C7"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2023</w:t>
            </w:r>
          </w:p>
        </w:tc>
        <w:tc>
          <w:tcPr>
            <w:tcW w:w="0" w:type="auto"/>
            <w:hideMark/>
          </w:tcPr>
          <w:p w14:paraId="1B5AE452"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11</w:t>
            </w:r>
          </w:p>
        </w:tc>
        <w:tc>
          <w:tcPr>
            <w:tcW w:w="0" w:type="auto"/>
            <w:hideMark/>
          </w:tcPr>
          <w:p w14:paraId="08F5D218"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11</w:t>
            </w:r>
          </w:p>
        </w:tc>
        <w:tc>
          <w:tcPr>
            <w:tcW w:w="0" w:type="auto"/>
            <w:hideMark/>
          </w:tcPr>
          <w:p w14:paraId="59898DF3"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6</w:t>
            </w:r>
          </w:p>
        </w:tc>
        <w:tc>
          <w:tcPr>
            <w:tcW w:w="0" w:type="auto"/>
            <w:hideMark/>
          </w:tcPr>
          <w:p w14:paraId="0D179C11"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54.5</w:t>
            </w:r>
          </w:p>
        </w:tc>
        <w:tc>
          <w:tcPr>
            <w:tcW w:w="0" w:type="auto"/>
            <w:hideMark/>
          </w:tcPr>
          <w:p w14:paraId="5DCAE428"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54.5</w:t>
            </w:r>
          </w:p>
        </w:tc>
        <w:tc>
          <w:tcPr>
            <w:tcW w:w="0" w:type="auto"/>
            <w:hideMark/>
          </w:tcPr>
          <w:p w14:paraId="4B9FC446" w14:textId="0B0FDD85"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10,000,000.00</w:t>
            </w:r>
          </w:p>
        </w:tc>
        <w:tc>
          <w:tcPr>
            <w:tcW w:w="0" w:type="auto"/>
            <w:hideMark/>
          </w:tcPr>
          <w:p w14:paraId="4B3980EE" w14:textId="77777777" w:rsidR="003121F0" w:rsidRPr="00B309D7" w:rsidRDefault="003121F0"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5,175,530.68</w:t>
            </w:r>
          </w:p>
        </w:tc>
      </w:tr>
      <w:tr w:rsidR="00B309D7" w:rsidRPr="00B309D7" w14:paraId="3AF68FB1" w14:textId="77777777" w:rsidTr="00CD59E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hideMark/>
          </w:tcPr>
          <w:p w14:paraId="315AC224" w14:textId="1D43802C" w:rsidR="003121F0" w:rsidRPr="00B309D7" w:rsidRDefault="003121F0" w:rsidP="00B309D7"/>
        </w:tc>
        <w:tc>
          <w:tcPr>
            <w:tcW w:w="0" w:type="auto"/>
            <w:hideMark/>
          </w:tcPr>
          <w:p w14:paraId="01D6A00C"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2021</w:t>
            </w:r>
          </w:p>
        </w:tc>
        <w:tc>
          <w:tcPr>
            <w:tcW w:w="0" w:type="auto"/>
            <w:hideMark/>
          </w:tcPr>
          <w:p w14:paraId="21C68BFB"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21</w:t>
            </w:r>
          </w:p>
        </w:tc>
        <w:tc>
          <w:tcPr>
            <w:tcW w:w="0" w:type="auto"/>
            <w:hideMark/>
          </w:tcPr>
          <w:p w14:paraId="58F4E8B0"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16</w:t>
            </w:r>
          </w:p>
        </w:tc>
        <w:tc>
          <w:tcPr>
            <w:tcW w:w="0" w:type="auto"/>
            <w:hideMark/>
          </w:tcPr>
          <w:p w14:paraId="468F83E0"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8</w:t>
            </w:r>
          </w:p>
        </w:tc>
        <w:tc>
          <w:tcPr>
            <w:tcW w:w="0" w:type="auto"/>
            <w:hideMark/>
          </w:tcPr>
          <w:p w14:paraId="0AC2FD59"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38.1</w:t>
            </w:r>
          </w:p>
        </w:tc>
        <w:tc>
          <w:tcPr>
            <w:tcW w:w="0" w:type="auto"/>
            <w:hideMark/>
          </w:tcPr>
          <w:p w14:paraId="757DF20E"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50</w:t>
            </w:r>
          </w:p>
        </w:tc>
        <w:tc>
          <w:tcPr>
            <w:tcW w:w="0" w:type="auto"/>
            <w:hideMark/>
          </w:tcPr>
          <w:p w14:paraId="7BBC0229" w14:textId="4362E715"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10,000,000.00</w:t>
            </w:r>
          </w:p>
        </w:tc>
        <w:tc>
          <w:tcPr>
            <w:tcW w:w="0" w:type="auto"/>
            <w:hideMark/>
          </w:tcPr>
          <w:p w14:paraId="76ABE17E" w14:textId="77777777" w:rsidR="003121F0" w:rsidRPr="00B309D7" w:rsidRDefault="003121F0"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8,186,945.00</w:t>
            </w:r>
          </w:p>
        </w:tc>
      </w:tr>
      <w:tr w:rsidR="00B309D7" w:rsidRPr="00B309D7" w14:paraId="1F42CA4A" w14:textId="77777777" w:rsidTr="00CD59E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val="restart"/>
            <w:hideMark/>
          </w:tcPr>
          <w:p w14:paraId="53426F56" w14:textId="295FB8F5" w:rsidR="007E783B" w:rsidRPr="00B309D7" w:rsidRDefault="007E783B" w:rsidP="00955E6E">
            <w:pPr>
              <w:pStyle w:val="Tabletextcentre"/>
            </w:pPr>
            <w:r w:rsidRPr="00B309D7">
              <w:t>All streams </w:t>
            </w:r>
          </w:p>
        </w:tc>
        <w:tc>
          <w:tcPr>
            <w:tcW w:w="0" w:type="auto"/>
            <w:hideMark/>
          </w:tcPr>
          <w:p w14:paraId="36B62703" w14:textId="7777777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2023</w:t>
            </w:r>
          </w:p>
        </w:tc>
        <w:tc>
          <w:tcPr>
            <w:tcW w:w="0" w:type="auto"/>
            <w:hideMark/>
          </w:tcPr>
          <w:p w14:paraId="05035FBB" w14:textId="7777777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145</w:t>
            </w:r>
          </w:p>
        </w:tc>
        <w:tc>
          <w:tcPr>
            <w:tcW w:w="0" w:type="auto"/>
            <w:hideMark/>
          </w:tcPr>
          <w:p w14:paraId="6D7C40E7" w14:textId="7777777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88</w:t>
            </w:r>
          </w:p>
        </w:tc>
        <w:tc>
          <w:tcPr>
            <w:tcW w:w="0" w:type="auto"/>
            <w:hideMark/>
          </w:tcPr>
          <w:p w14:paraId="52D2D20E" w14:textId="7777777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25</w:t>
            </w:r>
          </w:p>
        </w:tc>
        <w:tc>
          <w:tcPr>
            <w:tcW w:w="0" w:type="auto"/>
            <w:hideMark/>
          </w:tcPr>
          <w:p w14:paraId="7CD151E7" w14:textId="2C51AA0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17.2</w:t>
            </w:r>
            <w:r w:rsidR="00B86DCB" w:rsidRPr="00B309D7">
              <w:t>*</w:t>
            </w:r>
          </w:p>
        </w:tc>
        <w:tc>
          <w:tcPr>
            <w:tcW w:w="0" w:type="auto"/>
            <w:hideMark/>
          </w:tcPr>
          <w:p w14:paraId="053FFD90" w14:textId="7777777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28.4</w:t>
            </w:r>
          </w:p>
        </w:tc>
        <w:tc>
          <w:tcPr>
            <w:tcW w:w="0" w:type="auto"/>
            <w:hideMark/>
          </w:tcPr>
          <w:p w14:paraId="02EF2D7F" w14:textId="530E66CD"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44</w:t>
            </w:r>
            <w:r w:rsidR="00D5779A" w:rsidRPr="00B309D7">
              <w:t>,</w:t>
            </w:r>
            <w:r w:rsidRPr="00B309D7">
              <w:t>8</w:t>
            </w:r>
            <w:r w:rsidR="00D5779A" w:rsidRPr="00B309D7">
              <w:t>00,000.00</w:t>
            </w:r>
          </w:p>
        </w:tc>
        <w:tc>
          <w:tcPr>
            <w:tcW w:w="0" w:type="auto"/>
            <w:hideMark/>
          </w:tcPr>
          <w:p w14:paraId="2CB10CBF" w14:textId="77777777" w:rsidR="007E783B" w:rsidRPr="00B309D7" w:rsidRDefault="007E783B" w:rsidP="00955E6E">
            <w:pPr>
              <w:pStyle w:val="Tabletextcentre"/>
              <w:cnfStyle w:val="000000100000" w:firstRow="0" w:lastRow="0" w:firstColumn="0" w:lastColumn="0" w:oddVBand="0" w:evenVBand="0" w:oddHBand="1" w:evenHBand="0" w:firstRowFirstColumn="0" w:firstRowLastColumn="0" w:lastRowFirstColumn="0" w:lastRowLastColumn="0"/>
            </w:pPr>
            <w:r w:rsidRPr="00B309D7">
              <w:t>42,336,565.07</w:t>
            </w:r>
          </w:p>
        </w:tc>
      </w:tr>
      <w:tr w:rsidR="00B309D7" w:rsidRPr="00B309D7" w14:paraId="553040AE" w14:textId="77777777" w:rsidTr="00CD59E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7" w:type="dxa"/>
            <w:vMerge/>
            <w:hideMark/>
          </w:tcPr>
          <w:p w14:paraId="60574DA0" w14:textId="77777777" w:rsidR="007E783B" w:rsidRPr="00B309D7" w:rsidRDefault="007E783B" w:rsidP="00955E6E">
            <w:pPr>
              <w:pStyle w:val="Tabletextcentre"/>
            </w:pPr>
          </w:p>
        </w:tc>
        <w:tc>
          <w:tcPr>
            <w:tcW w:w="0" w:type="auto"/>
            <w:hideMark/>
          </w:tcPr>
          <w:p w14:paraId="1049DDAD"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2021</w:t>
            </w:r>
          </w:p>
        </w:tc>
        <w:tc>
          <w:tcPr>
            <w:tcW w:w="0" w:type="auto"/>
            <w:hideMark/>
          </w:tcPr>
          <w:p w14:paraId="7CC9F48F"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428</w:t>
            </w:r>
          </w:p>
        </w:tc>
        <w:tc>
          <w:tcPr>
            <w:tcW w:w="0" w:type="auto"/>
            <w:hideMark/>
          </w:tcPr>
          <w:p w14:paraId="6AB8136C"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99</w:t>
            </w:r>
          </w:p>
        </w:tc>
        <w:tc>
          <w:tcPr>
            <w:tcW w:w="0" w:type="auto"/>
            <w:hideMark/>
          </w:tcPr>
          <w:p w14:paraId="32CE11A4"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23</w:t>
            </w:r>
          </w:p>
        </w:tc>
        <w:tc>
          <w:tcPr>
            <w:tcW w:w="0" w:type="auto"/>
            <w:hideMark/>
          </w:tcPr>
          <w:p w14:paraId="2687A0A3"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5.4</w:t>
            </w:r>
          </w:p>
        </w:tc>
        <w:tc>
          <w:tcPr>
            <w:tcW w:w="0" w:type="auto"/>
            <w:hideMark/>
          </w:tcPr>
          <w:p w14:paraId="3C2A61CF"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23.2</w:t>
            </w:r>
          </w:p>
        </w:tc>
        <w:tc>
          <w:tcPr>
            <w:tcW w:w="0" w:type="auto"/>
            <w:hideMark/>
          </w:tcPr>
          <w:p w14:paraId="40F71ED0" w14:textId="524DBEFE"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42</w:t>
            </w:r>
            <w:r w:rsidR="00D5779A" w:rsidRPr="00B309D7">
              <w:t>,</w:t>
            </w:r>
            <w:r w:rsidRPr="00B309D7">
              <w:t>8</w:t>
            </w:r>
            <w:r w:rsidR="00D5779A" w:rsidRPr="00B309D7">
              <w:t>00,000.00</w:t>
            </w:r>
          </w:p>
        </w:tc>
        <w:tc>
          <w:tcPr>
            <w:tcW w:w="0" w:type="auto"/>
            <w:hideMark/>
          </w:tcPr>
          <w:p w14:paraId="6365D885" w14:textId="77777777" w:rsidR="007E783B" w:rsidRPr="00B309D7" w:rsidRDefault="007E783B" w:rsidP="00955E6E">
            <w:pPr>
              <w:pStyle w:val="Tabletextcentre"/>
              <w:cnfStyle w:val="000000010000" w:firstRow="0" w:lastRow="0" w:firstColumn="0" w:lastColumn="0" w:oddVBand="0" w:evenVBand="0" w:oddHBand="0" w:evenHBand="1" w:firstRowFirstColumn="0" w:firstRowLastColumn="0" w:lastRowFirstColumn="0" w:lastRowLastColumn="0"/>
            </w:pPr>
            <w:r w:rsidRPr="00B309D7">
              <w:t>42,800,000.00</w:t>
            </w:r>
          </w:p>
        </w:tc>
      </w:tr>
    </w:tbl>
    <w:p w14:paraId="372E2F4C" w14:textId="57E7A6D4" w:rsidR="007E783B" w:rsidRPr="00D10606" w:rsidRDefault="00B86DCB" w:rsidP="00D10606">
      <w:pPr>
        <w:pStyle w:val="FootnoteText"/>
      </w:pPr>
      <w:r w:rsidRPr="00B86DCB">
        <w:t>*</w:t>
      </w:r>
      <w:r>
        <w:t>Reported f</w:t>
      </w:r>
      <w:r w:rsidRPr="00B86DCB">
        <w:t xml:space="preserve">unded rate differs </w:t>
      </w:r>
      <w:r w:rsidR="00071A95">
        <w:t xml:space="preserve">marginally </w:t>
      </w:r>
      <w:r w:rsidRPr="00B86DCB">
        <w:t xml:space="preserve">from </w:t>
      </w:r>
      <w:hyperlink r:id="rId38" w:history="1">
        <w:r w:rsidRPr="00D10606">
          <w:rPr>
            <w:rStyle w:val="Hyperlink"/>
          </w:rPr>
          <w:t xml:space="preserve">MRFF </w:t>
        </w:r>
        <w:r w:rsidR="00071A95" w:rsidRPr="00D10606">
          <w:rPr>
            <w:rStyle w:val="Hyperlink"/>
          </w:rPr>
          <w:t>data</w:t>
        </w:r>
      </w:hyperlink>
      <w:r w:rsidR="00071A95">
        <w:t xml:space="preserve"> available elsewhere.</w:t>
      </w:r>
      <w:r w:rsidRPr="00B86DCB">
        <w:t xml:space="preserve"> This report</w:t>
      </w:r>
      <w:r w:rsidR="00071A95">
        <w:t xml:space="preserve"> calculates funded rate based on</w:t>
      </w:r>
      <w:r w:rsidRPr="00B86DCB">
        <w:t xml:space="preserve"> total applications received at the grant opportunity</w:t>
      </w:r>
      <w:r>
        <w:t xml:space="preserve"> </w:t>
      </w:r>
      <w:r w:rsidR="00071A95">
        <w:t xml:space="preserve">closing date </w:t>
      </w:r>
      <w:r>
        <w:t>(145)</w:t>
      </w:r>
      <w:r w:rsidR="00071A95">
        <w:t>. Other data excludes applications withdrawn after the closing date.</w:t>
      </w:r>
    </w:p>
    <w:p w14:paraId="7940BA70" w14:textId="49C62655" w:rsidR="00B309D7" w:rsidRDefault="00B309D7" w:rsidP="00B309D7">
      <w:pPr>
        <w:pStyle w:val="Caption"/>
      </w:pPr>
      <w:r>
        <w:t xml:space="preserve">Figure </w:t>
      </w:r>
      <w:r>
        <w:fldChar w:fldCharType="begin"/>
      </w:r>
      <w:r>
        <w:instrText xml:space="preserve"> SEQ Figure \* ARABIC </w:instrText>
      </w:r>
      <w:r>
        <w:fldChar w:fldCharType="separate"/>
      </w:r>
      <w:r w:rsidR="002912DA">
        <w:rPr>
          <w:noProof/>
        </w:rPr>
        <w:t>2</w:t>
      </w:r>
      <w:r>
        <w:fldChar w:fldCharType="end"/>
      </w:r>
      <w:r w:rsidRPr="00223BB4">
        <w:t xml:space="preserve"> – Funded rate </w:t>
      </w:r>
      <w:r>
        <w:t>of applications</w:t>
      </w:r>
      <w:r w:rsidRPr="00223BB4">
        <w:t xml:space="preserve"> </w:t>
      </w:r>
      <w:r>
        <w:t>per stream</w:t>
      </w:r>
      <w:r w:rsidRPr="00223BB4">
        <w:t xml:space="preserve"> </w:t>
      </w:r>
      <w:r>
        <w:t>post</w:t>
      </w:r>
      <w:r w:rsidRPr="00223BB4">
        <w:t xml:space="preserve"> GAC </w:t>
      </w:r>
      <w:r>
        <w:t>assessment</w:t>
      </w:r>
    </w:p>
    <w:p w14:paraId="6F6AF0FE" w14:textId="74AC2B1E" w:rsidR="00B309D7" w:rsidRDefault="00B309D7" w:rsidP="000F3011">
      <w:r w:rsidRPr="000F3011">
        <w:drawing>
          <wp:inline distT="0" distB="0" distL="0" distR="0" wp14:anchorId="0BFF1F01" wp14:editId="7ED05B66">
            <wp:extent cx="5419725" cy="2023110"/>
            <wp:effectExtent l="0" t="0" r="9525" b="15240"/>
            <wp:docPr id="12" name="Chart 12" descr="A bar chart comparing the funded rate of applications post GAC assessment for the 2021 and 2023 grant opportunities. Funded rate is shown by stream.">
              <a:extLst xmlns:a="http://schemas.openxmlformats.org/drawingml/2006/main">
                <a:ext uri="{FF2B5EF4-FFF2-40B4-BE49-F238E27FC236}">
                  <a16:creationId xmlns:a16="http://schemas.microsoft.com/office/drawing/2014/main" id="{B9CDFF83-93E8-9130-906A-3DE1A4684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EAF481A" w14:textId="20C04766" w:rsidR="00B309D7" w:rsidRPr="00B309D7" w:rsidRDefault="00B309D7" w:rsidP="00B309D7">
      <w:pPr>
        <w:pStyle w:val="Caption"/>
      </w:pPr>
      <w:bookmarkStart w:id="9" w:name="_Ref169009228"/>
      <w:r>
        <w:t xml:space="preserve">Figure </w:t>
      </w:r>
      <w:r>
        <w:fldChar w:fldCharType="begin"/>
      </w:r>
      <w:r>
        <w:instrText xml:space="preserve"> SEQ Figure \* ARABIC </w:instrText>
      </w:r>
      <w:r>
        <w:fldChar w:fldCharType="separate"/>
      </w:r>
      <w:r w:rsidR="002912DA">
        <w:rPr>
          <w:noProof/>
        </w:rPr>
        <w:t>3</w:t>
      </w:r>
      <w:r>
        <w:fldChar w:fldCharType="end"/>
      </w:r>
      <w:bookmarkEnd w:id="9"/>
      <w:r w:rsidRPr="00B309D7">
        <w:t xml:space="preserve"> – Number of grants awarded per stream</w:t>
      </w:r>
    </w:p>
    <w:p w14:paraId="647D0B19" w14:textId="493CBADB" w:rsidR="00B309D7" w:rsidRDefault="00B309D7" w:rsidP="00B309D7">
      <w:r>
        <w:rPr>
          <w:noProof/>
        </w:rPr>
        <w:drawing>
          <wp:inline distT="0" distB="0" distL="0" distR="0" wp14:anchorId="39D93E86" wp14:editId="67C7B440">
            <wp:extent cx="5410200" cy="2082800"/>
            <wp:effectExtent l="0" t="0" r="0" b="12700"/>
            <wp:docPr id="13" name="Chart 13" descr="A bar chart comparing the number of grants awarded per stream for the 2021 and 2023 grant opportunities. ">
              <a:extLst xmlns:a="http://schemas.openxmlformats.org/drawingml/2006/main">
                <a:ext uri="{FF2B5EF4-FFF2-40B4-BE49-F238E27FC236}">
                  <a16:creationId xmlns:a16="http://schemas.microsoft.com/office/drawing/2014/main" id="{6C7808DE-EF55-517A-3AB6-69E16C9CA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783A989" w14:textId="0F447897" w:rsidR="00D10606" w:rsidRDefault="00D10606" w:rsidP="00B309D7">
      <w:r>
        <w:br w:type="page"/>
      </w:r>
    </w:p>
    <w:p w14:paraId="1F95B54C" w14:textId="473CE4FD" w:rsidR="00955E6E" w:rsidRDefault="007E783B" w:rsidP="00CD59E2">
      <w:r w:rsidRPr="00CD59E2">
        <w:lastRenderedPageBreak/>
        <w:t>Figure 4 shows a snapshot of key funding characteristics of the proportion of funding awarded against the criteria of broad research area (Fig4A), state or territory (Fig4B), gender (Fig4C), and years after PhD completion of CIA</w:t>
      </w:r>
      <w:r w:rsidRPr="00D10606">
        <w:rPr>
          <w:rStyle w:val="FootnoteReference"/>
        </w:rPr>
        <w:footnoteReference w:id="7"/>
      </w:r>
      <w:r w:rsidRPr="00CD59E2">
        <w:t xml:space="preserve"> (Fig4D). </w:t>
      </w:r>
    </w:p>
    <w:p w14:paraId="08EBCBFD" w14:textId="4300511C" w:rsidR="007E783B" w:rsidRPr="00955E6E" w:rsidRDefault="00B309D7" w:rsidP="00955E6E">
      <w:pPr>
        <w:pStyle w:val="Caption"/>
      </w:pPr>
      <w:r>
        <w:t xml:space="preserve">Figure </w:t>
      </w:r>
      <w:r>
        <w:fldChar w:fldCharType="begin"/>
      </w:r>
      <w:r>
        <w:instrText xml:space="preserve"> SEQ Figure \* ARABIC </w:instrText>
      </w:r>
      <w:r>
        <w:fldChar w:fldCharType="separate"/>
      </w:r>
      <w:r w:rsidR="002912DA">
        <w:rPr>
          <w:noProof/>
        </w:rPr>
        <w:t>4</w:t>
      </w:r>
      <w:r>
        <w:fldChar w:fldCharType="end"/>
      </w:r>
      <w:r w:rsidR="007E783B" w:rsidRPr="004E73C7">
        <w:t xml:space="preserve"> – Proportion of funding awarded by different characteristics</w:t>
      </w:r>
    </w:p>
    <w:p w14:paraId="3DCAD844" w14:textId="77777777" w:rsidR="00A15524" w:rsidRPr="00CD59E2" w:rsidRDefault="00A15524" w:rsidP="00955E6E">
      <w:pPr>
        <w:pStyle w:val="ListNumber2"/>
      </w:pPr>
      <w:r w:rsidRPr="00CD59E2">
        <w:t xml:space="preserve">A) </w:t>
      </w:r>
      <w:r w:rsidRPr="00CD59E2">
        <w:rPr>
          <w:rStyle w:val="Strong"/>
        </w:rPr>
        <w:t xml:space="preserve">Broad research area </w:t>
      </w:r>
      <w:r w:rsidRPr="00CD59E2">
        <w:t>(see Table 4 for details)</w:t>
      </w:r>
    </w:p>
    <w:p w14:paraId="620B7BB6" w14:textId="79709E85" w:rsidR="00A15524" w:rsidRDefault="00A15524" w:rsidP="00A15524">
      <w:pPr>
        <w:rPr>
          <w:lang w:val="en-US"/>
        </w:rPr>
      </w:pPr>
      <w:r>
        <w:rPr>
          <w:noProof/>
        </w:rPr>
        <mc:AlternateContent>
          <mc:Choice Requires="cx1">
            <w:drawing>
              <wp:inline distT="0" distB="0" distL="0" distR="0" wp14:anchorId="707E5F15" wp14:editId="3B1291C1">
                <wp:extent cx="5550195" cy="1745305"/>
                <wp:effectExtent l="0" t="0" r="12700" b="7620"/>
                <wp:docPr id="4" name="Chart 4" descr="a tree map summarising the proportion of funding awarded, as categorised by broad research area (Public health research, health services research, clinical medicine and science and basic science research)">
                  <a:extLst xmlns:a="http://schemas.openxmlformats.org/drawingml/2006/main">
                    <a:ext uri="{FF2B5EF4-FFF2-40B4-BE49-F238E27FC236}">
                      <a16:creationId xmlns:a16="http://schemas.microsoft.com/office/drawing/2014/main" id="{1493B8C3-D26F-C246-7288-ED0E18DF27FE}"/>
                    </a:ext>
                    <a:ext uri="{147F2762-F138-4A5C-976F-8EAC2B608ADB}">
                      <a16:predDERef xmlns:a16="http://schemas.microsoft.com/office/drawing/2014/main" pred="{F720A161-F990-AEBF-5D3B-43274040E48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1"/>
                  </a:graphicData>
                </a:graphic>
              </wp:inline>
            </w:drawing>
          </mc:Choice>
          <mc:Fallback>
            <w:drawing>
              <wp:inline distT="0" distB="0" distL="0" distR="0" wp14:anchorId="707E5F15" wp14:editId="3B1291C1">
                <wp:extent cx="5550195" cy="1745305"/>
                <wp:effectExtent l="0" t="0" r="12700" b="7620"/>
                <wp:docPr id="4" name="Chart 4" descr="a tree map summarising the proportion of funding awarded, as categorised by broad research area (Public health research, health services research, clinical medicine and science and basic science research)">
                  <a:extLst xmlns:a="http://schemas.openxmlformats.org/drawingml/2006/main">
                    <a:ext uri="{FF2B5EF4-FFF2-40B4-BE49-F238E27FC236}">
                      <a16:creationId xmlns:a16="http://schemas.microsoft.com/office/drawing/2014/main" id="{1493B8C3-D26F-C246-7288-ED0E18DF27FE}"/>
                    </a:ext>
                    <a:ext uri="{147F2762-F138-4A5C-976F-8EAC2B608ADB}">
                      <a16:predDERef xmlns:a16="http://schemas.microsoft.com/office/drawing/2014/main" pred="{F720A161-F990-AEBF-5D3B-43274040E48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descr="a tree map summarising the proportion of funding awarded, as categorised by broad research area (Public health research, health services research, clinical medicine and science and basic science research)">
                          <a:extLst>
                            <a:ext uri="{FF2B5EF4-FFF2-40B4-BE49-F238E27FC236}">
                              <a16:creationId xmlns:a16="http://schemas.microsoft.com/office/drawing/2014/main" id="{1493B8C3-D26F-C246-7288-ED0E18DF27FE}"/>
                            </a:ext>
                            <a:ext uri="{147F2762-F138-4A5C-976F-8EAC2B608ADB}">
                              <a16:predDERef xmlns:a16="http://schemas.microsoft.com/office/drawing/2014/main" pred="{F720A161-F990-AEBF-5D3B-43274040E485}"/>
                            </a:ext>
                          </a:extLst>
                        </pic:cNvPr>
                        <pic:cNvPicPr>
                          <a:picLocks noGrp="1" noRot="1" noChangeAspect="1" noMove="1" noResize="1" noEditPoints="1" noAdjustHandles="1" noChangeArrowheads="1" noChangeShapeType="1"/>
                        </pic:cNvPicPr>
                      </pic:nvPicPr>
                      <pic:blipFill>
                        <a:blip r:embed="rId42"/>
                        <a:stretch>
                          <a:fillRect/>
                        </a:stretch>
                      </pic:blipFill>
                      <pic:spPr>
                        <a:xfrm>
                          <a:off x="0" y="0"/>
                          <a:ext cx="5549900" cy="1744980"/>
                        </a:xfrm>
                        <a:prstGeom prst="rect">
                          <a:avLst/>
                        </a:prstGeom>
                      </pic:spPr>
                    </pic:pic>
                  </a:graphicData>
                </a:graphic>
              </wp:inline>
            </w:drawing>
          </mc:Fallback>
        </mc:AlternateContent>
      </w:r>
    </w:p>
    <w:p w14:paraId="09D26DE0" w14:textId="77777777" w:rsidR="00A15524" w:rsidRPr="00CD59E2" w:rsidRDefault="00A15524" w:rsidP="00955E6E">
      <w:pPr>
        <w:pStyle w:val="ListNumber2"/>
      </w:pPr>
      <w:r w:rsidRPr="00CD59E2">
        <w:t xml:space="preserve">B) </w:t>
      </w:r>
      <w:r w:rsidRPr="00CD59E2">
        <w:rPr>
          <w:rStyle w:val="Strong"/>
        </w:rPr>
        <w:t>State or territory</w:t>
      </w:r>
      <w:r w:rsidRPr="00CD59E2">
        <w:t xml:space="preserve"> (see Table 7 for details)</w:t>
      </w:r>
    </w:p>
    <w:p w14:paraId="0584A74D" w14:textId="6410738C" w:rsidR="00A15524" w:rsidRPr="00CD59E2" w:rsidRDefault="00A15524" w:rsidP="00955E6E">
      <w:pPr>
        <w:pStyle w:val="ListNumber2"/>
      </w:pPr>
      <w:r w:rsidRPr="001F432C">
        <mc:AlternateContent>
          <mc:Choice Requires="cx1">
            <w:drawing>
              <wp:inline distT="0" distB="0" distL="0" distR="0" wp14:anchorId="6040D990" wp14:editId="01FCBB26">
                <wp:extent cx="5613400" cy="1927860"/>
                <wp:effectExtent l="0" t="0" r="6350" b="15240"/>
                <wp:docPr id="8" name="Chart 8" descr="a tree map summarising the proportion of funding awarded, categorised by state or territory.">
                  <a:extLst xmlns:a="http://schemas.openxmlformats.org/drawingml/2006/main">
                    <a:ext uri="{FF2B5EF4-FFF2-40B4-BE49-F238E27FC236}">
                      <a16:creationId xmlns:a16="http://schemas.microsoft.com/office/drawing/2014/main" id="{E54CDC25-BA92-4437-92EB-32DE7ED224B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3"/>
                  </a:graphicData>
                </a:graphic>
              </wp:inline>
            </w:drawing>
          </mc:Choice>
          <mc:Fallback>
            <w:drawing>
              <wp:inline distT="0" distB="0" distL="0" distR="0" wp14:anchorId="6040D990" wp14:editId="01FCBB26">
                <wp:extent cx="5613400" cy="1927860"/>
                <wp:effectExtent l="0" t="0" r="6350" b="15240"/>
                <wp:docPr id="8" name="Chart 8" descr="a tree map summarising the proportion of funding awarded, categorised by state or territory.">
                  <a:extLst xmlns:a="http://schemas.openxmlformats.org/drawingml/2006/main">
                    <a:ext uri="{FF2B5EF4-FFF2-40B4-BE49-F238E27FC236}">
                      <a16:creationId xmlns:a16="http://schemas.microsoft.com/office/drawing/2014/main" id="{E54CDC25-BA92-4437-92EB-32DE7ED224B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descr="a tree map summarising the proportion of funding awarded, categorised by state or territory.">
                          <a:extLst>
                            <a:ext uri="{FF2B5EF4-FFF2-40B4-BE49-F238E27FC236}">
                              <a16:creationId xmlns:a16="http://schemas.microsoft.com/office/drawing/2014/main" id="{E54CDC25-BA92-4437-92EB-32DE7ED224BC}"/>
                            </a:ext>
                          </a:extLst>
                        </pic:cNvPr>
                        <pic:cNvPicPr>
                          <a:picLocks noGrp="1" noRot="1" noChangeAspect="1" noMove="1" noResize="1" noEditPoints="1" noAdjustHandles="1" noChangeArrowheads="1" noChangeShapeType="1"/>
                        </pic:cNvPicPr>
                      </pic:nvPicPr>
                      <pic:blipFill>
                        <a:blip r:embed="rId44"/>
                        <a:stretch>
                          <a:fillRect/>
                        </a:stretch>
                      </pic:blipFill>
                      <pic:spPr>
                        <a:xfrm>
                          <a:off x="0" y="0"/>
                          <a:ext cx="5613400" cy="1927860"/>
                        </a:xfrm>
                        <a:prstGeom prst="rect">
                          <a:avLst/>
                        </a:prstGeom>
                      </pic:spPr>
                    </pic:pic>
                  </a:graphicData>
                </a:graphic>
              </wp:inline>
            </w:drawing>
          </mc:Fallback>
        </mc:AlternateContent>
      </w:r>
      <w:r w:rsidRPr="001F432C">
        <w:t xml:space="preserve">C) </w:t>
      </w:r>
      <w:r w:rsidR="00955E6E">
        <w:t xml:space="preserve">C) </w:t>
      </w:r>
      <w:r w:rsidRPr="00D10606">
        <w:t>Gender of lead Chief Investigator</w:t>
      </w:r>
      <w:r w:rsidRPr="001F432C">
        <w:t xml:space="preserve"> (CIA) </w:t>
      </w:r>
      <w:r w:rsidRPr="00CD59E2">
        <w:t>(see Table 9 for details)</w:t>
      </w:r>
    </w:p>
    <w:p w14:paraId="4351947C" w14:textId="58204CE1" w:rsidR="00A15524" w:rsidRDefault="00A15524" w:rsidP="00CD59E2">
      <w:pPr>
        <w:rPr>
          <w:lang w:val="en-US"/>
        </w:rPr>
      </w:pPr>
      <w:r w:rsidRPr="00CD59E2">
        <mc:AlternateContent>
          <mc:Choice Requires="cx1">
            <w:drawing>
              <wp:inline distT="0" distB="0" distL="0" distR="0" wp14:anchorId="1DE2F3BF" wp14:editId="3F5B196D">
                <wp:extent cx="5672455" cy="782320"/>
                <wp:effectExtent l="0" t="0" r="4445" b="17780"/>
                <wp:docPr id="9" name="Chart 9" descr="a tree map summarising the proportion of funding awarded, as categorised by gender of the lead Chief Investigator. ">
                  <a:extLst xmlns:a="http://schemas.openxmlformats.org/drawingml/2006/main">
                    <a:ext uri="{FF2B5EF4-FFF2-40B4-BE49-F238E27FC236}">
                      <a16:creationId xmlns:a16="http://schemas.microsoft.com/office/drawing/2014/main" id="{D184FE2C-8DEE-04A0-C168-DF670025ADC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5"/>
                  </a:graphicData>
                </a:graphic>
              </wp:inline>
            </w:drawing>
          </mc:Choice>
          <mc:Fallback>
            <w:drawing>
              <wp:inline distT="0" distB="0" distL="0" distR="0" wp14:anchorId="1DE2F3BF" wp14:editId="3F5B196D">
                <wp:extent cx="5672455" cy="782320"/>
                <wp:effectExtent l="0" t="0" r="4445" b="17780"/>
                <wp:docPr id="9" name="Chart 9" descr="a tree map summarising the proportion of funding awarded, as categorised by gender of the lead Chief Investigator. ">
                  <a:extLst xmlns:a="http://schemas.openxmlformats.org/drawingml/2006/main">
                    <a:ext uri="{FF2B5EF4-FFF2-40B4-BE49-F238E27FC236}">
                      <a16:creationId xmlns:a16="http://schemas.microsoft.com/office/drawing/2014/main" id="{D184FE2C-8DEE-04A0-C168-DF670025ADC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descr="a tree map summarising the proportion of funding awarded, as categorised by gender of the lead Chief Investigator. ">
                          <a:extLst>
                            <a:ext uri="{FF2B5EF4-FFF2-40B4-BE49-F238E27FC236}">
                              <a16:creationId xmlns:a16="http://schemas.microsoft.com/office/drawing/2014/main" id="{D184FE2C-8DEE-04A0-C168-DF670025ADC3}"/>
                            </a:ext>
                          </a:extLst>
                        </pic:cNvPr>
                        <pic:cNvPicPr>
                          <a:picLocks noGrp="1" noRot="1" noChangeAspect="1" noMove="1" noResize="1" noEditPoints="1" noAdjustHandles="1" noChangeArrowheads="1" noChangeShapeType="1"/>
                        </pic:cNvPicPr>
                      </pic:nvPicPr>
                      <pic:blipFill>
                        <a:blip r:embed="rId46"/>
                        <a:stretch>
                          <a:fillRect/>
                        </a:stretch>
                      </pic:blipFill>
                      <pic:spPr>
                        <a:xfrm>
                          <a:off x="0" y="0"/>
                          <a:ext cx="5672455" cy="782320"/>
                        </a:xfrm>
                        <a:prstGeom prst="rect">
                          <a:avLst/>
                        </a:prstGeom>
                      </pic:spPr>
                    </pic:pic>
                  </a:graphicData>
                </a:graphic>
              </wp:inline>
            </w:drawing>
          </mc:Fallback>
        </mc:AlternateContent>
      </w:r>
    </w:p>
    <w:p w14:paraId="05DFB738" w14:textId="57A445BE" w:rsidR="007E783B" w:rsidRPr="00E6756B" w:rsidRDefault="007E783B" w:rsidP="007E783B">
      <w:pPr>
        <w:pStyle w:val="Heading2"/>
      </w:pPr>
      <w:bookmarkStart w:id="10" w:name="_Toc168043236"/>
      <w:r w:rsidRPr="00E6756B">
        <w:t>Outcomes by broad research area</w:t>
      </w:r>
      <w:bookmarkEnd w:id="10"/>
    </w:p>
    <w:p w14:paraId="72849836" w14:textId="77777777" w:rsidR="007E783B" w:rsidRPr="002912DA" w:rsidRDefault="007E783B" w:rsidP="002912DA">
      <w:r w:rsidRPr="002912DA">
        <w:t>Grants awarded from the 2023 grant opportunity</w:t>
      </w:r>
      <w:r w:rsidRPr="002912DA" w:rsidDel="0092272D">
        <w:t xml:space="preserve"> </w:t>
      </w:r>
      <w:r w:rsidRPr="002912DA">
        <w:t>covered all four broad areas of research:</w:t>
      </w:r>
    </w:p>
    <w:p w14:paraId="63D04AA6" w14:textId="79625E88" w:rsidR="007E783B" w:rsidRPr="00B33F80" w:rsidRDefault="007E783B" w:rsidP="00B309D7">
      <w:pPr>
        <w:pStyle w:val="ListBullet"/>
      </w:pPr>
      <w:r w:rsidRPr="00B33F80">
        <w:t xml:space="preserve">Basic Science </w:t>
      </w:r>
      <w:r w:rsidR="002A7207">
        <w:t>r</w:t>
      </w:r>
      <w:r w:rsidRPr="00B33F80">
        <w:t xml:space="preserve">esearch </w:t>
      </w:r>
    </w:p>
    <w:p w14:paraId="48CCA609" w14:textId="37774E4B" w:rsidR="007E783B" w:rsidRPr="00B33F80" w:rsidRDefault="007E783B" w:rsidP="00B309D7">
      <w:pPr>
        <w:pStyle w:val="ListBullet"/>
      </w:pPr>
      <w:r w:rsidRPr="00B33F80">
        <w:t xml:space="preserve">Clinical Medicine and Science </w:t>
      </w:r>
      <w:r w:rsidR="00E22235">
        <w:t>r</w:t>
      </w:r>
      <w:r w:rsidRPr="00B33F80">
        <w:t>esearch</w:t>
      </w:r>
    </w:p>
    <w:p w14:paraId="6E0A780A" w14:textId="5A0F5011" w:rsidR="007E783B" w:rsidRPr="00B33F80" w:rsidRDefault="007E783B" w:rsidP="00B309D7">
      <w:pPr>
        <w:pStyle w:val="ListBullet"/>
      </w:pPr>
      <w:r w:rsidRPr="00B33F80">
        <w:t xml:space="preserve">Health Services </w:t>
      </w:r>
      <w:r w:rsidR="00E22235">
        <w:t>r</w:t>
      </w:r>
      <w:r w:rsidRPr="00B33F80">
        <w:t>esearch</w:t>
      </w:r>
    </w:p>
    <w:p w14:paraId="22AC107F" w14:textId="6FD0673D" w:rsidR="007E783B" w:rsidRDefault="007E783B" w:rsidP="00B309D7">
      <w:pPr>
        <w:pStyle w:val="ListBullet"/>
      </w:pPr>
      <w:r w:rsidRPr="00B33F80">
        <w:t xml:space="preserve">Public Health </w:t>
      </w:r>
      <w:r w:rsidR="00E22235">
        <w:t>r</w:t>
      </w:r>
      <w:r w:rsidRPr="00B33F80">
        <w:t>esearch</w:t>
      </w:r>
    </w:p>
    <w:p w14:paraId="5C44987B" w14:textId="4FD85E81" w:rsidR="007E783B" w:rsidRPr="002912DA" w:rsidRDefault="007E783B" w:rsidP="002912DA">
      <w:r w:rsidRPr="002912DA">
        <w:lastRenderedPageBreak/>
        <w:t xml:space="preserve">The 2023 grant opportunity saw the largest proportion of funding awarded to </w:t>
      </w:r>
      <w:r w:rsidR="001107C9" w:rsidRPr="002912DA">
        <w:t>P</w:t>
      </w:r>
      <w:r w:rsidRPr="002912DA">
        <w:t xml:space="preserve">ublic </w:t>
      </w:r>
      <w:r w:rsidR="001107C9" w:rsidRPr="002912DA">
        <w:t>H</w:t>
      </w:r>
      <w:r w:rsidRPr="002912DA">
        <w:t xml:space="preserve">ealth </w:t>
      </w:r>
      <w:r w:rsidR="00E22235" w:rsidRPr="002912DA">
        <w:t>r</w:t>
      </w:r>
      <w:r w:rsidRPr="002912DA">
        <w:t xml:space="preserve">esearch and </w:t>
      </w:r>
      <w:r w:rsidR="001107C9" w:rsidRPr="002912DA">
        <w:t>H</w:t>
      </w:r>
      <w:r w:rsidRPr="002912DA">
        <w:t xml:space="preserve">ealth </w:t>
      </w:r>
      <w:r w:rsidR="001107C9" w:rsidRPr="002912DA">
        <w:t>S</w:t>
      </w:r>
      <w:r w:rsidRPr="002912DA">
        <w:t xml:space="preserve">ervices </w:t>
      </w:r>
      <w:r w:rsidR="00E22235" w:rsidRPr="002912DA">
        <w:t>r</w:t>
      </w:r>
      <w:r w:rsidRPr="002912DA">
        <w:t>esearch, representing 4</w:t>
      </w:r>
      <w:r w:rsidR="00B054CA" w:rsidRPr="002912DA">
        <w:t>8.8</w:t>
      </w:r>
      <w:r w:rsidRPr="002912DA">
        <w:t xml:space="preserve">% and 24.5% of the proportion of funding awarded (Figure </w:t>
      </w:r>
      <w:r w:rsidR="00C30035" w:rsidRPr="002912DA">
        <w:t>4</w:t>
      </w:r>
      <w:r w:rsidR="0080592C" w:rsidRPr="002912DA">
        <w:t>A</w:t>
      </w:r>
      <w:r w:rsidRPr="002912DA">
        <w:t xml:space="preserve">). This was a shift from the 2021 grant opportunity in which </w:t>
      </w:r>
      <w:r w:rsidR="00FC46C8" w:rsidRPr="002912DA">
        <w:t xml:space="preserve">the </w:t>
      </w:r>
      <w:r w:rsidRPr="002912DA">
        <w:t xml:space="preserve">largest proportion of funding (56%) was awarded to </w:t>
      </w:r>
      <w:r w:rsidR="001107C9" w:rsidRPr="002912DA">
        <w:t>C</w:t>
      </w:r>
      <w:r w:rsidRPr="002912DA">
        <w:t xml:space="preserve">linical </w:t>
      </w:r>
      <w:r w:rsidR="001107C9" w:rsidRPr="002912DA">
        <w:t>M</w:t>
      </w:r>
      <w:r w:rsidRPr="002912DA">
        <w:t xml:space="preserve">edicine and </w:t>
      </w:r>
      <w:r w:rsidR="001107C9" w:rsidRPr="002912DA">
        <w:t>S</w:t>
      </w:r>
      <w:r w:rsidRPr="002912DA">
        <w:t xml:space="preserve">cience </w:t>
      </w:r>
      <w:r w:rsidR="00E22235" w:rsidRPr="002912DA">
        <w:t>r</w:t>
      </w:r>
      <w:r w:rsidRPr="002912DA">
        <w:t>esearch.</w:t>
      </w:r>
    </w:p>
    <w:p w14:paraId="1B4806D3" w14:textId="18D0633F" w:rsidR="007E783B" w:rsidRPr="00A15524" w:rsidRDefault="007E783B" w:rsidP="00A15524">
      <w:r w:rsidRPr="00A15524">
        <w:t xml:space="preserve">Stream 1 of the 2023 grant opportunity funded </w:t>
      </w:r>
      <w:r w:rsidR="001107C9" w:rsidRPr="00A15524">
        <w:t>B</w:t>
      </w:r>
      <w:r w:rsidRPr="00A15524">
        <w:t xml:space="preserve">asic </w:t>
      </w:r>
      <w:r w:rsidR="001107C9" w:rsidRPr="00A15524">
        <w:t>S</w:t>
      </w:r>
      <w:r w:rsidRPr="00A15524">
        <w:t xml:space="preserve">cience, </w:t>
      </w:r>
      <w:r w:rsidR="00F334FB" w:rsidRPr="00A15524">
        <w:t>C</w:t>
      </w:r>
      <w:r w:rsidRPr="00A15524">
        <w:t xml:space="preserve">linical </w:t>
      </w:r>
      <w:r w:rsidR="00F334FB" w:rsidRPr="00A15524">
        <w:t>M</w:t>
      </w:r>
      <w:r w:rsidRPr="00A15524">
        <w:t xml:space="preserve">edicine and </w:t>
      </w:r>
      <w:r w:rsidR="00F334FB" w:rsidRPr="00A15524">
        <w:t>S</w:t>
      </w:r>
      <w:r w:rsidRPr="00A15524">
        <w:t xml:space="preserve">cience and </w:t>
      </w:r>
      <w:r w:rsidR="00633113" w:rsidRPr="00A15524">
        <w:t>P</w:t>
      </w:r>
      <w:r w:rsidRPr="00A15524">
        <w:t xml:space="preserve">ublic </w:t>
      </w:r>
      <w:r w:rsidR="00633113" w:rsidRPr="00A15524">
        <w:t>H</w:t>
      </w:r>
      <w:r w:rsidRPr="00A15524">
        <w:t xml:space="preserve">ealth </w:t>
      </w:r>
      <w:r w:rsidR="00E22235" w:rsidRPr="00A15524">
        <w:t>r</w:t>
      </w:r>
      <w:r w:rsidRPr="00A15524">
        <w:t xml:space="preserve">esearch (Table 3). Stream 2 funding was awarded to </w:t>
      </w:r>
      <w:r w:rsidR="00633113" w:rsidRPr="00A15524">
        <w:t>H</w:t>
      </w:r>
      <w:r w:rsidRPr="00A15524">
        <w:t xml:space="preserve">ealth </w:t>
      </w:r>
      <w:r w:rsidR="00633113" w:rsidRPr="00A15524">
        <w:t>S</w:t>
      </w:r>
      <w:r w:rsidRPr="00A15524">
        <w:t xml:space="preserve">ervices and </w:t>
      </w:r>
      <w:r w:rsidR="00633113" w:rsidRPr="00A15524">
        <w:t>P</w:t>
      </w:r>
      <w:r w:rsidRPr="00A15524">
        <w:t xml:space="preserve">ublic </w:t>
      </w:r>
      <w:r w:rsidR="00633113" w:rsidRPr="00A15524">
        <w:t>H</w:t>
      </w:r>
      <w:r w:rsidRPr="00A15524">
        <w:t xml:space="preserve">ealth </w:t>
      </w:r>
      <w:r w:rsidR="00E22235" w:rsidRPr="00A15524">
        <w:t>r</w:t>
      </w:r>
      <w:r w:rsidRPr="00A15524">
        <w:t xml:space="preserve">esearch. </w:t>
      </w:r>
      <w:r w:rsidR="009F7C20" w:rsidRPr="00A15524">
        <w:t xml:space="preserve">No Public Health research projects were </w:t>
      </w:r>
      <w:r w:rsidR="009A5E84" w:rsidRPr="00A15524">
        <w:t xml:space="preserve">awarded </w:t>
      </w:r>
      <w:r w:rsidR="009F7C20" w:rsidRPr="00A15524">
        <w:t>fund</w:t>
      </w:r>
      <w:r w:rsidR="009A5E84" w:rsidRPr="00A15524">
        <w:t>ing</w:t>
      </w:r>
      <w:r w:rsidR="009F7C20" w:rsidRPr="00A15524">
        <w:t xml:space="preserve"> under </w:t>
      </w:r>
      <w:r w:rsidR="00550F35" w:rsidRPr="00A15524">
        <w:t>Stream 3</w:t>
      </w:r>
      <w:r w:rsidR="00E00BBE" w:rsidRPr="00A15524">
        <w:t xml:space="preserve">. </w:t>
      </w:r>
      <w:r w:rsidRPr="00A15524">
        <w:t xml:space="preserve">Compared to the 2021 grant opportunity, funding increased </w:t>
      </w:r>
      <w:r w:rsidR="00F24995" w:rsidRPr="00A15524">
        <w:t>by $1</w:t>
      </w:r>
      <w:r w:rsidR="006C2C3B" w:rsidRPr="00A15524">
        <w:t>6.6</w:t>
      </w:r>
      <w:r w:rsidR="00F24995" w:rsidRPr="00A15524">
        <w:t xml:space="preserve"> million </w:t>
      </w:r>
      <w:r w:rsidRPr="00A15524">
        <w:t xml:space="preserve">for </w:t>
      </w:r>
      <w:r w:rsidR="00C1554B" w:rsidRPr="00A15524">
        <w:t>P</w:t>
      </w:r>
      <w:r w:rsidRPr="00A15524">
        <w:t xml:space="preserve">ublic </w:t>
      </w:r>
      <w:r w:rsidR="00C1554B" w:rsidRPr="00A15524">
        <w:t>H</w:t>
      </w:r>
      <w:r w:rsidRPr="00A15524">
        <w:t xml:space="preserve">ealth and </w:t>
      </w:r>
      <w:r w:rsidR="00C1554B" w:rsidRPr="00A15524">
        <w:t>H</w:t>
      </w:r>
      <w:r w:rsidRPr="00A15524">
        <w:t xml:space="preserve">ealth </w:t>
      </w:r>
      <w:r w:rsidR="00C1554B" w:rsidRPr="00A15524">
        <w:t>S</w:t>
      </w:r>
      <w:r w:rsidRPr="00A15524">
        <w:t xml:space="preserve">ervices </w:t>
      </w:r>
      <w:r w:rsidR="00E22235" w:rsidRPr="00A15524">
        <w:t>r</w:t>
      </w:r>
      <w:r w:rsidRPr="00A15524">
        <w:t xml:space="preserve">esearch, </w:t>
      </w:r>
      <w:r w:rsidR="002D77B0" w:rsidRPr="00A15524">
        <w:t xml:space="preserve">with a commensurate </w:t>
      </w:r>
      <w:r w:rsidRPr="00A15524">
        <w:t>decrease in</w:t>
      </w:r>
      <w:r w:rsidR="00600011" w:rsidRPr="00A15524">
        <w:t xml:space="preserve"> funding for</w:t>
      </w:r>
      <w:r w:rsidRPr="00A15524">
        <w:t xml:space="preserve"> </w:t>
      </w:r>
      <w:r w:rsidR="009F7C20" w:rsidRPr="00A15524">
        <w:t>B</w:t>
      </w:r>
      <w:r w:rsidRPr="00A15524">
        <w:t xml:space="preserve">asic </w:t>
      </w:r>
      <w:r w:rsidR="009F7C20" w:rsidRPr="00A15524">
        <w:t>S</w:t>
      </w:r>
      <w:r w:rsidRPr="00A15524">
        <w:t xml:space="preserve">cience and </w:t>
      </w:r>
      <w:r w:rsidR="00D4659E" w:rsidRPr="00A15524">
        <w:t>C</w:t>
      </w:r>
      <w:r w:rsidRPr="00A15524">
        <w:t xml:space="preserve">linical </w:t>
      </w:r>
      <w:r w:rsidR="00D4659E" w:rsidRPr="00A15524">
        <w:t>M</w:t>
      </w:r>
      <w:r w:rsidRPr="00A15524">
        <w:t xml:space="preserve">edicine and </w:t>
      </w:r>
      <w:r w:rsidR="00D4659E" w:rsidRPr="00A15524">
        <w:t>S</w:t>
      </w:r>
      <w:r w:rsidRPr="00A15524">
        <w:t xml:space="preserve">cience research. </w:t>
      </w:r>
      <w:r w:rsidR="00CE273D" w:rsidRPr="00A15524">
        <w:t xml:space="preserve">The </w:t>
      </w:r>
      <w:r w:rsidR="00791F2D" w:rsidRPr="00A15524">
        <w:t>largest</w:t>
      </w:r>
      <w:r w:rsidR="00786DA2" w:rsidRPr="00A15524">
        <w:t xml:space="preserve"> </w:t>
      </w:r>
      <w:r w:rsidR="00CE273D" w:rsidRPr="00A15524">
        <w:t>shift</w:t>
      </w:r>
      <w:r w:rsidR="00791F2D" w:rsidRPr="00A15524">
        <w:t>s</w:t>
      </w:r>
      <w:r w:rsidR="00786DA2" w:rsidRPr="00A15524">
        <w:t xml:space="preserve"> </w:t>
      </w:r>
      <w:r w:rsidR="00600011" w:rsidRPr="00A15524">
        <w:t xml:space="preserve">in funding between 2023 and 2021 </w:t>
      </w:r>
      <w:r w:rsidR="006B1444" w:rsidRPr="00A15524">
        <w:t>w</w:t>
      </w:r>
      <w:r w:rsidR="00791F2D" w:rsidRPr="00A15524">
        <w:t>ere</w:t>
      </w:r>
      <w:r w:rsidR="006B1444" w:rsidRPr="00A15524">
        <w:t xml:space="preserve"> for </w:t>
      </w:r>
      <w:r w:rsidR="001B1251" w:rsidRPr="00A15524">
        <w:t>P</w:t>
      </w:r>
      <w:r w:rsidR="006B1444" w:rsidRPr="00A15524">
        <w:t xml:space="preserve">ublic </w:t>
      </w:r>
      <w:r w:rsidR="001B1251" w:rsidRPr="00A15524">
        <w:t>H</w:t>
      </w:r>
      <w:r w:rsidR="006B1444" w:rsidRPr="00A15524">
        <w:t xml:space="preserve">ealth research and </w:t>
      </w:r>
      <w:r w:rsidR="001B1251" w:rsidRPr="00A15524">
        <w:t>C</w:t>
      </w:r>
      <w:r w:rsidR="006B1444" w:rsidRPr="00A15524">
        <w:t xml:space="preserve">linical </w:t>
      </w:r>
      <w:r w:rsidR="001B1251" w:rsidRPr="00A15524">
        <w:t>M</w:t>
      </w:r>
      <w:r w:rsidR="006B1444" w:rsidRPr="00A15524">
        <w:t xml:space="preserve">edicine and </w:t>
      </w:r>
      <w:r w:rsidR="001B1251" w:rsidRPr="00A15524">
        <w:t>S</w:t>
      </w:r>
      <w:r w:rsidR="006B1444" w:rsidRPr="00A15524">
        <w:t>cience research.</w:t>
      </w:r>
      <w:r w:rsidR="00786DA2" w:rsidRPr="00A15524">
        <w:t xml:space="preserve"> </w:t>
      </w:r>
      <w:r w:rsidRPr="00A15524">
        <w:t xml:space="preserve">Within Stream 3, most applications were funded within </w:t>
      </w:r>
      <w:r w:rsidR="001B1251" w:rsidRPr="00A15524">
        <w:t>C</w:t>
      </w:r>
      <w:r w:rsidRPr="00A15524">
        <w:t xml:space="preserve">linical </w:t>
      </w:r>
      <w:r w:rsidR="001B1251" w:rsidRPr="00A15524">
        <w:t>M</w:t>
      </w:r>
      <w:r w:rsidRPr="00A15524">
        <w:t xml:space="preserve">edicine and </w:t>
      </w:r>
      <w:r w:rsidR="001B1251" w:rsidRPr="00A15524">
        <w:t>S</w:t>
      </w:r>
      <w:r w:rsidRPr="00A15524">
        <w:t>cience research</w:t>
      </w:r>
      <w:r w:rsidR="00132D7A" w:rsidRPr="00A15524">
        <w:t xml:space="preserve"> in both 2023 and 2021</w:t>
      </w:r>
      <w:r w:rsidRPr="00A15524" w:rsidDel="00132D7A">
        <w:t>.</w:t>
      </w:r>
    </w:p>
    <w:p w14:paraId="21635760" w14:textId="7EB54AA3" w:rsidR="007E783B" w:rsidRPr="00223BB4" w:rsidRDefault="00955E6E" w:rsidP="00955E6E">
      <w:pPr>
        <w:pStyle w:val="Caption"/>
      </w:pPr>
      <w:r>
        <w:t xml:space="preserve">Table </w:t>
      </w:r>
      <w:r>
        <w:fldChar w:fldCharType="begin"/>
      </w:r>
      <w:r>
        <w:instrText xml:space="preserve"> SEQ Table \* ARABIC </w:instrText>
      </w:r>
      <w:r>
        <w:fldChar w:fldCharType="separate"/>
      </w:r>
      <w:r w:rsidR="00D85F07">
        <w:rPr>
          <w:noProof/>
        </w:rPr>
        <w:t>3</w:t>
      </w:r>
      <w:r>
        <w:fldChar w:fldCharType="end"/>
      </w:r>
      <w:r w:rsidR="007E783B" w:rsidRPr="00223BB4">
        <w:t xml:space="preserve"> – Grants awarded by broad area of research per </w:t>
      </w:r>
      <w:r w:rsidR="007E783B">
        <w:t>s</w:t>
      </w:r>
      <w:r w:rsidR="007E783B" w:rsidRPr="00223BB4">
        <w:t>tream</w:t>
      </w:r>
    </w:p>
    <w:tbl>
      <w:tblPr>
        <w:tblStyle w:val="DepartmentofHealthtable"/>
        <w:tblW w:w="5285" w:type="pct"/>
        <w:tblLook w:val="04A0" w:firstRow="1" w:lastRow="0" w:firstColumn="1" w:lastColumn="0" w:noHBand="0" w:noVBand="1"/>
      </w:tblPr>
      <w:tblGrid>
        <w:gridCol w:w="1476"/>
        <w:gridCol w:w="567"/>
        <w:gridCol w:w="758"/>
        <w:gridCol w:w="990"/>
        <w:gridCol w:w="758"/>
        <w:gridCol w:w="1266"/>
        <w:gridCol w:w="758"/>
        <w:gridCol w:w="990"/>
        <w:gridCol w:w="766"/>
        <w:gridCol w:w="1247"/>
      </w:tblGrid>
      <w:tr w:rsidR="00D10606" w:rsidRPr="00D10606" w14:paraId="29B50017" w14:textId="77777777" w:rsidTr="00D1060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val="restart"/>
          </w:tcPr>
          <w:p w14:paraId="261055BF" w14:textId="67C85859" w:rsidR="00D10606" w:rsidRPr="00D10606" w:rsidRDefault="00D10606" w:rsidP="00D10606">
            <w:pPr>
              <w:pStyle w:val="TableHeaderWhite"/>
            </w:pPr>
            <w:r w:rsidRPr="00D10606">
              <w:t>Broad Research Area</w:t>
            </w:r>
          </w:p>
        </w:tc>
        <w:tc>
          <w:tcPr>
            <w:tcW w:w="296" w:type="pct"/>
            <w:vMerge w:val="restart"/>
          </w:tcPr>
          <w:p w14:paraId="5BB6562E" w14:textId="572662F3" w:rsidR="00D10606" w:rsidRPr="00D10606" w:rsidRDefault="00D10606" w:rsidP="00D10606">
            <w:pPr>
              <w:pStyle w:val="TableHeaderWhite"/>
              <w:cnfStyle w:val="100000000000" w:firstRow="1" w:lastRow="0" w:firstColumn="0" w:lastColumn="0" w:oddVBand="0" w:evenVBand="0" w:oddHBand="0" w:evenHBand="0" w:firstRowFirstColumn="0" w:firstRowLastColumn="0" w:lastRowFirstColumn="0" w:lastRowLastColumn="0"/>
            </w:pPr>
            <w:r w:rsidRPr="00D10606">
              <w:t>Year</w:t>
            </w:r>
          </w:p>
        </w:tc>
        <w:tc>
          <w:tcPr>
            <w:tcW w:w="913" w:type="pct"/>
            <w:gridSpan w:val="2"/>
          </w:tcPr>
          <w:p w14:paraId="2909E052" w14:textId="2F918C1F" w:rsidR="00D10606" w:rsidRPr="00D10606" w:rsidRDefault="00D10606" w:rsidP="00D10606">
            <w:pPr>
              <w:pStyle w:val="TableHeaderWhite"/>
              <w:cnfStyle w:val="100000000000" w:firstRow="1" w:lastRow="0" w:firstColumn="0" w:lastColumn="0" w:oddVBand="0" w:evenVBand="0" w:oddHBand="0" w:evenHBand="0" w:firstRowFirstColumn="0" w:firstRowLastColumn="0" w:lastRowFirstColumn="0" w:lastRowLastColumn="0"/>
            </w:pPr>
            <w:r w:rsidRPr="00D10606">
              <w:t>Stream 1</w:t>
            </w:r>
          </w:p>
        </w:tc>
        <w:tc>
          <w:tcPr>
            <w:tcW w:w="1057" w:type="pct"/>
            <w:gridSpan w:val="2"/>
          </w:tcPr>
          <w:p w14:paraId="4CD6BFFE" w14:textId="5115C80E" w:rsidR="00D10606" w:rsidRPr="00D10606" w:rsidRDefault="00D10606" w:rsidP="00D10606">
            <w:pPr>
              <w:pStyle w:val="TableHeaderWhite"/>
              <w:cnfStyle w:val="100000000000" w:firstRow="1" w:lastRow="0" w:firstColumn="0" w:lastColumn="0" w:oddVBand="0" w:evenVBand="0" w:oddHBand="0" w:evenHBand="0" w:firstRowFirstColumn="0" w:firstRowLastColumn="0" w:lastRowFirstColumn="0" w:lastRowLastColumn="0"/>
            </w:pPr>
            <w:r w:rsidRPr="00D10606">
              <w:t xml:space="preserve">Stream </w:t>
            </w:r>
            <w:r>
              <w:t>2</w:t>
            </w:r>
          </w:p>
        </w:tc>
        <w:tc>
          <w:tcPr>
            <w:tcW w:w="913" w:type="pct"/>
            <w:gridSpan w:val="2"/>
          </w:tcPr>
          <w:p w14:paraId="6F047F83" w14:textId="13784C11" w:rsidR="00D10606" w:rsidRPr="00D10606" w:rsidRDefault="00D10606" w:rsidP="00D10606">
            <w:pPr>
              <w:pStyle w:val="TableHeaderWhite"/>
              <w:cnfStyle w:val="100000000000" w:firstRow="1" w:lastRow="0" w:firstColumn="0" w:lastColumn="0" w:oddVBand="0" w:evenVBand="0" w:oddHBand="0" w:evenHBand="0" w:firstRowFirstColumn="0" w:firstRowLastColumn="0" w:lastRowFirstColumn="0" w:lastRowLastColumn="0"/>
            </w:pPr>
            <w:r w:rsidRPr="00D10606">
              <w:t xml:space="preserve">Stream </w:t>
            </w:r>
            <w:r>
              <w:t>3</w:t>
            </w:r>
          </w:p>
        </w:tc>
        <w:tc>
          <w:tcPr>
            <w:tcW w:w="1053" w:type="pct"/>
            <w:gridSpan w:val="2"/>
          </w:tcPr>
          <w:p w14:paraId="076ADD35" w14:textId="7EFB04D4" w:rsidR="00D10606" w:rsidRPr="00D10606" w:rsidRDefault="00D10606" w:rsidP="00D10606">
            <w:pPr>
              <w:pStyle w:val="TableHeaderWhite"/>
              <w:cnfStyle w:val="100000000000" w:firstRow="1" w:lastRow="0" w:firstColumn="0" w:lastColumn="0" w:oddVBand="0" w:evenVBand="0" w:oddHBand="0" w:evenHBand="0" w:firstRowFirstColumn="0" w:firstRowLastColumn="0" w:lastRowFirstColumn="0" w:lastRowLastColumn="0"/>
            </w:pPr>
            <w:r w:rsidRPr="00D10606">
              <w:t>All streams</w:t>
            </w:r>
          </w:p>
        </w:tc>
      </w:tr>
      <w:tr w:rsidR="00D10606" w:rsidRPr="00D10606" w14:paraId="1DC883ED" w14:textId="77777777" w:rsidTr="00D106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tcBorders>
              <w:right w:val="single" w:sz="4" w:space="0" w:color="FFFFFF" w:themeColor="background1"/>
            </w:tcBorders>
          </w:tcPr>
          <w:p w14:paraId="00624B97" w14:textId="77777777" w:rsidR="00D10606" w:rsidRPr="00D10606" w:rsidRDefault="00D10606" w:rsidP="00D10606">
            <w:pPr>
              <w:pStyle w:val="TableHeaderWhite"/>
            </w:pPr>
          </w:p>
        </w:tc>
        <w:tc>
          <w:tcPr>
            <w:tcW w:w="296" w:type="pct"/>
            <w:vMerge/>
            <w:tcBorders>
              <w:left w:val="single" w:sz="4" w:space="0" w:color="FFFFFF" w:themeColor="background1"/>
              <w:right w:val="single" w:sz="4" w:space="0" w:color="FFFFFF" w:themeColor="background1"/>
            </w:tcBorders>
          </w:tcPr>
          <w:p w14:paraId="55FA828C" w14:textId="77777777"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p>
        </w:tc>
        <w:tc>
          <w:tcPr>
            <w:tcW w:w="396"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066F1286" w14:textId="7C4B58A5"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Grants (n)</w:t>
            </w:r>
          </w:p>
        </w:tc>
        <w:tc>
          <w:tcPr>
            <w:tcW w:w="517"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6E26627D" w14:textId="7194A481"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Total value ($)</w:t>
            </w:r>
          </w:p>
        </w:tc>
        <w:tc>
          <w:tcPr>
            <w:tcW w:w="396"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519D3E02" w14:textId="6E77DEB9"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Grants (n)</w:t>
            </w:r>
          </w:p>
        </w:tc>
        <w:tc>
          <w:tcPr>
            <w:tcW w:w="661"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1860C273" w14:textId="07A854C6"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Total value ($)</w:t>
            </w:r>
          </w:p>
        </w:tc>
        <w:tc>
          <w:tcPr>
            <w:tcW w:w="396"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53106295" w14:textId="5FC8E341"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Grants (n)</w:t>
            </w:r>
          </w:p>
        </w:tc>
        <w:tc>
          <w:tcPr>
            <w:tcW w:w="517"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36A2DFCC" w14:textId="38C31EB6"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Total value ($)</w:t>
            </w:r>
          </w:p>
        </w:tc>
        <w:tc>
          <w:tcPr>
            <w:tcW w:w="400"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21705DA4" w14:textId="307E0DC0"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Grants (n)</w:t>
            </w:r>
          </w:p>
        </w:tc>
        <w:tc>
          <w:tcPr>
            <w:tcW w:w="652" w:type="pct"/>
            <w:tcBorders>
              <w:top w:val="single" w:sz="4" w:space="0" w:color="FFFFFF" w:themeColor="background1"/>
              <w:left w:val="single" w:sz="4" w:space="0" w:color="FFFFFF" w:themeColor="background1"/>
            </w:tcBorders>
            <w:shd w:val="clear" w:color="auto" w:fill="1F497D" w:themeFill="text2"/>
          </w:tcPr>
          <w:p w14:paraId="6EC52FD2" w14:textId="6EE24C39" w:rsidR="00D10606" w:rsidRPr="00D10606" w:rsidRDefault="00D10606" w:rsidP="00D10606">
            <w:pPr>
              <w:pStyle w:val="TableHeaderWhite"/>
              <w:cnfStyle w:val="000000100000" w:firstRow="0" w:lastRow="0" w:firstColumn="0" w:lastColumn="0" w:oddVBand="0" w:evenVBand="0" w:oddHBand="1" w:evenHBand="0" w:firstRowFirstColumn="0" w:firstRowLastColumn="0" w:lastRowFirstColumn="0" w:lastRowLastColumn="0"/>
            </w:pPr>
            <w:r w:rsidRPr="00D10606">
              <w:t>Total value ($)</w:t>
            </w:r>
          </w:p>
        </w:tc>
      </w:tr>
      <w:tr w:rsidR="00D10606" w:rsidRPr="00D10606" w14:paraId="04386E9F" w14:textId="77777777" w:rsidTr="00D1060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val="restart"/>
            <w:hideMark/>
          </w:tcPr>
          <w:p w14:paraId="298966C4" w14:textId="274C04D3" w:rsidR="001C3DCE" w:rsidRPr="00D10606" w:rsidRDefault="001C3DCE" w:rsidP="00D10606">
            <w:pPr>
              <w:pStyle w:val="Tabletextcentre"/>
            </w:pPr>
            <w:r w:rsidRPr="00D10606">
              <w:t xml:space="preserve">Basic Science research </w:t>
            </w:r>
          </w:p>
        </w:tc>
        <w:tc>
          <w:tcPr>
            <w:tcW w:w="296" w:type="pct"/>
            <w:hideMark/>
          </w:tcPr>
          <w:p w14:paraId="173846AC"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2023</w:t>
            </w:r>
          </w:p>
        </w:tc>
        <w:tc>
          <w:tcPr>
            <w:tcW w:w="396" w:type="pct"/>
            <w:hideMark/>
          </w:tcPr>
          <w:p w14:paraId="64FBE350" w14:textId="77777777" w:rsidR="001C3DCE" w:rsidRPr="00375C15" w:rsidRDefault="001C3DCE" w:rsidP="00375C15">
            <w:pPr>
              <w:pStyle w:val="Tabletextcentre"/>
              <w:cnfStyle w:val="000000010000" w:firstRow="0" w:lastRow="0" w:firstColumn="0" w:lastColumn="0" w:oddVBand="0" w:evenVBand="0" w:oddHBand="0" w:evenHBand="1" w:firstRowFirstColumn="0" w:firstRowLastColumn="0" w:lastRowFirstColumn="0" w:lastRowLastColumn="0"/>
            </w:pPr>
            <w:r w:rsidRPr="00375C15">
              <w:t>3</w:t>
            </w:r>
          </w:p>
        </w:tc>
        <w:tc>
          <w:tcPr>
            <w:tcW w:w="517" w:type="pct"/>
            <w:hideMark/>
          </w:tcPr>
          <w:p w14:paraId="2E4C620F"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1,986,456</w:t>
            </w:r>
          </w:p>
        </w:tc>
        <w:tc>
          <w:tcPr>
            <w:tcW w:w="396" w:type="pct"/>
            <w:hideMark/>
          </w:tcPr>
          <w:p w14:paraId="435AA5CD"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661" w:type="pct"/>
            <w:hideMark/>
          </w:tcPr>
          <w:p w14:paraId="079786D6"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396" w:type="pct"/>
            <w:hideMark/>
          </w:tcPr>
          <w:p w14:paraId="5B1C7FA8"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1</w:t>
            </w:r>
          </w:p>
        </w:tc>
        <w:tc>
          <w:tcPr>
            <w:tcW w:w="517" w:type="pct"/>
            <w:hideMark/>
          </w:tcPr>
          <w:p w14:paraId="6F5A278C"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600,000</w:t>
            </w:r>
          </w:p>
        </w:tc>
        <w:tc>
          <w:tcPr>
            <w:tcW w:w="400" w:type="pct"/>
            <w:hideMark/>
          </w:tcPr>
          <w:p w14:paraId="70AC05B1"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w:t>
            </w:r>
          </w:p>
        </w:tc>
        <w:tc>
          <w:tcPr>
            <w:tcW w:w="652" w:type="pct"/>
            <w:hideMark/>
          </w:tcPr>
          <w:p w14:paraId="12633D6E"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2,586,456</w:t>
            </w:r>
          </w:p>
        </w:tc>
      </w:tr>
      <w:tr w:rsidR="00D10606" w:rsidRPr="00D10606" w14:paraId="42B8F173" w14:textId="77777777" w:rsidTr="00D106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hideMark/>
          </w:tcPr>
          <w:p w14:paraId="03F86C15" w14:textId="77777777" w:rsidR="001C3DCE" w:rsidRPr="00D10606" w:rsidRDefault="001C3DCE" w:rsidP="00D10606">
            <w:pPr>
              <w:pStyle w:val="Tabletextcentre"/>
            </w:pPr>
          </w:p>
        </w:tc>
        <w:tc>
          <w:tcPr>
            <w:tcW w:w="296" w:type="pct"/>
            <w:hideMark/>
          </w:tcPr>
          <w:p w14:paraId="6C571C72"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2021</w:t>
            </w:r>
          </w:p>
        </w:tc>
        <w:tc>
          <w:tcPr>
            <w:tcW w:w="396" w:type="pct"/>
            <w:hideMark/>
          </w:tcPr>
          <w:p w14:paraId="64EB31CE" w14:textId="77777777" w:rsidR="001C3DCE" w:rsidRPr="00375C15" w:rsidRDefault="001C3DCE" w:rsidP="00375C15">
            <w:pPr>
              <w:pStyle w:val="Tabletextcentre"/>
              <w:cnfStyle w:val="000000100000" w:firstRow="0" w:lastRow="0" w:firstColumn="0" w:lastColumn="0" w:oddVBand="0" w:evenVBand="0" w:oddHBand="1" w:evenHBand="0" w:firstRowFirstColumn="0" w:firstRowLastColumn="0" w:lastRowFirstColumn="0" w:lastRowLastColumn="0"/>
            </w:pPr>
            <w:r w:rsidRPr="00375C15">
              <w:t>4</w:t>
            </w:r>
          </w:p>
        </w:tc>
        <w:tc>
          <w:tcPr>
            <w:tcW w:w="517" w:type="pct"/>
            <w:hideMark/>
          </w:tcPr>
          <w:p w14:paraId="2DE2975C"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2,976,114</w:t>
            </w:r>
          </w:p>
        </w:tc>
        <w:tc>
          <w:tcPr>
            <w:tcW w:w="396" w:type="pct"/>
            <w:hideMark/>
          </w:tcPr>
          <w:p w14:paraId="68D570FF"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0</w:t>
            </w:r>
          </w:p>
        </w:tc>
        <w:tc>
          <w:tcPr>
            <w:tcW w:w="661" w:type="pct"/>
            <w:hideMark/>
          </w:tcPr>
          <w:p w14:paraId="5F5CD8E7"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0</w:t>
            </w:r>
          </w:p>
        </w:tc>
        <w:tc>
          <w:tcPr>
            <w:tcW w:w="396" w:type="pct"/>
            <w:hideMark/>
          </w:tcPr>
          <w:p w14:paraId="07F9EFD6"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w:t>
            </w:r>
          </w:p>
        </w:tc>
        <w:tc>
          <w:tcPr>
            <w:tcW w:w="517" w:type="pct"/>
            <w:hideMark/>
          </w:tcPr>
          <w:p w14:paraId="1A729706"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1,580,156</w:t>
            </w:r>
          </w:p>
        </w:tc>
        <w:tc>
          <w:tcPr>
            <w:tcW w:w="400" w:type="pct"/>
            <w:hideMark/>
          </w:tcPr>
          <w:p w14:paraId="39187016"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6</w:t>
            </w:r>
          </w:p>
        </w:tc>
        <w:tc>
          <w:tcPr>
            <w:tcW w:w="652" w:type="pct"/>
            <w:hideMark/>
          </w:tcPr>
          <w:p w14:paraId="7990CA97"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4,556,270</w:t>
            </w:r>
          </w:p>
        </w:tc>
      </w:tr>
      <w:tr w:rsidR="00D10606" w:rsidRPr="00D10606" w14:paraId="1419A57C" w14:textId="77777777" w:rsidTr="00D1060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val="restart"/>
            <w:hideMark/>
          </w:tcPr>
          <w:p w14:paraId="4C13A683" w14:textId="06CC3134" w:rsidR="001C3DCE" w:rsidRPr="00D10606" w:rsidRDefault="001C3DCE" w:rsidP="00D10606">
            <w:pPr>
              <w:pStyle w:val="Tabletextcentre"/>
            </w:pPr>
            <w:r w:rsidRPr="00D10606">
              <w:t>Clinical Medicine &amp; Science research</w:t>
            </w:r>
          </w:p>
        </w:tc>
        <w:tc>
          <w:tcPr>
            <w:tcW w:w="296" w:type="pct"/>
            <w:hideMark/>
          </w:tcPr>
          <w:p w14:paraId="28E7D259"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2023</w:t>
            </w:r>
          </w:p>
        </w:tc>
        <w:tc>
          <w:tcPr>
            <w:tcW w:w="396" w:type="pct"/>
            <w:hideMark/>
          </w:tcPr>
          <w:p w14:paraId="607D633E" w14:textId="77777777" w:rsidR="001C3DCE" w:rsidRPr="00375C15" w:rsidRDefault="001C3DCE" w:rsidP="00375C15">
            <w:pPr>
              <w:pStyle w:val="Tabletextcentre"/>
              <w:cnfStyle w:val="000000010000" w:firstRow="0" w:lastRow="0" w:firstColumn="0" w:lastColumn="0" w:oddVBand="0" w:evenVBand="0" w:oddHBand="0" w:evenHBand="1" w:firstRowFirstColumn="0" w:firstRowLastColumn="0" w:lastRowFirstColumn="0" w:lastRowLastColumn="0"/>
            </w:pPr>
            <w:r w:rsidRPr="00375C15">
              <w:t>6</w:t>
            </w:r>
          </w:p>
        </w:tc>
        <w:tc>
          <w:tcPr>
            <w:tcW w:w="517" w:type="pct"/>
            <w:hideMark/>
          </w:tcPr>
          <w:p w14:paraId="4555233B"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4,596,946</w:t>
            </w:r>
          </w:p>
        </w:tc>
        <w:tc>
          <w:tcPr>
            <w:tcW w:w="396" w:type="pct"/>
            <w:hideMark/>
          </w:tcPr>
          <w:p w14:paraId="6E3562E0"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661" w:type="pct"/>
            <w:hideMark/>
          </w:tcPr>
          <w:p w14:paraId="111F206B"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396" w:type="pct"/>
            <w:hideMark/>
          </w:tcPr>
          <w:p w14:paraId="722B51DB"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w:t>
            </w:r>
          </w:p>
        </w:tc>
        <w:tc>
          <w:tcPr>
            <w:tcW w:w="517" w:type="pct"/>
            <w:hideMark/>
          </w:tcPr>
          <w:p w14:paraId="02F0261D"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4,106,452</w:t>
            </w:r>
          </w:p>
        </w:tc>
        <w:tc>
          <w:tcPr>
            <w:tcW w:w="400" w:type="pct"/>
            <w:hideMark/>
          </w:tcPr>
          <w:p w14:paraId="51F2DB35"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10</w:t>
            </w:r>
          </w:p>
        </w:tc>
        <w:tc>
          <w:tcPr>
            <w:tcW w:w="652" w:type="pct"/>
            <w:hideMark/>
          </w:tcPr>
          <w:p w14:paraId="6CD074B1"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8,703,398</w:t>
            </w:r>
          </w:p>
        </w:tc>
      </w:tr>
      <w:tr w:rsidR="00D10606" w:rsidRPr="00D10606" w14:paraId="20095FD1" w14:textId="77777777" w:rsidTr="00D106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hideMark/>
          </w:tcPr>
          <w:p w14:paraId="36EE5133" w14:textId="77777777" w:rsidR="001C3DCE" w:rsidRPr="00D10606" w:rsidRDefault="001C3DCE" w:rsidP="00D10606">
            <w:pPr>
              <w:pStyle w:val="Tabletextcentre"/>
            </w:pPr>
          </w:p>
        </w:tc>
        <w:tc>
          <w:tcPr>
            <w:tcW w:w="296" w:type="pct"/>
            <w:hideMark/>
          </w:tcPr>
          <w:p w14:paraId="6FADF27B"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2021</w:t>
            </w:r>
          </w:p>
        </w:tc>
        <w:tc>
          <w:tcPr>
            <w:tcW w:w="396" w:type="pct"/>
            <w:hideMark/>
          </w:tcPr>
          <w:p w14:paraId="7F3C5A88" w14:textId="77777777" w:rsidR="001C3DCE" w:rsidRPr="00375C15" w:rsidRDefault="001C3DCE" w:rsidP="00375C15">
            <w:pPr>
              <w:pStyle w:val="Tabletextcentre"/>
              <w:cnfStyle w:val="000000100000" w:firstRow="0" w:lastRow="0" w:firstColumn="0" w:lastColumn="0" w:oddVBand="0" w:evenVBand="0" w:oddHBand="1" w:evenHBand="0" w:firstRowFirstColumn="0" w:firstRowLastColumn="0" w:lastRowFirstColumn="0" w:lastRowLastColumn="0"/>
            </w:pPr>
            <w:r w:rsidRPr="00375C15">
              <w:t>5</w:t>
            </w:r>
          </w:p>
        </w:tc>
        <w:tc>
          <w:tcPr>
            <w:tcW w:w="517" w:type="pct"/>
            <w:hideMark/>
          </w:tcPr>
          <w:p w14:paraId="496A0B5E"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3,439,982</w:t>
            </w:r>
          </w:p>
        </w:tc>
        <w:tc>
          <w:tcPr>
            <w:tcW w:w="396" w:type="pct"/>
            <w:hideMark/>
          </w:tcPr>
          <w:p w14:paraId="0442E7A6"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3</w:t>
            </w:r>
          </w:p>
        </w:tc>
        <w:tc>
          <w:tcPr>
            <w:tcW w:w="661" w:type="pct"/>
            <w:hideMark/>
          </w:tcPr>
          <w:p w14:paraId="15BD7E42"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14,674,963</w:t>
            </w:r>
          </w:p>
        </w:tc>
        <w:tc>
          <w:tcPr>
            <w:tcW w:w="396" w:type="pct"/>
            <w:hideMark/>
          </w:tcPr>
          <w:p w14:paraId="21A1713C"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5</w:t>
            </w:r>
          </w:p>
        </w:tc>
        <w:tc>
          <w:tcPr>
            <w:tcW w:w="517" w:type="pct"/>
            <w:hideMark/>
          </w:tcPr>
          <w:p w14:paraId="4981DAAC"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5,801,533</w:t>
            </w:r>
          </w:p>
        </w:tc>
        <w:tc>
          <w:tcPr>
            <w:tcW w:w="400" w:type="pct"/>
            <w:hideMark/>
          </w:tcPr>
          <w:p w14:paraId="15AEC417"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13</w:t>
            </w:r>
          </w:p>
        </w:tc>
        <w:tc>
          <w:tcPr>
            <w:tcW w:w="652" w:type="pct"/>
            <w:hideMark/>
          </w:tcPr>
          <w:p w14:paraId="6CA56465"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23,916,479</w:t>
            </w:r>
          </w:p>
        </w:tc>
      </w:tr>
      <w:tr w:rsidR="00D10606" w:rsidRPr="00D10606" w14:paraId="5E27E1BB" w14:textId="77777777" w:rsidTr="00D1060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val="restart"/>
            <w:hideMark/>
          </w:tcPr>
          <w:p w14:paraId="22ADA8C6" w14:textId="21E58524" w:rsidR="001C3DCE" w:rsidRPr="00D10606" w:rsidRDefault="001C3DCE" w:rsidP="00D10606">
            <w:pPr>
              <w:pStyle w:val="Tabletextcentre"/>
            </w:pPr>
            <w:r w:rsidRPr="00D10606">
              <w:t>Health Services research</w:t>
            </w:r>
          </w:p>
        </w:tc>
        <w:tc>
          <w:tcPr>
            <w:tcW w:w="296" w:type="pct"/>
            <w:hideMark/>
          </w:tcPr>
          <w:p w14:paraId="7B307138"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2023</w:t>
            </w:r>
          </w:p>
        </w:tc>
        <w:tc>
          <w:tcPr>
            <w:tcW w:w="396" w:type="pct"/>
            <w:hideMark/>
          </w:tcPr>
          <w:p w14:paraId="0C746184" w14:textId="77777777" w:rsidR="001C3DCE" w:rsidRPr="00375C15" w:rsidRDefault="001C3DCE" w:rsidP="00375C15">
            <w:pPr>
              <w:pStyle w:val="Tabletextcentre"/>
              <w:cnfStyle w:val="000000010000" w:firstRow="0" w:lastRow="0" w:firstColumn="0" w:lastColumn="0" w:oddVBand="0" w:evenVBand="0" w:oddHBand="0" w:evenHBand="1" w:firstRowFirstColumn="0" w:firstRowLastColumn="0" w:lastRowFirstColumn="0" w:lastRowLastColumn="0"/>
            </w:pPr>
            <w:r w:rsidRPr="00375C15">
              <w:t>0</w:t>
            </w:r>
          </w:p>
        </w:tc>
        <w:tc>
          <w:tcPr>
            <w:tcW w:w="517" w:type="pct"/>
            <w:hideMark/>
          </w:tcPr>
          <w:p w14:paraId="67CDB548"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396" w:type="pct"/>
            <w:hideMark/>
          </w:tcPr>
          <w:p w14:paraId="59B06B10"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w:t>
            </w:r>
          </w:p>
        </w:tc>
        <w:tc>
          <w:tcPr>
            <w:tcW w:w="661" w:type="pct"/>
            <w:hideMark/>
          </w:tcPr>
          <w:p w14:paraId="600831D5"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9,898,975</w:t>
            </w:r>
          </w:p>
        </w:tc>
        <w:tc>
          <w:tcPr>
            <w:tcW w:w="396" w:type="pct"/>
            <w:hideMark/>
          </w:tcPr>
          <w:p w14:paraId="356C9D3C"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1</w:t>
            </w:r>
          </w:p>
        </w:tc>
        <w:tc>
          <w:tcPr>
            <w:tcW w:w="517" w:type="pct"/>
            <w:hideMark/>
          </w:tcPr>
          <w:p w14:paraId="22D8CD02"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469,078</w:t>
            </w:r>
          </w:p>
        </w:tc>
        <w:tc>
          <w:tcPr>
            <w:tcW w:w="400" w:type="pct"/>
            <w:hideMark/>
          </w:tcPr>
          <w:p w14:paraId="723D80C4"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3</w:t>
            </w:r>
          </w:p>
        </w:tc>
        <w:tc>
          <w:tcPr>
            <w:tcW w:w="652" w:type="pct"/>
            <w:hideMark/>
          </w:tcPr>
          <w:p w14:paraId="3C81E480"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10,368,053</w:t>
            </w:r>
          </w:p>
        </w:tc>
      </w:tr>
      <w:tr w:rsidR="00D10606" w:rsidRPr="00D10606" w14:paraId="0AB64FED" w14:textId="77777777" w:rsidTr="00D106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hideMark/>
          </w:tcPr>
          <w:p w14:paraId="3B0BBDF7" w14:textId="77777777" w:rsidR="001C3DCE" w:rsidRPr="00D10606" w:rsidRDefault="001C3DCE" w:rsidP="00D10606">
            <w:pPr>
              <w:pStyle w:val="Tabletextcentre"/>
            </w:pPr>
          </w:p>
        </w:tc>
        <w:tc>
          <w:tcPr>
            <w:tcW w:w="296" w:type="pct"/>
            <w:hideMark/>
          </w:tcPr>
          <w:p w14:paraId="4C83904F"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2021</w:t>
            </w:r>
          </w:p>
        </w:tc>
        <w:tc>
          <w:tcPr>
            <w:tcW w:w="396" w:type="pct"/>
            <w:hideMark/>
          </w:tcPr>
          <w:p w14:paraId="6E440FE5" w14:textId="77777777" w:rsidR="001C3DCE" w:rsidRPr="00375C15" w:rsidRDefault="001C3DCE" w:rsidP="00375C15">
            <w:pPr>
              <w:pStyle w:val="Tabletextcentre"/>
              <w:cnfStyle w:val="000000100000" w:firstRow="0" w:lastRow="0" w:firstColumn="0" w:lastColumn="0" w:oddVBand="0" w:evenVBand="0" w:oddHBand="1" w:evenHBand="0" w:firstRowFirstColumn="0" w:firstRowLastColumn="0" w:lastRowFirstColumn="0" w:lastRowLastColumn="0"/>
            </w:pPr>
            <w:r w:rsidRPr="00375C15">
              <w:t>0</w:t>
            </w:r>
          </w:p>
        </w:tc>
        <w:tc>
          <w:tcPr>
            <w:tcW w:w="517" w:type="pct"/>
            <w:hideMark/>
          </w:tcPr>
          <w:p w14:paraId="4422C54B"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0</w:t>
            </w:r>
          </w:p>
        </w:tc>
        <w:tc>
          <w:tcPr>
            <w:tcW w:w="396" w:type="pct"/>
            <w:hideMark/>
          </w:tcPr>
          <w:p w14:paraId="04F7A6E4"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w:t>
            </w:r>
          </w:p>
        </w:tc>
        <w:tc>
          <w:tcPr>
            <w:tcW w:w="661" w:type="pct"/>
            <w:hideMark/>
          </w:tcPr>
          <w:p w14:paraId="2BCA27BC"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8,767,812</w:t>
            </w:r>
          </w:p>
        </w:tc>
        <w:tc>
          <w:tcPr>
            <w:tcW w:w="396" w:type="pct"/>
            <w:hideMark/>
          </w:tcPr>
          <w:p w14:paraId="056325E7"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0</w:t>
            </w:r>
          </w:p>
        </w:tc>
        <w:tc>
          <w:tcPr>
            <w:tcW w:w="517" w:type="pct"/>
            <w:hideMark/>
          </w:tcPr>
          <w:p w14:paraId="47B1B0C9"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0</w:t>
            </w:r>
          </w:p>
        </w:tc>
        <w:tc>
          <w:tcPr>
            <w:tcW w:w="400" w:type="pct"/>
            <w:hideMark/>
          </w:tcPr>
          <w:p w14:paraId="06D7ECC2"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w:t>
            </w:r>
          </w:p>
        </w:tc>
        <w:tc>
          <w:tcPr>
            <w:tcW w:w="652" w:type="pct"/>
            <w:hideMark/>
          </w:tcPr>
          <w:p w14:paraId="24A28ADF"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8,767,812</w:t>
            </w:r>
          </w:p>
        </w:tc>
      </w:tr>
      <w:tr w:rsidR="00D10606" w:rsidRPr="00D10606" w14:paraId="17B5B359" w14:textId="77777777" w:rsidTr="00D1060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val="restart"/>
            <w:hideMark/>
          </w:tcPr>
          <w:p w14:paraId="0F24F272" w14:textId="6F123712" w:rsidR="001C3DCE" w:rsidRPr="00D10606" w:rsidRDefault="001C3DCE" w:rsidP="00D10606">
            <w:pPr>
              <w:pStyle w:val="Tabletextcentre"/>
            </w:pPr>
            <w:r w:rsidRPr="00D10606">
              <w:t>Public Health research</w:t>
            </w:r>
          </w:p>
        </w:tc>
        <w:tc>
          <w:tcPr>
            <w:tcW w:w="296" w:type="pct"/>
            <w:hideMark/>
          </w:tcPr>
          <w:p w14:paraId="1775AD7F"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2023</w:t>
            </w:r>
          </w:p>
        </w:tc>
        <w:tc>
          <w:tcPr>
            <w:tcW w:w="396" w:type="pct"/>
            <w:hideMark/>
          </w:tcPr>
          <w:p w14:paraId="188DAFD0" w14:textId="77777777" w:rsidR="001C3DCE" w:rsidRPr="00375C15" w:rsidRDefault="001C3DCE" w:rsidP="00375C15">
            <w:pPr>
              <w:pStyle w:val="Tabletextcentre"/>
              <w:cnfStyle w:val="000000010000" w:firstRow="0" w:lastRow="0" w:firstColumn="0" w:lastColumn="0" w:oddVBand="0" w:evenVBand="0" w:oddHBand="0" w:evenHBand="1" w:firstRowFirstColumn="0" w:firstRowLastColumn="0" w:lastRowFirstColumn="0" w:lastRowLastColumn="0"/>
            </w:pPr>
            <w:r w:rsidRPr="00375C15">
              <w:t>4</w:t>
            </w:r>
          </w:p>
        </w:tc>
        <w:tc>
          <w:tcPr>
            <w:tcW w:w="517" w:type="pct"/>
            <w:hideMark/>
          </w:tcPr>
          <w:p w14:paraId="0E9E8DC4"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2,354,584</w:t>
            </w:r>
          </w:p>
        </w:tc>
        <w:tc>
          <w:tcPr>
            <w:tcW w:w="396" w:type="pct"/>
            <w:hideMark/>
          </w:tcPr>
          <w:p w14:paraId="73B14B74"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w:t>
            </w:r>
          </w:p>
        </w:tc>
        <w:tc>
          <w:tcPr>
            <w:tcW w:w="661" w:type="pct"/>
            <w:hideMark/>
          </w:tcPr>
          <w:p w14:paraId="73A88445"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18,324,074</w:t>
            </w:r>
          </w:p>
        </w:tc>
        <w:tc>
          <w:tcPr>
            <w:tcW w:w="396" w:type="pct"/>
            <w:hideMark/>
          </w:tcPr>
          <w:p w14:paraId="22E730E5"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517" w:type="pct"/>
            <w:hideMark/>
          </w:tcPr>
          <w:p w14:paraId="1A4B9557"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0</w:t>
            </w:r>
          </w:p>
        </w:tc>
        <w:tc>
          <w:tcPr>
            <w:tcW w:w="400" w:type="pct"/>
            <w:hideMark/>
          </w:tcPr>
          <w:p w14:paraId="60ACDD68"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8</w:t>
            </w:r>
          </w:p>
        </w:tc>
        <w:tc>
          <w:tcPr>
            <w:tcW w:w="652" w:type="pct"/>
            <w:hideMark/>
          </w:tcPr>
          <w:p w14:paraId="62B6BE76"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20,678,658</w:t>
            </w:r>
          </w:p>
        </w:tc>
      </w:tr>
      <w:tr w:rsidR="00D10606" w:rsidRPr="00D10606" w14:paraId="4BC576DC" w14:textId="77777777" w:rsidTr="00D106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hideMark/>
          </w:tcPr>
          <w:p w14:paraId="30AE2830" w14:textId="77777777" w:rsidR="001C3DCE" w:rsidRPr="00D10606" w:rsidRDefault="001C3DCE" w:rsidP="00D10606">
            <w:pPr>
              <w:pStyle w:val="Tabletextcentre"/>
            </w:pPr>
          </w:p>
        </w:tc>
        <w:tc>
          <w:tcPr>
            <w:tcW w:w="296" w:type="pct"/>
            <w:hideMark/>
          </w:tcPr>
          <w:p w14:paraId="24487E86"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2021</w:t>
            </w:r>
          </w:p>
        </w:tc>
        <w:tc>
          <w:tcPr>
            <w:tcW w:w="396" w:type="pct"/>
            <w:hideMark/>
          </w:tcPr>
          <w:p w14:paraId="0C2AA04B" w14:textId="77777777" w:rsidR="001C3DCE" w:rsidRPr="00375C15" w:rsidRDefault="001C3DCE" w:rsidP="00375C15">
            <w:pPr>
              <w:pStyle w:val="Tabletextcentre"/>
              <w:cnfStyle w:val="000000100000" w:firstRow="0" w:lastRow="0" w:firstColumn="0" w:lastColumn="0" w:oddVBand="0" w:evenVBand="0" w:oddHBand="1" w:evenHBand="0" w:firstRowFirstColumn="0" w:firstRowLastColumn="0" w:lastRowFirstColumn="0" w:lastRowLastColumn="0"/>
            </w:pPr>
            <w:r w:rsidRPr="00375C15">
              <w:t>0</w:t>
            </w:r>
          </w:p>
        </w:tc>
        <w:tc>
          <w:tcPr>
            <w:tcW w:w="517" w:type="pct"/>
            <w:hideMark/>
          </w:tcPr>
          <w:p w14:paraId="5A5406E8"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0</w:t>
            </w:r>
          </w:p>
        </w:tc>
        <w:tc>
          <w:tcPr>
            <w:tcW w:w="396" w:type="pct"/>
            <w:hideMark/>
          </w:tcPr>
          <w:p w14:paraId="6499CBD2"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1</w:t>
            </w:r>
          </w:p>
        </w:tc>
        <w:tc>
          <w:tcPr>
            <w:tcW w:w="661" w:type="pct"/>
            <w:hideMark/>
          </w:tcPr>
          <w:p w14:paraId="7B2D1373"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4,754,183</w:t>
            </w:r>
          </w:p>
        </w:tc>
        <w:tc>
          <w:tcPr>
            <w:tcW w:w="396" w:type="pct"/>
            <w:hideMark/>
          </w:tcPr>
          <w:p w14:paraId="0B500CA8"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1</w:t>
            </w:r>
          </w:p>
        </w:tc>
        <w:tc>
          <w:tcPr>
            <w:tcW w:w="517" w:type="pct"/>
            <w:hideMark/>
          </w:tcPr>
          <w:p w14:paraId="19022F79"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805,256</w:t>
            </w:r>
          </w:p>
        </w:tc>
        <w:tc>
          <w:tcPr>
            <w:tcW w:w="400" w:type="pct"/>
            <w:hideMark/>
          </w:tcPr>
          <w:p w14:paraId="03E3EF68"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w:t>
            </w:r>
          </w:p>
        </w:tc>
        <w:tc>
          <w:tcPr>
            <w:tcW w:w="652" w:type="pct"/>
            <w:hideMark/>
          </w:tcPr>
          <w:p w14:paraId="5A640FF8"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5,559,439</w:t>
            </w:r>
          </w:p>
        </w:tc>
      </w:tr>
      <w:tr w:rsidR="00D10606" w:rsidRPr="00D10606" w14:paraId="2F47135C" w14:textId="77777777" w:rsidTr="00D1060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val="restart"/>
            <w:hideMark/>
          </w:tcPr>
          <w:p w14:paraId="716DA09F" w14:textId="7CBEE035" w:rsidR="001C3DCE" w:rsidRPr="00D10606" w:rsidRDefault="001C3DCE" w:rsidP="00D10606">
            <w:pPr>
              <w:pStyle w:val="Tabletextcentre"/>
            </w:pPr>
            <w:r w:rsidRPr="00D10606">
              <w:t>All research areas</w:t>
            </w:r>
          </w:p>
        </w:tc>
        <w:tc>
          <w:tcPr>
            <w:tcW w:w="296" w:type="pct"/>
            <w:hideMark/>
          </w:tcPr>
          <w:p w14:paraId="15B7F7A3"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2023</w:t>
            </w:r>
          </w:p>
        </w:tc>
        <w:tc>
          <w:tcPr>
            <w:tcW w:w="396" w:type="pct"/>
            <w:hideMark/>
          </w:tcPr>
          <w:p w14:paraId="4DA3F611" w14:textId="77777777" w:rsidR="001C3DCE" w:rsidRPr="00375C15" w:rsidRDefault="001C3DCE" w:rsidP="00375C15">
            <w:pPr>
              <w:pStyle w:val="Tabletextcentre"/>
              <w:cnfStyle w:val="000000010000" w:firstRow="0" w:lastRow="0" w:firstColumn="0" w:lastColumn="0" w:oddVBand="0" w:evenVBand="0" w:oddHBand="0" w:evenHBand="1" w:firstRowFirstColumn="0" w:firstRowLastColumn="0" w:lastRowFirstColumn="0" w:lastRowLastColumn="0"/>
            </w:pPr>
            <w:r w:rsidRPr="00375C15">
              <w:t>13</w:t>
            </w:r>
          </w:p>
        </w:tc>
        <w:tc>
          <w:tcPr>
            <w:tcW w:w="517" w:type="pct"/>
            <w:hideMark/>
          </w:tcPr>
          <w:p w14:paraId="2623B974"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8,937,986</w:t>
            </w:r>
          </w:p>
        </w:tc>
        <w:tc>
          <w:tcPr>
            <w:tcW w:w="396" w:type="pct"/>
            <w:hideMark/>
          </w:tcPr>
          <w:p w14:paraId="438E515C"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6</w:t>
            </w:r>
          </w:p>
        </w:tc>
        <w:tc>
          <w:tcPr>
            <w:tcW w:w="661" w:type="pct"/>
            <w:hideMark/>
          </w:tcPr>
          <w:p w14:paraId="45D4156E"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28,223,048</w:t>
            </w:r>
          </w:p>
        </w:tc>
        <w:tc>
          <w:tcPr>
            <w:tcW w:w="396" w:type="pct"/>
            <w:hideMark/>
          </w:tcPr>
          <w:p w14:paraId="74470316"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6</w:t>
            </w:r>
          </w:p>
        </w:tc>
        <w:tc>
          <w:tcPr>
            <w:tcW w:w="517" w:type="pct"/>
            <w:hideMark/>
          </w:tcPr>
          <w:p w14:paraId="634E52EF"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5,175,530</w:t>
            </w:r>
          </w:p>
        </w:tc>
        <w:tc>
          <w:tcPr>
            <w:tcW w:w="400" w:type="pct"/>
            <w:hideMark/>
          </w:tcPr>
          <w:p w14:paraId="4ED0830D"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25</w:t>
            </w:r>
          </w:p>
        </w:tc>
        <w:tc>
          <w:tcPr>
            <w:tcW w:w="652" w:type="pct"/>
            <w:hideMark/>
          </w:tcPr>
          <w:p w14:paraId="3040569A" w14:textId="77777777" w:rsidR="001C3DCE" w:rsidRPr="00D10606" w:rsidRDefault="001C3DCE" w:rsidP="00D10606">
            <w:pPr>
              <w:pStyle w:val="Tabletextcentre"/>
              <w:cnfStyle w:val="000000010000" w:firstRow="0" w:lastRow="0" w:firstColumn="0" w:lastColumn="0" w:oddVBand="0" w:evenVBand="0" w:oddHBand="0" w:evenHBand="1" w:firstRowFirstColumn="0" w:firstRowLastColumn="0" w:lastRowFirstColumn="0" w:lastRowLastColumn="0"/>
            </w:pPr>
            <w:r w:rsidRPr="00D10606">
              <w:t>42,336,565</w:t>
            </w:r>
          </w:p>
        </w:tc>
      </w:tr>
      <w:tr w:rsidR="00D10606" w:rsidRPr="00D10606" w14:paraId="76834C57" w14:textId="77777777" w:rsidTr="00D106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0" w:type="pct"/>
            <w:vMerge/>
            <w:hideMark/>
          </w:tcPr>
          <w:p w14:paraId="54BE79DA" w14:textId="77777777" w:rsidR="001C3DCE" w:rsidRPr="00D10606" w:rsidRDefault="001C3DCE" w:rsidP="00D10606">
            <w:pPr>
              <w:pStyle w:val="Tabletextcentre"/>
            </w:pPr>
          </w:p>
        </w:tc>
        <w:tc>
          <w:tcPr>
            <w:tcW w:w="296" w:type="pct"/>
            <w:hideMark/>
          </w:tcPr>
          <w:p w14:paraId="2A557A56"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2021</w:t>
            </w:r>
          </w:p>
        </w:tc>
        <w:tc>
          <w:tcPr>
            <w:tcW w:w="396" w:type="pct"/>
            <w:hideMark/>
          </w:tcPr>
          <w:p w14:paraId="2C42FC6D" w14:textId="77777777" w:rsidR="001C3DCE" w:rsidRPr="00375C15" w:rsidRDefault="001C3DCE" w:rsidP="00375C15">
            <w:pPr>
              <w:pStyle w:val="Tabletextcentre"/>
              <w:cnfStyle w:val="000000100000" w:firstRow="0" w:lastRow="0" w:firstColumn="0" w:lastColumn="0" w:oddVBand="0" w:evenVBand="0" w:oddHBand="1" w:evenHBand="0" w:firstRowFirstColumn="0" w:firstRowLastColumn="0" w:lastRowFirstColumn="0" w:lastRowLastColumn="0"/>
            </w:pPr>
            <w:r w:rsidRPr="00375C15">
              <w:t>9</w:t>
            </w:r>
          </w:p>
        </w:tc>
        <w:tc>
          <w:tcPr>
            <w:tcW w:w="517" w:type="pct"/>
            <w:hideMark/>
          </w:tcPr>
          <w:p w14:paraId="20DAAA81"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6,416,096</w:t>
            </w:r>
          </w:p>
        </w:tc>
        <w:tc>
          <w:tcPr>
            <w:tcW w:w="396" w:type="pct"/>
            <w:hideMark/>
          </w:tcPr>
          <w:p w14:paraId="7FCBE695"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6</w:t>
            </w:r>
          </w:p>
        </w:tc>
        <w:tc>
          <w:tcPr>
            <w:tcW w:w="661" w:type="pct"/>
            <w:hideMark/>
          </w:tcPr>
          <w:p w14:paraId="4C59EC85"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28,196,959</w:t>
            </w:r>
          </w:p>
        </w:tc>
        <w:tc>
          <w:tcPr>
            <w:tcW w:w="396" w:type="pct"/>
            <w:hideMark/>
          </w:tcPr>
          <w:p w14:paraId="30D3970A"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8</w:t>
            </w:r>
          </w:p>
        </w:tc>
        <w:tc>
          <w:tcPr>
            <w:tcW w:w="517" w:type="pct"/>
            <w:hideMark/>
          </w:tcPr>
          <w:p w14:paraId="4056239D"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8,186,945</w:t>
            </w:r>
          </w:p>
        </w:tc>
        <w:tc>
          <w:tcPr>
            <w:tcW w:w="400" w:type="pct"/>
            <w:hideMark/>
          </w:tcPr>
          <w:p w14:paraId="43A114BA"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23</w:t>
            </w:r>
          </w:p>
        </w:tc>
        <w:tc>
          <w:tcPr>
            <w:tcW w:w="652" w:type="pct"/>
            <w:hideMark/>
          </w:tcPr>
          <w:p w14:paraId="15A5037B" w14:textId="77777777" w:rsidR="001C3DCE" w:rsidRPr="00D10606" w:rsidRDefault="001C3DCE" w:rsidP="00D10606">
            <w:pPr>
              <w:pStyle w:val="Tabletextcentre"/>
              <w:cnfStyle w:val="000000100000" w:firstRow="0" w:lastRow="0" w:firstColumn="0" w:lastColumn="0" w:oddVBand="0" w:evenVBand="0" w:oddHBand="1" w:evenHBand="0" w:firstRowFirstColumn="0" w:firstRowLastColumn="0" w:lastRowFirstColumn="0" w:lastRowLastColumn="0"/>
            </w:pPr>
            <w:r w:rsidRPr="00D10606">
              <w:t>42,800,000</w:t>
            </w:r>
          </w:p>
        </w:tc>
      </w:tr>
    </w:tbl>
    <w:p w14:paraId="7D109739" w14:textId="6A030D04" w:rsidR="007E783B" w:rsidRPr="00A15524" w:rsidRDefault="002B17F7" w:rsidP="00A15524">
      <w:r w:rsidRPr="00A15524">
        <w:t>In 2023, t</w:t>
      </w:r>
      <w:r w:rsidR="007E783B" w:rsidRPr="00A15524">
        <w:t xml:space="preserve">he largest number of applications (57) were submitted in the area of Clinical Medicine and Science </w:t>
      </w:r>
      <w:r w:rsidR="00F06157" w:rsidRPr="00A15524">
        <w:t>r</w:t>
      </w:r>
      <w:r w:rsidR="007E783B" w:rsidRPr="00A15524">
        <w:t xml:space="preserve">esearch, with most (37) of these being submitted to Stream 1 (Table 4). Public </w:t>
      </w:r>
      <w:r w:rsidR="008E2BC8" w:rsidRPr="00A15524">
        <w:t>H</w:t>
      </w:r>
      <w:r w:rsidR="007E783B" w:rsidRPr="00A15524">
        <w:t>ealth research had the highest funded rates by research area in Stream 1 and 2</w:t>
      </w:r>
      <w:r w:rsidR="000F04B3" w:rsidRPr="00A15524">
        <w:t xml:space="preserve"> and overall. </w:t>
      </w:r>
      <w:r w:rsidR="00082EE2" w:rsidRPr="00A15524">
        <w:t>The number of applications</w:t>
      </w:r>
      <w:r w:rsidR="00247755" w:rsidRPr="00A15524">
        <w:t xml:space="preserve"> received</w:t>
      </w:r>
      <w:r w:rsidR="00B77BE5" w:rsidRPr="00A15524">
        <w:t xml:space="preserve"> for each broad research area in 2023 was appr</w:t>
      </w:r>
      <w:r w:rsidR="002647F2" w:rsidRPr="00A15524">
        <w:t xml:space="preserve">oximately </w:t>
      </w:r>
      <w:r w:rsidR="00D342A5" w:rsidRPr="00A15524">
        <w:t xml:space="preserve">one third of </w:t>
      </w:r>
      <w:r w:rsidR="006A69A1" w:rsidRPr="00A15524">
        <w:t xml:space="preserve">the </w:t>
      </w:r>
      <w:r w:rsidR="00E50322" w:rsidRPr="00A15524">
        <w:t xml:space="preserve">number received </w:t>
      </w:r>
      <w:r w:rsidR="002647F2" w:rsidRPr="00A15524">
        <w:t>in 2021</w:t>
      </w:r>
      <w:r w:rsidR="00D8030C" w:rsidRPr="00A15524">
        <w:t>,</w:t>
      </w:r>
      <w:r w:rsidR="00521002" w:rsidRPr="00A15524">
        <w:t xml:space="preserve"> </w:t>
      </w:r>
      <w:r w:rsidR="002647F2" w:rsidRPr="00A15524">
        <w:t xml:space="preserve">with the exception of </w:t>
      </w:r>
      <w:r w:rsidR="006435BE" w:rsidRPr="00A15524">
        <w:t xml:space="preserve">Public Health </w:t>
      </w:r>
      <w:r w:rsidR="001C1DDD" w:rsidRPr="00A15524">
        <w:t>r</w:t>
      </w:r>
      <w:r w:rsidR="006435BE" w:rsidRPr="00A15524">
        <w:t xml:space="preserve">esearch which </w:t>
      </w:r>
      <w:r w:rsidR="004A4584" w:rsidRPr="00A15524">
        <w:t xml:space="preserve">received </w:t>
      </w:r>
      <w:r w:rsidR="00F53464" w:rsidRPr="00A15524">
        <w:t xml:space="preserve">half </w:t>
      </w:r>
      <w:r w:rsidR="00D8030C" w:rsidRPr="00A15524">
        <w:t xml:space="preserve">the number of applications, </w:t>
      </w:r>
      <w:r w:rsidR="004D29ED" w:rsidRPr="00A15524">
        <w:t>compared to</w:t>
      </w:r>
      <w:r w:rsidR="00F53464" w:rsidRPr="00A15524">
        <w:t xml:space="preserve"> 2021.</w:t>
      </w:r>
    </w:p>
    <w:p w14:paraId="3C79AA91" w14:textId="2622BE40" w:rsidR="007E783B" w:rsidRPr="00400D38" w:rsidRDefault="00955E6E" w:rsidP="00955E6E">
      <w:pPr>
        <w:pStyle w:val="Caption"/>
      </w:pPr>
      <w:r>
        <w:t xml:space="preserve">Table </w:t>
      </w:r>
      <w:r>
        <w:fldChar w:fldCharType="begin"/>
      </w:r>
      <w:r>
        <w:instrText xml:space="preserve"> SEQ Table \* ARABIC </w:instrText>
      </w:r>
      <w:r>
        <w:fldChar w:fldCharType="separate"/>
      </w:r>
      <w:r w:rsidR="00D85F07">
        <w:rPr>
          <w:noProof/>
        </w:rPr>
        <w:t>4</w:t>
      </w:r>
      <w:r>
        <w:fldChar w:fldCharType="end"/>
      </w:r>
      <w:r w:rsidR="007E783B" w:rsidRPr="00400D38">
        <w:t xml:space="preserve"> </w:t>
      </w:r>
      <w:r>
        <w:t>–</w:t>
      </w:r>
      <w:r w:rsidR="007E783B" w:rsidRPr="00400D38">
        <w:t xml:space="preserve"> Applications by broad area of research and funding rate by broad research area</w:t>
      </w:r>
    </w:p>
    <w:tbl>
      <w:tblPr>
        <w:tblStyle w:val="DepartmentofHealthtable"/>
        <w:tblW w:w="9074" w:type="dxa"/>
        <w:tblLook w:val="04A0" w:firstRow="1" w:lastRow="0" w:firstColumn="1" w:lastColumn="0" w:noHBand="0" w:noVBand="1"/>
      </w:tblPr>
      <w:tblGrid>
        <w:gridCol w:w="1842"/>
        <w:gridCol w:w="991"/>
        <w:gridCol w:w="1560"/>
        <w:gridCol w:w="1560"/>
        <w:gridCol w:w="1560"/>
        <w:gridCol w:w="1561"/>
      </w:tblGrid>
      <w:tr w:rsidR="007E783B" w:rsidRPr="002912DA" w14:paraId="3F25D1FB" w14:textId="77777777" w:rsidTr="002912D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42" w:type="dxa"/>
            <w:vMerge w:val="restart"/>
            <w:hideMark/>
          </w:tcPr>
          <w:p w14:paraId="22914429" w14:textId="77777777" w:rsidR="007E783B" w:rsidRPr="002912DA" w:rsidRDefault="007E783B" w:rsidP="00375C15">
            <w:pPr>
              <w:pStyle w:val="TableHeaderWhite"/>
            </w:pPr>
            <w:r w:rsidRPr="002912DA">
              <w:t>Broad Research Area</w:t>
            </w:r>
          </w:p>
        </w:tc>
        <w:tc>
          <w:tcPr>
            <w:tcW w:w="991" w:type="dxa"/>
            <w:vMerge w:val="restart"/>
            <w:hideMark/>
          </w:tcPr>
          <w:p w14:paraId="39F0A2C6" w14:textId="77777777" w:rsidR="007E783B" w:rsidRPr="002912DA" w:rsidRDefault="007E783B" w:rsidP="00375C15">
            <w:pPr>
              <w:pStyle w:val="TableHeaderWhite"/>
              <w:cnfStyle w:val="100000000000" w:firstRow="1" w:lastRow="0" w:firstColumn="0" w:lastColumn="0" w:oddVBand="0" w:evenVBand="0" w:oddHBand="0" w:evenHBand="0" w:firstRowFirstColumn="0" w:firstRowLastColumn="0" w:lastRowFirstColumn="0" w:lastRowLastColumn="0"/>
            </w:pPr>
            <w:r w:rsidRPr="002912DA">
              <w:t>Year</w:t>
            </w:r>
          </w:p>
        </w:tc>
        <w:tc>
          <w:tcPr>
            <w:tcW w:w="1560" w:type="dxa"/>
            <w:hideMark/>
          </w:tcPr>
          <w:p w14:paraId="5FA16383" w14:textId="0CF7C89C" w:rsidR="007E783B" w:rsidRPr="002912DA" w:rsidRDefault="007E783B" w:rsidP="00375C15">
            <w:pPr>
              <w:pStyle w:val="TableHeaderWhite"/>
              <w:cnfStyle w:val="100000000000" w:firstRow="1" w:lastRow="0" w:firstColumn="0" w:lastColumn="0" w:oddVBand="0" w:evenVBand="0" w:oddHBand="0" w:evenHBand="0" w:firstRowFirstColumn="0" w:firstRowLastColumn="0" w:lastRowFirstColumn="0" w:lastRowLastColumn="0"/>
            </w:pPr>
            <w:r w:rsidRPr="002912DA">
              <w:t>Stream 1</w:t>
            </w:r>
          </w:p>
        </w:tc>
        <w:tc>
          <w:tcPr>
            <w:tcW w:w="1560" w:type="dxa"/>
            <w:hideMark/>
          </w:tcPr>
          <w:p w14:paraId="4D7393C5" w14:textId="18D7CE6F" w:rsidR="007E783B" w:rsidRPr="002912DA" w:rsidRDefault="007E783B" w:rsidP="00375C15">
            <w:pPr>
              <w:pStyle w:val="TableHeaderWhite"/>
              <w:cnfStyle w:val="100000000000" w:firstRow="1" w:lastRow="0" w:firstColumn="0" w:lastColumn="0" w:oddVBand="0" w:evenVBand="0" w:oddHBand="0" w:evenHBand="0" w:firstRowFirstColumn="0" w:firstRowLastColumn="0" w:lastRowFirstColumn="0" w:lastRowLastColumn="0"/>
            </w:pPr>
            <w:r w:rsidRPr="002912DA">
              <w:t>Stream 2</w:t>
            </w:r>
          </w:p>
        </w:tc>
        <w:tc>
          <w:tcPr>
            <w:tcW w:w="1560" w:type="dxa"/>
            <w:hideMark/>
          </w:tcPr>
          <w:p w14:paraId="65F8DE15" w14:textId="2A172FEC" w:rsidR="007E783B" w:rsidRPr="002912DA" w:rsidRDefault="007E783B" w:rsidP="00375C15">
            <w:pPr>
              <w:pStyle w:val="TableHeaderWhite"/>
              <w:cnfStyle w:val="100000000000" w:firstRow="1" w:lastRow="0" w:firstColumn="0" w:lastColumn="0" w:oddVBand="0" w:evenVBand="0" w:oddHBand="0" w:evenHBand="0" w:firstRowFirstColumn="0" w:firstRowLastColumn="0" w:lastRowFirstColumn="0" w:lastRowLastColumn="0"/>
            </w:pPr>
            <w:r w:rsidRPr="002912DA">
              <w:t>Stream 3</w:t>
            </w:r>
          </w:p>
        </w:tc>
        <w:tc>
          <w:tcPr>
            <w:tcW w:w="1561" w:type="dxa"/>
            <w:hideMark/>
          </w:tcPr>
          <w:p w14:paraId="176CAC97" w14:textId="56964208" w:rsidR="007E783B" w:rsidRPr="002912DA" w:rsidRDefault="007E783B" w:rsidP="00375C15">
            <w:pPr>
              <w:pStyle w:val="TableHeaderWhite"/>
              <w:cnfStyle w:val="100000000000" w:firstRow="1" w:lastRow="0" w:firstColumn="0" w:lastColumn="0" w:oddVBand="0" w:evenVBand="0" w:oddHBand="0" w:evenHBand="0" w:firstRowFirstColumn="0" w:firstRowLastColumn="0" w:lastRowFirstColumn="0" w:lastRowLastColumn="0"/>
            </w:pPr>
            <w:r w:rsidRPr="002912DA">
              <w:t xml:space="preserve">All </w:t>
            </w:r>
            <w:r w:rsidR="00771F51" w:rsidRPr="002912DA">
              <w:t>steams</w:t>
            </w:r>
          </w:p>
        </w:tc>
      </w:tr>
      <w:tr w:rsidR="007E783B" w:rsidRPr="002912DA" w14:paraId="6E2D5BC2" w14:textId="77777777" w:rsidTr="00375C1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2" w:type="dxa"/>
            <w:vMerge/>
            <w:tcBorders>
              <w:right w:val="single" w:sz="4" w:space="0" w:color="FFFFFF" w:themeColor="background1"/>
            </w:tcBorders>
            <w:hideMark/>
          </w:tcPr>
          <w:p w14:paraId="28F55BB5" w14:textId="77777777" w:rsidR="007E783B" w:rsidRPr="002912DA" w:rsidRDefault="007E783B" w:rsidP="002912DA"/>
        </w:tc>
        <w:tc>
          <w:tcPr>
            <w:tcW w:w="991" w:type="dxa"/>
            <w:vMerge/>
            <w:tcBorders>
              <w:left w:val="single" w:sz="4" w:space="0" w:color="FFFFFF" w:themeColor="background1"/>
              <w:right w:val="single" w:sz="4" w:space="0" w:color="FFFFFF" w:themeColor="background1"/>
            </w:tcBorders>
            <w:hideMark/>
          </w:tcPr>
          <w:p w14:paraId="67CBFA34" w14:textId="77777777" w:rsidR="007E783B" w:rsidRPr="002912DA" w:rsidRDefault="007E783B" w:rsidP="002912DA">
            <w:pPr>
              <w:cnfStyle w:val="000000100000" w:firstRow="0" w:lastRow="0" w:firstColumn="0" w:lastColumn="0" w:oddVBand="0" w:evenVBand="0" w:oddHBand="1" w:evenHBand="0" w:firstRowFirstColumn="0" w:firstRowLastColumn="0" w:lastRowFirstColumn="0" w:lastRowLastColumn="0"/>
            </w:pP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174A99B9" w14:textId="77777777" w:rsidR="007E783B" w:rsidRPr="002912DA" w:rsidRDefault="007E783B"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Applications (funded rate %)</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23F81936" w14:textId="77777777" w:rsidR="007E783B" w:rsidRPr="002912DA" w:rsidRDefault="007E783B"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Applications (funded rate %)</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7FEBFFA2" w14:textId="77777777" w:rsidR="007E783B" w:rsidRPr="002912DA" w:rsidRDefault="007E783B"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Applications (funded rate %)</w:t>
            </w:r>
          </w:p>
        </w:tc>
        <w:tc>
          <w:tcPr>
            <w:tcW w:w="1561" w:type="dxa"/>
            <w:tcBorders>
              <w:top w:val="single" w:sz="4" w:space="0" w:color="FFFFFF" w:themeColor="background1"/>
              <w:left w:val="single" w:sz="4" w:space="0" w:color="FFFFFF" w:themeColor="background1"/>
            </w:tcBorders>
            <w:shd w:val="clear" w:color="auto" w:fill="1F497D" w:themeFill="text2"/>
            <w:hideMark/>
          </w:tcPr>
          <w:p w14:paraId="1BBAF3F2" w14:textId="77777777" w:rsidR="007E783B" w:rsidRPr="002912DA" w:rsidRDefault="007E783B"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Applications (funded rate %)</w:t>
            </w:r>
          </w:p>
        </w:tc>
      </w:tr>
      <w:tr w:rsidR="007E783B" w:rsidRPr="002912DA" w14:paraId="7EFAE12A"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val="restart"/>
            <w:hideMark/>
          </w:tcPr>
          <w:p w14:paraId="5D26214E" w14:textId="6F4BB3CB" w:rsidR="007E783B" w:rsidRPr="002912DA" w:rsidRDefault="007E783B" w:rsidP="00375C15">
            <w:pPr>
              <w:pStyle w:val="Tabletextcentre"/>
            </w:pPr>
            <w:r w:rsidRPr="002912DA">
              <w:t xml:space="preserve">Basic Science </w:t>
            </w:r>
            <w:r w:rsidR="00970DF1" w:rsidRPr="002912DA">
              <w:t>r</w:t>
            </w:r>
            <w:r w:rsidRPr="002912DA">
              <w:t xml:space="preserve">esearch </w:t>
            </w:r>
          </w:p>
        </w:tc>
        <w:tc>
          <w:tcPr>
            <w:tcW w:w="991" w:type="dxa"/>
            <w:hideMark/>
          </w:tcPr>
          <w:p w14:paraId="1AD882AF" w14:textId="77777777"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1560" w:type="dxa"/>
            <w:hideMark/>
          </w:tcPr>
          <w:p w14:paraId="7F1A22C7" w14:textId="6FA0197A"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21 (14.3)</w:t>
            </w:r>
          </w:p>
        </w:tc>
        <w:tc>
          <w:tcPr>
            <w:tcW w:w="1560" w:type="dxa"/>
            <w:hideMark/>
          </w:tcPr>
          <w:p w14:paraId="28B516C5" w14:textId="69E0BB49"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5 (0)</w:t>
            </w:r>
          </w:p>
        </w:tc>
        <w:tc>
          <w:tcPr>
            <w:tcW w:w="1560" w:type="dxa"/>
            <w:hideMark/>
          </w:tcPr>
          <w:p w14:paraId="46373B63" w14:textId="4AD7079F"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3 (33.3)</w:t>
            </w:r>
          </w:p>
        </w:tc>
        <w:tc>
          <w:tcPr>
            <w:tcW w:w="1561" w:type="dxa"/>
            <w:hideMark/>
          </w:tcPr>
          <w:p w14:paraId="4FEE2B2B" w14:textId="3C889944"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29 (13.8)</w:t>
            </w:r>
          </w:p>
        </w:tc>
      </w:tr>
      <w:tr w:rsidR="007E783B" w:rsidRPr="002912DA" w14:paraId="0FB84DA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hideMark/>
          </w:tcPr>
          <w:p w14:paraId="799D1292" w14:textId="77777777" w:rsidR="007E783B" w:rsidRPr="002912DA" w:rsidRDefault="007E783B" w:rsidP="00375C15">
            <w:pPr>
              <w:pStyle w:val="Tabletextcentre"/>
            </w:pPr>
          </w:p>
        </w:tc>
        <w:tc>
          <w:tcPr>
            <w:tcW w:w="991" w:type="dxa"/>
            <w:hideMark/>
          </w:tcPr>
          <w:p w14:paraId="19DE773C" w14:textId="77777777"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1560" w:type="dxa"/>
            <w:hideMark/>
          </w:tcPr>
          <w:p w14:paraId="0690E695" w14:textId="6BFE4325"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72 (5.6)</w:t>
            </w:r>
          </w:p>
        </w:tc>
        <w:tc>
          <w:tcPr>
            <w:tcW w:w="1560" w:type="dxa"/>
            <w:hideMark/>
          </w:tcPr>
          <w:p w14:paraId="7FEA94ED" w14:textId="5F6B0252"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8 (0)</w:t>
            </w:r>
          </w:p>
        </w:tc>
        <w:tc>
          <w:tcPr>
            <w:tcW w:w="1560" w:type="dxa"/>
            <w:hideMark/>
          </w:tcPr>
          <w:p w14:paraId="65604E24" w14:textId="364C29C4"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3 (66.7)</w:t>
            </w:r>
          </w:p>
        </w:tc>
        <w:tc>
          <w:tcPr>
            <w:tcW w:w="1561" w:type="dxa"/>
            <w:hideMark/>
          </w:tcPr>
          <w:p w14:paraId="3AA2B9A2" w14:textId="5F6C914E"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83 (7.2)</w:t>
            </w:r>
          </w:p>
        </w:tc>
      </w:tr>
      <w:tr w:rsidR="007E783B" w:rsidRPr="002912DA" w14:paraId="5873A428"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val="restart"/>
            <w:hideMark/>
          </w:tcPr>
          <w:p w14:paraId="2C88A6D0" w14:textId="3F24D4E1" w:rsidR="007E783B" w:rsidRPr="002912DA" w:rsidRDefault="007E783B" w:rsidP="00375C15">
            <w:pPr>
              <w:pStyle w:val="Tabletextcentre"/>
            </w:pPr>
            <w:r w:rsidRPr="002912DA">
              <w:t xml:space="preserve">Clinical Medicine and Science </w:t>
            </w:r>
            <w:r w:rsidR="00970DF1" w:rsidRPr="002912DA">
              <w:t>r</w:t>
            </w:r>
            <w:r w:rsidRPr="002912DA">
              <w:t>esearch</w:t>
            </w:r>
          </w:p>
        </w:tc>
        <w:tc>
          <w:tcPr>
            <w:tcW w:w="991" w:type="dxa"/>
            <w:hideMark/>
          </w:tcPr>
          <w:p w14:paraId="11743F8C" w14:textId="77777777"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1560" w:type="dxa"/>
            <w:hideMark/>
          </w:tcPr>
          <w:p w14:paraId="33B6AA5D" w14:textId="1462DCF4"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37 (16.2)</w:t>
            </w:r>
          </w:p>
        </w:tc>
        <w:tc>
          <w:tcPr>
            <w:tcW w:w="1560" w:type="dxa"/>
            <w:hideMark/>
          </w:tcPr>
          <w:p w14:paraId="01B276B9" w14:textId="0F3C220F"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13 (0)</w:t>
            </w:r>
          </w:p>
        </w:tc>
        <w:tc>
          <w:tcPr>
            <w:tcW w:w="1560" w:type="dxa"/>
            <w:hideMark/>
          </w:tcPr>
          <w:p w14:paraId="36814EE1" w14:textId="22EB173A"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7 (57.1)</w:t>
            </w:r>
          </w:p>
        </w:tc>
        <w:tc>
          <w:tcPr>
            <w:tcW w:w="1561" w:type="dxa"/>
            <w:hideMark/>
          </w:tcPr>
          <w:p w14:paraId="19BBE602" w14:textId="630F41BD"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57 (17.5)</w:t>
            </w:r>
          </w:p>
        </w:tc>
      </w:tr>
      <w:tr w:rsidR="007E783B" w:rsidRPr="002912DA" w14:paraId="1E8A1E59"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hideMark/>
          </w:tcPr>
          <w:p w14:paraId="676D6CAB" w14:textId="77777777" w:rsidR="007E783B" w:rsidRPr="002912DA" w:rsidRDefault="007E783B" w:rsidP="00361E69">
            <w:pPr>
              <w:pStyle w:val="Tabletextleft"/>
            </w:pPr>
          </w:p>
        </w:tc>
        <w:tc>
          <w:tcPr>
            <w:tcW w:w="991" w:type="dxa"/>
            <w:hideMark/>
          </w:tcPr>
          <w:p w14:paraId="6BEEC9AA" w14:textId="77777777"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1560" w:type="dxa"/>
            <w:hideMark/>
          </w:tcPr>
          <w:p w14:paraId="42BB6E07" w14:textId="2FC32F85"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129 (3.9)</w:t>
            </w:r>
          </w:p>
        </w:tc>
        <w:tc>
          <w:tcPr>
            <w:tcW w:w="1560" w:type="dxa"/>
            <w:hideMark/>
          </w:tcPr>
          <w:p w14:paraId="2B78D258" w14:textId="10F34356"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49 (6.1)</w:t>
            </w:r>
          </w:p>
        </w:tc>
        <w:tc>
          <w:tcPr>
            <w:tcW w:w="1560" w:type="dxa"/>
            <w:hideMark/>
          </w:tcPr>
          <w:p w14:paraId="552A3E9A" w14:textId="2FE6C970"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15 (33.3)</w:t>
            </w:r>
          </w:p>
        </w:tc>
        <w:tc>
          <w:tcPr>
            <w:tcW w:w="1561" w:type="dxa"/>
            <w:hideMark/>
          </w:tcPr>
          <w:p w14:paraId="50B08278" w14:textId="5B59D8C9"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193 (6.7)</w:t>
            </w:r>
          </w:p>
        </w:tc>
      </w:tr>
      <w:tr w:rsidR="007E783B" w:rsidRPr="002912DA" w14:paraId="4DB61E35"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val="restart"/>
            <w:hideMark/>
          </w:tcPr>
          <w:p w14:paraId="33BAED43" w14:textId="55F67572" w:rsidR="007E783B" w:rsidRPr="002912DA" w:rsidRDefault="007E783B" w:rsidP="00375C15">
            <w:pPr>
              <w:pStyle w:val="Tabletextcentre"/>
            </w:pPr>
            <w:r w:rsidRPr="002912DA">
              <w:t xml:space="preserve">Health Services </w:t>
            </w:r>
            <w:r w:rsidR="00970DF1" w:rsidRPr="002912DA">
              <w:t>r</w:t>
            </w:r>
            <w:r w:rsidRPr="002912DA">
              <w:t>esearch</w:t>
            </w:r>
          </w:p>
        </w:tc>
        <w:tc>
          <w:tcPr>
            <w:tcW w:w="991" w:type="dxa"/>
            <w:hideMark/>
          </w:tcPr>
          <w:p w14:paraId="252CEE45" w14:textId="77777777"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1560" w:type="dxa"/>
            <w:hideMark/>
          </w:tcPr>
          <w:p w14:paraId="47BD991E" w14:textId="6E02C19A"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16 (0)</w:t>
            </w:r>
          </w:p>
        </w:tc>
        <w:tc>
          <w:tcPr>
            <w:tcW w:w="1560" w:type="dxa"/>
            <w:hideMark/>
          </w:tcPr>
          <w:p w14:paraId="4FA7FBC0" w14:textId="2744F9F4"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12 (16.7)</w:t>
            </w:r>
          </w:p>
        </w:tc>
        <w:tc>
          <w:tcPr>
            <w:tcW w:w="1560" w:type="dxa"/>
            <w:hideMark/>
          </w:tcPr>
          <w:p w14:paraId="7A71C525" w14:textId="43CA9E76"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 (100)</w:t>
            </w:r>
          </w:p>
        </w:tc>
        <w:tc>
          <w:tcPr>
            <w:tcW w:w="1561" w:type="dxa"/>
            <w:hideMark/>
          </w:tcPr>
          <w:p w14:paraId="79A518D2" w14:textId="20DE6ACB"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29 (10.3)</w:t>
            </w:r>
          </w:p>
        </w:tc>
      </w:tr>
      <w:tr w:rsidR="007E783B" w:rsidRPr="002912DA" w14:paraId="4FFCF8A9"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hideMark/>
          </w:tcPr>
          <w:p w14:paraId="5EB1C313" w14:textId="77777777" w:rsidR="007E783B" w:rsidRPr="002912DA" w:rsidRDefault="007E783B" w:rsidP="00375C15">
            <w:pPr>
              <w:pStyle w:val="Tabletextcentre"/>
            </w:pPr>
          </w:p>
        </w:tc>
        <w:tc>
          <w:tcPr>
            <w:tcW w:w="991" w:type="dxa"/>
            <w:hideMark/>
          </w:tcPr>
          <w:p w14:paraId="6495985A" w14:textId="77777777"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1560" w:type="dxa"/>
            <w:hideMark/>
          </w:tcPr>
          <w:p w14:paraId="5A02967A" w14:textId="7ACA2B4D"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70 (0)</w:t>
            </w:r>
          </w:p>
        </w:tc>
        <w:tc>
          <w:tcPr>
            <w:tcW w:w="1560" w:type="dxa"/>
            <w:hideMark/>
          </w:tcPr>
          <w:p w14:paraId="3053A1BC" w14:textId="1C35CA47"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26 (7.7)</w:t>
            </w:r>
          </w:p>
        </w:tc>
        <w:tc>
          <w:tcPr>
            <w:tcW w:w="1560" w:type="dxa"/>
            <w:hideMark/>
          </w:tcPr>
          <w:p w14:paraId="137073DB" w14:textId="4F2DE75D"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 (0)</w:t>
            </w:r>
          </w:p>
        </w:tc>
        <w:tc>
          <w:tcPr>
            <w:tcW w:w="1561" w:type="dxa"/>
            <w:hideMark/>
          </w:tcPr>
          <w:p w14:paraId="5C1941C5" w14:textId="0FB3A413"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97 (2.1)</w:t>
            </w:r>
          </w:p>
        </w:tc>
      </w:tr>
      <w:tr w:rsidR="007E783B" w:rsidRPr="002912DA" w14:paraId="2E8533C9"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val="restart"/>
            <w:hideMark/>
          </w:tcPr>
          <w:p w14:paraId="36DC39EC" w14:textId="23817FBB" w:rsidR="007E783B" w:rsidRPr="002912DA" w:rsidRDefault="007E783B" w:rsidP="00375C15">
            <w:pPr>
              <w:pStyle w:val="Tabletextcentre"/>
            </w:pPr>
            <w:r w:rsidRPr="002912DA">
              <w:t xml:space="preserve">Public Health </w:t>
            </w:r>
            <w:r w:rsidR="00970DF1" w:rsidRPr="002912DA">
              <w:t>r</w:t>
            </w:r>
            <w:r w:rsidRPr="002912DA">
              <w:t>esearch</w:t>
            </w:r>
          </w:p>
        </w:tc>
        <w:tc>
          <w:tcPr>
            <w:tcW w:w="991" w:type="dxa"/>
            <w:hideMark/>
          </w:tcPr>
          <w:p w14:paraId="39A6D3FF" w14:textId="77777777"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1560" w:type="dxa"/>
            <w:hideMark/>
          </w:tcPr>
          <w:p w14:paraId="501FBF7E" w14:textId="38EC1AA4"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19 (21.1)</w:t>
            </w:r>
          </w:p>
        </w:tc>
        <w:tc>
          <w:tcPr>
            <w:tcW w:w="1560" w:type="dxa"/>
            <w:hideMark/>
          </w:tcPr>
          <w:p w14:paraId="6D022727" w14:textId="569DC7F4"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11(36.4)</w:t>
            </w:r>
          </w:p>
        </w:tc>
        <w:tc>
          <w:tcPr>
            <w:tcW w:w="1560" w:type="dxa"/>
            <w:hideMark/>
          </w:tcPr>
          <w:p w14:paraId="06A4EFF8" w14:textId="2F11B41A"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 (0)</w:t>
            </w:r>
          </w:p>
        </w:tc>
        <w:tc>
          <w:tcPr>
            <w:tcW w:w="1561" w:type="dxa"/>
            <w:hideMark/>
          </w:tcPr>
          <w:p w14:paraId="0096A6AF" w14:textId="79AA1476" w:rsidR="007E783B" w:rsidRPr="002912DA" w:rsidRDefault="007E783B"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30 (26.7)</w:t>
            </w:r>
          </w:p>
        </w:tc>
      </w:tr>
      <w:tr w:rsidR="007E783B" w:rsidRPr="002912DA" w14:paraId="58A73562"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hideMark/>
          </w:tcPr>
          <w:p w14:paraId="47205FF1" w14:textId="77777777" w:rsidR="007E783B" w:rsidRPr="002912DA" w:rsidRDefault="007E783B" w:rsidP="00361E69">
            <w:pPr>
              <w:pStyle w:val="Tabletextleft"/>
            </w:pPr>
          </w:p>
        </w:tc>
        <w:tc>
          <w:tcPr>
            <w:tcW w:w="991" w:type="dxa"/>
            <w:hideMark/>
          </w:tcPr>
          <w:p w14:paraId="400D6F30" w14:textId="77777777"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1560" w:type="dxa"/>
            <w:hideMark/>
          </w:tcPr>
          <w:p w14:paraId="5E6F634C" w14:textId="54C6CE2F"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36 (0)</w:t>
            </w:r>
          </w:p>
        </w:tc>
        <w:tc>
          <w:tcPr>
            <w:tcW w:w="1560" w:type="dxa"/>
            <w:hideMark/>
          </w:tcPr>
          <w:p w14:paraId="724132CC" w14:textId="7E0CC463"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17 (5.9)</w:t>
            </w:r>
          </w:p>
        </w:tc>
        <w:tc>
          <w:tcPr>
            <w:tcW w:w="1560" w:type="dxa"/>
            <w:hideMark/>
          </w:tcPr>
          <w:p w14:paraId="4A46B44B" w14:textId="553710B3"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 (50.0)</w:t>
            </w:r>
          </w:p>
        </w:tc>
        <w:tc>
          <w:tcPr>
            <w:tcW w:w="1561" w:type="dxa"/>
            <w:hideMark/>
          </w:tcPr>
          <w:p w14:paraId="157F8893" w14:textId="0CDFEF7A" w:rsidR="007E783B" w:rsidRPr="002912DA" w:rsidRDefault="007E783B"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55 (3.6)</w:t>
            </w:r>
          </w:p>
        </w:tc>
      </w:tr>
    </w:tbl>
    <w:p w14:paraId="1EC51415" w14:textId="77777777" w:rsidR="007E783B" w:rsidRPr="00E6756B" w:rsidRDefault="007E783B" w:rsidP="007E783B">
      <w:pPr>
        <w:pStyle w:val="Heading2"/>
      </w:pPr>
      <w:bookmarkStart w:id="11" w:name="_Toc168043237"/>
      <w:r w:rsidRPr="00E6756B">
        <w:t>Outcomes by Fields of Research</w:t>
      </w:r>
      <w:bookmarkEnd w:id="11"/>
    </w:p>
    <w:p w14:paraId="09A01B89" w14:textId="270105C6" w:rsidR="007E783B" w:rsidRPr="00B309D7" w:rsidRDefault="007E783B" w:rsidP="00B309D7">
      <w:r w:rsidRPr="00B309D7">
        <w:t xml:space="preserve">Grants were awarded across </w:t>
      </w:r>
      <w:r w:rsidR="00767BE0" w:rsidRPr="00B309D7">
        <w:t>13</w:t>
      </w:r>
      <w:r w:rsidRPr="00B309D7">
        <w:t xml:space="preserve"> different Fields of Research</w:t>
      </w:r>
      <w:r w:rsidR="009F7C20" w:rsidRPr="00CD59E2">
        <w:rPr>
          <w:rStyle w:val="FootnoteReference"/>
        </w:rPr>
        <w:footnoteReference w:id="8"/>
      </w:r>
      <w:r w:rsidRPr="00B309D7">
        <w:t xml:space="preserve"> with the largest number of grants being awarded within </w:t>
      </w:r>
      <w:r w:rsidR="00767BE0" w:rsidRPr="00B309D7">
        <w:t>Health Services and Systems</w:t>
      </w:r>
      <w:r w:rsidRPr="00B309D7">
        <w:t xml:space="preserve"> (</w:t>
      </w:r>
      <w:r w:rsidR="00767BE0" w:rsidRPr="00B309D7">
        <w:t>5</w:t>
      </w:r>
      <w:r w:rsidRPr="00B309D7">
        <w:t xml:space="preserve"> grants), followed by </w:t>
      </w:r>
      <w:r w:rsidR="00767BE0" w:rsidRPr="00B309D7">
        <w:t>Clinical Sciences (4 grants) and Oncology and Carcinogenesis (4 grants)</w:t>
      </w:r>
      <w:r w:rsidRPr="00B309D7">
        <w:t xml:space="preserve">. The largest number of applications were received within </w:t>
      </w:r>
      <w:r w:rsidR="00567397" w:rsidRPr="00B309D7">
        <w:t xml:space="preserve">Clinical Sciences and </w:t>
      </w:r>
      <w:r w:rsidR="00767BE0" w:rsidRPr="00B309D7">
        <w:t>Health Services</w:t>
      </w:r>
      <w:r w:rsidR="00567397" w:rsidRPr="00B309D7">
        <w:t xml:space="preserve"> and Systems</w:t>
      </w:r>
      <w:r w:rsidRPr="00B309D7">
        <w:t xml:space="preserve">, with </w:t>
      </w:r>
      <w:r w:rsidR="00767BE0" w:rsidRPr="00B309D7">
        <w:t>25</w:t>
      </w:r>
      <w:r w:rsidRPr="00B309D7">
        <w:t xml:space="preserve"> applications</w:t>
      </w:r>
      <w:r w:rsidR="00767BE0" w:rsidRPr="00B309D7">
        <w:t xml:space="preserve"> received in both </w:t>
      </w:r>
      <w:r w:rsidR="00567397" w:rsidRPr="00B309D7">
        <w:t>F</w:t>
      </w:r>
      <w:r w:rsidR="00767BE0" w:rsidRPr="00B309D7">
        <w:t xml:space="preserve">ields of </w:t>
      </w:r>
      <w:r w:rsidR="00567397" w:rsidRPr="00B309D7">
        <w:t>R</w:t>
      </w:r>
      <w:r w:rsidR="00767BE0" w:rsidRPr="00B309D7">
        <w:t xml:space="preserve">esearch </w:t>
      </w:r>
      <w:r w:rsidRPr="00B309D7">
        <w:t xml:space="preserve">(Table 5). Applications received covered </w:t>
      </w:r>
      <w:r w:rsidR="00767BE0" w:rsidRPr="00B309D7">
        <w:t>34</w:t>
      </w:r>
      <w:r w:rsidRPr="00B309D7">
        <w:t xml:space="preserve"> Fields of Research (Table</w:t>
      </w:r>
      <w:r w:rsidR="005A7511" w:rsidRPr="00B309D7">
        <w:t>s</w:t>
      </w:r>
      <w:r w:rsidRPr="00B309D7">
        <w:t xml:space="preserve"> 5 and 6).</w:t>
      </w:r>
      <w:r w:rsidR="00A76887" w:rsidRPr="00B309D7">
        <w:t xml:space="preserve"> A direct comparison cannot be made between the 2021 and 2023 grant opportunities, </w:t>
      </w:r>
      <w:r w:rsidR="0041326F" w:rsidRPr="00B309D7">
        <w:t>due to a change in data capture and format for</w:t>
      </w:r>
      <w:r w:rsidR="00A76887" w:rsidRPr="00B309D7">
        <w:t xml:space="preserve"> Field of Research</w:t>
      </w:r>
      <w:r w:rsidR="0041326F" w:rsidRPr="00B309D7">
        <w:t>, which</w:t>
      </w:r>
      <w:r w:rsidR="00A76887" w:rsidRPr="00B309D7">
        <w:t xml:space="preserve"> was updated to the </w:t>
      </w:r>
      <w:r w:rsidR="0041326F" w:rsidRPr="00B309D7">
        <w:t xml:space="preserve">ANZSCO </w:t>
      </w:r>
      <w:r w:rsidR="00A76887" w:rsidRPr="00B309D7">
        <w:t>2020 classification scheme in December 2021.</w:t>
      </w:r>
    </w:p>
    <w:p w14:paraId="4C66A65E" w14:textId="7B28BEE1" w:rsidR="007E783B" w:rsidRDefault="00955E6E" w:rsidP="00955E6E">
      <w:pPr>
        <w:pStyle w:val="Caption"/>
      </w:pPr>
      <w:r>
        <w:t xml:space="preserve">Table </w:t>
      </w:r>
      <w:r>
        <w:fldChar w:fldCharType="begin"/>
      </w:r>
      <w:r>
        <w:instrText xml:space="preserve"> SEQ Table \* ARABIC </w:instrText>
      </w:r>
      <w:r>
        <w:fldChar w:fldCharType="separate"/>
      </w:r>
      <w:r w:rsidR="00D85F07">
        <w:rPr>
          <w:noProof/>
        </w:rPr>
        <w:t>5</w:t>
      </w:r>
      <w:r>
        <w:fldChar w:fldCharType="end"/>
      </w:r>
      <w:r w:rsidR="007E783B" w:rsidRPr="00223BB4">
        <w:t xml:space="preserve"> – Number of applications</w:t>
      </w:r>
      <w:r w:rsidR="00767BE0">
        <w:t xml:space="preserve"> (Apps)</w:t>
      </w:r>
      <w:r w:rsidR="007E783B" w:rsidRPr="00223BB4">
        <w:t xml:space="preserve"> for Fields of Research per </w:t>
      </w:r>
      <w:r w:rsidR="007E783B">
        <w:t>s</w:t>
      </w:r>
      <w:r w:rsidR="007E783B" w:rsidRPr="00223BB4">
        <w:t>tream</w:t>
      </w:r>
      <w:r w:rsidR="007E783B" w:rsidRPr="002912DA">
        <w:rPr>
          <w:rStyle w:val="FootnoteReference"/>
        </w:rPr>
        <w:footnoteReference w:id="9"/>
      </w:r>
      <w:r w:rsidR="007E783B" w:rsidRPr="00223BB4" w:rsidDel="00D45F2A">
        <w:t xml:space="preserve"> </w:t>
      </w:r>
    </w:p>
    <w:tbl>
      <w:tblPr>
        <w:tblStyle w:val="DepartmentofHealthtable"/>
        <w:tblW w:w="9181" w:type="dxa"/>
        <w:tblLook w:val="04A0" w:firstRow="1" w:lastRow="0" w:firstColumn="1" w:lastColumn="0" w:noHBand="0" w:noVBand="1"/>
      </w:tblPr>
      <w:tblGrid>
        <w:gridCol w:w="2978"/>
        <w:gridCol w:w="614"/>
        <w:gridCol w:w="873"/>
        <w:gridCol w:w="699"/>
        <w:gridCol w:w="873"/>
        <w:gridCol w:w="699"/>
        <w:gridCol w:w="873"/>
        <w:gridCol w:w="699"/>
        <w:gridCol w:w="873"/>
      </w:tblGrid>
      <w:tr w:rsidR="00AC74E1" w:rsidRPr="002912DA" w14:paraId="18744311" w14:textId="77777777" w:rsidTr="002912D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977" w:type="dxa"/>
            <w:vMerge w:val="restart"/>
            <w:noWrap/>
            <w:hideMark/>
          </w:tcPr>
          <w:p w14:paraId="5EAE304A" w14:textId="77777777" w:rsidR="00AC74E1" w:rsidRPr="002912DA" w:rsidRDefault="00AC74E1" w:rsidP="00375C15">
            <w:pPr>
              <w:pStyle w:val="StyleTableHeaderWhite"/>
            </w:pPr>
            <w:r w:rsidRPr="002912DA">
              <w:t>Field of Research</w:t>
            </w:r>
          </w:p>
        </w:tc>
        <w:tc>
          <w:tcPr>
            <w:tcW w:w="1482" w:type="dxa"/>
            <w:gridSpan w:val="2"/>
            <w:hideMark/>
          </w:tcPr>
          <w:p w14:paraId="5B7F62D2" w14:textId="77777777" w:rsidR="00AC74E1" w:rsidRPr="002912DA" w:rsidRDefault="00AC74E1" w:rsidP="00375C15">
            <w:pPr>
              <w:pStyle w:val="StyleTableHeaderWhite"/>
              <w:cnfStyle w:val="100000000000" w:firstRow="1" w:lastRow="0" w:firstColumn="0" w:lastColumn="0" w:oddVBand="0" w:evenVBand="0" w:oddHBand="0" w:evenHBand="0" w:firstRowFirstColumn="0" w:firstRowLastColumn="0" w:lastRowFirstColumn="0" w:lastRowLastColumn="0"/>
            </w:pPr>
            <w:r w:rsidRPr="002912DA">
              <w:t>Stream 1</w:t>
            </w:r>
          </w:p>
        </w:tc>
        <w:tc>
          <w:tcPr>
            <w:tcW w:w="1574" w:type="dxa"/>
            <w:gridSpan w:val="2"/>
            <w:hideMark/>
          </w:tcPr>
          <w:p w14:paraId="40FEE742" w14:textId="77777777" w:rsidR="00AC74E1" w:rsidRPr="002912DA" w:rsidRDefault="00AC74E1" w:rsidP="00375C15">
            <w:pPr>
              <w:pStyle w:val="StyleTableHeaderWhite"/>
              <w:cnfStyle w:val="100000000000" w:firstRow="1" w:lastRow="0" w:firstColumn="0" w:lastColumn="0" w:oddVBand="0" w:evenVBand="0" w:oddHBand="0" w:evenHBand="0" w:firstRowFirstColumn="0" w:firstRowLastColumn="0" w:lastRowFirstColumn="0" w:lastRowLastColumn="0"/>
            </w:pPr>
            <w:r w:rsidRPr="002912DA">
              <w:t>Stream 2</w:t>
            </w:r>
          </w:p>
        </w:tc>
        <w:tc>
          <w:tcPr>
            <w:tcW w:w="1574" w:type="dxa"/>
            <w:gridSpan w:val="2"/>
            <w:hideMark/>
          </w:tcPr>
          <w:p w14:paraId="0DFAA812" w14:textId="77777777" w:rsidR="00AC74E1" w:rsidRPr="002912DA" w:rsidRDefault="00AC74E1" w:rsidP="00375C15">
            <w:pPr>
              <w:pStyle w:val="StyleTableHeaderWhite"/>
              <w:cnfStyle w:val="100000000000" w:firstRow="1" w:lastRow="0" w:firstColumn="0" w:lastColumn="0" w:oddVBand="0" w:evenVBand="0" w:oddHBand="0" w:evenHBand="0" w:firstRowFirstColumn="0" w:firstRowLastColumn="0" w:lastRowFirstColumn="0" w:lastRowLastColumn="0"/>
            </w:pPr>
            <w:r w:rsidRPr="002912DA">
              <w:t>Stream 3</w:t>
            </w:r>
          </w:p>
        </w:tc>
        <w:tc>
          <w:tcPr>
            <w:tcW w:w="1574" w:type="dxa"/>
            <w:gridSpan w:val="2"/>
            <w:hideMark/>
          </w:tcPr>
          <w:p w14:paraId="640E6CE4" w14:textId="77777777" w:rsidR="00AC74E1" w:rsidRPr="002912DA" w:rsidRDefault="00AC74E1" w:rsidP="00375C15">
            <w:pPr>
              <w:pStyle w:val="StyleTableHeaderWhite"/>
              <w:cnfStyle w:val="100000000000" w:firstRow="1" w:lastRow="0" w:firstColumn="0" w:lastColumn="0" w:oddVBand="0" w:evenVBand="0" w:oddHBand="0" w:evenHBand="0" w:firstRowFirstColumn="0" w:firstRowLastColumn="0" w:lastRowFirstColumn="0" w:lastRowLastColumn="0"/>
            </w:pPr>
            <w:r w:rsidRPr="002912DA">
              <w:t>All Streams</w:t>
            </w:r>
          </w:p>
        </w:tc>
      </w:tr>
      <w:tr w:rsidR="002912DA" w:rsidRPr="002912DA" w14:paraId="46A7422B" w14:textId="77777777" w:rsidTr="00375C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vMerge/>
            <w:tcBorders>
              <w:right w:val="single" w:sz="4" w:space="0" w:color="FFFFFF" w:themeColor="background1"/>
            </w:tcBorders>
            <w:noWrap/>
            <w:hideMark/>
          </w:tcPr>
          <w:p w14:paraId="3F3DADA8" w14:textId="065FD064" w:rsidR="00AC74E1" w:rsidRPr="002912DA" w:rsidRDefault="00AC74E1" w:rsidP="002912DA"/>
        </w:tc>
        <w:tc>
          <w:tcPr>
            <w:tcW w:w="616"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C3BCEA3" w14:textId="15A82891"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2912DA">
              <w:t xml:space="preserve"> </w:t>
            </w:r>
            <w:r w:rsidRPr="002912DA">
              <w:t>(n)</w:t>
            </w:r>
          </w:p>
        </w:tc>
        <w:tc>
          <w:tcPr>
            <w:tcW w:w="866"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5D731D6D" w14:textId="154F1B9D"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Grants awarded</w:t>
            </w:r>
            <w:r w:rsidR="002912DA">
              <w:t xml:space="preserve"> </w:t>
            </w:r>
            <w:r w:rsidRPr="002912DA">
              <w:t>(n)</w:t>
            </w:r>
          </w:p>
        </w:tc>
        <w:tc>
          <w:tcPr>
            <w:tcW w:w="708"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243CD31D" w14:textId="61EC2E04" w:rsidR="00AC74E1" w:rsidRPr="002912DA" w:rsidRDefault="00AC74E1" w:rsidP="00375C15">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375C15">
              <w:t xml:space="preserve"> </w:t>
            </w:r>
            <w:r w:rsidRPr="002912DA">
              <w:t>(n)</w:t>
            </w:r>
          </w:p>
        </w:tc>
        <w:tc>
          <w:tcPr>
            <w:tcW w:w="866"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C7BC452" w14:textId="37B078BB"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Grants awarded</w:t>
            </w:r>
            <w:r w:rsidR="002912DA">
              <w:t xml:space="preserve"> </w:t>
            </w:r>
            <w:r w:rsidRPr="002912DA">
              <w:t>(n)</w:t>
            </w:r>
          </w:p>
        </w:tc>
        <w:tc>
          <w:tcPr>
            <w:tcW w:w="708"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3274DE3" w14:textId="13566F73"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2912DA">
              <w:t xml:space="preserve"> </w:t>
            </w:r>
            <w:r w:rsidRPr="002912DA">
              <w:t>(n)</w:t>
            </w:r>
          </w:p>
        </w:tc>
        <w:tc>
          <w:tcPr>
            <w:tcW w:w="866"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55E3DDF9" w14:textId="2060A7B6"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Grants awarded</w:t>
            </w:r>
            <w:r w:rsidR="002912DA">
              <w:t xml:space="preserve"> </w:t>
            </w:r>
            <w:r w:rsidRPr="002912DA">
              <w:t>(n)</w:t>
            </w:r>
          </w:p>
        </w:tc>
        <w:tc>
          <w:tcPr>
            <w:tcW w:w="708"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21C77180" w14:textId="492BDD1D"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2912DA">
              <w:t xml:space="preserve"> </w:t>
            </w:r>
            <w:r w:rsidRPr="002912DA">
              <w:t>(n)</w:t>
            </w:r>
          </w:p>
        </w:tc>
        <w:tc>
          <w:tcPr>
            <w:tcW w:w="866" w:type="dxa"/>
            <w:tcBorders>
              <w:top w:val="single" w:sz="4" w:space="0" w:color="FFFFFF" w:themeColor="background1"/>
              <w:left w:val="single" w:sz="4" w:space="0" w:color="FFFFFF" w:themeColor="background1"/>
            </w:tcBorders>
            <w:shd w:val="clear" w:color="auto" w:fill="1F497D" w:themeFill="text2"/>
            <w:hideMark/>
          </w:tcPr>
          <w:p w14:paraId="7B59FF62" w14:textId="35B36B4F" w:rsidR="00AC74E1" w:rsidRPr="002912DA" w:rsidRDefault="00AC74E1" w:rsidP="00CD59E2">
            <w:pPr>
              <w:pStyle w:val="TableHeaderWhite"/>
              <w:cnfStyle w:val="000000100000" w:firstRow="0" w:lastRow="0" w:firstColumn="0" w:lastColumn="0" w:oddVBand="0" w:evenVBand="0" w:oddHBand="1" w:evenHBand="0" w:firstRowFirstColumn="0" w:firstRowLastColumn="0" w:lastRowFirstColumn="0" w:lastRowLastColumn="0"/>
            </w:pPr>
            <w:r w:rsidRPr="002912DA">
              <w:t>Grants awarded</w:t>
            </w:r>
            <w:r w:rsidR="002912DA">
              <w:t xml:space="preserve"> </w:t>
            </w:r>
            <w:r w:rsidRPr="002912DA">
              <w:t>(n)</w:t>
            </w:r>
          </w:p>
        </w:tc>
      </w:tr>
      <w:tr w:rsidR="00CD59E2" w:rsidRPr="002912DA" w14:paraId="466F9003"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9A2574C" w14:textId="77777777" w:rsidR="00767BE0" w:rsidRPr="002912DA" w:rsidRDefault="00767BE0" w:rsidP="00361E69">
            <w:pPr>
              <w:pStyle w:val="Tabletextleft"/>
            </w:pPr>
            <w:r w:rsidRPr="002912DA">
              <w:t>Biological Psychology</w:t>
            </w:r>
          </w:p>
        </w:tc>
        <w:tc>
          <w:tcPr>
            <w:tcW w:w="616" w:type="dxa"/>
            <w:hideMark/>
          </w:tcPr>
          <w:p w14:paraId="03FBB2C3"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6A05A67F"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75D15729"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7B09B7DA"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3EDF1F0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10B7357B"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5F8B578B"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7FAA619C"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r>
      <w:tr w:rsidR="00CD59E2" w:rsidRPr="002912DA" w14:paraId="0DD01A1A"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0F4A41F" w14:textId="5A6EF3BA" w:rsidR="00767BE0" w:rsidRPr="002912DA" w:rsidRDefault="00767BE0" w:rsidP="00361E69">
            <w:pPr>
              <w:pStyle w:val="Tabletextleft"/>
            </w:pPr>
            <w:r w:rsidRPr="002912DA">
              <w:t>Cardiovascular Medicine</w:t>
            </w:r>
            <w:r w:rsidR="009A5E84" w:rsidRPr="002912DA">
              <w:t xml:space="preserve"> a</w:t>
            </w:r>
            <w:r w:rsidRPr="002912DA">
              <w:t>nd Haematology</w:t>
            </w:r>
          </w:p>
        </w:tc>
        <w:tc>
          <w:tcPr>
            <w:tcW w:w="616" w:type="dxa"/>
            <w:hideMark/>
          </w:tcPr>
          <w:p w14:paraId="04491BB9"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866" w:type="dxa"/>
            <w:hideMark/>
          </w:tcPr>
          <w:p w14:paraId="03B92F40"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708" w:type="dxa"/>
            <w:hideMark/>
          </w:tcPr>
          <w:p w14:paraId="72564FB6"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743CF26C"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612D1C6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1AA8AA44"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5398A14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866" w:type="dxa"/>
            <w:hideMark/>
          </w:tcPr>
          <w:p w14:paraId="21712CCB"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r>
      <w:tr w:rsidR="00CD59E2" w:rsidRPr="002912DA" w14:paraId="1BF1C304"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3860D53" w14:textId="77777777" w:rsidR="00767BE0" w:rsidRPr="002912DA" w:rsidRDefault="00767BE0" w:rsidP="00361E69">
            <w:pPr>
              <w:pStyle w:val="Tabletextleft"/>
            </w:pPr>
            <w:r w:rsidRPr="002912DA">
              <w:t>Clinical Sciences</w:t>
            </w:r>
          </w:p>
        </w:tc>
        <w:tc>
          <w:tcPr>
            <w:tcW w:w="616" w:type="dxa"/>
            <w:hideMark/>
          </w:tcPr>
          <w:p w14:paraId="48B9CD45"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18</w:t>
            </w:r>
          </w:p>
        </w:tc>
        <w:tc>
          <w:tcPr>
            <w:tcW w:w="866" w:type="dxa"/>
            <w:hideMark/>
          </w:tcPr>
          <w:p w14:paraId="1B0498AD"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708" w:type="dxa"/>
            <w:hideMark/>
          </w:tcPr>
          <w:p w14:paraId="1A61D8B3"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5</w:t>
            </w:r>
          </w:p>
        </w:tc>
        <w:tc>
          <w:tcPr>
            <w:tcW w:w="866" w:type="dxa"/>
            <w:hideMark/>
          </w:tcPr>
          <w:p w14:paraId="36C3192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75A9BE7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866" w:type="dxa"/>
            <w:hideMark/>
          </w:tcPr>
          <w:p w14:paraId="0BFDDE3D"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25438462"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25</w:t>
            </w:r>
          </w:p>
        </w:tc>
        <w:tc>
          <w:tcPr>
            <w:tcW w:w="866" w:type="dxa"/>
            <w:hideMark/>
          </w:tcPr>
          <w:p w14:paraId="2A3A5C40"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r>
      <w:tr w:rsidR="00CD59E2" w:rsidRPr="002912DA" w14:paraId="5491B00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4D33A09" w14:textId="7C517ECC" w:rsidR="00767BE0" w:rsidRPr="002912DA" w:rsidRDefault="00767BE0" w:rsidP="00361E69">
            <w:pPr>
              <w:pStyle w:val="Tabletextleft"/>
            </w:pPr>
            <w:r w:rsidRPr="002912DA">
              <w:t xml:space="preserve">Health Services </w:t>
            </w:r>
            <w:r w:rsidR="009A5E84" w:rsidRPr="002912DA">
              <w:t>a</w:t>
            </w:r>
            <w:r w:rsidRPr="002912DA">
              <w:t>nd Systems</w:t>
            </w:r>
          </w:p>
        </w:tc>
        <w:tc>
          <w:tcPr>
            <w:tcW w:w="616" w:type="dxa"/>
            <w:hideMark/>
          </w:tcPr>
          <w:p w14:paraId="56662CFB"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13</w:t>
            </w:r>
          </w:p>
        </w:tc>
        <w:tc>
          <w:tcPr>
            <w:tcW w:w="866" w:type="dxa"/>
            <w:hideMark/>
          </w:tcPr>
          <w:p w14:paraId="28D87E7D"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708" w:type="dxa"/>
            <w:hideMark/>
          </w:tcPr>
          <w:p w14:paraId="14794B11"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11</w:t>
            </w:r>
          </w:p>
        </w:tc>
        <w:tc>
          <w:tcPr>
            <w:tcW w:w="866" w:type="dxa"/>
            <w:hideMark/>
          </w:tcPr>
          <w:p w14:paraId="0C4193DC"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708" w:type="dxa"/>
            <w:hideMark/>
          </w:tcPr>
          <w:p w14:paraId="4AD219BE"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866" w:type="dxa"/>
            <w:hideMark/>
          </w:tcPr>
          <w:p w14:paraId="7932580D"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708" w:type="dxa"/>
            <w:hideMark/>
          </w:tcPr>
          <w:p w14:paraId="1B68D63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25</w:t>
            </w:r>
          </w:p>
        </w:tc>
        <w:tc>
          <w:tcPr>
            <w:tcW w:w="866" w:type="dxa"/>
            <w:hideMark/>
          </w:tcPr>
          <w:p w14:paraId="1FEFFB8A"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r>
      <w:tr w:rsidR="00CD59E2" w:rsidRPr="002912DA" w14:paraId="42465C78"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419EC27" w14:textId="60BF266B" w:rsidR="00767BE0" w:rsidRPr="002912DA" w:rsidRDefault="00767BE0" w:rsidP="00361E69">
            <w:pPr>
              <w:pStyle w:val="Tabletextleft"/>
            </w:pPr>
            <w:r w:rsidRPr="002912DA">
              <w:t xml:space="preserve">Nutrition </w:t>
            </w:r>
            <w:r w:rsidR="009A5E84" w:rsidRPr="002912DA">
              <w:t>a</w:t>
            </w:r>
            <w:r w:rsidRPr="002912DA">
              <w:t>nd Dietetics</w:t>
            </w:r>
          </w:p>
        </w:tc>
        <w:tc>
          <w:tcPr>
            <w:tcW w:w="616" w:type="dxa"/>
            <w:hideMark/>
          </w:tcPr>
          <w:p w14:paraId="2185938C"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866" w:type="dxa"/>
            <w:hideMark/>
          </w:tcPr>
          <w:p w14:paraId="1C7A339C"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171AA1AB"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73B8E739"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178B6833"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5A2934FB"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79E273D2"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866" w:type="dxa"/>
            <w:hideMark/>
          </w:tcPr>
          <w:p w14:paraId="7F823C0B"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r>
      <w:tr w:rsidR="00CD59E2" w:rsidRPr="002912DA" w14:paraId="68E78372"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05645C8" w14:textId="70F40F2F" w:rsidR="00767BE0" w:rsidRPr="002912DA" w:rsidRDefault="00767BE0" w:rsidP="00361E69">
            <w:pPr>
              <w:pStyle w:val="Tabletextleft"/>
            </w:pPr>
            <w:r w:rsidRPr="002912DA">
              <w:t xml:space="preserve">Oncology </w:t>
            </w:r>
            <w:r w:rsidR="009A5E84" w:rsidRPr="002912DA">
              <w:t>a</w:t>
            </w:r>
            <w:r w:rsidRPr="002912DA">
              <w:t>nd Carcinogenesis</w:t>
            </w:r>
          </w:p>
        </w:tc>
        <w:tc>
          <w:tcPr>
            <w:tcW w:w="616" w:type="dxa"/>
            <w:hideMark/>
          </w:tcPr>
          <w:p w14:paraId="28BFC97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866" w:type="dxa"/>
            <w:hideMark/>
          </w:tcPr>
          <w:p w14:paraId="60A1DDA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708" w:type="dxa"/>
            <w:hideMark/>
          </w:tcPr>
          <w:p w14:paraId="3CC26687"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08E42EB9"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34E13557"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866" w:type="dxa"/>
            <w:hideMark/>
          </w:tcPr>
          <w:p w14:paraId="3EC8250B"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708" w:type="dxa"/>
            <w:hideMark/>
          </w:tcPr>
          <w:p w14:paraId="1F41FA0E"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6</w:t>
            </w:r>
          </w:p>
        </w:tc>
        <w:tc>
          <w:tcPr>
            <w:tcW w:w="866" w:type="dxa"/>
            <w:hideMark/>
          </w:tcPr>
          <w:p w14:paraId="4122A382"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r>
      <w:tr w:rsidR="00CD59E2" w:rsidRPr="002912DA" w14:paraId="5F693136"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4AAA8B9" w14:textId="052B57B2" w:rsidR="00767BE0" w:rsidRPr="002912DA" w:rsidRDefault="00767BE0" w:rsidP="00361E69">
            <w:pPr>
              <w:pStyle w:val="Tabletextleft"/>
            </w:pPr>
            <w:r w:rsidRPr="002912DA">
              <w:t xml:space="preserve">Ophthalmology </w:t>
            </w:r>
            <w:r w:rsidR="009A5E84" w:rsidRPr="002912DA">
              <w:t>a</w:t>
            </w:r>
            <w:r w:rsidRPr="002912DA">
              <w:t>nd Optometry</w:t>
            </w:r>
          </w:p>
        </w:tc>
        <w:tc>
          <w:tcPr>
            <w:tcW w:w="616" w:type="dxa"/>
            <w:hideMark/>
          </w:tcPr>
          <w:p w14:paraId="721781CB"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0ADB389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1717C038"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0535EE60"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01069E0A"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75E98BD8"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1BA6CFBD"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697C44D3"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r>
      <w:tr w:rsidR="00CD59E2" w:rsidRPr="002912DA" w14:paraId="76750BE6"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191C74C" w14:textId="4BBE55CD" w:rsidR="00767BE0" w:rsidRPr="002912DA" w:rsidRDefault="00767BE0" w:rsidP="00361E69">
            <w:pPr>
              <w:pStyle w:val="Tabletextleft"/>
            </w:pPr>
            <w:r w:rsidRPr="002912DA">
              <w:t xml:space="preserve">Pharmacology </w:t>
            </w:r>
            <w:r w:rsidR="009A5E84" w:rsidRPr="002912DA">
              <w:t>a</w:t>
            </w:r>
            <w:r w:rsidRPr="002912DA">
              <w:t>nd Pharmaceutical Sciences</w:t>
            </w:r>
          </w:p>
        </w:tc>
        <w:tc>
          <w:tcPr>
            <w:tcW w:w="616" w:type="dxa"/>
            <w:hideMark/>
          </w:tcPr>
          <w:p w14:paraId="309790EB"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866" w:type="dxa"/>
            <w:hideMark/>
          </w:tcPr>
          <w:p w14:paraId="419F46D6"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708" w:type="dxa"/>
            <w:hideMark/>
          </w:tcPr>
          <w:p w14:paraId="166D53D1"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7B3524C1"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40D00A48"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082743E7"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65649CED"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866" w:type="dxa"/>
            <w:hideMark/>
          </w:tcPr>
          <w:p w14:paraId="5FE53026"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r>
      <w:tr w:rsidR="00CD59E2" w:rsidRPr="002912DA" w14:paraId="75BDBB8C"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3567E8E" w14:textId="77777777" w:rsidR="00767BE0" w:rsidRPr="002912DA" w:rsidRDefault="00767BE0" w:rsidP="00361E69">
            <w:pPr>
              <w:pStyle w:val="Tabletextleft"/>
            </w:pPr>
            <w:r w:rsidRPr="002912DA">
              <w:t>Public Health</w:t>
            </w:r>
          </w:p>
        </w:tc>
        <w:tc>
          <w:tcPr>
            <w:tcW w:w="616" w:type="dxa"/>
            <w:hideMark/>
          </w:tcPr>
          <w:p w14:paraId="2841B4C6"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7</w:t>
            </w:r>
          </w:p>
        </w:tc>
        <w:tc>
          <w:tcPr>
            <w:tcW w:w="866" w:type="dxa"/>
            <w:hideMark/>
          </w:tcPr>
          <w:p w14:paraId="7BC0E9B1"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32D21C5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866" w:type="dxa"/>
            <w:hideMark/>
          </w:tcPr>
          <w:p w14:paraId="41971FBC"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5DA9441D"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41A6FE0D"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3E6D19A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11</w:t>
            </w:r>
          </w:p>
        </w:tc>
        <w:tc>
          <w:tcPr>
            <w:tcW w:w="866" w:type="dxa"/>
            <w:hideMark/>
          </w:tcPr>
          <w:p w14:paraId="7A7F03B2"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r>
      <w:tr w:rsidR="00CD59E2" w:rsidRPr="002912DA" w14:paraId="5F4DA90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AD0DBAE" w14:textId="77777777" w:rsidR="00767BE0" w:rsidRPr="002912DA" w:rsidRDefault="00767BE0" w:rsidP="00361E69">
            <w:pPr>
              <w:pStyle w:val="Tabletextleft"/>
            </w:pPr>
            <w:r w:rsidRPr="002912DA">
              <w:t>Reproductive Medicine</w:t>
            </w:r>
          </w:p>
        </w:tc>
        <w:tc>
          <w:tcPr>
            <w:tcW w:w="616" w:type="dxa"/>
            <w:hideMark/>
          </w:tcPr>
          <w:p w14:paraId="09885265"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866" w:type="dxa"/>
            <w:hideMark/>
          </w:tcPr>
          <w:p w14:paraId="4DCD984D"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708" w:type="dxa"/>
            <w:hideMark/>
          </w:tcPr>
          <w:p w14:paraId="635890D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57BA9F1D"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2D770F27"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4B8D090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7CA15FA2"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866" w:type="dxa"/>
            <w:hideMark/>
          </w:tcPr>
          <w:p w14:paraId="55DECC3A"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r>
      <w:tr w:rsidR="00CD59E2" w:rsidRPr="002912DA" w14:paraId="1BE1A794"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15986B2" w14:textId="189A47CF" w:rsidR="00767BE0" w:rsidRPr="002912DA" w:rsidRDefault="00767BE0" w:rsidP="00361E69">
            <w:pPr>
              <w:pStyle w:val="Tabletextleft"/>
            </w:pPr>
            <w:r w:rsidRPr="002912DA">
              <w:lastRenderedPageBreak/>
              <w:t xml:space="preserve">Aboriginal </w:t>
            </w:r>
            <w:r w:rsidR="009A5E84" w:rsidRPr="002912DA">
              <w:t>a</w:t>
            </w:r>
            <w:r w:rsidRPr="002912DA">
              <w:t xml:space="preserve">nd Torres Strait Islander Health </w:t>
            </w:r>
            <w:r w:rsidR="009A5E84" w:rsidRPr="002912DA">
              <w:t>a</w:t>
            </w:r>
            <w:r w:rsidRPr="002912DA">
              <w:t>nd Wellbeing</w:t>
            </w:r>
          </w:p>
        </w:tc>
        <w:tc>
          <w:tcPr>
            <w:tcW w:w="616" w:type="dxa"/>
            <w:hideMark/>
          </w:tcPr>
          <w:p w14:paraId="229133C2"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377B4BD4"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1018E041"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255FE818"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6B57A952"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1D07AF5E"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4ADF774C"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79F089C1"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r>
      <w:tr w:rsidR="00CD59E2" w:rsidRPr="002912DA" w14:paraId="726581BC"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AE692FC" w14:textId="77777777" w:rsidR="00767BE0" w:rsidRPr="002912DA" w:rsidRDefault="00767BE0" w:rsidP="00361E69">
            <w:pPr>
              <w:pStyle w:val="Tabletextleft"/>
            </w:pPr>
            <w:r w:rsidRPr="002912DA">
              <w:t>Biomedical Engineering</w:t>
            </w:r>
          </w:p>
        </w:tc>
        <w:tc>
          <w:tcPr>
            <w:tcW w:w="616" w:type="dxa"/>
            <w:hideMark/>
          </w:tcPr>
          <w:p w14:paraId="3AA1AC8E"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6765A9B6"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422C9B0F"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66" w:type="dxa"/>
            <w:hideMark/>
          </w:tcPr>
          <w:p w14:paraId="44457686"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37E0D7FC"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866" w:type="dxa"/>
            <w:hideMark/>
          </w:tcPr>
          <w:p w14:paraId="47CAA834"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708" w:type="dxa"/>
            <w:hideMark/>
          </w:tcPr>
          <w:p w14:paraId="44A39B92"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866" w:type="dxa"/>
            <w:hideMark/>
          </w:tcPr>
          <w:p w14:paraId="53941138" w14:textId="77777777" w:rsidR="00767BE0" w:rsidRPr="002912DA" w:rsidRDefault="00767BE0"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r>
      <w:tr w:rsidR="00CD59E2" w:rsidRPr="002912DA" w14:paraId="799E6AC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B2EF4D2" w14:textId="77777777" w:rsidR="00767BE0" w:rsidRPr="002912DA" w:rsidRDefault="00767BE0" w:rsidP="00361E69">
            <w:pPr>
              <w:pStyle w:val="Tabletextleft"/>
            </w:pPr>
            <w:r w:rsidRPr="002912DA">
              <w:t>Neurosciences</w:t>
            </w:r>
          </w:p>
        </w:tc>
        <w:tc>
          <w:tcPr>
            <w:tcW w:w="616" w:type="dxa"/>
            <w:hideMark/>
          </w:tcPr>
          <w:p w14:paraId="1372E8F2"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3A5F386C"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72045D06"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66" w:type="dxa"/>
            <w:hideMark/>
          </w:tcPr>
          <w:p w14:paraId="2C71AE8F"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204275B3"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30AA0E06"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8" w:type="dxa"/>
            <w:hideMark/>
          </w:tcPr>
          <w:p w14:paraId="06E8C64A"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66" w:type="dxa"/>
            <w:hideMark/>
          </w:tcPr>
          <w:p w14:paraId="2B0BAAA6" w14:textId="77777777" w:rsidR="00767BE0" w:rsidRPr="002912DA" w:rsidRDefault="00767BE0"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r>
    </w:tbl>
    <w:p w14:paraId="6200BC61" w14:textId="38EDC386" w:rsidR="007E783B" w:rsidRPr="001F432C" w:rsidRDefault="00955E6E" w:rsidP="00955E6E">
      <w:pPr>
        <w:pStyle w:val="Caption"/>
        <w:rPr>
          <w:rFonts w:eastAsia="Cambria"/>
        </w:rPr>
      </w:pPr>
      <w:r>
        <w:t xml:space="preserve">Table </w:t>
      </w:r>
      <w:r>
        <w:fldChar w:fldCharType="begin"/>
      </w:r>
      <w:r>
        <w:instrText xml:space="preserve"> SEQ Table \* ARABIC </w:instrText>
      </w:r>
      <w:r>
        <w:fldChar w:fldCharType="separate"/>
      </w:r>
      <w:r w:rsidR="00D85F07">
        <w:rPr>
          <w:noProof/>
        </w:rPr>
        <w:t>6</w:t>
      </w:r>
      <w:r>
        <w:fldChar w:fldCharType="end"/>
      </w:r>
      <w:r w:rsidR="007E783B" w:rsidRPr="001F432C">
        <w:rPr>
          <w:rFonts w:eastAsia="Cambria"/>
        </w:rPr>
        <w:t xml:space="preserve"> </w:t>
      </w:r>
      <w:r>
        <w:rPr>
          <w:rFonts w:eastAsia="Cambria"/>
        </w:rPr>
        <w:t>–</w:t>
      </w:r>
      <w:r w:rsidR="007E783B" w:rsidRPr="001F432C">
        <w:rPr>
          <w:rFonts w:eastAsia="Cambria"/>
        </w:rPr>
        <w:t xml:space="preserve"> Number of applications for Fields of Research where no grants were awarded </w:t>
      </w:r>
    </w:p>
    <w:tbl>
      <w:tblPr>
        <w:tblStyle w:val="DepartmentofHealthtable"/>
        <w:tblW w:w="0" w:type="auto"/>
        <w:tblLook w:val="04A0" w:firstRow="1" w:lastRow="0" w:firstColumn="1" w:lastColumn="0" w:noHBand="0" w:noVBand="1"/>
      </w:tblPr>
      <w:tblGrid>
        <w:gridCol w:w="3474"/>
        <w:gridCol w:w="1502"/>
        <w:gridCol w:w="1783"/>
      </w:tblGrid>
      <w:tr w:rsidR="006B2631" w:rsidRPr="002912DA" w14:paraId="268838D4" w14:textId="77777777" w:rsidTr="002912D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D5D9C0F" w14:textId="77777777" w:rsidR="006B2631" w:rsidRPr="002912DA" w:rsidRDefault="006B2631" w:rsidP="00375C15">
            <w:pPr>
              <w:pStyle w:val="StyleTableHeaderWhite"/>
            </w:pPr>
            <w:r w:rsidRPr="002912DA">
              <w:t>Field of Research</w:t>
            </w:r>
          </w:p>
        </w:tc>
        <w:tc>
          <w:tcPr>
            <w:tcW w:w="0" w:type="auto"/>
            <w:noWrap/>
            <w:hideMark/>
          </w:tcPr>
          <w:p w14:paraId="6B38D685" w14:textId="2E6BB557" w:rsidR="006B2631" w:rsidRPr="002912DA" w:rsidRDefault="006B2631" w:rsidP="00375C15">
            <w:pPr>
              <w:pStyle w:val="StyleTableHeaderWhite"/>
              <w:cnfStyle w:val="100000000000" w:firstRow="1" w:lastRow="0" w:firstColumn="0" w:lastColumn="0" w:oddVBand="0" w:evenVBand="0" w:oddHBand="0" w:evenHBand="0" w:firstRowFirstColumn="0" w:firstRowLastColumn="0" w:lastRowFirstColumn="0" w:lastRowLastColumn="0"/>
            </w:pPr>
            <w:r w:rsidRPr="002912DA">
              <w:t>Applications</w:t>
            </w:r>
            <w:r w:rsidR="002912DA">
              <w:t xml:space="preserve"> </w:t>
            </w:r>
            <w:r w:rsidR="00B927F8" w:rsidRPr="002912DA">
              <w:t>(n)</w:t>
            </w:r>
          </w:p>
        </w:tc>
        <w:tc>
          <w:tcPr>
            <w:tcW w:w="0" w:type="auto"/>
            <w:hideMark/>
          </w:tcPr>
          <w:p w14:paraId="7E8A9BCE" w14:textId="32AAA2FF" w:rsidR="006B2631" w:rsidRPr="002912DA" w:rsidRDefault="006B2631" w:rsidP="00375C15">
            <w:pPr>
              <w:pStyle w:val="StyleTableHeaderWhite"/>
              <w:cnfStyle w:val="100000000000" w:firstRow="1" w:lastRow="0" w:firstColumn="0" w:lastColumn="0" w:oddVBand="0" w:evenVBand="0" w:oddHBand="0" w:evenHBand="0" w:firstRowFirstColumn="0" w:firstRowLastColumn="0" w:lastRowFirstColumn="0" w:lastRowLastColumn="0"/>
            </w:pPr>
            <w:r w:rsidRPr="002912DA">
              <w:t>Grants awarded</w:t>
            </w:r>
            <w:r w:rsidR="00B927F8" w:rsidRPr="002912DA">
              <w:t xml:space="preserve"> (n)</w:t>
            </w:r>
          </w:p>
        </w:tc>
      </w:tr>
      <w:tr w:rsidR="006B2631" w:rsidRPr="002912DA" w14:paraId="540D6033"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2F8F4C1" w14:textId="25A11208" w:rsidR="006B2631" w:rsidRPr="002912DA" w:rsidRDefault="009A5E84" w:rsidP="00361E69">
            <w:pPr>
              <w:pStyle w:val="Tabletextleft"/>
            </w:pPr>
            <w:r w:rsidRPr="002912DA">
              <w:t>Allied Health and Rehabilitation Science</w:t>
            </w:r>
          </w:p>
        </w:tc>
        <w:tc>
          <w:tcPr>
            <w:tcW w:w="0" w:type="auto"/>
            <w:hideMark/>
          </w:tcPr>
          <w:p w14:paraId="33D284DA"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hideMark/>
          </w:tcPr>
          <w:p w14:paraId="2E3F78E3"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47531899"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20306629" w14:textId="46FCA158" w:rsidR="006B2631" w:rsidRPr="002912DA" w:rsidRDefault="009A5E84" w:rsidP="00361E69">
            <w:pPr>
              <w:pStyle w:val="Tabletextleft"/>
            </w:pPr>
            <w:r w:rsidRPr="002912DA">
              <w:t>Applied and Developmental Psychology</w:t>
            </w:r>
          </w:p>
        </w:tc>
        <w:tc>
          <w:tcPr>
            <w:tcW w:w="0" w:type="auto"/>
            <w:hideMark/>
          </w:tcPr>
          <w:p w14:paraId="7BCC005E"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0" w:type="auto"/>
            <w:hideMark/>
          </w:tcPr>
          <w:p w14:paraId="5C370F4E"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2D06047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9E389AF" w14:textId="0802D826" w:rsidR="006B2631" w:rsidRPr="002912DA" w:rsidRDefault="009A5E84" w:rsidP="00361E69">
            <w:pPr>
              <w:pStyle w:val="Tabletextleft"/>
            </w:pPr>
            <w:r w:rsidRPr="002912DA">
              <w:t>Artificial Intelligence</w:t>
            </w:r>
          </w:p>
        </w:tc>
        <w:tc>
          <w:tcPr>
            <w:tcW w:w="0" w:type="auto"/>
            <w:hideMark/>
          </w:tcPr>
          <w:p w14:paraId="0925F231"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hideMark/>
          </w:tcPr>
          <w:p w14:paraId="0FC8FFB2"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1B4F7FE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AE70B6C" w14:textId="7E2F502A" w:rsidR="006B2631" w:rsidRPr="002912DA" w:rsidRDefault="009A5E84" w:rsidP="00361E69">
            <w:pPr>
              <w:pStyle w:val="Tabletextleft"/>
            </w:pPr>
            <w:r w:rsidRPr="002912DA">
              <w:t>Biochemistry and Cell Biology</w:t>
            </w:r>
          </w:p>
        </w:tc>
        <w:tc>
          <w:tcPr>
            <w:tcW w:w="0" w:type="auto"/>
            <w:hideMark/>
          </w:tcPr>
          <w:p w14:paraId="6CAE0A2B"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hideMark/>
          </w:tcPr>
          <w:p w14:paraId="6BC90EF3"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0C13455F"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3E9C177" w14:textId="55365699" w:rsidR="006B2631" w:rsidRPr="002912DA" w:rsidRDefault="009A5E84" w:rsidP="00361E69">
            <w:pPr>
              <w:pStyle w:val="Tabletextleft"/>
            </w:pPr>
            <w:r w:rsidRPr="002912DA">
              <w:t>Bioinformatics and Computational Biology</w:t>
            </w:r>
          </w:p>
        </w:tc>
        <w:tc>
          <w:tcPr>
            <w:tcW w:w="0" w:type="auto"/>
            <w:hideMark/>
          </w:tcPr>
          <w:p w14:paraId="49AFCD31"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hideMark/>
          </w:tcPr>
          <w:p w14:paraId="785FBE45"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475DD85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A58FAFE" w14:textId="5815F747" w:rsidR="006B2631" w:rsidRPr="002912DA" w:rsidRDefault="009A5E84" w:rsidP="00361E69">
            <w:pPr>
              <w:pStyle w:val="Tabletextleft"/>
            </w:pPr>
            <w:r w:rsidRPr="002912DA">
              <w:t>Climate Change Impacts and Adaptation</w:t>
            </w:r>
          </w:p>
        </w:tc>
        <w:tc>
          <w:tcPr>
            <w:tcW w:w="0" w:type="auto"/>
            <w:hideMark/>
          </w:tcPr>
          <w:p w14:paraId="22A1C5EE"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hideMark/>
          </w:tcPr>
          <w:p w14:paraId="33330544"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492B0B0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76409ABA" w14:textId="3D8F066D" w:rsidR="006B2631" w:rsidRPr="002912DA" w:rsidRDefault="009A5E84" w:rsidP="00361E69">
            <w:pPr>
              <w:pStyle w:val="Tabletextleft"/>
            </w:pPr>
            <w:r w:rsidRPr="002912DA">
              <w:t>Clinical and Health Psychology</w:t>
            </w:r>
          </w:p>
        </w:tc>
        <w:tc>
          <w:tcPr>
            <w:tcW w:w="0" w:type="auto"/>
            <w:hideMark/>
          </w:tcPr>
          <w:p w14:paraId="277CC2B7"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0" w:type="auto"/>
            <w:hideMark/>
          </w:tcPr>
          <w:p w14:paraId="7846A4BE"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296CABC1"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1353DFA5" w14:textId="305A2416" w:rsidR="006B2631" w:rsidRPr="002912DA" w:rsidRDefault="009A5E84" w:rsidP="00361E69">
            <w:pPr>
              <w:pStyle w:val="Tabletextleft"/>
            </w:pPr>
            <w:r w:rsidRPr="002912DA">
              <w:t>Cognitive and Computational Psychology</w:t>
            </w:r>
          </w:p>
        </w:tc>
        <w:tc>
          <w:tcPr>
            <w:tcW w:w="0" w:type="auto"/>
            <w:hideMark/>
          </w:tcPr>
          <w:p w14:paraId="13B78254"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hideMark/>
          </w:tcPr>
          <w:p w14:paraId="020F8BA3"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767B540B"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4905E627" w14:textId="6D58D166" w:rsidR="006B2631" w:rsidRPr="002912DA" w:rsidRDefault="009A5E84" w:rsidP="00361E69">
            <w:pPr>
              <w:pStyle w:val="Tabletextleft"/>
            </w:pPr>
            <w:r w:rsidRPr="002912DA">
              <w:t>Dentistry</w:t>
            </w:r>
          </w:p>
        </w:tc>
        <w:tc>
          <w:tcPr>
            <w:tcW w:w="0" w:type="auto"/>
            <w:hideMark/>
          </w:tcPr>
          <w:p w14:paraId="025B4B40"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hideMark/>
          </w:tcPr>
          <w:p w14:paraId="03628B01"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6AFA05E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7454210B" w14:textId="016AA8AE" w:rsidR="006B2631" w:rsidRPr="002912DA" w:rsidRDefault="009A5E84" w:rsidP="00361E69">
            <w:pPr>
              <w:pStyle w:val="Tabletextleft"/>
            </w:pPr>
            <w:r w:rsidRPr="002912DA">
              <w:t>Epidemiology</w:t>
            </w:r>
          </w:p>
        </w:tc>
        <w:tc>
          <w:tcPr>
            <w:tcW w:w="0" w:type="auto"/>
            <w:hideMark/>
          </w:tcPr>
          <w:p w14:paraId="5A84AC0A"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6</w:t>
            </w:r>
          </w:p>
        </w:tc>
        <w:tc>
          <w:tcPr>
            <w:tcW w:w="0" w:type="auto"/>
            <w:hideMark/>
          </w:tcPr>
          <w:p w14:paraId="2EC8DE04"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271CA740"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14C0A56B" w14:textId="69F183EE" w:rsidR="006B2631" w:rsidRPr="002912DA" w:rsidRDefault="009A5E84" w:rsidP="00361E69">
            <w:pPr>
              <w:pStyle w:val="Tabletextleft"/>
            </w:pPr>
            <w:r w:rsidRPr="002912DA">
              <w:t>Genetics</w:t>
            </w:r>
          </w:p>
        </w:tc>
        <w:tc>
          <w:tcPr>
            <w:tcW w:w="0" w:type="auto"/>
            <w:hideMark/>
          </w:tcPr>
          <w:p w14:paraId="3D96A627"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0" w:type="auto"/>
            <w:hideMark/>
          </w:tcPr>
          <w:p w14:paraId="57710D6B"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6FD7371B"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114912E0" w14:textId="6D58B495" w:rsidR="006B2631" w:rsidRPr="002912DA" w:rsidRDefault="009A5E84" w:rsidP="00361E69">
            <w:pPr>
              <w:pStyle w:val="Tabletextleft"/>
            </w:pPr>
            <w:r w:rsidRPr="002912DA">
              <w:t>Immunology</w:t>
            </w:r>
          </w:p>
        </w:tc>
        <w:tc>
          <w:tcPr>
            <w:tcW w:w="0" w:type="auto"/>
            <w:hideMark/>
          </w:tcPr>
          <w:p w14:paraId="3B65DFEF"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5</w:t>
            </w:r>
          </w:p>
        </w:tc>
        <w:tc>
          <w:tcPr>
            <w:tcW w:w="0" w:type="auto"/>
            <w:hideMark/>
          </w:tcPr>
          <w:p w14:paraId="4E4CB561"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7E927EBF"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2E6A0417" w14:textId="596EE0EF" w:rsidR="006B2631" w:rsidRPr="002912DA" w:rsidRDefault="009A5E84" w:rsidP="00361E69">
            <w:pPr>
              <w:pStyle w:val="Tabletextleft"/>
            </w:pPr>
            <w:r w:rsidRPr="002912DA">
              <w:t>Materials Engineering</w:t>
            </w:r>
          </w:p>
        </w:tc>
        <w:tc>
          <w:tcPr>
            <w:tcW w:w="0" w:type="auto"/>
            <w:hideMark/>
          </w:tcPr>
          <w:p w14:paraId="342BB4CE"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hideMark/>
          </w:tcPr>
          <w:p w14:paraId="0BC4237F"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6DE955A6"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5156DC1" w14:textId="21804FE1" w:rsidR="006B2631" w:rsidRPr="002912DA" w:rsidRDefault="009A5E84" w:rsidP="00361E69">
            <w:pPr>
              <w:pStyle w:val="Tabletextleft"/>
            </w:pPr>
            <w:r w:rsidRPr="002912DA">
              <w:t>Medical and Biological Physics</w:t>
            </w:r>
          </w:p>
        </w:tc>
        <w:tc>
          <w:tcPr>
            <w:tcW w:w="0" w:type="auto"/>
            <w:hideMark/>
          </w:tcPr>
          <w:p w14:paraId="3220756F"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hideMark/>
          </w:tcPr>
          <w:p w14:paraId="2245E184"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5F37BC69"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2B87B332" w14:textId="152FAF3B" w:rsidR="006B2631" w:rsidRPr="002912DA" w:rsidRDefault="009A5E84" w:rsidP="00361E69">
            <w:pPr>
              <w:pStyle w:val="Tabletextleft"/>
            </w:pPr>
            <w:r w:rsidRPr="002912DA">
              <w:t>Medical Biotechnology</w:t>
            </w:r>
          </w:p>
        </w:tc>
        <w:tc>
          <w:tcPr>
            <w:tcW w:w="0" w:type="auto"/>
            <w:hideMark/>
          </w:tcPr>
          <w:p w14:paraId="0FF2629A"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c>
          <w:tcPr>
            <w:tcW w:w="0" w:type="auto"/>
            <w:hideMark/>
          </w:tcPr>
          <w:p w14:paraId="60BD74D3"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631B06A0"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7843E859" w14:textId="0B7B8CD2" w:rsidR="006B2631" w:rsidRPr="002912DA" w:rsidRDefault="009A5E84" w:rsidP="00361E69">
            <w:pPr>
              <w:pStyle w:val="Tabletextleft"/>
            </w:pPr>
            <w:r w:rsidRPr="002912DA">
              <w:t>Medical Microbiology</w:t>
            </w:r>
          </w:p>
        </w:tc>
        <w:tc>
          <w:tcPr>
            <w:tcW w:w="0" w:type="auto"/>
            <w:hideMark/>
          </w:tcPr>
          <w:p w14:paraId="6035A739"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hideMark/>
          </w:tcPr>
          <w:p w14:paraId="055D3085" w14:textId="77777777" w:rsidR="006B2631" w:rsidRPr="002912DA"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6B2631" w:rsidRPr="002912DA" w14:paraId="38D92873"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1EDA1DB1" w14:textId="3836AD64" w:rsidR="006B2631" w:rsidRPr="002912DA" w:rsidRDefault="009A5E84" w:rsidP="00361E69">
            <w:pPr>
              <w:pStyle w:val="Tabletextleft"/>
            </w:pPr>
            <w:r w:rsidRPr="002912DA">
              <w:t>Microbiology</w:t>
            </w:r>
          </w:p>
        </w:tc>
        <w:tc>
          <w:tcPr>
            <w:tcW w:w="0" w:type="auto"/>
            <w:hideMark/>
          </w:tcPr>
          <w:p w14:paraId="30B1C28E"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hideMark/>
          </w:tcPr>
          <w:p w14:paraId="2E817E5B" w14:textId="77777777" w:rsidR="006B2631" w:rsidRPr="002912DA"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6B2631" w:rsidRPr="002912DA" w14:paraId="2F957D38"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7DF190E0" w14:textId="295B9924" w:rsidR="006B2631" w:rsidRPr="00CD59E2" w:rsidRDefault="009A5E84" w:rsidP="00361E69">
            <w:pPr>
              <w:pStyle w:val="Tabletextleft"/>
            </w:pPr>
            <w:r w:rsidRPr="00CD59E2">
              <w:t>Midwifery</w:t>
            </w:r>
          </w:p>
        </w:tc>
        <w:tc>
          <w:tcPr>
            <w:tcW w:w="0" w:type="auto"/>
            <w:hideMark/>
          </w:tcPr>
          <w:p w14:paraId="374FDE0E" w14:textId="77777777" w:rsidR="006B2631" w:rsidRPr="00CD59E2"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CD59E2">
              <w:t>1</w:t>
            </w:r>
          </w:p>
        </w:tc>
        <w:tc>
          <w:tcPr>
            <w:tcW w:w="0" w:type="auto"/>
            <w:hideMark/>
          </w:tcPr>
          <w:p w14:paraId="0E06A285" w14:textId="77777777" w:rsidR="006B2631" w:rsidRPr="00CD59E2"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CD59E2">
              <w:t>0</w:t>
            </w:r>
          </w:p>
        </w:tc>
      </w:tr>
      <w:tr w:rsidR="006B2631" w:rsidRPr="002912DA" w14:paraId="02FD087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14F189F7" w14:textId="622A5AFA" w:rsidR="006B2631" w:rsidRPr="00CD59E2" w:rsidRDefault="009A5E84" w:rsidP="00361E69">
            <w:pPr>
              <w:pStyle w:val="Tabletextleft"/>
            </w:pPr>
            <w:r w:rsidRPr="00CD59E2">
              <w:t>Nursing</w:t>
            </w:r>
          </w:p>
        </w:tc>
        <w:tc>
          <w:tcPr>
            <w:tcW w:w="0" w:type="auto"/>
            <w:hideMark/>
          </w:tcPr>
          <w:p w14:paraId="11467A30" w14:textId="77777777" w:rsidR="006B2631" w:rsidRPr="00CD59E2"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CD59E2">
              <w:t>2</w:t>
            </w:r>
          </w:p>
        </w:tc>
        <w:tc>
          <w:tcPr>
            <w:tcW w:w="0" w:type="auto"/>
            <w:hideMark/>
          </w:tcPr>
          <w:p w14:paraId="57CA326B" w14:textId="77777777" w:rsidR="006B2631" w:rsidRPr="00CD59E2"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CD59E2">
              <w:t>0</w:t>
            </w:r>
          </w:p>
        </w:tc>
      </w:tr>
      <w:tr w:rsidR="006B2631" w:rsidRPr="002912DA" w14:paraId="6C6B6DB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40399B29" w14:textId="75BFF3DE" w:rsidR="006B2631" w:rsidRPr="00CD59E2" w:rsidRDefault="009A5E84" w:rsidP="00361E69">
            <w:pPr>
              <w:pStyle w:val="Tabletextleft"/>
            </w:pPr>
            <w:r w:rsidRPr="00CD59E2">
              <w:t>Paediatrics</w:t>
            </w:r>
          </w:p>
        </w:tc>
        <w:tc>
          <w:tcPr>
            <w:tcW w:w="0" w:type="auto"/>
            <w:hideMark/>
          </w:tcPr>
          <w:p w14:paraId="7D025201" w14:textId="77777777" w:rsidR="006B2631" w:rsidRPr="00CD59E2"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CD59E2">
              <w:t>1</w:t>
            </w:r>
          </w:p>
        </w:tc>
        <w:tc>
          <w:tcPr>
            <w:tcW w:w="0" w:type="auto"/>
            <w:hideMark/>
          </w:tcPr>
          <w:p w14:paraId="5D10E699" w14:textId="77777777" w:rsidR="006B2631" w:rsidRPr="00CD59E2" w:rsidRDefault="006B2631" w:rsidP="00375C15">
            <w:pPr>
              <w:pStyle w:val="Tabletextcentre"/>
              <w:cnfStyle w:val="000000010000" w:firstRow="0" w:lastRow="0" w:firstColumn="0" w:lastColumn="0" w:oddVBand="0" w:evenVBand="0" w:oddHBand="0" w:evenHBand="1" w:firstRowFirstColumn="0" w:firstRowLastColumn="0" w:lastRowFirstColumn="0" w:lastRowLastColumn="0"/>
            </w:pPr>
            <w:r w:rsidRPr="00CD59E2">
              <w:t>0</w:t>
            </w:r>
          </w:p>
        </w:tc>
      </w:tr>
      <w:tr w:rsidR="006B2631" w:rsidRPr="002912DA" w14:paraId="16F3C714"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705C3801" w14:textId="70F1F86A" w:rsidR="006B2631" w:rsidRPr="00CD59E2" w:rsidRDefault="009A5E84" w:rsidP="00361E69">
            <w:pPr>
              <w:pStyle w:val="Tabletextleft"/>
            </w:pPr>
            <w:r w:rsidRPr="00CD59E2">
              <w:t>Sports Science and Exercise</w:t>
            </w:r>
          </w:p>
        </w:tc>
        <w:tc>
          <w:tcPr>
            <w:tcW w:w="0" w:type="auto"/>
            <w:hideMark/>
          </w:tcPr>
          <w:p w14:paraId="1CDD5F66" w14:textId="77777777" w:rsidR="006B2631" w:rsidRPr="00CD59E2"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CD59E2">
              <w:t>1</w:t>
            </w:r>
          </w:p>
        </w:tc>
        <w:tc>
          <w:tcPr>
            <w:tcW w:w="0" w:type="auto"/>
            <w:hideMark/>
          </w:tcPr>
          <w:p w14:paraId="73A18838" w14:textId="77777777" w:rsidR="006B2631" w:rsidRPr="00CD59E2" w:rsidRDefault="006B2631" w:rsidP="00375C15">
            <w:pPr>
              <w:pStyle w:val="Tabletextcentre"/>
              <w:cnfStyle w:val="000000100000" w:firstRow="0" w:lastRow="0" w:firstColumn="0" w:lastColumn="0" w:oddVBand="0" w:evenVBand="0" w:oddHBand="1" w:evenHBand="0" w:firstRowFirstColumn="0" w:firstRowLastColumn="0" w:lastRowFirstColumn="0" w:lastRowLastColumn="0"/>
            </w:pPr>
            <w:r w:rsidRPr="00CD59E2">
              <w:t>0</w:t>
            </w:r>
          </w:p>
        </w:tc>
      </w:tr>
    </w:tbl>
    <w:p w14:paraId="79584AD1" w14:textId="1F7D8232" w:rsidR="007E783B" w:rsidRPr="00E6756B" w:rsidRDefault="007E783B" w:rsidP="007E783B">
      <w:pPr>
        <w:pStyle w:val="Heading2"/>
      </w:pPr>
      <w:bookmarkStart w:id="12" w:name="_Toc168043238"/>
      <w:r w:rsidRPr="00E6756B">
        <w:t>Outcomes by states and territories</w:t>
      </w:r>
      <w:bookmarkEnd w:id="12"/>
    </w:p>
    <w:p w14:paraId="4B3B30C2" w14:textId="0B90953A" w:rsidR="007E783B" w:rsidRPr="002912DA" w:rsidRDefault="007E783B" w:rsidP="002912DA">
      <w:r w:rsidRPr="002912DA">
        <w:t xml:space="preserve">The 2023 grant opportunity saw applications received from all states and territories, except for Tasmania. The states with the largest number of applications were New South Wales, Victoria, and Queensland with 57, 52 and 17 applications respectively. Overall, the grant opportunity </w:t>
      </w:r>
      <w:r w:rsidRPr="002912DA">
        <w:lastRenderedPageBreak/>
        <w:t xml:space="preserve">awarded 25 grants over </w:t>
      </w:r>
      <w:r w:rsidR="0088555A" w:rsidRPr="002912DA">
        <w:t>4</w:t>
      </w:r>
      <w:r w:rsidRPr="002912DA">
        <w:t xml:space="preserve"> states</w:t>
      </w:r>
      <w:r w:rsidR="003558DD" w:rsidRPr="002912DA">
        <w:t xml:space="preserve"> and 1 territory</w:t>
      </w:r>
      <w:r w:rsidRPr="002912DA" w:rsidDel="00F66382">
        <w:t>.</w:t>
      </w:r>
      <w:r w:rsidRPr="002912DA">
        <w:t xml:space="preserve"> This was a decrease in the number of states</w:t>
      </w:r>
      <w:r w:rsidR="0088555A" w:rsidRPr="002912DA">
        <w:t xml:space="preserve"> </w:t>
      </w:r>
      <w:r w:rsidRPr="002912DA">
        <w:t>funded from the 2021 grant opportunity</w:t>
      </w:r>
      <w:r w:rsidR="00567397" w:rsidRPr="002912DA">
        <w:t xml:space="preserve"> where </w:t>
      </w:r>
      <w:r w:rsidR="002D521B" w:rsidRPr="002912DA">
        <w:t xml:space="preserve">grants were awarded in </w:t>
      </w:r>
      <w:r w:rsidR="003558DD" w:rsidRPr="002912DA">
        <w:t xml:space="preserve">5 states and </w:t>
      </w:r>
      <w:r w:rsidR="00F66382" w:rsidRPr="002912DA">
        <w:t>1 territory</w:t>
      </w:r>
      <w:r w:rsidR="00BA7E5E" w:rsidRPr="002912DA">
        <w:t xml:space="preserve"> </w:t>
      </w:r>
      <w:r w:rsidR="00DB0113" w:rsidRPr="002912DA">
        <w:t>with</w:t>
      </w:r>
      <w:r w:rsidR="0088555A" w:rsidRPr="002912DA">
        <w:t xml:space="preserve"> Western Australia</w:t>
      </w:r>
      <w:r w:rsidR="00DB0113" w:rsidRPr="002912DA">
        <w:t xml:space="preserve"> being the additional state</w:t>
      </w:r>
      <w:r w:rsidR="002B2871" w:rsidRPr="002912DA">
        <w:t xml:space="preserve">. </w:t>
      </w:r>
      <w:r w:rsidR="00AE4763" w:rsidRPr="002912DA">
        <w:t>An</w:t>
      </w:r>
      <w:r w:rsidR="004078EB" w:rsidRPr="002912DA">
        <w:t xml:space="preserve"> EMCR grant has </w:t>
      </w:r>
      <w:r w:rsidR="00212310" w:rsidRPr="002912DA">
        <w:t xml:space="preserve">not yet </w:t>
      </w:r>
      <w:r w:rsidR="004078EB" w:rsidRPr="002912DA">
        <w:t>been awarded</w:t>
      </w:r>
      <w:r w:rsidR="00212310" w:rsidRPr="002912DA">
        <w:t xml:space="preserve"> in the Northern Territory</w:t>
      </w:r>
      <w:r w:rsidR="006C357B" w:rsidRPr="002912DA">
        <w:t xml:space="preserve"> or Tasmania</w:t>
      </w:r>
      <w:r w:rsidR="00212310" w:rsidRPr="002912DA">
        <w:t>.</w:t>
      </w:r>
    </w:p>
    <w:p w14:paraId="38CA4DA1" w14:textId="16E606F6" w:rsidR="007E783B" w:rsidRPr="002912DA" w:rsidRDefault="007E783B" w:rsidP="002912DA">
      <w:r w:rsidRPr="002912DA">
        <w:t>The highest proportion</w:t>
      </w:r>
      <w:r w:rsidR="005B26E6" w:rsidRPr="002912DA">
        <w:t>s</w:t>
      </w:r>
      <w:r w:rsidRPr="002912DA">
        <w:t xml:space="preserve"> of grants w</w:t>
      </w:r>
      <w:r w:rsidR="005B26E6" w:rsidRPr="002912DA">
        <w:t>ere</w:t>
      </w:r>
      <w:r w:rsidRPr="002912DA">
        <w:t xml:space="preserve"> awarded to researchers from Victoria (44%), followed closely by New South Wales (36%). These states also received the highest proportion</w:t>
      </w:r>
      <w:r w:rsidR="005518FB" w:rsidRPr="002912DA">
        <w:t>s</w:t>
      </w:r>
      <w:r w:rsidRPr="002912DA">
        <w:t xml:space="preserve"> of funding (Table 7</w:t>
      </w:r>
      <w:r w:rsidRPr="002912DA" w:rsidDel="001B3DC5">
        <w:t xml:space="preserve">, </w:t>
      </w:r>
      <w:r w:rsidR="0080592C" w:rsidRPr="002912DA">
        <w:t>Figure 4B</w:t>
      </w:r>
      <w:r w:rsidRPr="002912DA">
        <w:t>). The number of grants and proportion of funding awarded to Queensland decreased in the 2023 grant opportunity compared to 2021, in which Queensland was awarded the highest number of grants and proportion of funding.</w:t>
      </w:r>
    </w:p>
    <w:p w14:paraId="5A64C2E6" w14:textId="0E4940D8" w:rsidR="007E783B" w:rsidRPr="00223BB4" w:rsidRDefault="00955E6E" w:rsidP="00955E6E">
      <w:pPr>
        <w:pStyle w:val="Caption"/>
      </w:pPr>
      <w:r>
        <w:t xml:space="preserve">Table </w:t>
      </w:r>
      <w:r>
        <w:fldChar w:fldCharType="begin"/>
      </w:r>
      <w:r>
        <w:instrText xml:space="preserve"> SEQ Table \* ARABIC </w:instrText>
      </w:r>
      <w:r>
        <w:fldChar w:fldCharType="separate"/>
      </w:r>
      <w:r w:rsidR="00D85F07">
        <w:rPr>
          <w:noProof/>
        </w:rPr>
        <w:t>7</w:t>
      </w:r>
      <w:r>
        <w:fldChar w:fldCharType="end"/>
      </w:r>
      <w:r w:rsidR="007E783B" w:rsidRPr="00223BB4">
        <w:t xml:space="preserve"> </w:t>
      </w:r>
      <w:r>
        <w:t>–</w:t>
      </w:r>
      <w:r w:rsidR="007E783B" w:rsidRPr="00223BB4">
        <w:t xml:space="preserve"> Applications and grants by states and territories</w:t>
      </w:r>
    </w:p>
    <w:tbl>
      <w:tblPr>
        <w:tblStyle w:val="DepartmentofHealthtable"/>
        <w:tblW w:w="9212" w:type="dxa"/>
        <w:tblLook w:val="04A0" w:firstRow="1" w:lastRow="0" w:firstColumn="1" w:lastColumn="0" w:noHBand="0" w:noVBand="1"/>
      </w:tblPr>
      <w:tblGrid>
        <w:gridCol w:w="982"/>
        <w:gridCol w:w="849"/>
        <w:gridCol w:w="1223"/>
        <w:gridCol w:w="961"/>
        <w:gridCol w:w="928"/>
        <w:gridCol w:w="1116"/>
        <w:gridCol w:w="1062"/>
        <w:gridCol w:w="1062"/>
        <w:gridCol w:w="1029"/>
      </w:tblGrid>
      <w:tr w:rsidR="00D85F07" w:rsidRPr="002912DA" w14:paraId="6FCF2A9C" w14:textId="77777777" w:rsidTr="002912DA">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994" w:type="dxa"/>
            <w:hideMark/>
          </w:tcPr>
          <w:p w14:paraId="6695E970" w14:textId="77777777" w:rsidR="007E783B" w:rsidRPr="002912DA" w:rsidRDefault="007E783B" w:rsidP="00D85F07">
            <w:pPr>
              <w:pStyle w:val="TableHeaderWhite"/>
            </w:pPr>
            <w:r w:rsidRPr="002912DA">
              <w:t>State/ Territory</w:t>
            </w:r>
          </w:p>
        </w:tc>
        <w:tc>
          <w:tcPr>
            <w:tcW w:w="889" w:type="dxa"/>
            <w:hideMark/>
          </w:tcPr>
          <w:p w14:paraId="20295F81" w14:textId="77777777"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Year</w:t>
            </w:r>
          </w:p>
        </w:tc>
        <w:tc>
          <w:tcPr>
            <w:tcW w:w="1177" w:type="dxa"/>
            <w:hideMark/>
          </w:tcPr>
          <w:p w14:paraId="6E41AE54" w14:textId="4FF1BC23"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Applications</w:t>
            </w:r>
            <w:r w:rsidR="00B927F8" w:rsidRPr="002912DA">
              <w:t xml:space="preserve"> (n)</w:t>
            </w:r>
          </w:p>
        </w:tc>
        <w:tc>
          <w:tcPr>
            <w:tcW w:w="972" w:type="dxa"/>
            <w:hideMark/>
          </w:tcPr>
          <w:p w14:paraId="68C9BDE1" w14:textId="5D0D01EE"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Grants awarded</w:t>
            </w:r>
            <w:r w:rsidR="00B927F8" w:rsidRPr="002912DA">
              <w:t xml:space="preserve"> (n)</w:t>
            </w:r>
          </w:p>
        </w:tc>
        <w:tc>
          <w:tcPr>
            <w:tcW w:w="946" w:type="dxa"/>
            <w:hideMark/>
          </w:tcPr>
          <w:p w14:paraId="1E865A33" w14:textId="7537F868"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Funded rate</w:t>
            </w:r>
            <w:r w:rsidR="00B927F8" w:rsidRPr="002912DA">
              <w:t xml:space="preserve"> (%)</w:t>
            </w:r>
          </w:p>
        </w:tc>
        <w:tc>
          <w:tcPr>
            <w:tcW w:w="1126" w:type="dxa"/>
            <w:hideMark/>
          </w:tcPr>
          <w:p w14:paraId="233F1ADD" w14:textId="649E0895"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Total value</w:t>
            </w:r>
            <w:r w:rsidR="00B927F8" w:rsidRPr="002912DA">
              <w:t xml:space="preserve"> ($)</w:t>
            </w:r>
          </w:p>
        </w:tc>
        <w:tc>
          <w:tcPr>
            <w:tcW w:w="1034" w:type="dxa"/>
            <w:hideMark/>
          </w:tcPr>
          <w:p w14:paraId="46F65CF0" w14:textId="77777777"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Proportion of grants awarded (%)</w:t>
            </w:r>
          </w:p>
        </w:tc>
        <w:tc>
          <w:tcPr>
            <w:tcW w:w="1034" w:type="dxa"/>
            <w:hideMark/>
          </w:tcPr>
          <w:p w14:paraId="7458360E" w14:textId="77777777"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Proportion of $ awarded (%)</w:t>
            </w:r>
          </w:p>
        </w:tc>
        <w:tc>
          <w:tcPr>
            <w:tcW w:w="1040" w:type="dxa"/>
            <w:hideMark/>
          </w:tcPr>
          <w:p w14:paraId="771EB33D" w14:textId="77777777" w:rsidR="007E783B" w:rsidRPr="002912DA" w:rsidRDefault="007E783B" w:rsidP="00D85F07">
            <w:pPr>
              <w:pStyle w:val="TableHeaderWhite"/>
              <w:cnfStyle w:val="100000000000" w:firstRow="1" w:lastRow="0" w:firstColumn="0" w:lastColumn="0" w:oddVBand="0" w:evenVBand="0" w:oddHBand="0" w:evenHBand="0" w:firstRowFirstColumn="0" w:firstRowLastColumn="0" w:lastRowFirstColumn="0" w:lastRowLastColumn="0"/>
            </w:pPr>
            <w:r w:rsidRPr="002912DA">
              <w:t>Mean budget ($)</w:t>
            </w:r>
          </w:p>
        </w:tc>
      </w:tr>
      <w:tr w:rsidR="00D85F07" w:rsidRPr="002912DA" w14:paraId="6FE5D40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79A2A1D2" w14:textId="77777777" w:rsidR="007E783B" w:rsidRPr="002912DA" w:rsidRDefault="007E783B" w:rsidP="00D85F07">
            <w:pPr>
              <w:pStyle w:val="Tabletextcentre"/>
            </w:pPr>
            <w:r w:rsidRPr="002912DA">
              <w:t>VIC</w:t>
            </w:r>
          </w:p>
        </w:tc>
        <w:tc>
          <w:tcPr>
            <w:tcW w:w="889" w:type="dxa"/>
            <w:hideMark/>
          </w:tcPr>
          <w:p w14:paraId="6F26FEEE"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460EE43A"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52</w:t>
            </w:r>
          </w:p>
        </w:tc>
        <w:tc>
          <w:tcPr>
            <w:tcW w:w="972" w:type="dxa"/>
            <w:hideMark/>
          </w:tcPr>
          <w:p w14:paraId="445650F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11</w:t>
            </w:r>
          </w:p>
        </w:tc>
        <w:tc>
          <w:tcPr>
            <w:tcW w:w="946" w:type="dxa"/>
            <w:hideMark/>
          </w:tcPr>
          <w:p w14:paraId="3E6D3A5F"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21.2</w:t>
            </w:r>
          </w:p>
        </w:tc>
        <w:tc>
          <w:tcPr>
            <w:tcW w:w="1126" w:type="dxa"/>
            <w:hideMark/>
          </w:tcPr>
          <w:p w14:paraId="7F652726"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16,915,164</w:t>
            </w:r>
          </w:p>
        </w:tc>
        <w:tc>
          <w:tcPr>
            <w:tcW w:w="1034" w:type="dxa"/>
            <w:hideMark/>
          </w:tcPr>
          <w:p w14:paraId="669BD86F"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44.0</w:t>
            </w:r>
          </w:p>
        </w:tc>
        <w:tc>
          <w:tcPr>
            <w:tcW w:w="1034" w:type="dxa"/>
            <w:hideMark/>
          </w:tcPr>
          <w:p w14:paraId="03CB0F71"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40.0</w:t>
            </w:r>
          </w:p>
        </w:tc>
        <w:tc>
          <w:tcPr>
            <w:tcW w:w="1040" w:type="dxa"/>
            <w:hideMark/>
          </w:tcPr>
          <w:p w14:paraId="201C11DB"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1,537,742</w:t>
            </w:r>
          </w:p>
        </w:tc>
      </w:tr>
      <w:tr w:rsidR="00D85F07" w:rsidRPr="002912DA" w14:paraId="3BABB6F7"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5F04DA3A" w14:textId="77777777" w:rsidR="007E783B" w:rsidRPr="002912DA" w:rsidRDefault="007E783B" w:rsidP="00D85F07">
            <w:pPr>
              <w:pStyle w:val="Tabletextcentre"/>
            </w:pPr>
          </w:p>
        </w:tc>
        <w:tc>
          <w:tcPr>
            <w:tcW w:w="889" w:type="dxa"/>
            <w:hideMark/>
          </w:tcPr>
          <w:p w14:paraId="5834C54D"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7B81F9D4"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144</w:t>
            </w:r>
          </w:p>
        </w:tc>
        <w:tc>
          <w:tcPr>
            <w:tcW w:w="972" w:type="dxa"/>
            <w:hideMark/>
          </w:tcPr>
          <w:p w14:paraId="445A3892"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w:t>
            </w:r>
          </w:p>
        </w:tc>
        <w:tc>
          <w:tcPr>
            <w:tcW w:w="946" w:type="dxa"/>
            <w:hideMark/>
          </w:tcPr>
          <w:p w14:paraId="54390AEF"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4.2</w:t>
            </w:r>
          </w:p>
        </w:tc>
        <w:tc>
          <w:tcPr>
            <w:tcW w:w="1126" w:type="dxa"/>
            <w:hideMark/>
          </w:tcPr>
          <w:p w14:paraId="2B65611F"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13,352,738</w:t>
            </w:r>
          </w:p>
        </w:tc>
        <w:tc>
          <w:tcPr>
            <w:tcW w:w="1034" w:type="dxa"/>
            <w:hideMark/>
          </w:tcPr>
          <w:p w14:paraId="6B4BA41F"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26.1</w:t>
            </w:r>
          </w:p>
        </w:tc>
        <w:tc>
          <w:tcPr>
            <w:tcW w:w="1034" w:type="dxa"/>
            <w:hideMark/>
          </w:tcPr>
          <w:p w14:paraId="4FE42C80"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31.2</w:t>
            </w:r>
          </w:p>
        </w:tc>
        <w:tc>
          <w:tcPr>
            <w:tcW w:w="1040" w:type="dxa"/>
            <w:hideMark/>
          </w:tcPr>
          <w:p w14:paraId="7F8C126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2,225,456</w:t>
            </w:r>
          </w:p>
        </w:tc>
      </w:tr>
      <w:tr w:rsidR="00D85F07" w:rsidRPr="002912DA" w14:paraId="344CB88C"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4596F3C7" w14:textId="77777777" w:rsidR="007E783B" w:rsidRPr="002912DA" w:rsidRDefault="007E783B" w:rsidP="00D85F07">
            <w:pPr>
              <w:pStyle w:val="Tabletextcentre"/>
            </w:pPr>
            <w:r w:rsidRPr="002912DA">
              <w:t>NSW</w:t>
            </w:r>
          </w:p>
        </w:tc>
        <w:tc>
          <w:tcPr>
            <w:tcW w:w="889" w:type="dxa"/>
            <w:hideMark/>
          </w:tcPr>
          <w:p w14:paraId="4B12EF2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306DD7E1"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57</w:t>
            </w:r>
          </w:p>
        </w:tc>
        <w:tc>
          <w:tcPr>
            <w:tcW w:w="972" w:type="dxa"/>
            <w:hideMark/>
          </w:tcPr>
          <w:p w14:paraId="00FFA05E"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w:t>
            </w:r>
          </w:p>
        </w:tc>
        <w:tc>
          <w:tcPr>
            <w:tcW w:w="946" w:type="dxa"/>
            <w:hideMark/>
          </w:tcPr>
          <w:p w14:paraId="69B7F084"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15.8</w:t>
            </w:r>
          </w:p>
        </w:tc>
        <w:tc>
          <w:tcPr>
            <w:tcW w:w="1126" w:type="dxa"/>
            <w:hideMark/>
          </w:tcPr>
          <w:p w14:paraId="5092E4E6"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17,034,169</w:t>
            </w:r>
          </w:p>
        </w:tc>
        <w:tc>
          <w:tcPr>
            <w:tcW w:w="1034" w:type="dxa"/>
            <w:hideMark/>
          </w:tcPr>
          <w:p w14:paraId="2E6434E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36.0</w:t>
            </w:r>
          </w:p>
        </w:tc>
        <w:tc>
          <w:tcPr>
            <w:tcW w:w="1034" w:type="dxa"/>
            <w:hideMark/>
          </w:tcPr>
          <w:p w14:paraId="554E6A9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40.2</w:t>
            </w:r>
          </w:p>
        </w:tc>
        <w:tc>
          <w:tcPr>
            <w:tcW w:w="1040" w:type="dxa"/>
            <w:hideMark/>
          </w:tcPr>
          <w:p w14:paraId="3C5C198B"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1,892,685</w:t>
            </w:r>
          </w:p>
        </w:tc>
      </w:tr>
      <w:tr w:rsidR="00D85F07" w:rsidRPr="002912DA" w14:paraId="1A4002C0"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7E509E89" w14:textId="77777777" w:rsidR="007E783B" w:rsidRPr="002912DA" w:rsidRDefault="007E783B" w:rsidP="00D85F07">
            <w:pPr>
              <w:pStyle w:val="Tabletextcentre"/>
            </w:pPr>
          </w:p>
        </w:tc>
        <w:tc>
          <w:tcPr>
            <w:tcW w:w="889" w:type="dxa"/>
            <w:hideMark/>
          </w:tcPr>
          <w:p w14:paraId="75DED924"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013D1F29"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149</w:t>
            </w:r>
          </w:p>
        </w:tc>
        <w:tc>
          <w:tcPr>
            <w:tcW w:w="972" w:type="dxa"/>
            <w:hideMark/>
          </w:tcPr>
          <w:p w14:paraId="20E11CB9"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w:t>
            </w:r>
          </w:p>
        </w:tc>
        <w:tc>
          <w:tcPr>
            <w:tcW w:w="946" w:type="dxa"/>
            <w:hideMark/>
          </w:tcPr>
          <w:p w14:paraId="77179AD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3.4</w:t>
            </w:r>
          </w:p>
        </w:tc>
        <w:tc>
          <w:tcPr>
            <w:tcW w:w="1126" w:type="dxa"/>
            <w:hideMark/>
          </w:tcPr>
          <w:p w14:paraId="5F9CAAFF"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7,796,091</w:t>
            </w:r>
          </w:p>
        </w:tc>
        <w:tc>
          <w:tcPr>
            <w:tcW w:w="1034" w:type="dxa"/>
            <w:hideMark/>
          </w:tcPr>
          <w:p w14:paraId="1858DC5E"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21.7</w:t>
            </w:r>
          </w:p>
        </w:tc>
        <w:tc>
          <w:tcPr>
            <w:tcW w:w="1034" w:type="dxa"/>
            <w:hideMark/>
          </w:tcPr>
          <w:p w14:paraId="240AD2E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18.2</w:t>
            </w:r>
          </w:p>
        </w:tc>
        <w:tc>
          <w:tcPr>
            <w:tcW w:w="1040" w:type="dxa"/>
            <w:hideMark/>
          </w:tcPr>
          <w:p w14:paraId="4E4A7A3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1,559,218</w:t>
            </w:r>
          </w:p>
        </w:tc>
      </w:tr>
      <w:tr w:rsidR="00D85F07" w:rsidRPr="002912DA" w14:paraId="483D65A9"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24B64702" w14:textId="77777777" w:rsidR="007E783B" w:rsidRPr="002912DA" w:rsidRDefault="007E783B" w:rsidP="00D85F07">
            <w:pPr>
              <w:pStyle w:val="Tabletextcentre"/>
            </w:pPr>
            <w:r w:rsidRPr="002912DA">
              <w:t>QLD</w:t>
            </w:r>
          </w:p>
        </w:tc>
        <w:tc>
          <w:tcPr>
            <w:tcW w:w="889" w:type="dxa"/>
            <w:hideMark/>
          </w:tcPr>
          <w:p w14:paraId="7FCEE79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3F97CA8C"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w:t>
            </w:r>
          </w:p>
        </w:tc>
        <w:tc>
          <w:tcPr>
            <w:tcW w:w="972" w:type="dxa"/>
            <w:hideMark/>
          </w:tcPr>
          <w:p w14:paraId="3D424157"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946" w:type="dxa"/>
            <w:hideMark/>
          </w:tcPr>
          <w:p w14:paraId="31D17056"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17.7</w:t>
            </w:r>
          </w:p>
        </w:tc>
        <w:tc>
          <w:tcPr>
            <w:tcW w:w="1126" w:type="dxa"/>
            <w:hideMark/>
          </w:tcPr>
          <w:p w14:paraId="4ACF62E4"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6,513,242</w:t>
            </w:r>
          </w:p>
        </w:tc>
        <w:tc>
          <w:tcPr>
            <w:tcW w:w="1034" w:type="dxa"/>
            <w:hideMark/>
          </w:tcPr>
          <w:p w14:paraId="1111A1E4"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12.0</w:t>
            </w:r>
          </w:p>
        </w:tc>
        <w:tc>
          <w:tcPr>
            <w:tcW w:w="1034" w:type="dxa"/>
            <w:hideMark/>
          </w:tcPr>
          <w:p w14:paraId="6C7C723B"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15.4</w:t>
            </w:r>
          </w:p>
        </w:tc>
        <w:tc>
          <w:tcPr>
            <w:tcW w:w="1040" w:type="dxa"/>
            <w:hideMark/>
          </w:tcPr>
          <w:p w14:paraId="7D37296E"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2,171,081</w:t>
            </w:r>
          </w:p>
        </w:tc>
      </w:tr>
      <w:tr w:rsidR="00D85F07" w:rsidRPr="002912DA" w14:paraId="72CB8B90"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7671D23E" w14:textId="77777777" w:rsidR="007E783B" w:rsidRPr="002912DA" w:rsidRDefault="007E783B" w:rsidP="00D85F07">
            <w:pPr>
              <w:pStyle w:val="Tabletextcentre"/>
            </w:pPr>
          </w:p>
        </w:tc>
        <w:tc>
          <w:tcPr>
            <w:tcW w:w="889" w:type="dxa"/>
            <w:hideMark/>
          </w:tcPr>
          <w:p w14:paraId="079B8A2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751027A0"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77</w:t>
            </w:r>
          </w:p>
        </w:tc>
        <w:tc>
          <w:tcPr>
            <w:tcW w:w="972" w:type="dxa"/>
            <w:hideMark/>
          </w:tcPr>
          <w:p w14:paraId="07CD1213"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w:t>
            </w:r>
          </w:p>
        </w:tc>
        <w:tc>
          <w:tcPr>
            <w:tcW w:w="946" w:type="dxa"/>
            <w:hideMark/>
          </w:tcPr>
          <w:p w14:paraId="613B1A93"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9.1</w:t>
            </w:r>
          </w:p>
        </w:tc>
        <w:tc>
          <w:tcPr>
            <w:tcW w:w="1126" w:type="dxa"/>
            <w:hideMark/>
          </w:tcPr>
          <w:p w14:paraId="337751A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8,727,368</w:t>
            </w:r>
          </w:p>
        </w:tc>
        <w:tc>
          <w:tcPr>
            <w:tcW w:w="1034" w:type="dxa"/>
            <w:hideMark/>
          </w:tcPr>
          <w:p w14:paraId="0384E5E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30.4</w:t>
            </w:r>
          </w:p>
        </w:tc>
        <w:tc>
          <w:tcPr>
            <w:tcW w:w="1034" w:type="dxa"/>
            <w:hideMark/>
          </w:tcPr>
          <w:p w14:paraId="1C74FED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20.4</w:t>
            </w:r>
          </w:p>
        </w:tc>
        <w:tc>
          <w:tcPr>
            <w:tcW w:w="1040" w:type="dxa"/>
            <w:hideMark/>
          </w:tcPr>
          <w:p w14:paraId="4F61B78D"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1,246,767</w:t>
            </w:r>
          </w:p>
        </w:tc>
      </w:tr>
      <w:tr w:rsidR="00D85F07" w:rsidRPr="002912DA" w14:paraId="279595F6"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05B6105F" w14:textId="77777777" w:rsidR="007E783B" w:rsidRPr="002912DA" w:rsidRDefault="007E783B" w:rsidP="00D85F07">
            <w:pPr>
              <w:pStyle w:val="Tabletextcentre"/>
            </w:pPr>
            <w:r w:rsidRPr="002912DA">
              <w:t>ACT</w:t>
            </w:r>
          </w:p>
        </w:tc>
        <w:tc>
          <w:tcPr>
            <w:tcW w:w="889" w:type="dxa"/>
            <w:hideMark/>
          </w:tcPr>
          <w:p w14:paraId="349EC622"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4A23D3FA"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972" w:type="dxa"/>
            <w:hideMark/>
          </w:tcPr>
          <w:p w14:paraId="5B87FE8D"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946" w:type="dxa"/>
            <w:hideMark/>
          </w:tcPr>
          <w:p w14:paraId="0B3D542C"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50.0</w:t>
            </w:r>
          </w:p>
        </w:tc>
        <w:tc>
          <w:tcPr>
            <w:tcW w:w="1126" w:type="dxa"/>
            <w:hideMark/>
          </w:tcPr>
          <w:p w14:paraId="4AD2D382"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883,926</w:t>
            </w:r>
          </w:p>
        </w:tc>
        <w:tc>
          <w:tcPr>
            <w:tcW w:w="1034" w:type="dxa"/>
            <w:hideMark/>
          </w:tcPr>
          <w:p w14:paraId="1508EC8F"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4.0</w:t>
            </w:r>
          </w:p>
        </w:tc>
        <w:tc>
          <w:tcPr>
            <w:tcW w:w="1034" w:type="dxa"/>
            <w:hideMark/>
          </w:tcPr>
          <w:p w14:paraId="1267E49F"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2.1</w:t>
            </w:r>
          </w:p>
        </w:tc>
        <w:tc>
          <w:tcPr>
            <w:tcW w:w="1040" w:type="dxa"/>
            <w:hideMark/>
          </w:tcPr>
          <w:p w14:paraId="36BA63DB"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883,926</w:t>
            </w:r>
          </w:p>
        </w:tc>
      </w:tr>
      <w:tr w:rsidR="00D85F07" w:rsidRPr="002912DA" w14:paraId="71D52326"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30A6CA32" w14:textId="77777777" w:rsidR="007E783B" w:rsidRPr="002912DA" w:rsidRDefault="007E783B" w:rsidP="00D85F07">
            <w:pPr>
              <w:pStyle w:val="Tabletextcentre"/>
            </w:pPr>
          </w:p>
        </w:tc>
        <w:tc>
          <w:tcPr>
            <w:tcW w:w="889" w:type="dxa"/>
            <w:hideMark/>
          </w:tcPr>
          <w:p w14:paraId="09A7B31D"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018F15F0"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972" w:type="dxa"/>
            <w:hideMark/>
          </w:tcPr>
          <w:p w14:paraId="694946B7"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946" w:type="dxa"/>
            <w:hideMark/>
          </w:tcPr>
          <w:p w14:paraId="3B2AD2F8"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25.0</w:t>
            </w:r>
          </w:p>
        </w:tc>
        <w:tc>
          <w:tcPr>
            <w:tcW w:w="1126" w:type="dxa"/>
            <w:hideMark/>
          </w:tcPr>
          <w:p w14:paraId="74EC3607"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1,553,569</w:t>
            </w:r>
          </w:p>
        </w:tc>
        <w:tc>
          <w:tcPr>
            <w:tcW w:w="1034" w:type="dxa"/>
            <w:hideMark/>
          </w:tcPr>
          <w:p w14:paraId="24E1A4C1"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4.4</w:t>
            </w:r>
          </w:p>
        </w:tc>
        <w:tc>
          <w:tcPr>
            <w:tcW w:w="1034" w:type="dxa"/>
            <w:hideMark/>
          </w:tcPr>
          <w:p w14:paraId="7F7A3D7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3.6</w:t>
            </w:r>
          </w:p>
        </w:tc>
        <w:tc>
          <w:tcPr>
            <w:tcW w:w="1040" w:type="dxa"/>
            <w:hideMark/>
          </w:tcPr>
          <w:p w14:paraId="0F956876"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1,553,569</w:t>
            </w:r>
          </w:p>
        </w:tc>
      </w:tr>
      <w:tr w:rsidR="00D85F07" w:rsidRPr="002912DA" w14:paraId="6FB4D815"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18B2500F" w14:textId="77777777" w:rsidR="007E783B" w:rsidRPr="002912DA" w:rsidRDefault="007E783B" w:rsidP="00D85F07">
            <w:pPr>
              <w:pStyle w:val="Tabletextcentre"/>
            </w:pPr>
            <w:r w:rsidRPr="002912DA">
              <w:t>SA</w:t>
            </w:r>
          </w:p>
        </w:tc>
        <w:tc>
          <w:tcPr>
            <w:tcW w:w="889" w:type="dxa"/>
            <w:hideMark/>
          </w:tcPr>
          <w:p w14:paraId="0BB60E9E"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625B7B9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w:t>
            </w:r>
          </w:p>
        </w:tc>
        <w:tc>
          <w:tcPr>
            <w:tcW w:w="972" w:type="dxa"/>
            <w:hideMark/>
          </w:tcPr>
          <w:p w14:paraId="6AA158E6"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946" w:type="dxa"/>
            <w:hideMark/>
          </w:tcPr>
          <w:p w14:paraId="4ADC51DC"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14.3</w:t>
            </w:r>
          </w:p>
        </w:tc>
        <w:tc>
          <w:tcPr>
            <w:tcW w:w="1126" w:type="dxa"/>
            <w:hideMark/>
          </w:tcPr>
          <w:p w14:paraId="013D4AC1"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990,064</w:t>
            </w:r>
          </w:p>
        </w:tc>
        <w:tc>
          <w:tcPr>
            <w:tcW w:w="1034" w:type="dxa"/>
            <w:hideMark/>
          </w:tcPr>
          <w:p w14:paraId="27697BD2"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4.0</w:t>
            </w:r>
          </w:p>
        </w:tc>
        <w:tc>
          <w:tcPr>
            <w:tcW w:w="1034" w:type="dxa"/>
            <w:hideMark/>
          </w:tcPr>
          <w:p w14:paraId="14BFF97D"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2.3</w:t>
            </w:r>
          </w:p>
        </w:tc>
        <w:tc>
          <w:tcPr>
            <w:tcW w:w="1040" w:type="dxa"/>
            <w:hideMark/>
          </w:tcPr>
          <w:p w14:paraId="23D2F95B"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990,064</w:t>
            </w:r>
          </w:p>
        </w:tc>
      </w:tr>
      <w:tr w:rsidR="00D85F07" w:rsidRPr="002912DA" w14:paraId="459D0075"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07D292C8" w14:textId="77777777" w:rsidR="007E783B" w:rsidRPr="002912DA" w:rsidRDefault="007E783B" w:rsidP="00D85F07">
            <w:pPr>
              <w:pStyle w:val="Tabletextcentre"/>
            </w:pPr>
          </w:p>
        </w:tc>
        <w:tc>
          <w:tcPr>
            <w:tcW w:w="889" w:type="dxa"/>
            <w:hideMark/>
          </w:tcPr>
          <w:p w14:paraId="3455C92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5A13272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26</w:t>
            </w:r>
          </w:p>
        </w:tc>
        <w:tc>
          <w:tcPr>
            <w:tcW w:w="972" w:type="dxa"/>
            <w:hideMark/>
          </w:tcPr>
          <w:p w14:paraId="2BD2B7CD"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946" w:type="dxa"/>
            <w:hideMark/>
          </w:tcPr>
          <w:p w14:paraId="4DE1EDC4"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3.9</w:t>
            </w:r>
          </w:p>
        </w:tc>
        <w:tc>
          <w:tcPr>
            <w:tcW w:w="1126" w:type="dxa"/>
            <w:hideMark/>
          </w:tcPr>
          <w:p w14:paraId="6F6B5E2E"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758,438</w:t>
            </w:r>
          </w:p>
        </w:tc>
        <w:tc>
          <w:tcPr>
            <w:tcW w:w="1034" w:type="dxa"/>
            <w:hideMark/>
          </w:tcPr>
          <w:p w14:paraId="0508ECB9"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4.4</w:t>
            </w:r>
          </w:p>
        </w:tc>
        <w:tc>
          <w:tcPr>
            <w:tcW w:w="1034" w:type="dxa"/>
            <w:hideMark/>
          </w:tcPr>
          <w:p w14:paraId="426E18C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1.8</w:t>
            </w:r>
          </w:p>
        </w:tc>
        <w:tc>
          <w:tcPr>
            <w:tcW w:w="1040" w:type="dxa"/>
            <w:hideMark/>
          </w:tcPr>
          <w:p w14:paraId="14BA2EA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758,438</w:t>
            </w:r>
          </w:p>
        </w:tc>
      </w:tr>
      <w:tr w:rsidR="00D85F07" w:rsidRPr="002912DA" w14:paraId="459D5430"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33275408" w14:textId="77777777" w:rsidR="007E783B" w:rsidRPr="002912DA" w:rsidRDefault="007E783B" w:rsidP="00D85F07">
            <w:pPr>
              <w:pStyle w:val="Tabletextcentre"/>
            </w:pPr>
            <w:r w:rsidRPr="002912DA">
              <w:t>NT</w:t>
            </w:r>
          </w:p>
        </w:tc>
        <w:tc>
          <w:tcPr>
            <w:tcW w:w="889" w:type="dxa"/>
            <w:hideMark/>
          </w:tcPr>
          <w:p w14:paraId="06CF945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647ABAD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972" w:type="dxa"/>
            <w:hideMark/>
          </w:tcPr>
          <w:p w14:paraId="535F1097"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46" w:type="dxa"/>
            <w:hideMark/>
          </w:tcPr>
          <w:p w14:paraId="010C5111"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126" w:type="dxa"/>
            <w:hideMark/>
          </w:tcPr>
          <w:p w14:paraId="508EB55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34" w:type="dxa"/>
            <w:hideMark/>
          </w:tcPr>
          <w:p w14:paraId="0DCFC55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034" w:type="dxa"/>
            <w:hideMark/>
          </w:tcPr>
          <w:p w14:paraId="76D26DC6"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040" w:type="dxa"/>
            <w:hideMark/>
          </w:tcPr>
          <w:p w14:paraId="01CA369A"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D85F07" w:rsidRPr="002912DA" w14:paraId="2B236E8C"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3FB38FA7" w14:textId="77777777" w:rsidR="007E783B" w:rsidRPr="002912DA" w:rsidRDefault="007E783B" w:rsidP="00D85F07">
            <w:pPr>
              <w:pStyle w:val="Tabletextcentre"/>
            </w:pPr>
          </w:p>
        </w:tc>
        <w:tc>
          <w:tcPr>
            <w:tcW w:w="889" w:type="dxa"/>
            <w:hideMark/>
          </w:tcPr>
          <w:p w14:paraId="669ADED2"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5E63005E"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972" w:type="dxa"/>
            <w:hideMark/>
          </w:tcPr>
          <w:p w14:paraId="17120D70"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46" w:type="dxa"/>
            <w:hideMark/>
          </w:tcPr>
          <w:p w14:paraId="2A9A3BC2"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126" w:type="dxa"/>
            <w:hideMark/>
          </w:tcPr>
          <w:p w14:paraId="79F3528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034" w:type="dxa"/>
            <w:hideMark/>
          </w:tcPr>
          <w:p w14:paraId="06B2B33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034" w:type="dxa"/>
            <w:hideMark/>
          </w:tcPr>
          <w:p w14:paraId="1092A758"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040" w:type="dxa"/>
            <w:hideMark/>
          </w:tcPr>
          <w:p w14:paraId="652A8454"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D85F07" w:rsidRPr="002912DA" w14:paraId="1CBBFDDF"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0954B725" w14:textId="77777777" w:rsidR="007E783B" w:rsidRPr="002912DA" w:rsidRDefault="007E783B" w:rsidP="00D85F07">
            <w:pPr>
              <w:pStyle w:val="Tabletextcentre"/>
            </w:pPr>
            <w:r w:rsidRPr="002912DA">
              <w:t>WA</w:t>
            </w:r>
          </w:p>
        </w:tc>
        <w:tc>
          <w:tcPr>
            <w:tcW w:w="889" w:type="dxa"/>
            <w:hideMark/>
          </w:tcPr>
          <w:p w14:paraId="1202C875"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0FD0E4F5"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w:t>
            </w:r>
          </w:p>
        </w:tc>
        <w:tc>
          <w:tcPr>
            <w:tcW w:w="972" w:type="dxa"/>
            <w:hideMark/>
          </w:tcPr>
          <w:p w14:paraId="5BEC442C"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46" w:type="dxa"/>
            <w:hideMark/>
          </w:tcPr>
          <w:p w14:paraId="12003C8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126" w:type="dxa"/>
            <w:hideMark/>
          </w:tcPr>
          <w:p w14:paraId="2E1EDA24"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34" w:type="dxa"/>
            <w:hideMark/>
          </w:tcPr>
          <w:p w14:paraId="70A35B6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034" w:type="dxa"/>
            <w:hideMark/>
          </w:tcPr>
          <w:p w14:paraId="45F6BE2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040" w:type="dxa"/>
            <w:hideMark/>
          </w:tcPr>
          <w:p w14:paraId="25E9FDD8"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D85F07" w:rsidRPr="002912DA" w14:paraId="4EEE8065"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7307028A" w14:textId="77777777" w:rsidR="007E783B" w:rsidRPr="002912DA" w:rsidRDefault="007E783B" w:rsidP="00D85F07">
            <w:pPr>
              <w:pStyle w:val="Tabletextcentre"/>
            </w:pPr>
          </w:p>
        </w:tc>
        <w:tc>
          <w:tcPr>
            <w:tcW w:w="889" w:type="dxa"/>
            <w:hideMark/>
          </w:tcPr>
          <w:p w14:paraId="6EF9609D"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6FFC6A3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21</w:t>
            </w:r>
          </w:p>
        </w:tc>
        <w:tc>
          <w:tcPr>
            <w:tcW w:w="972" w:type="dxa"/>
            <w:hideMark/>
          </w:tcPr>
          <w:p w14:paraId="41845BBC"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946" w:type="dxa"/>
            <w:hideMark/>
          </w:tcPr>
          <w:p w14:paraId="0DC01058"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14.3</w:t>
            </w:r>
          </w:p>
        </w:tc>
        <w:tc>
          <w:tcPr>
            <w:tcW w:w="1126" w:type="dxa"/>
            <w:hideMark/>
          </w:tcPr>
          <w:p w14:paraId="1C3FB9A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10,611,797</w:t>
            </w:r>
          </w:p>
        </w:tc>
        <w:tc>
          <w:tcPr>
            <w:tcW w:w="1034" w:type="dxa"/>
            <w:hideMark/>
          </w:tcPr>
          <w:p w14:paraId="53C2835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13.0</w:t>
            </w:r>
          </w:p>
        </w:tc>
        <w:tc>
          <w:tcPr>
            <w:tcW w:w="1034" w:type="dxa"/>
            <w:hideMark/>
          </w:tcPr>
          <w:p w14:paraId="6835F04E"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24.8</w:t>
            </w:r>
          </w:p>
        </w:tc>
        <w:tc>
          <w:tcPr>
            <w:tcW w:w="1040" w:type="dxa"/>
            <w:hideMark/>
          </w:tcPr>
          <w:p w14:paraId="7850CDA7"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3,537,266</w:t>
            </w:r>
          </w:p>
        </w:tc>
      </w:tr>
      <w:tr w:rsidR="00D85F07" w:rsidRPr="002912DA" w14:paraId="7FF1CA6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2EC07EEE" w14:textId="77777777" w:rsidR="007E783B" w:rsidRPr="002912DA" w:rsidRDefault="007E783B" w:rsidP="00D85F07">
            <w:pPr>
              <w:pStyle w:val="Tabletextcentre"/>
            </w:pPr>
            <w:r w:rsidRPr="002912DA">
              <w:t>TAS</w:t>
            </w:r>
          </w:p>
        </w:tc>
        <w:tc>
          <w:tcPr>
            <w:tcW w:w="889" w:type="dxa"/>
            <w:hideMark/>
          </w:tcPr>
          <w:p w14:paraId="29D23AF1"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012BF82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72" w:type="dxa"/>
            <w:hideMark/>
          </w:tcPr>
          <w:p w14:paraId="0EDBF0C0"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46" w:type="dxa"/>
            <w:hideMark/>
          </w:tcPr>
          <w:p w14:paraId="26AF9D8A"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126" w:type="dxa"/>
            <w:hideMark/>
          </w:tcPr>
          <w:p w14:paraId="3A3B876B"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34" w:type="dxa"/>
            <w:hideMark/>
          </w:tcPr>
          <w:p w14:paraId="18C6F29F"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034" w:type="dxa"/>
            <w:hideMark/>
          </w:tcPr>
          <w:p w14:paraId="2356785C"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040" w:type="dxa"/>
            <w:hideMark/>
          </w:tcPr>
          <w:p w14:paraId="4754168C"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D85F07" w:rsidRPr="002912DA" w14:paraId="438A042F"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79EDDD0D" w14:textId="77777777" w:rsidR="007E783B" w:rsidRPr="002912DA" w:rsidRDefault="007E783B" w:rsidP="00D85F07">
            <w:pPr>
              <w:pStyle w:val="Tabletextcentre"/>
            </w:pPr>
          </w:p>
        </w:tc>
        <w:tc>
          <w:tcPr>
            <w:tcW w:w="889" w:type="dxa"/>
            <w:hideMark/>
          </w:tcPr>
          <w:p w14:paraId="354638A1"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61F74A88"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972" w:type="dxa"/>
            <w:hideMark/>
          </w:tcPr>
          <w:p w14:paraId="66F33FA3"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46" w:type="dxa"/>
            <w:hideMark/>
          </w:tcPr>
          <w:p w14:paraId="1CDD3033"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126" w:type="dxa"/>
            <w:hideMark/>
          </w:tcPr>
          <w:p w14:paraId="6C8EE227"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034" w:type="dxa"/>
            <w:hideMark/>
          </w:tcPr>
          <w:p w14:paraId="4086D2E7"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034" w:type="dxa"/>
            <w:hideMark/>
          </w:tcPr>
          <w:p w14:paraId="0F55AE94"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040" w:type="dxa"/>
            <w:hideMark/>
          </w:tcPr>
          <w:p w14:paraId="65172241"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D85F07" w:rsidRPr="002912DA" w14:paraId="0300150C"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val="restart"/>
            <w:hideMark/>
          </w:tcPr>
          <w:p w14:paraId="20CF607C" w14:textId="77777777" w:rsidR="007E783B" w:rsidRPr="002912DA" w:rsidRDefault="007E783B" w:rsidP="00D85F07">
            <w:pPr>
              <w:pStyle w:val="Tabletextcentre"/>
            </w:pPr>
            <w:r w:rsidRPr="002912DA">
              <w:t>All states and territories</w:t>
            </w:r>
          </w:p>
        </w:tc>
        <w:tc>
          <w:tcPr>
            <w:tcW w:w="889" w:type="dxa"/>
            <w:hideMark/>
          </w:tcPr>
          <w:p w14:paraId="4EB52D9E"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177" w:type="dxa"/>
            <w:hideMark/>
          </w:tcPr>
          <w:p w14:paraId="17A3E58F"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145</w:t>
            </w:r>
          </w:p>
        </w:tc>
        <w:tc>
          <w:tcPr>
            <w:tcW w:w="972" w:type="dxa"/>
            <w:hideMark/>
          </w:tcPr>
          <w:p w14:paraId="05AA6CA7"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w:t>
            </w:r>
          </w:p>
        </w:tc>
        <w:tc>
          <w:tcPr>
            <w:tcW w:w="946" w:type="dxa"/>
            <w:hideMark/>
          </w:tcPr>
          <w:p w14:paraId="76170401"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17.2</w:t>
            </w:r>
          </w:p>
        </w:tc>
        <w:tc>
          <w:tcPr>
            <w:tcW w:w="1126" w:type="dxa"/>
            <w:hideMark/>
          </w:tcPr>
          <w:p w14:paraId="6C018330"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42,336,565</w:t>
            </w:r>
          </w:p>
        </w:tc>
        <w:tc>
          <w:tcPr>
            <w:tcW w:w="1034" w:type="dxa"/>
            <w:hideMark/>
          </w:tcPr>
          <w:p w14:paraId="1112A6C7"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c>
          <w:tcPr>
            <w:tcW w:w="1034" w:type="dxa"/>
            <w:hideMark/>
          </w:tcPr>
          <w:p w14:paraId="1394C7C9"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c>
          <w:tcPr>
            <w:tcW w:w="1040" w:type="dxa"/>
            <w:hideMark/>
          </w:tcPr>
          <w:p w14:paraId="4DC112EE" w14:textId="77777777" w:rsidR="007E783B" w:rsidRPr="002912DA" w:rsidRDefault="007E783B"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1,860,870</w:t>
            </w:r>
          </w:p>
        </w:tc>
      </w:tr>
      <w:tr w:rsidR="00D85F07" w:rsidRPr="002912DA" w14:paraId="79CDE95C"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4" w:type="dxa"/>
            <w:vMerge/>
            <w:hideMark/>
          </w:tcPr>
          <w:p w14:paraId="35342602" w14:textId="77777777" w:rsidR="007E783B" w:rsidRPr="002912DA" w:rsidRDefault="007E783B" w:rsidP="00D85F07">
            <w:pPr>
              <w:pStyle w:val="Tabletextcentre"/>
            </w:pPr>
          </w:p>
        </w:tc>
        <w:tc>
          <w:tcPr>
            <w:tcW w:w="889" w:type="dxa"/>
            <w:hideMark/>
          </w:tcPr>
          <w:p w14:paraId="2CA2DA7F"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177" w:type="dxa"/>
            <w:hideMark/>
          </w:tcPr>
          <w:p w14:paraId="7EA4F45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428</w:t>
            </w:r>
          </w:p>
        </w:tc>
        <w:tc>
          <w:tcPr>
            <w:tcW w:w="972" w:type="dxa"/>
            <w:hideMark/>
          </w:tcPr>
          <w:p w14:paraId="193F2612"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23</w:t>
            </w:r>
          </w:p>
        </w:tc>
        <w:tc>
          <w:tcPr>
            <w:tcW w:w="946" w:type="dxa"/>
            <w:hideMark/>
          </w:tcPr>
          <w:p w14:paraId="26A4404E"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5.4</w:t>
            </w:r>
          </w:p>
        </w:tc>
        <w:tc>
          <w:tcPr>
            <w:tcW w:w="1126" w:type="dxa"/>
            <w:hideMark/>
          </w:tcPr>
          <w:p w14:paraId="0643B9EB"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42,800,000</w:t>
            </w:r>
          </w:p>
        </w:tc>
        <w:tc>
          <w:tcPr>
            <w:tcW w:w="1034" w:type="dxa"/>
            <w:hideMark/>
          </w:tcPr>
          <w:p w14:paraId="6F402E15"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100.0</w:t>
            </w:r>
          </w:p>
        </w:tc>
        <w:tc>
          <w:tcPr>
            <w:tcW w:w="1034" w:type="dxa"/>
            <w:hideMark/>
          </w:tcPr>
          <w:p w14:paraId="0C34C0EF"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100.0</w:t>
            </w:r>
          </w:p>
        </w:tc>
        <w:tc>
          <w:tcPr>
            <w:tcW w:w="1040" w:type="dxa"/>
            <w:hideMark/>
          </w:tcPr>
          <w:p w14:paraId="5EDA5A7A" w14:textId="77777777" w:rsidR="007E783B" w:rsidRPr="002912DA" w:rsidRDefault="007E783B"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1,693,462</w:t>
            </w:r>
          </w:p>
        </w:tc>
      </w:tr>
    </w:tbl>
    <w:p w14:paraId="6B7E75F7" w14:textId="77777777" w:rsidR="007E783B" w:rsidRPr="00CD59E2" w:rsidRDefault="007E783B" w:rsidP="00CD59E2">
      <w:pPr>
        <w:pStyle w:val="FootnoteText"/>
      </w:pPr>
      <w:r w:rsidRPr="00CD59E2">
        <w:t>$ rounded to whole dollars</w:t>
      </w:r>
    </w:p>
    <w:p w14:paraId="28DAFDA1" w14:textId="74AAAEBF" w:rsidR="007E783B" w:rsidRPr="00E6756B" w:rsidRDefault="007E783B" w:rsidP="007E783B">
      <w:pPr>
        <w:pStyle w:val="Heading2"/>
      </w:pPr>
      <w:bookmarkStart w:id="13" w:name="_Toc168043239"/>
      <w:r w:rsidRPr="00E6756B">
        <w:t>Outcomes by Eligible Organisation</w:t>
      </w:r>
      <w:bookmarkEnd w:id="13"/>
    </w:p>
    <w:p w14:paraId="7B36FC6B" w14:textId="0262C356" w:rsidR="00DA6F56" w:rsidRPr="002912DA" w:rsidRDefault="007E783B" w:rsidP="002912DA">
      <w:r w:rsidRPr="002912DA">
        <w:t>Applications were received from 34 Eligible Organisations</w:t>
      </w:r>
      <w:r w:rsidR="00F25195" w:rsidRPr="002912DA">
        <w:t xml:space="preserve"> (Table 8)</w:t>
      </w:r>
      <w:r w:rsidRPr="002912DA">
        <w:t>, a decrease from the 2021 grant opportunity in which 42 Eligible Organisations applied.</w:t>
      </w:r>
      <w:r w:rsidR="00DA6F56" w:rsidRPr="002912DA">
        <w:t xml:space="preserve"> The number of applications received from </w:t>
      </w:r>
      <w:r w:rsidR="00FF1929" w:rsidRPr="002912DA">
        <w:t>non-university</w:t>
      </w:r>
      <w:r w:rsidR="00DA6F56" w:rsidRPr="002912DA">
        <w:t xml:space="preserve"> </w:t>
      </w:r>
      <w:r w:rsidR="00FF1929" w:rsidRPr="002912DA">
        <w:t xml:space="preserve">Eligible Organisations decreased </w:t>
      </w:r>
      <w:r w:rsidR="00627770" w:rsidRPr="002912DA">
        <w:t xml:space="preserve">in 2023 compared to the </w:t>
      </w:r>
      <w:r w:rsidR="00FF1929" w:rsidRPr="002912DA">
        <w:t>2021</w:t>
      </w:r>
      <w:r w:rsidR="00627770" w:rsidRPr="002912DA">
        <w:t xml:space="preserve"> grant opportunity</w:t>
      </w:r>
      <w:r w:rsidR="00FF1929" w:rsidRPr="002912DA">
        <w:t>.</w:t>
      </w:r>
      <w:r w:rsidR="0031563B" w:rsidRPr="002912DA">
        <w:t xml:space="preserve"> The number of</w:t>
      </w:r>
      <w:r w:rsidR="005D264F" w:rsidRPr="002912DA">
        <w:t xml:space="preserve"> u</w:t>
      </w:r>
      <w:r w:rsidR="009B2543" w:rsidRPr="002912DA">
        <w:t>niversities</w:t>
      </w:r>
      <w:r w:rsidR="005D264F" w:rsidRPr="002912DA">
        <w:t xml:space="preserve"> that submitted applications</w:t>
      </w:r>
      <w:r w:rsidR="009B2543" w:rsidRPr="002912DA">
        <w:t xml:space="preserve"> r</w:t>
      </w:r>
      <w:r w:rsidR="0031563B" w:rsidRPr="002912DA">
        <w:t xml:space="preserve">emained </w:t>
      </w:r>
      <w:r w:rsidR="009B2543" w:rsidRPr="002912DA">
        <w:t>similar</w:t>
      </w:r>
      <w:r w:rsidR="005D264F" w:rsidRPr="002912DA">
        <w:t xml:space="preserve"> across the grant opportunities.</w:t>
      </w:r>
      <w:r w:rsidR="009B2543" w:rsidRPr="002912DA">
        <w:t xml:space="preserve"> </w:t>
      </w:r>
    </w:p>
    <w:p w14:paraId="7440D696" w14:textId="749892F3" w:rsidR="007E783B" w:rsidRPr="002912DA" w:rsidRDefault="007E783B" w:rsidP="002912DA">
      <w:r w:rsidRPr="002912DA">
        <w:lastRenderedPageBreak/>
        <w:t>Grants were awarded to 14 different organisations</w:t>
      </w:r>
      <w:r w:rsidR="00F25195" w:rsidRPr="002912DA">
        <w:t xml:space="preserve"> (Table 8, Figure </w:t>
      </w:r>
      <w:r w:rsidR="00210F25" w:rsidRPr="002912DA">
        <w:t>5</w:t>
      </w:r>
      <w:r w:rsidR="00F25195" w:rsidRPr="002912DA">
        <w:t>)</w:t>
      </w:r>
      <w:r w:rsidRPr="002912DA">
        <w:t>, an increase of 2 from 2021</w:t>
      </w:r>
      <w:r w:rsidR="00174BCD" w:rsidRPr="002912DA">
        <w:t>.Twelve</w:t>
      </w:r>
      <w:r w:rsidRPr="002912DA">
        <w:t xml:space="preserve"> organisations were universities and </w:t>
      </w:r>
      <w:r w:rsidR="00127710" w:rsidRPr="002912DA">
        <w:t>two</w:t>
      </w:r>
      <w:r w:rsidRPr="002912DA">
        <w:t xml:space="preserve"> </w:t>
      </w:r>
      <w:r w:rsidR="008E5268" w:rsidRPr="002912DA">
        <w:t xml:space="preserve">were </w:t>
      </w:r>
      <w:r w:rsidRPr="002912DA">
        <w:t>medical research institutes</w:t>
      </w:r>
      <w:r w:rsidR="006E4717" w:rsidRPr="002912DA">
        <w:t xml:space="preserve"> (MRI), comparable to</w:t>
      </w:r>
      <w:r w:rsidR="00CB08E9" w:rsidRPr="002912DA">
        <w:t xml:space="preserve"> the</w:t>
      </w:r>
      <w:r w:rsidR="006E4717" w:rsidRPr="002912DA">
        <w:t xml:space="preserve"> 2021</w:t>
      </w:r>
      <w:r w:rsidR="00CB08E9" w:rsidRPr="002912DA">
        <w:t xml:space="preserve"> grant opportunity</w:t>
      </w:r>
      <w:r w:rsidR="006E4717" w:rsidRPr="002912DA">
        <w:t xml:space="preserve">, in which two MRIs were awarded funding and the remainder </w:t>
      </w:r>
      <w:r w:rsidR="00DA6F56" w:rsidRPr="002912DA">
        <w:t xml:space="preserve">(10) were </w:t>
      </w:r>
      <w:r w:rsidR="00CB08E9" w:rsidRPr="002912DA">
        <w:t>awarded to universities</w:t>
      </w:r>
      <w:r w:rsidRPr="002912DA">
        <w:t>.</w:t>
      </w:r>
    </w:p>
    <w:p w14:paraId="0985BC6B" w14:textId="042230A1" w:rsidR="007E783B" w:rsidRDefault="00955E6E" w:rsidP="00955E6E">
      <w:pPr>
        <w:pStyle w:val="Caption"/>
      </w:pPr>
      <w:r>
        <w:t xml:space="preserve">Table </w:t>
      </w:r>
      <w:r>
        <w:fldChar w:fldCharType="begin"/>
      </w:r>
      <w:r>
        <w:instrText xml:space="preserve"> SEQ Table \* ARABIC </w:instrText>
      </w:r>
      <w:r>
        <w:fldChar w:fldCharType="separate"/>
      </w:r>
      <w:r w:rsidR="00D85F07">
        <w:rPr>
          <w:noProof/>
        </w:rPr>
        <w:t>8</w:t>
      </w:r>
      <w:r>
        <w:fldChar w:fldCharType="end"/>
      </w:r>
      <w:r w:rsidR="007E783B" w:rsidRPr="00223BB4">
        <w:t xml:space="preserve"> – Applications and grants by </w:t>
      </w:r>
      <w:r w:rsidR="007E783B">
        <w:t>Eligible O</w:t>
      </w:r>
      <w:r w:rsidR="007E783B" w:rsidRPr="00223BB4">
        <w:t>rganisation</w:t>
      </w:r>
    </w:p>
    <w:tbl>
      <w:tblPr>
        <w:tblStyle w:val="DepartmentofHealthtable"/>
        <w:tblW w:w="0" w:type="auto"/>
        <w:tblLook w:val="04A0" w:firstRow="1" w:lastRow="0" w:firstColumn="1" w:lastColumn="0" w:noHBand="0" w:noVBand="1"/>
      </w:tblPr>
      <w:tblGrid>
        <w:gridCol w:w="3560"/>
        <w:gridCol w:w="1292"/>
        <w:gridCol w:w="870"/>
        <w:gridCol w:w="1166"/>
        <w:gridCol w:w="2172"/>
      </w:tblGrid>
      <w:tr w:rsidR="00D85F07" w:rsidRPr="002912DA" w14:paraId="1AAE0393" w14:textId="77777777" w:rsidTr="001B7D2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0" w:type="auto"/>
            <w:noWrap/>
          </w:tcPr>
          <w:p w14:paraId="1E73FFCB" w14:textId="2097D30D" w:rsidR="001B7D28" w:rsidRPr="001B7D28" w:rsidRDefault="001B7D28" w:rsidP="00361E69">
            <w:pPr>
              <w:pStyle w:val="StyleTableHeaderWhite"/>
            </w:pPr>
            <w:r w:rsidRPr="001B7D28">
              <w:t>Organisations</w:t>
            </w:r>
          </w:p>
        </w:tc>
        <w:tc>
          <w:tcPr>
            <w:tcW w:w="0" w:type="auto"/>
            <w:noWrap/>
          </w:tcPr>
          <w:p w14:paraId="6328CC09" w14:textId="0D05C6DB" w:rsidR="001B7D28" w:rsidRPr="001B7D28" w:rsidRDefault="001B7D28" w:rsidP="00361E69">
            <w:pPr>
              <w:pStyle w:val="StyleTableHeaderWhite"/>
              <w:cnfStyle w:val="100000000000" w:firstRow="1" w:lastRow="0" w:firstColumn="0" w:lastColumn="0" w:oddVBand="0" w:evenVBand="0" w:oddHBand="0" w:evenHBand="0" w:firstRowFirstColumn="0" w:firstRowLastColumn="0" w:lastRowFirstColumn="0" w:lastRowLastColumn="0"/>
            </w:pPr>
            <w:r w:rsidRPr="001B7D28">
              <w:t>Applications (n)</w:t>
            </w:r>
          </w:p>
        </w:tc>
        <w:tc>
          <w:tcPr>
            <w:tcW w:w="0" w:type="auto"/>
            <w:noWrap/>
          </w:tcPr>
          <w:p w14:paraId="2F286570" w14:textId="78668D45" w:rsidR="001B7D28" w:rsidRPr="001B7D28" w:rsidRDefault="001B7D28" w:rsidP="00361E69">
            <w:pPr>
              <w:pStyle w:val="StyleTableHeaderWhite"/>
              <w:cnfStyle w:val="100000000000" w:firstRow="1" w:lastRow="0" w:firstColumn="0" w:lastColumn="0" w:oddVBand="0" w:evenVBand="0" w:oddHBand="0" w:evenHBand="0" w:firstRowFirstColumn="0" w:firstRowLastColumn="0" w:lastRowFirstColumn="0" w:lastRowLastColumn="0"/>
            </w:pPr>
            <w:r w:rsidRPr="001B7D28">
              <w:t>Grants (n)</w:t>
            </w:r>
          </w:p>
        </w:tc>
        <w:tc>
          <w:tcPr>
            <w:tcW w:w="0" w:type="auto"/>
            <w:noWrap/>
          </w:tcPr>
          <w:p w14:paraId="3BC8504E" w14:textId="17E17DF2" w:rsidR="001B7D28" w:rsidRPr="001B7D28" w:rsidRDefault="001B7D28" w:rsidP="00361E69">
            <w:pPr>
              <w:pStyle w:val="StyleTableHeaderWhite"/>
              <w:cnfStyle w:val="100000000000" w:firstRow="1" w:lastRow="0" w:firstColumn="0" w:lastColumn="0" w:oddVBand="0" w:evenVBand="0" w:oddHBand="0" w:evenHBand="0" w:firstRowFirstColumn="0" w:firstRowLastColumn="0" w:lastRowFirstColumn="0" w:lastRowLastColumn="0"/>
            </w:pPr>
            <w:r w:rsidRPr="001B7D28">
              <w:t>Total value ($)</w:t>
            </w:r>
          </w:p>
        </w:tc>
        <w:tc>
          <w:tcPr>
            <w:tcW w:w="0" w:type="auto"/>
            <w:noWrap/>
          </w:tcPr>
          <w:p w14:paraId="0EBD9947" w14:textId="12492D3C" w:rsidR="001B7D28" w:rsidRPr="001B7D28" w:rsidRDefault="001B7D28" w:rsidP="00361E69">
            <w:pPr>
              <w:pStyle w:val="StyleTableHeaderWhite"/>
              <w:cnfStyle w:val="100000000000" w:firstRow="1" w:lastRow="0" w:firstColumn="0" w:lastColumn="0" w:oddVBand="0" w:evenVBand="0" w:oddHBand="0" w:evenHBand="0" w:firstRowFirstColumn="0" w:firstRowLastColumn="0" w:lastRowFirstColumn="0" w:lastRowLastColumn="0"/>
            </w:pPr>
            <w:r w:rsidRPr="001B7D28">
              <w:t>Proportion of $ awarded (%)</w:t>
            </w:r>
          </w:p>
        </w:tc>
      </w:tr>
      <w:tr w:rsidR="001B7D28" w:rsidRPr="002912DA" w14:paraId="0313654A"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083710" w14:textId="77777777" w:rsidR="00A90B2A" w:rsidRPr="002912DA" w:rsidRDefault="00A90B2A" w:rsidP="00D85F07">
            <w:pPr>
              <w:pStyle w:val="Tabletextleft"/>
            </w:pPr>
            <w:r w:rsidRPr="002912DA">
              <w:t>Central Queensland University</w:t>
            </w:r>
          </w:p>
        </w:tc>
        <w:tc>
          <w:tcPr>
            <w:tcW w:w="0" w:type="auto"/>
            <w:noWrap/>
            <w:hideMark/>
          </w:tcPr>
          <w:p w14:paraId="2F352B11"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25C2053E"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1F4FDBBD" w14:textId="7DBD3505"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4,988,655</w:t>
            </w:r>
          </w:p>
        </w:tc>
        <w:tc>
          <w:tcPr>
            <w:tcW w:w="0" w:type="auto"/>
            <w:noWrap/>
            <w:hideMark/>
          </w:tcPr>
          <w:p w14:paraId="55ADAEAF" w14:textId="73484D9A"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11.78</w:t>
            </w:r>
          </w:p>
        </w:tc>
      </w:tr>
      <w:tr w:rsidR="001B7D28" w:rsidRPr="002912DA" w14:paraId="0F18BB4F"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218913" w14:textId="77777777" w:rsidR="00A90B2A" w:rsidRPr="002912DA" w:rsidRDefault="00A90B2A" w:rsidP="00D85F07">
            <w:pPr>
              <w:pStyle w:val="Tabletextleft"/>
            </w:pPr>
            <w:r w:rsidRPr="002912DA">
              <w:t>Centre for Eye Research Australia</w:t>
            </w:r>
          </w:p>
        </w:tc>
        <w:tc>
          <w:tcPr>
            <w:tcW w:w="0" w:type="auto"/>
            <w:noWrap/>
            <w:hideMark/>
          </w:tcPr>
          <w:p w14:paraId="1394526F"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3C2B1D1A"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5D0851CC" w14:textId="5EA80EBB"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598,393</w:t>
            </w:r>
          </w:p>
        </w:tc>
        <w:tc>
          <w:tcPr>
            <w:tcW w:w="0" w:type="auto"/>
            <w:noWrap/>
            <w:hideMark/>
          </w:tcPr>
          <w:p w14:paraId="2336F9C5" w14:textId="408CC402"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1.41</w:t>
            </w:r>
          </w:p>
        </w:tc>
      </w:tr>
      <w:tr w:rsidR="001B7D28" w:rsidRPr="002912DA" w14:paraId="7BB4D2A8"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D676C7" w14:textId="77777777" w:rsidR="00A90B2A" w:rsidRPr="002912DA" w:rsidRDefault="00A90B2A" w:rsidP="00D85F07">
            <w:pPr>
              <w:pStyle w:val="Tabletextleft"/>
            </w:pPr>
            <w:r w:rsidRPr="002912DA">
              <w:t>Charles Sturt University</w:t>
            </w:r>
          </w:p>
        </w:tc>
        <w:tc>
          <w:tcPr>
            <w:tcW w:w="0" w:type="auto"/>
            <w:noWrap/>
            <w:hideMark/>
          </w:tcPr>
          <w:p w14:paraId="3897892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2875ADB5"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4595BAFE" w14:textId="344506DA"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1C336BA1" w14:textId="46E0FE68"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46216AF1"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0268B2" w14:textId="77777777" w:rsidR="00A90B2A" w:rsidRPr="002912DA" w:rsidRDefault="00A90B2A" w:rsidP="00D85F07">
            <w:pPr>
              <w:pStyle w:val="Tabletextleft"/>
            </w:pPr>
            <w:r w:rsidRPr="002912DA">
              <w:t>CRC for Mental Health</w:t>
            </w:r>
          </w:p>
        </w:tc>
        <w:tc>
          <w:tcPr>
            <w:tcW w:w="0" w:type="auto"/>
            <w:noWrap/>
            <w:hideMark/>
          </w:tcPr>
          <w:p w14:paraId="6E7763A1"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75361810"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37461254" w14:textId="38A8A26B"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1639E561" w14:textId="712F83D2"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384EA967"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107BF1" w14:textId="77777777" w:rsidR="00A90B2A" w:rsidRPr="002912DA" w:rsidRDefault="00A90B2A" w:rsidP="00D85F07">
            <w:pPr>
              <w:pStyle w:val="Tabletextleft"/>
            </w:pPr>
            <w:r w:rsidRPr="002912DA">
              <w:t>Curtin University</w:t>
            </w:r>
          </w:p>
        </w:tc>
        <w:tc>
          <w:tcPr>
            <w:tcW w:w="0" w:type="auto"/>
            <w:noWrap/>
            <w:hideMark/>
          </w:tcPr>
          <w:p w14:paraId="126F7E9B"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0" w:type="auto"/>
            <w:noWrap/>
            <w:hideMark/>
          </w:tcPr>
          <w:p w14:paraId="5A58C0AC"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19E46173" w14:textId="2AAC8CF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697B3FE2" w14:textId="1DE83B16"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5F3DD797"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C5A843" w14:textId="77777777" w:rsidR="00A90B2A" w:rsidRPr="002912DA" w:rsidRDefault="00A90B2A" w:rsidP="00D85F07">
            <w:pPr>
              <w:pStyle w:val="Tabletextleft"/>
            </w:pPr>
            <w:r w:rsidRPr="002912DA">
              <w:t>Deakin University</w:t>
            </w:r>
          </w:p>
        </w:tc>
        <w:tc>
          <w:tcPr>
            <w:tcW w:w="0" w:type="auto"/>
            <w:noWrap/>
            <w:hideMark/>
          </w:tcPr>
          <w:p w14:paraId="05D4F600"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0" w:type="auto"/>
            <w:noWrap/>
            <w:hideMark/>
          </w:tcPr>
          <w:p w14:paraId="55EE0171"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0" w:type="auto"/>
            <w:noWrap/>
            <w:hideMark/>
          </w:tcPr>
          <w:p w14:paraId="26BA22AB" w14:textId="163F3A4B"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5,656,331</w:t>
            </w:r>
          </w:p>
        </w:tc>
        <w:tc>
          <w:tcPr>
            <w:tcW w:w="0" w:type="auto"/>
            <w:noWrap/>
            <w:hideMark/>
          </w:tcPr>
          <w:p w14:paraId="4DD0D30F" w14:textId="4EF16623"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13.36</w:t>
            </w:r>
          </w:p>
        </w:tc>
      </w:tr>
      <w:tr w:rsidR="001B7D28" w:rsidRPr="002912DA" w14:paraId="09BE5F83"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84A055" w14:textId="77777777" w:rsidR="00A90B2A" w:rsidRPr="002912DA" w:rsidRDefault="00A90B2A" w:rsidP="00D85F07">
            <w:pPr>
              <w:pStyle w:val="Tabletextleft"/>
            </w:pPr>
            <w:r w:rsidRPr="002912DA">
              <w:t>Edith Cowan University</w:t>
            </w:r>
          </w:p>
        </w:tc>
        <w:tc>
          <w:tcPr>
            <w:tcW w:w="0" w:type="auto"/>
            <w:noWrap/>
            <w:hideMark/>
          </w:tcPr>
          <w:p w14:paraId="1507CCF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noWrap/>
            <w:hideMark/>
          </w:tcPr>
          <w:p w14:paraId="674F3C1B"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65C1B4DE" w14:textId="09A43715"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5344996A" w14:textId="05635646"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4F102721"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62DC8F" w14:textId="77777777" w:rsidR="00A90B2A" w:rsidRPr="002912DA" w:rsidRDefault="00A90B2A" w:rsidP="00D85F07">
            <w:pPr>
              <w:pStyle w:val="Tabletextleft"/>
            </w:pPr>
            <w:r w:rsidRPr="002912DA">
              <w:t>Flinders University</w:t>
            </w:r>
          </w:p>
        </w:tc>
        <w:tc>
          <w:tcPr>
            <w:tcW w:w="0" w:type="auto"/>
            <w:noWrap/>
            <w:hideMark/>
          </w:tcPr>
          <w:p w14:paraId="56B44E16"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0" w:type="auto"/>
            <w:noWrap/>
            <w:hideMark/>
          </w:tcPr>
          <w:p w14:paraId="5E2490A9"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3BCE8819" w14:textId="1F5FD6B9"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7D4805B7" w14:textId="5B8E83CE"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6FD8D5A7"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9FB53" w14:textId="77777777" w:rsidR="00A90B2A" w:rsidRPr="002912DA" w:rsidRDefault="00A90B2A" w:rsidP="00D85F07">
            <w:pPr>
              <w:pStyle w:val="Tabletextleft"/>
            </w:pPr>
            <w:r w:rsidRPr="002912DA">
              <w:t>Griffith University</w:t>
            </w:r>
          </w:p>
        </w:tc>
        <w:tc>
          <w:tcPr>
            <w:tcW w:w="0" w:type="auto"/>
            <w:noWrap/>
            <w:hideMark/>
          </w:tcPr>
          <w:p w14:paraId="2EEB6CEE"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0" w:type="auto"/>
            <w:noWrap/>
            <w:hideMark/>
          </w:tcPr>
          <w:p w14:paraId="18BEAEC5"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664379E8" w14:textId="3ABD4489"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524,762</w:t>
            </w:r>
          </w:p>
        </w:tc>
        <w:tc>
          <w:tcPr>
            <w:tcW w:w="0" w:type="auto"/>
            <w:noWrap/>
            <w:hideMark/>
          </w:tcPr>
          <w:p w14:paraId="45A897EA" w14:textId="322F4C4A"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1.24</w:t>
            </w:r>
          </w:p>
        </w:tc>
      </w:tr>
      <w:tr w:rsidR="001B7D28" w:rsidRPr="002912DA" w14:paraId="58C99C7D"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C896C37" w14:textId="77777777" w:rsidR="00A90B2A" w:rsidRPr="002912DA" w:rsidRDefault="00A90B2A" w:rsidP="00D85F07">
            <w:pPr>
              <w:pStyle w:val="Tabletextleft"/>
            </w:pPr>
            <w:r w:rsidRPr="002912DA">
              <w:t>Macquarie University</w:t>
            </w:r>
          </w:p>
        </w:tc>
        <w:tc>
          <w:tcPr>
            <w:tcW w:w="0" w:type="auto"/>
            <w:noWrap/>
            <w:hideMark/>
          </w:tcPr>
          <w:p w14:paraId="6F096041"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55BE9B91"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0C62F08E" w14:textId="6A742243"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4AB33A1F" w14:textId="613465B9"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4C3B6B43"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855076" w14:textId="77777777" w:rsidR="00A90B2A" w:rsidRPr="002912DA" w:rsidRDefault="00A90B2A" w:rsidP="00D85F07">
            <w:pPr>
              <w:pStyle w:val="Tabletextleft"/>
            </w:pPr>
            <w:r w:rsidRPr="002912DA">
              <w:t>Menzies School of Health Research</w:t>
            </w:r>
          </w:p>
        </w:tc>
        <w:tc>
          <w:tcPr>
            <w:tcW w:w="0" w:type="auto"/>
            <w:noWrap/>
            <w:hideMark/>
          </w:tcPr>
          <w:p w14:paraId="1A6C8BAC"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5136FFED"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46051B03" w14:textId="0E843753"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4CEA1BDA" w14:textId="70F424CB"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31B33D02"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8EC6DA" w14:textId="77777777" w:rsidR="00A90B2A" w:rsidRPr="002912DA" w:rsidRDefault="00A90B2A" w:rsidP="00D85F07">
            <w:pPr>
              <w:pStyle w:val="Tabletextleft"/>
            </w:pPr>
            <w:r w:rsidRPr="002912DA">
              <w:t>Monash University</w:t>
            </w:r>
          </w:p>
        </w:tc>
        <w:tc>
          <w:tcPr>
            <w:tcW w:w="0" w:type="auto"/>
            <w:noWrap/>
            <w:hideMark/>
          </w:tcPr>
          <w:p w14:paraId="666F670B"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25</w:t>
            </w:r>
          </w:p>
        </w:tc>
        <w:tc>
          <w:tcPr>
            <w:tcW w:w="0" w:type="auto"/>
            <w:noWrap/>
            <w:hideMark/>
          </w:tcPr>
          <w:p w14:paraId="5AD106A2"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0" w:type="auto"/>
            <w:noWrap/>
            <w:hideMark/>
          </w:tcPr>
          <w:p w14:paraId="1FF85570" w14:textId="09FB00A2"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2,395,468</w:t>
            </w:r>
          </w:p>
        </w:tc>
        <w:tc>
          <w:tcPr>
            <w:tcW w:w="0" w:type="auto"/>
            <w:noWrap/>
            <w:hideMark/>
          </w:tcPr>
          <w:p w14:paraId="14F26256" w14:textId="74BF7B8F"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5.66</w:t>
            </w:r>
          </w:p>
        </w:tc>
      </w:tr>
      <w:tr w:rsidR="001B7D28" w:rsidRPr="002912DA" w14:paraId="66CB638B"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383F4E" w14:textId="77777777" w:rsidR="00A90B2A" w:rsidRPr="002912DA" w:rsidRDefault="00A90B2A" w:rsidP="00D85F07">
            <w:pPr>
              <w:pStyle w:val="Tabletextleft"/>
            </w:pPr>
            <w:r w:rsidRPr="002912DA">
              <w:t>Murdoch Childrens Research Institute</w:t>
            </w:r>
          </w:p>
        </w:tc>
        <w:tc>
          <w:tcPr>
            <w:tcW w:w="0" w:type="auto"/>
            <w:noWrap/>
            <w:hideMark/>
          </w:tcPr>
          <w:p w14:paraId="3CE17B6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c>
          <w:tcPr>
            <w:tcW w:w="0" w:type="auto"/>
            <w:noWrap/>
            <w:hideMark/>
          </w:tcPr>
          <w:p w14:paraId="31485073"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3E43156F" w14:textId="7D53F78D"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1,279,642</w:t>
            </w:r>
          </w:p>
        </w:tc>
        <w:tc>
          <w:tcPr>
            <w:tcW w:w="0" w:type="auto"/>
            <w:noWrap/>
            <w:hideMark/>
          </w:tcPr>
          <w:p w14:paraId="2E9A0C02" w14:textId="27BC1006"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3.02</w:t>
            </w:r>
          </w:p>
        </w:tc>
      </w:tr>
      <w:tr w:rsidR="001B7D28" w:rsidRPr="002912DA" w14:paraId="658ED875"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B6BBE4" w14:textId="77777777" w:rsidR="00A90B2A" w:rsidRPr="002912DA" w:rsidRDefault="00A90B2A" w:rsidP="00D85F07">
            <w:pPr>
              <w:pStyle w:val="Tabletextleft"/>
            </w:pPr>
            <w:r w:rsidRPr="002912DA">
              <w:t>Murdoch University</w:t>
            </w:r>
          </w:p>
        </w:tc>
        <w:tc>
          <w:tcPr>
            <w:tcW w:w="0" w:type="auto"/>
            <w:noWrap/>
            <w:hideMark/>
          </w:tcPr>
          <w:p w14:paraId="3452DEFD"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6A415C7C"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6885F34F" w14:textId="76A9E91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75D41DF9" w14:textId="3AE614E3"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7F86DA42"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2FC36" w14:textId="77777777" w:rsidR="00A90B2A" w:rsidRPr="002912DA" w:rsidRDefault="00A90B2A" w:rsidP="00D85F07">
            <w:pPr>
              <w:pStyle w:val="Tabletextleft"/>
            </w:pPr>
            <w:r w:rsidRPr="002912DA">
              <w:t>QIMR Berghofer</w:t>
            </w:r>
          </w:p>
        </w:tc>
        <w:tc>
          <w:tcPr>
            <w:tcW w:w="0" w:type="auto"/>
            <w:noWrap/>
            <w:hideMark/>
          </w:tcPr>
          <w:p w14:paraId="5762792F"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77CFEA8B"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7E65DAF7" w14:textId="54BC7763"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248E3B54" w14:textId="7AF8EE9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22CABC92"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700086" w14:textId="77777777" w:rsidR="00A90B2A" w:rsidRPr="002912DA" w:rsidRDefault="00A90B2A" w:rsidP="00D85F07">
            <w:pPr>
              <w:pStyle w:val="Tabletextleft"/>
            </w:pPr>
            <w:r w:rsidRPr="002912DA">
              <w:t>Queensland University of Technology</w:t>
            </w:r>
          </w:p>
        </w:tc>
        <w:tc>
          <w:tcPr>
            <w:tcW w:w="0" w:type="auto"/>
            <w:noWrap/>
            <w:hideMark/>
          </w:tcPr>
          <w:p w14:paraId="2AD0F9E9"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2E102268"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3C04C38D" w14:textId="06C91E56"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1DCED4E9" w14:textId="6896C463"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5B0E03DF"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B10348" w14:textId="77777777" w:rsidR="00A90B2A" w:rsidRPr="002912DA" w:rsidRDefault="00A90B2A" w:rsidP="00D85F07">
            <w:pPr>
              <w:pStyle w:val="Tabletextleft"/>
            </w:pPr>
            <w:r w:rsidRPr="002912DA">
              <w:t>RMIT University</w:t>
            </w:r>
          </w:p>
        </w:tc>
        <w:tc>
          <w:tcPr>
            <w:tcW w:w="0" w:type="auto"/>
            <w:noWrap/>
            <w:hideMark/>
          </w:tcPr>
          <w:p w14:paraId="5FD7BD9E"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noWrap/>
            <w:hideMark/>
          </w:tcPr>
          <w:p w14:paraId="729235C8"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6E261C42" w14:textId="7219A141"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471711AD" w14:textId="6ACD7F3A"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1A20F5F3"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B75CAD" w14:textId="77777777" w:rsidR="00A90B2A" w:rsidRPr="002912DA" w:rsidRDefault="00A90B2A" w:rsidP="00D85F07">
            <w:pPr>
              <w:pStyle w:val="Tabletextleft"/>
            </w:pPr>
            <w:r w:rsidRPr="002912DA">
              <w:t>The Australian National University</w:t>
            </w:r>
          </w:p>
        </w:tc>
        <w:tc>
          <w:tcPr>
            <w:tcW w:w="0" w:type="auto"/>
            <w:noWrap/>
            <w:hideMark/>
          </w:tcPr>
          <w:p w14:paraId="6C6B2A71"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0" w:type="auto"/>
            <w:noWrap/>
            <w:hideMark/>
          </w:tcPr>
          <w:p w14:paraId="664829D5"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7979C916" w14:textId="194CDEFA"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883,926</w:t>
            </w:r>
          </w:p>
        </w:tc>
        <w:tc>
          <w:tcPr>
            <w:tcW w:w="0" w:type="auto"/>
            <w:noWrap/>
            <w:hideMark/>
          </w:tcPr>
          <w:p w14:paraId="502442BC" w14:textId="4529AC8D"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2.09</w:t>
            </w:r>
          </w:p>
        </w:tc>
      </w:tr>
      <w:tr w:rsidR="001B7D28" w:rsidRPr="002912DA" w14:paraId="1F9DB6DD"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8821F9" w14:textId="77777777" w:rsidR="00A90B2A" w:rsidRPr="002912DA" w:rsidRDefault="00A90B2A" w:rsidP="00D85F07">
            <w:pPr>
              <w:pStyle w:val="Tabletextleft"/>
            </w:pPr>
            <w:r w:rsidRPr="002912DA">
              <w:t>The University of Adelaide</w:t>
            </w:r>
          </w:p>
        </w:tc>
        <w:tc>
          <w:tcPr>
            <w:tcW w:w="0" w:type="auto"/>
            <w:noWrap/>
            <w:hideMark/>
          </w:tcPr>
          <w:p w14:paraId="6A8C3E3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0" w:type="auto"/>
            <w:noWrap/>
            <w:hideMark/>
          </w:tcPr>
          <w:p w14:paraId="213BF8C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14C3F5F6" w14:textId="3512CEF3"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990,064</w:t>
            </w:r>
          </w:p>
        </w:tc>
        <w:tc>
          <w:tcPr>
            <w:tcW w:w="0" w:type="auto"/>
            <w:noWrap/>
            <w:hideMark/>
          </w:tcPr>
          <w:p w14:paraId="3CBFA806" w14:textId="5529F1AF"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2.34</w:t>
            </w:r>
          </w:p>
        </w:tc>
      </w:tr>
      <w:tr w:rsidR="001B7D28" w:rsidRPr="002912DA" w14:paraId="29DE06C9"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7CF71C" w14:textId="77777777" w:rsidR="00A90B2A" w:rsidRPr="002912DA" w:rsidRDefault="00A90B2A" w:rsidP="00D85F07">
            <w:pPr>
              <w:pStyle w:val="Tabletextleft"/>
            </w:pPr>
            <w:r w:rsidRPr="002912DA">
              <w:t>The University of Melbourne</w:t>
            </w:r>
          </w:p>
        </w:tc>
        <w:tc>
          <w:tcPr>
            <w:tcW w:w="0" w:type="auto"/>
            <w:noWrap/>
            <w:hideMark/>
          </w:tcPr>
          <w:p w14:paraId="552090D6"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w:t>
            </w:r>
          </w:p>
        </w:tc>
        <w:tc>
          <w:tcPr>
            <w:tcW w:w="0" w:type="auto"/>
            <w:noWrap/>
            <w:hideMark/>
          </w:tcPr>
          <w:p w14:paraId="5D614D44"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0" w:type="auto"/>
            <w:noWrap/>
            <w:hideMark/>
          </w:tcPr>
          <w:p w14:paraId="78DE01BE" w14:textId="2D9A079C"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6,985,331</w:t>
            </w:r>
          </w:p>
        </w:tc>
        <w:tc>
          <w:tcPr>
            <w:tcW w:w="0" w:type="auto"/>
            <w:noWrap/>
            <w:hideMark/>
          </w:tcPr>
          <w:p w14:paraId="77F5C045" w14:textId="465F681D"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16.5</w:t>
            </w:r>
          </w:p>
        </w:tc>
      </w:tr>
      <w:tr w:rsidR="001B7D28" w:rsidRPr="002912DA" w14:paraId="4AD57EFC"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B72044" w14:textId="77777777" w:rsidR="00A90B2A" w:rsidRPr="002912DA" w:rsidRDefault="00A90B2A" w:rsidP="00D85F07">
            <w:pPr>
              <w:pStyle w:val="Tabletextleft"/>
            </w:pPr>
            <w:r w:rsidRPr="002912DA">
              <w:t>The University of Newcastle</w:t>
            </w:r>
          </w:p>
        </w:tc>
        <w:tc>
          <w:tcPr>
            <w:tcW w:w="0" w:type="auto"/>
            <w:noWrap/>
            <w:hideMark/>
          </w:tcPr>
          <w:p w14:paraId="1D5DA2FA"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w:t>
            </w:r>
          </w:p>
        </w:tc>
        <w:tc>
          <w:tcPr>
            <w:tcW w:w="0" w:type="auto"/>
            <w:noWrap/>
            <w:hideMark/>
          </w:tcPr>
          <w:p w14:paraId="2C42153B"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0" w:type="auto"/>
            <w:noWrap/>
            <w:hideMark/>
          </w:tcPr>
          <w:p w14:paraId="7E354C0D" w14:textId="0922C284"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6,154,684</w:t>
            </w:r>
          </w:p>
        </w:tc>
        <w:tc>
          <w:tcPr>
            <w:tcW w:w="0" w:type="auto"/>
            <w:noWrap/>
            <w:hideMark/>
          </w:tcPr>
          <w:p w14:paraId="5DB383D6" w14:textId="02350076"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14.54</w:t>
            </w:r>
          </w:p>
        </w:tc>
      </w:tr>
      <w:tr w:rsidR="001B7D28" w:rsidRPr="002912DA" w14:paraId="779721A8"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756601" w14:textId="77777777" w:rsidR="00A90B2A" w:rsidRPr="002912DA" w:rsidRDefault="00A90B2A" w:rsidP="00D85F07">
            <w:pPr>
              <w:pStyle w:val="Tabletextleft"/>
            </w:pPr>
            <w:r w:rsidRPr="002912DA">
              <w:t>The University of Queensland</w:t>
            </w:r>
          </w:p>
        </w:tc>
        <w:tc>
          <w:tcPr>
            <w:tcW w:w="0" w:type="auto"/>
            <w:noWrap/>
            <w:hideMark/>
          </w:tcPr>
          <w:p w14:paraId="61D73A1C"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w:t>
            </w:r>
          </w:p>
        </w:tc>
        <w:tc>
          <w:tcPr>
            <w:tcW w:w="0" w:type="auto"/>
            <w:noWrap/>
            <w:hideMark/>
          </w:tcPr>
          <w:p w14:paraId="18DD26DB"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77285B80" w14:textId="158D0970"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999,825</w:t>
            </w:r>
          </w:p>
        </w:tc>
        <w:tc>
          <w:tcPr>
            <w:tcW w:w="0" w:type="auto"/>
            <w:noWrap/>
            <w:hideMark/>
          </w:tcPr>
          <w:p w14:paraId="624B2353" w14:textId="1A1A68D9"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2.36</w:t>
            </w:r>
          </w:p>
        </w:tc>
      </w:tr>
      <w:tr w:rsidR="001B7D28" w:rsidRPr="002912DA" w14:paraId="26418314"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F3298E" w14:textId="77777777" w:rsidR="00A90B2A" w:rsidRPr="002912DA" w:rsidRDefault="00A90B2A" w:rsidP="00D85F07">
            <w:pPr>
              <w:pStyle w:val="Tabletextleft"/>
            </w:pPr>
            <w:r w:rsidRPr="002912DA">
              <w:t>The University of Sydney</w:t>
            </w:r>
          </w:p>
        </w:tc>
        <w:tc>
          <w:tcPr>
            <w:tcW w:w="0" w:type="auto"/>
            <w:noWrap/>
            <w:hideMark/>
          </w:tcPr>
          <w:p w14:paraId="3A8E32C8"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26</w:t>
            </w:r>
          </w:p>
        </w:tc>
        <w:tc>
          <w:tcPr>
            <w:tcW w:w="0" w:type="auto"/>
            <w:noWrap/>
            <w:hideMark/>
          </w:tcPr>
          <w:p w14:paraId="7C3F08C8"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0" w:type="auto"/>
            <w:noWrap/>
            <w:hideMark/>
          </w:tcPr>
          <w:p w14:paraId="1940D09A" w14:textId="5EAFCC1A"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6,064,410</w:t>
            </w:r>
          </w:p>
        </w:tc>
        <w:tc>
          <w:tcPr>
            <w:tcW w:w="0" w:type="auto"/>
            <w:noWrap/>
            <w:hideMark/>
          </w:tcPr>
          <w:p w14:paraId="668F65CE" w14:textId="6B543FA4"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14.32</w:t>
            </w:r>
          </w:p>
        </w:tc>
      </w:tr>
      <w:tr w:rsidR="001B7D28" w:rsidRPr="002912DA" w14:paraId="4D6E5E80"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4E57AE" w14:textId="77777777" w:rsidR="00A90B2A" w:rsidRPr="002912DA" w:rsidRDefault="00A90B2A" w:rsidP="00D85F07">
            <w:pPr>
              <w:pStyle w:val="Tabletextleft"/>
            </w:pPr>
            <w:r w:rsidRPr="002912DA">
              <w:t>The University of Western Australia</w:t>
            </w:r>
          </w:p>
        </w:tc>
        <w:tc>
          <w:tcPr>
            <w:tcW w:w="0" w:type="auto"/>
            <w:noWrap/>
            <w:hideMark/>
          </w:tcPr>
          <w:p w14:paraId="6A8677A3"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0" w:type="auto"/>
            <w:noWrap/>
            <w:hideMark/>
          </w:tcPr>
          <w:p w14:paraId="43A8A8B8"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385D6207" w14:textId="29EC79B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71866F72" w14:textId="27A7CC45"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4AC05889"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2C3888" w14:textId="77777777" w:rsidR="00A90B2A" w:rsidRPr="002912DA" w:rsidRDefault="00A90B2A" w:rsidP="00D85F07">
            <w:pPr>
              <w:pStyle w:val="Tabletextleft"/>
            </w:pPr>
            <w:r w:rsidRPr="002912DA">
              <w:t>Torrens University Australia</w:t>
            </w:r>
          </w:p>
        </w:tc>
        <w:tc>
          <w:tcPr>
            <w:tcW w:w="0" w:type="auto"/>
            <w:noWrap/>
            <w:hideMark/>
          </w:tcPr>
          <w:p w14:paraId="21817FB1"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000C6B51"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777DB6DF" w14:textId="37B1A665"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2CDD8EE9" w14:textId="391CF9CC"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14711A58"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115C15" w14:textId="77777777" w:rsidR="00A90B2A" w:rsidRPr="002912DA" w:rsidRDefault="00A90B2A" w:rsidP="00D85F07">
            <w:pPr>
              <w:pStyle w:val="Tabletextleft"/>
            </w:pPr>
            <w:r w:rsidRPr="002912DA">
              <w:lastRenderedPageBreak/>
              <w:t>University of New England</w:t>
            </w:r>
          </w:p>
        </w:tc>
        <w:tc>
          <w:tcPr>
            <w:tcW w:w="0" w:type="auto"/>
            <w:noWrap/>
            <w:hideMark/>
          </w:tcPr>
          <w:p w14:paraId="45066313"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2113BAC1"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0CF03257" w14:textId="1935E70D"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344,921</w:t>
            </w:r>
          </w:p>
        </w:tc>
        <w:tc>
          <w:tcPr>
            <w:tcW w:w="0" w:type="auto"/>
            <w:noWrap/>
            <w:hideMark/>
          </w:tcPr>
          <w:p w14:paraId="75C7FE3B" w14:textId="45FDEA94"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0.81</w:t>
            </w:r>
          </w:p>
        </w:tc>
      </w:tr>
      <w:tr w:rsidR="001B7D28" w:rsidRPr="002912DA" w14:paraId="7D779946"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0C4DA7" w14:textId="77777777" w:rsidR="00A90B2A" w:rsidRPr="002912DA" w:rsidRDefault="00A90B2A" w:rsidP="00D85F07">
            <w:pPr>
              <w:pStyle w:val="Tabletextleft"/>
            </w:pPr>
            <w:r w:rsidRPr="002912DA">
              <w:t>University of New South Wales</w:t>
            </w:r>
          </w:p>
        </w:tc>
        <w:tc>
          <w:tcPr>
            <w:tcW w:w="0" w:type="auto"/>
            <w:noWrap/>
            <w:hideMark/>
          </w:tcPr>
          <w:p w14:paraId="3D0BD58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15</w:t>
            </w:r>
          </w:p>
        </w:tc>
        <w:tc>
          <w:tcPr>
            <w:tcW w:w="0" w:type="auto"/>
            <w:noWrap/>
            <w:hideMark/>
          </w:tcPr>
          <w:p w14:paraId="0A0BC8C2"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0" w:type="auto"/>
            <w:noWrap/>
            <w:hideMark/>
          </w:tcPr>
          <w:p w14:paraId="012161BE" w14:textId="43ED9CE3"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4,470,154</w:t>
            </w:r>
          </w:p>
        </w:tc>
        <w:tc>
          <w:tcPr>
            <w:tcW w:w="0" w:type="auto"/>
            <w:noWrap/>
            <w:hideMark/>
          </w:tcPr>
          <w:p w14:paraId="78AF7064" w14:textId="2E8F2EAA"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10.56</w:t>
            </w:r>
          </w:p>
        </w:tc>
      </w:tr>
      <w:tr w:rsidR="001B7D28" w:rsidRPr="002912DA" w14:paraId="32F5E0FF"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3FFBDA" w14:textId="77777777" w:rsidR="00A90B2A" w:rsidRPr="002912DA" w:rsidRDefault="00A90B2A" w:rsidP="00D85F07">
            <w:pPr>
              <w:pStyle w:val="Tabletextleft"/>
            </w:pPr>
            <w:r w:rsidRPr="002912DA">
              <w:t>University of South Australia</w:t>
            </w:r>
          </w:p>
        </w:tc>
        <w:tc>
          <w:tcPr>
            <w:tcW w:w="0" w:type="auto"/>
            <w:noWrap/>
            <w:hideMark/>
          </w:tcPr>
          <w:p w14:paraId="61ADC9E9"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6327E940"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0D2C34E3" w14:textId="1683BBDD"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73F5ACDF" w14:textId="4070483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7D8BFFCB"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C56564" w14:textId="77777777" w:rsidR="00A90B2A" w:rsidRPr="002912DA" w:rsidRDefault="00A90B2A" w:rsidP="00D85F07">
            <w:pPr>
              <w:pStyle w:val="Tabletextleft"/>
            </w:pPr>
            <w:r w:rsidRPr="002912DA">
              <w:t>University of Technology Sydney</w:t>
            </w:r>
          </w:p>
        </w:tc>
        <w:tc>
          <w:tcPr>
            <w:tcW w:w="0" w:type="auto"/>
            <w:noWrap/>
            <w:hideMark/>
          </w:tcPr>
          <w:p w14:paraId="38CF5D22"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0634B6D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2F575FFA" w14:textId="3C969BE6"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4609B5B0" w14:textId="452891DB"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47FEA79A"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EE10D4C" w14:textId="77777777" w:rsidR="00A90B2A" w:rsidRPr="002912DA" w:rsidRDefault="00A90B2A" w:rsidP="00D85F07">
            <w:pPr>
              <w:pStyle w:val="Tabletextleft"/>
            </w:pPr>
            <w:r w:rsidRPr="002912DA">
              <w:t>University of the Sunshine Coast</w:t>
            </w:r>
          </w:p>
        </w:tc>
        <w:tc>
          <w:tcPr>
            <w:tcW w:w="0" w:type="auto"/>
            <w:noWrap/>
            <w:hideMark/>
          </w:tcPr>
          <w:p w14:paraId="1AC814DF"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08D57706"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0043C3A7" w14:textId="6823BE52"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42B5800F" w14:textId="6C34EB02"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3B2215E7"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70933E" w14:textId="77777777" w:rsidR="00A90B2A" w:rsidRPr="002912DA" w:rsidRDefault="00A90B2A" w:rsidP="00D85F07">
            <w:pPr>
              <w:pStyle w:val="Tabletextleft"/>
            </w:pPr>
            <w:r w:rsidRPr="002912DA">
              <w:t>University of Wollongong</w:t>
            </w:r>
          </w:p>
        </w:tc>
        <w:tc>
          <w:tcPr>
            <w:tcW w:w="0" w:type="auto"/>
            <w:noWrap/>
            <w:hideMark/>
          </w:tcPr>
          <w:p w14:paraId="6CCD7242"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0" w:type="auto"/>
            <w:noWrap/>
            <w:hideMark/>
          </w:tcPr>
          <w:p w14:paraId="20A54BC9"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0059109A" w14:textId="195005D5"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73DE885C" w14:textId="49AF7C00"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33BC5868"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AF171C" w14:textId="77777777" w:rsidR="00A90B2A" w:rsidRPr="002912DA" w:rsidRDefault="00A90B2A" w:rsidP="00D85F07">
            <w:pPr>
              <w:pStyle w:val="Tabletextleft"/>
            </w:pPr>
            <w:r w:rsidRPr="002912DA">
              <w:t>Victoria University</w:t>
            </w:r>
          </w:p>
        </w:tc>
        <w:tc>
          <w:tcPr>
            <w:tcW w:w="0" w:type="auto"/>
            <w:noWrap/>
            <w:hideMark/>
          </w:tcPr>
          <w:p w14:paraId="49165EFE"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7A471D99"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154762EE" w14:textId="4BC5CEEA"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6EAB111C" w14:textId="4BD51C6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3000F73D"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9863B9" w14:textId="77777777" w:rsidR="00A90B2A" w:rsidRPr="002912DA" w:rsidRDefault="00A90B2A" w:rsidP="00D85F07">
            <w:pPr>
              <w:pStyle w:val="Tabletextleft"/>
            </w:pPr>
            <w:r w:rsidRPr="002912DA">
              <w:t>Walter and Eliza Hall Institute of Medical Research</w:t>
            </w:r>
          </w:p>
        </w:tc>
        <w:tc>
          <w:tcPr>
            <w:tcW w:w="0" w:type="auto"/>
            <w:noWrap/>
            <w:hideMark/>
          </w:tcPr>
          <w:p w14:paraId="0036972A"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0" w:type="auto"/>
            <w:noWrap/>
            <w:hideMark/>
          </w:tcPr>
          <w:p w14:paraId="4951C966"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61A82F29" w14:textId="0DC7139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0" w:type="auto"/>
            <w:noWrap/>
            <w:hideMark/>
          </w:tcPr>
          <w:p w14:paraId="0C262FB5" w14:textId="741E5CA5"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1B7D28" w:rsidRPr="002912DA" w14:paraId="5B0C96E2" w14:textId="77777777" w:rsidTr="001B7D2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19B9C0" w14:textId="77777777" w:rsidR="00A90B2A" w:rsidRPr="002912DA" w:rsidRDefault="00A90B2A" w:rsidP="00D85F07">
            <w:pPr>
              <w:pStyle w:val="Tabletextleft"/>
            </w:pPr>
            <w:r w:rsidRPr="002912DA">
              <w:t>Western Sydney University</w:t>
            </w:r>
          </w:p>
        </w:tc>
        <w:tc>
          <w:tcPr>
            <w:tcW w:w="0" w:type="auto"/>
            <w:noWrap/>
            <w:hideMark/>
          </w:tcPr>
          <w:p w14:paraId="65F7C560"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0" w:type="auto"/>
            <w:noWrap/>
            <w:hideMark/>
          </w:tcPr>
          <w:p w14:paraId="6D5BF0C7" w14:textId="77777777"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7B30FAA0" w14:textId="6D7DCA4E"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0" w:type="auto"/>
            <w:noWrap/>
            <w:hideMark/>
          </w:tcPr>
          <w:p w14:paraId="210BC18A" w14:textId="6B032E91" w:rsidR="00A90B2A" w:rsidRPr="002912DA" w:rsidRDefault="00A90B2A"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1B7D28" w:rsidRPr="002912DA" w14:paraId="14395787" w14:textId="77777777" w:rsidTr="001B7D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054E72" w14:textId="77777777" w:rsidR="00A90B2A" w:rsidRPr="002912DA" w:rsidRDefault="00A90B2A" w:rsidP="00D85F07">
            <w:pPr>
              <w:pStyle w:val="Tabletextleft"/>
            </w:pPr>
            <w:r w:rsidRPr="002912DA">
              <w:t>Total</w:t>
            </w:r>
          </w:p>
        </w:tc>
        <w:tc>
          <w:tcPr>
            <w:tcW w:w="0" w:type="auto"/>
            <w:noWrap/>
            <w:hideMark/>
          </w:tcPr>
          <w:p w14:paraId="1F9F25EF"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145</w:t>
            </w:r>
          </w:p>
        </w:tc>
        <w:tc>
          <w:tcPr>
            <w:tcW w:w="0" w:type="auto"/>
            <w:noWrap/>
            <w:hideMark/>
          </w:tcPr>
          <w:p w14:paraId="377F1658" w14:textId="77777777"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w:t>
            </w:r>
          </w:p>
        </w:tc>
        <w:tc>
          <w:tcPr>
            <w:tcW w:w="0" w:type="auto"/>
            <w:noWrap/>
            <w:hideMark/>
          </w:tcPr>
          <w:p w14:paraId="2189039D" w14:textId="2EA4A791"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42,336,565</w:t>
            </w:r>
          </w:p>
        </w:tc>
        <w:tc>
          <w:tcPr>
            <w:tcW w:w="0" w:type="auto"/>
            <w:noWrap/>
            <w:hideMark/>
          </w:tcPr>
          <w:p w14:paraId="205C691E" w14:textId="29DEFFAC" w:rsidR="00A90B2A" w:rsidRPr="002912DA" w:rsidRDefault="00A90B2A"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w:t>
            </w:r>
          </w:p>
        </w:tc>
      </w:tr>
    </w:tbl>
    <w:p w14:paraId="5F3E46AF" w14:textId="77777777" w:rsidR="007E783B" w:rsidRDefault="007E783B" w:rsidP="001B7D28">
      <w:pPr>
        <w:pStyle w:val="FootnoteText"/>
      </w:pPr>
      <w:r>
        <w:t>$ rounded to whole dollars</w:t>
      </w:r>
    </w:p>
    <w:p w14:paraId="237EC665" w14:textId="77777777" w:rsidR="00D85F07" w:rsidRDefault="00D85F07" w:rsidP="001B7D28">
      <w:pPr>
        <w:pStyle w:val="FootnoteText"/>
      </w:pPr>
    </w:p>
    <w:p w14:paraId="732A94BE" w14:textId="7877AD27" w:rsidR="007E783B" w:rsidRDefault="002912DA" w:rsidP="002912DA">
      <w:pPr>
        <w:pStyle w:val="Caption"/>
      </w:pPr>
      <w:r>
        <w:lastRenderedPageBreak/>
        <w:t xml:space="preserve">Figure </w:t>
      </w:r>
      <w:r>
        <w:fldChar w:fldCharType="begin"/>
      </w:r>
      <w:r>
        <w:instrText xml:space="preserve"> SEQ Figure \* ARABIC </w:instrText>
      </w:r>
      <w:r>
        <w:fldChar w:fldCharType="separate"/>
      </w:r>
      <w:r>
        <w:rPr>
          <w:noProof/>
        </w:rPr>
        <w:t>5</w:t>
      </w:r>
      <w:r>
        <w:fldChar w:fldCharType="end"/>
      </w:r>
      <w:r>
        <w:t xml:space="preserve"> </w:t>
      </w:r>
      <w:r w:rsidRPr="002912DA">
        <w:t>– Proportion of funding awarded per Eligible Organisation</w:t>
      </w:r>
    </w:p>
    <w:p w14:paraId="2EF8CA67" w14:textId="75BA2571" w:rsidR="00361E69" w:rsidRPr="002912DA" w:rsidRDefault="002912DA" w:rsidP="002912DA">
      <w:r>
        <w:rPr>
          <w:noProof/>
        </w:rPr>
        <mc:AlternateContent>
          <mc:Choice Requires="cx1">
            <w:drawing>
              <wp:inline distT="0" distB="0" distL="0" distR="0" wp14:anchorId="19B7F888" wp14:editId="145BEECC">
                <wp:extent cx="5759450" cy="7539070"/>
                <wp:effectExtent l="0" t="0" r="12700" b="5080"/>
                <wp:docPr id="14" name="Chart 14" descr="a tree map summarising the proportion of funding awarded per Eligible Organisations ">
                  <a:extLst xmlns:a="http://schemas.openxmlformats.org/drawingml/2006/main">
                    <a:ext uri="{FF2B5EF4-FFF2-40B4-BE49-F238E27FC236}">
                      <a16:creationId xmlns:a16="http://schemas.microsoft.com/office/drawing/2014/main" id="{EE16F665-4EFD-365F-287F-2B3AE5400B9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7"/>
                  </a:graphicData>
                </a:graphic>
              </wp:inline>
            </w:drawing>
          </mc:Choice>
          <mc:Fallback>
            <w:drawing>
              <wp:inline distT="0" distB="0" distL="0" distR="0" wp14:anchorId="19B7F888" wp14:editId="145BEECC">
                <wp:extent cx="5759450" cy="7539070"/>
                <wp:effectExtent l="0" t="0" r="12700" b="5080"/>
                <wp:docPr id="14" name="Chart 14" descr="a tree map summarising the proportion of funding awarded per Eligible Organisations ">
                  <a:extLst xmlns:a="http://schemas.openxmlformats.org/drawingml/2006/main">
                    <a:ext uri="{FF2B5EF4-FFF2-40B4-BE49-F238E27FC236}">
                      <a16:creationId xmlns:a16="http://schemas.microsoft.com/office/drawing/2014/main" id="{EE16F665-4EFD-365F-287F-2B3AE5400B9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Chart 14" descr="a tree map summarising the proportion of funding awarded per Eligible Organisations ">
                          <a:extLst>
                            <a:ext uri="{FF2B5EF4-FFF2-40B4-BE49-F238E27FC236}">
                              <a16:creationId xmlns:a16="http://schemas.microsoft.com/office/drawing/2014/main" id="{EE16F665-4EFD-365F-287F-2B3AE5400B91}"/>
                            </a:ext>
                          </a:extLst>
                        </pic:cNvPr>
                        <pic:cNvPicPr>
                          <a:picLocks noGrp="1" noRot="1" noChangeAspect="1" noMove="1" noResize="1" noEditPoints="1" noAdjustHandles="1" noChangeArrowheads="1" noChangeShapeType="1"/>
                        </pic:cNvPicPr>
                      </pic:nvPicPr>
                      <pic:blipFill>
                        <a:blip r:embed="rId48"/>
                        <a:stretch>
                          <a:fillRect/>
                        </a:stretch>
                      </pic:blipFill>
                      <pic:spPr>
                        <a:xfrm>
                          <a:off x="0" y="0"/>
                          <a:ext cx="5759450" cy="7538720"/>
                        </a:xfrm>
                        <a:prstGeom prst="rect">
                          <a:avLst/>
                        </a:prstGeom>
                      </pic:spPr>
                    </pic:pic>
                  </a:graphicData>
                </a:graphic>
              </wp:inline>
            </w:drawing>
          </mc:Fallback>
        </mc:AlternateContent>
      </w:r>
    </w:p>
    <w:p w14:paraId="5668C590" w14:textId="2E365726" w:rsidR="00342EED" w:rsidRPr="00CE3E77" w:rsidRDefault="00342EED" w:rsidP="00361E69">
      <w:pPr>
        <w:pStyle w:val="Heading1"/>
      </w:pPr>
      <w:bookmarkStart w:id="14" w:name="_Toc168043240"/>
      <w:r w:rsidRPr="00361E69">
        <w:lastRenderedPageBreak/>
        <w:t>Characteristics</w:t>
      </w:r>
      <w:r w:rsidRPr="00CE3E77">
        <w:t xml:space="preserve"> of Chief Investigators</w:t>
      </w:r>
      <w:bookmarkEnd w:id="14"/>
    </w:p>
    <w:p w14:paraId="0C700A05" w14:textId="77777777" w:rsidR="00342EED" w:rsidRPr="00E6756B" w:rsidRDefault="00342EED" w:rsidP="000640DD">
      <w:pPr>
        <w:pStyle w:val="Heading2"/>
      </w:pPr>
      <w:bookmarkStart w:id="15" w:name="_Toc168043241"/>
      <w:r w:rsidRPr="00E6756B">
        <w:t>Gender of CIA</w:t>
      </w:r>
      <w:bookmarkEnd w:id="15"/>
    </w:p>
    <w:p w14:paraId="308624C0" w14:textId="13AEA8D0" w:rsidR="005F5E9C" w:rsidRPr="002912DA" w:rsidRDefault="00342EED" w:rsidP="002912DA">
      <w:r w:rsidRPr="002912DA">
        <w:t xml:space="preserve">Based on gender of the CIA, females applied for and were awarded more grants compared to males. Overall, there were 84 female and 57 male CIA applications, of which 17 and 8 grants were awarded respectively (see Table </w:t>
      </w:r>
      <w:r w:rsidR="00007DA6" w:rsidRPr="002912DA">
        <w:t>9</w:t>
      </w:r>
      <w:r w:rsidRPr="002912DA">
        <w:t xml:space="preserve">). </w:t>
      </w:r>
      <w:r w:rsidR="008461BB" w:rsidRPr="002912DA">
        <w:t>In addition to being awarded a larger number of grants, the funded rate, total value, and proportion of grants and funds awarded increased for female CIAs compared to the 2021 grant opportunity. Male CIAs received lower proportion</w:t>
      </w:r>
      <w:r w:rsidR="00E57920" w:rsidRPr="002912DA">
        <w:t>s</w:t>
      </w:r>
      <w:r w:rsidR="008461BB" w:rsidRPr="002912DA">
        <w:t xml:space="preserve"> </w:t>
      </w:r>
      <w:r w:rsidR="00E57920" w:rsidRPr="002912DA">
        <w:t xml:space="preserve">of </w:t>
      </w:r>
      <w:r w:rsidR="008461BB" w:rsidRPr="002912DA">
        <w:t>grants</w:t>
      </w:r>
      <w:r w:rsidR="008461BB" w:rsidRPr="002912DA" w:rsidDel="00E57920">
        <w:t xml:space="preserve"> </w:t>
      </w:r>
      <w:r w:rsidR="008461BB" w:rsidRPr="002912DA">
        <w:t xml:space="preserve">and funding </w:t>
      </w:r>
      <w:r w:rsidR="00FE14CB" w:rsidRPr="002912DA">
        <w:t xml:space="preserve">(Figure </w:t>
      </w:r>
      <w:r w:rsidR="0080592C" w:rsidRPr="002912DA">
        <w:t>4C</w:t>
      </w:r>
      <w:r w:rsidR="00FE14CB" w:rsidRPr="002912DA">
        <w:t>)</w:t>
      </w:r>
      <w:r w:rsidR="008461BB" w:rsidRPr="002912DA">
        <w:t>, compared to the 2021 grant opportunity.</w:t>
      </w:r>
      <w:r w:rsidR="004B2669" w:rsidRPr="002912DA">
        <w:t xml:space="preserve"> </w:t>
      </w:r>
      <w:r w:rsidR="0085709F" w:rsidRPr="002912DA">
        <w:t xml:space="preserve">Applications were received in the 2023 grant opportunity from CIAs identifying as non-binary, compared to none in 2021. </w:t>
      </w:r>
      <w:r w:rsidR="00D55C51" w:rsidRPr="002912DA">
        <w:t xml:space="preserve">EMCR grants have </w:t>
      </w:r>
      <w:r w:rsidR="00435663" w:rsidRPr="002912DA">
        <w:t>yet to be</w:t>
      </w:r>
      <w:r w:rsidR="00D55C51" w:rsidRPr="002912DA">
        <w:t xml:space="preserve"> awarded to </w:t>
      </w:r>
      <w:r w:rsidR="00250430" w:rsidRPr="002912DA">
        <w:t xml:space="preserve">a </w:t>
      </w:r>
      <w:r w:rsidR="00D55C51" w:rsidRPr="002912DA">
        <w:t xml:space="preserve">CIA </w:t>
      </w:r>
      <w:r w:rsidR="00A703A5" w:rsidRPr="002912DA">
        <w:t>identifying as non-binary.</w:t>
      </w:r>
    </w:p>
    <w:p w14:paraId="431BA363" w14:textId="3028512D" w:rsidR="008D78C8" w:rsidRDefault="00955E6E" w:rsidP="00955E6E">
      <w:pPr>
        <w:pStyle w:val="Caption"/>
      </w:pPr>
      <w:r>
        <w:t xml:space="preserve">Table </w:t>
      </w:r>
      <w:r>
        <w:fldChar w:fldCharType="begin"/>
      </w:r>
      <w:r>
        <w:instrText xml:space="preserve"> SEQ Table \* ARABIC </w:instrText>
      </w:r>
      <w:r>
        <w:fldChar w:fldCharType="separate"/>
      </w:r>
      <w:r w:rsidR="00D85F07">
        <w:rPr>
          <w:noProof/>
        </w:rPr>
        <w:t>9</w:t>
      </w:r>
      <w:r>
        <w:fldChar w:fldCharType="end"/>
      </w:r>
      <w:r w:rsidR="008D78C8" w:rsidRPr="00223BB4">
        <w:t xml:space="preserve"> – Gender of CIA on applications</w:t>
      </w:r>
      <w:r w:rsidR="00B927F8">
        <w:t xml:space="preserve"> (</w:t>
      </w:r>
      <w:r w:rsidR="001A0195">
        <w:t>a</w:t>
      </w:r>
      <w:r w:rsidR="00B927F8">
        <w:t>pps)</w:t>
      </w:r>
      <w:r w:rsidR="008D78C8" w:rsidRPr="00223BB4">
        <w:t xml:space="preserve"> and awarded grants</w:t>
      </w:r>
    </w:p>
    <w:tbl>
      <w:tblPr>
        <w:tblStyle w:val="DepartmentofHealthtable"/>
        <w:tblW w:w="9125" w:type="dxa"/>
        <w:tblLayout w:type="fixed"/>
        <w:tblLook w:val="04A0" w:firstRow="1" w:lastRow="0" w:firstColumn="1" w:lastColumn="0" w:noHBand="0" w:noVBand="1"/>
      </w:tblPr>
      <w:tblGrid>
        <w:gridCol w:w="1281"/>
        <w:gridCol w:w="651"/>
        <w:gridCol w:w="851"/>
        <w:gridCol w:w="992"/>
        <w:gridCol w:w="992"/>
        <w:gridCol w:w="1045"/>
        <w:gridCol w:w="1134"/>
        <w:gridCol w:w="1134"/>
        <w:gridCol w:w="1045"/>
      </w:tblGrid>
      <w:tr w:rsidR="008D78C8" w:rsidRPr="002912DA" w14:paraId="5840B267" w14:textId="77777777" w:rsidTr="002912DA">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281" w:type="dxa"/>
            <w:hideMark/>
          </w:tcPr>
          <w:p w14:paraId="1657F03F" w14:textId="77777777" w:rsidR="008D78C8" w:rsidRPr="002912DA" w:rsidRDefault="008D78C8" w:rsidP="00D85F07">
            <w:pPr>
              <w:pStyle w:val="StyleTableHeaderWhite"/>
            </w:pPr>
            <w:r w:rsidRPr="002912DA">
              <w:t>Gender</w:t>
            </w:r>
          </w:p>
        </w:tc>
        <w:tc>
          <w:tcPr>
            <w:tcW w:w="651" w:type="dxa"/>
            <w:hideMark/>
          </w:tcPr>
          <w:p w14:paraId="46A86E36" w14:textId="77777777" w:rsidR="008D78C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Year</w:t>
            </w:r>
          </w:p>
        </w:tc>
        <w:tc>
          <w:tcPr>
            <w:tcW w:w="851" w:type="dxa"/>
            <w:hideMark/>
          </w:tcPr>
          <w:p w14:paraId="4698F8D7" w14:textId="21ED74AF" w:rsidR="00B927F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Apps</w:t>
            </w:r>
            <w:r w:rsidR="002912DA">
              <w:t xml:space="preserve"> </w:t>
            </w:r>
            <w:r w:rsidR="00B927F8" w:rsidRPr="002912DA">
              <w:t>(n)</w:t>
            </w:r>
          </w:p>
        </w:tc>
        <w:tc>
          <w:tcPr>
            <w:tcW w:w="992" w:type="dxa"/>
            <w:hideMark/>
          </w:tcPr>
          <w:p w14:paraId="103B1F1B" w14:textId="77777777" w:rsidR="008D78C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Grants </w:t>
            </w:r>
            <w:r w:rsidR="000F006D" w:rsidRPr="002912DA">
              <w:t>a</w:t>
            </w:r>
            <w:r w:rsidRPr="002912DA">
              <w:t>warded</w:t>
            </w:r>
          </w:p>
          <w:p w14:paraId="758F272B" w14:textId="47250056" w:rsidR="00B927F8" w:rsidRPr="002912DA" w:rsidRDefault="00B927F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(n)</w:t>
            </w:r>
          </w:p>
        </w:tc>
        <w:tc>
          <w:tcPr>
            <w:tcW w:w="992" w:type="dxa"/>
            <w:hideMark/>
          </w:tcPr>
          <w:p w14:paraId="0FDE9F60" w14:textId="0229050E" w:rsidR="008D78C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Funded </w:t>
            </w:r>
            <w:r w:rsidR="000F006D" w:rsidRPr="002912DA">
              <w:t>r</w:t>
            </w:r>
            <w:r w:rsidRPr="002912DA">
              <w:t>ate (%)</w:t>
            </w:r>
          </w:p>
        </w:tc>
        <w:tc>
          <w:tcPr>
            <w:tcW w:w="1045" w:type="dxa"/>
            <w:hideMark/>
          </w:tcPr>
          <w:p w14:paraId="6A94D800" w14:textId="564BFF06" w:rsidR="008D78C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Total </w:t>
            </w:r>
            <w:r w:rsidR="000F006D" w:rsidRPr="002912DA">
              <w:t>v</w:t>
            </w:r>
            <w:r w:rsidRPr="002912DA">
              <w:t>alue ($)</w:t>
            </w:r>
          </w:p>
        </w:tc>
        <w:tc>
          <w:tcPr>
            <w:tcW w:w="1134" w:type="dxa"/>
            <w:hideMark/>
          </w:tcPr>
          <w:p w14:paraId="6B2F65B1" w14:textId="77777777" w:rsidR="008D78C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Proportion of grants awarded (%)</w:t>
            </w:r>
          </w:p>
        </w:tc>
        <w:tc>
          <w:tcPr>
            <w:tcW w:w="1134" w:type="dxa"/>
            <w:hideMark/>
          </w:tcPr>
          <w:p w14:paraId="145D3482" w14:textId="386C2E2B" w:rsidR="008D78C8" w:rsidRPr="002912DA" w:rsidRDefault="5BA96572"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Proportion of $ awarded</w:t>
            </w:r>
            <w:r w:rsidR="76BB9FCC" w:rsidRPr="002912DA">
              <w:t xml:space="preserve"> (%)</w:t>
            </w:r>
          </w:p>
        </w:tc>
        <w:tc>
          <w:tcPr>
            <w:tcW w:w="1045" w:type="dxa"/>
            <w:hideMark/>
          </w:tcPr>
          <w:p w14:paraId="56B426C8" w14:textId="77777777" w:rsidR="008D78C8" w:rsidRPr="002912DA" w:rsidRDefault="008D78C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Mean value awarded ($)</w:t>
            </w:r>
          </w:p>
        </w:tc>
      </w:tr>
      <w:tr w:rsidR="008D78C8" w:rsidRPr="002912DA" w14:paraId="14D5C466"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val="restart"/>
            <w:hideMark/>
          </w:tcPr>
          <w:p w14:paraId="4508FAE6" w14:textId="77777777" w:rsidR="008D78C8" w:rsidRPr="002912DA" w:rsidRDefault="008D78C8" w:rsidP="00D85F07">
            <w:pPr>
              <w:pStyle w:val="Tabletextcentre"/>
            </w:pPr>
            <w:r w:rsidRPr="002912DA">
              <w:t>Woman or Female</w:t>
            </w:r>
          </w:p>
        </w:tc>
        <w:tc>
          <w:tcPr>
            <w:tcW w:w="651" w:type="dxa"/>
            <w:hideMark/>
          </w:tcPr>
          <w:p w14:paraId="048E2F76"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851" w:type="dxa"/>
            <w:hideMark/>
          </w:tcPr>
          <w:p w14:paraId="5DBF768A"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84</w:t>
            </w:r>
          </w:p>
        </w:tc>
        <w:tc>
          <w:tcPr>
            <w:tcW w:w="992" w:type="dxa"/>
            <w:hideMark/>
          </w:tcPr>
          <w:p w14:paraId="15338093"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w:t>
            </w:r>
          </w:p>
        </w:tc>
        <w:tc>
          <w:tcPr>
            <w:tcW w:w="992" w:type="dxa"/>
            <w:hideMark/>
          </w:tcPr>
          <w:p w14:paraId="73D84537"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w:t>
            </w:r>
          </w:p>
        </w:tc>
        <w:tc>
          <w:tcPr>
            <w:tcW w:w="1045" w:type="dxa"/>
            <w:hideMark/>
          </w:tcPr>
          <w:p w14:paraId="4AE44990"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31,640,055</w:t>
            </w:r>
          </w:p>
        </w:tc>
        <w:tc>
          <w:tcPr>
            <w:tcW w:w="1134" w:type="dxa"/>
            <w:hideMark/>
          </w:tcPr>
          <w:p w14:paraId="32E6F972"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68.0</w:t>
            </w:r>
          </w:p>
        </w:tc>
        <w:tc>
          <w:tcPr>
            <w:tcW w:w="1134" w:type="dxa"/>
            <w:hideMark/>
          </w:tcPr>
          <w:p w14:paraId="61FC65FA"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74.7</w:t>
            </w:r>
          </w:p>
        </w:tc>
        <w:tc>
          <w:tcPr>
            <w:tcW w:w="1045" w:type="dxa"/>
            <w:hideMark/>
          </w:tcPr>
          <w:p w14:paraId="2AE10050"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1,861,180</w:t>
            </w:r>
          </w:p>
        </w:tc>
      </w:tr>
      <w:tr w:rsidR="008D78C8" w:rsidRPr="002912DA" w14:paraId="39393DF5"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hideMark/>
          </w:tcPr>
          <w:p w14:paraId="67DC2D88" w14:textId="77777777" w:rsidR="008D78C8" w:rsidRPr="002912DA" w:rsidRDefault="008D78C8" w:rsidP="00D85F07">
            <w:pPr>
              <w:pStyle w:val="Tabletextcentre"/>
            </w:pPr>
          </w:p>
        </w:tc>
        <w:tc>
          <w:tcPr>
            <w:tcW w:w="651" w:type="dxa"/>
            <w:hideMark/>
          </w:tcPr>
          <w:p w14:paraId="04CBA841"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851" w:type="dxa"/>
            <w:hideMark/>
          </w:tcPr>
          <w:p w14:paraId="14028408"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255</w:t>
            </w:r>
          </w:p>
        </w:tc>
        <w:tc>
          <w:tcPr>
            <w:tcW w:w="992" w:type="dxa"/>
            <w:hideMark/>
          </w:tcPr>
          <w:p w14:paraId="3F8FE625"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12</w:t>
            </w:r>
          </w:p>
        </w:tc>
        <w:tc>
          <w:tcPr>
            <w:tcW w:w="992" w:type="dxa"/>
            <w:hideMark/>
          </w:tcPr>
          <w:p w14:paraId="0E7CFEF9"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4.7</w:t>
            </w:r>
          </w:p>
        </w:tc>
        <w:tc>
          <w:tcPr>
            <w:tcW w:w="1045" w:type="dxa"/>
            <w:hideMark/>
          </w:tcPr>
          <w:p w14:paraId="6C4E4EA7"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25,470,903</w:t>
            </w:r>
          </w:p>
        </w:tc>
        <w:tc>
          <w:tcPr>
            <w:tcW w:w="1134" w:type="dxa"/>
            <w:hideMark/>
          </w:tcPr>
          <w:p w14:paraId="132C3F5A"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52.2</w:t>
            </w:r>
          </w:p>
        </w:tc>
        <w:tc>
          <w:tcPr>
            <w:tcW w:w="1134" w:type="dxa"/>
            <w:hideMark/>
          </w:tcPr>
          <w:p w14:paraId="23871BB7"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59.5</w:t>
            </w:r>
          </w:p>
        </w:tc>
        <w:tc>
          <w:tcPr>
            <w:tcW w:w="1045" w:type="dxa"/>
            <w:hideMark/>
          </w:tcPr>
          <w:p w14:paraId="113F01EB"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2,122,575</w:t>
            </w:r>
          </w:p>
        </w:tc>
      </w:tr>
      <w:tr w:rsidR="008D78C8" w:rsidRPr="002912DA" w14:paraId="0423D58B"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val="restart"/>
            <w:hideMark/>
          </w:tcPr>
          <w:p w14:paraId="640AB293" w14:textId="77777777" w:rsidR="008D78C8" w:rsidRPr="002912DA" w:rsidRDefault="008D78C8" w:rsidP="00D85F07">
            <w:pPr>
              <w:pStyle w:val="Tabletextcentre"/>
            </w:pPr>
            <w:r w:rsidRPr="002912DA">
              <w:t>Man or Male</w:t>
            </w:r>
          </w:p>
        </w:tc>
        <w:tc>
          <w:tcPr>
            <w:tcW w:w="651" w:type="dxa"/>
            <w:hideMark/>
          </w:tcPr>
          <w:p w14:paraId="097191B0"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851" w:type="dxa"/>
            <w:hideMark/>
          </w:tcPr>
          <w:p w14:paraId="64EED012"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57</w:t>
            </w:r>
          </w:p>
        </w:tc>
        <w:tc>
          <w:tcPr>
            <w:tcW w:w="992" w:type="dxa"/>
            <w:hideMark/>
          </w:tcPr>
          <w:p w14:paraId="38B13927"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8</w:t>
            </w:r>
          </w:p>
        </w:tc>
        <w:tc>
          <w:tcPr>
            <w:tcW w:w="992" w:type="dxa"/>
            <w:hideMark/>
          </w:tcPr>
          <w:p w14:paraId="01EA5541"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w:t>
            </w:r>
          </w:p>
        </w:tc>
        <w:tc>
          <w:tcPr>
            <w:tcW w:w="1045" w:type="dxa"/>
            <w:hideMark/>
          </w:tcPr>
          <w:p w14:paraId="15D5480D"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10,696,510</w:t>
            </w:r>
          </w:p>
        </w:tc>
        <w:tc>
          <w:tcPr>
            <w:tcW w:w="1134" w:type="dxa"/>
            <w:hideMark/>
          </w:tcPr>
          <w:p w14:paraId="3239DF5C"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32.0</w:t>
            </w:r>
          </w:p>
        </w:tc>
        <w:tc>
          <w:tcPr>
            <w:tcW w:w="1134" w:type="dxa"/>
            <w:hideMark/>
          </w:tcPr>
          <w:p w14:paraId="713AA595"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25.3</w:t>
            </w:r>
          </w:p>
        </w:tc>
        <w:tc>
          <w:tcPr>
            <w:tcW w:w="1045" w:type="dxa"/>
            <w:hideMark/>
          </w:tcPr>
          <w:p w14:paraId="71EF4B2C"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1,337,063</w:t>
            </w:r>
          </w:p>
        </w:tc>
      </w:tr>
      <w:tr w:rsidR="008D78C8" w:rsidRPr="002912DA" w14:paraId="5CD1ADC1"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hideMark/>
          </w:tcPr>
          <w:p w14:paraId="6DC3E107" w14:textId="77777777" w:rsidR="008D78C8" w:rsidRPr="002912DA" w:rsidRDefault="008D78C8" w:rsidP="00D85F07">
            <w:pPr>
              <w:pStyle w:val="Tabletextcentre"/>
            </w:pPr>
          </w:p>
        </w:tc>
        <w:tc>
          <w:tcPr>
            <w:tcW w:w="651" w:type="dxa"/>
            <w:hideMark/>
          </w:tcPr>
          <w:p w14:paraId="0E9CB7D7"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851" w:type="dxa"/>
            <w:hideMark/>
          </w:tcPr>
          <w:p w14:paraId="2D4574F8"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162</w:t>
            </w:r>
          </w:p>
        </w:tc>
        <w:tc>
          <w:tcPr>
            <w:tcW w:w="992" w:type="dxa"/>
            <w:hideMark/>
          </w:tcPr>
          <w:p w14:paraId="5CA51AF8"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11</w:t>
            </w:r>
          </w:p>
        </w:tc>
        <w:tc>
          <w:tcPr>
            <w:tcW w:w="992" w:type="dxa"/>
            <w:hideMark/>
          </w:tcPr>
          <w:p w14:paraId="450883DF"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6.8</w:t>
            </w:r>
          </w:p>
        </w:tc>
        <w:tc>
          <w:tcPr>
            <w:tcW w:w="1045" w:type="dxa"/>
            <w:hideMark/>
          </w:tcPr>
          <w:p w14:paraId="72B7CB70"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17,329,097</w:t>
            </w:r>
          </w:p>
        </w:tc>
        <w:tc>
          <w:tcPr>
            <w:tcW w:w="1134" w:type="dxa"/>
            <w:hideMark/>
          </w:tcPr>
          <w:p w14:paraId="10048831"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47.8</w:t>
            </w:r>
          </w:p>
        </w:tc>
        <w:tc>
          <w:tcPr>
            <w:tcW w:w="1134" w:type="dxa"/>
            <w:hideMark/>
          </w:tcPr>
          <w:p w14:paraId="18E9870F"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40.5</w:t>
            </w:r>
          </w:p>
        </w:tc>
        <w:tc>
          <w:tcPr>
            <w:tcW w:w="1045" w:type="dxa"/>
            <w:hideMark/>
          </w:tcPr>
          <w:p w14:paraId="51EF1A52"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1,575,372</w:t>
            </w:r>
          </w:p>
        </w:tc>
      </w:tr>
      <w:tr w:rsidR="008D78C8" w:rsidRPr="002912DA" w14:paraId="62F3DDE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val="restart"/>
            <w:hideMark/>
          </w:tcPr>
          <w:p w14:paraId="7303A984" w14:textId="77777777" w:rsidR="008D78C8" w:rsidRPr="002912DA" w:rsidRDefault="008D78C8" w:rsidP="00D85F07">
            <w:pPr>
              <w:pStyle w:val="Tabletextcentre"/>
            </w:pPr>
            <w:r w:rsidRPr="002912DA">
              <w:t>Non-binary</w:t>
            </w:r>
          </w:p>
        </w:tc>
        <w:tc>
          <w:tcPr>
            <w:tcW w:w="651" w:type="dxa"/>
            <w:hideMark/>
          </w:tcPr>
          <w:p w14:paraId="6E8B1613"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851" w:type="dxa"/>
            <w:hideMark/>
          </w:tcPr>
          <w:p w14:paraId="68DAD11C"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992" w:type="dxa"/>
            <w:hideMark/>
          </w:tcPr>
          <w:p w14:paraId="2D9502E7"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92" w:type="dxa"/>
            <w:hideMark/>
          </w:tcPr>
          <w:p w14:paraId="489D28B1"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45" w:type="dxa"/>
            <w:hideMark/>
          </w:tcPr>
          <w:p w14:paraId="502EE0CC"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134" w:type="dxa"/>
            <w:hideMark/>
          </w:tcPr>
          <w:p w14:paraId="3172CB6D"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134" w:type="dxa"/>
            <w:hideMark/>
          </w:tcPr>
          <w:p w14:paraId="1BF2DBDB"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45" w:type="dxa"/>
            <w:hideMark/>
          </w:tcPr>
          <w:p w14:paraId="4EE9306E"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8D78C8" w:rsidRPr="002912DA" w14:paraId="64FCE517"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hideMark/>
          </w:tcPr>
          <w:p w14:paraId="4095B180" w14:textId="77777777" w:rsidR="008D78C8" w:rsidRPr="002912DA" w:rsidRDefault="008D78C8" w:rsidP="00D85F07">
            <w:pPr>
              <w:pStyle w:val="Tabletextcentre"/>
            </w:pPr>
          </w:p>
        </w:tc>
        <w:tc>
          <w:tcPr>
            <w:tcW w:w="651" w:type="dxa"/>
            <w:hideMark/>
          </w:tcPr>
          <w:p w14:paraId="49C764A0"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851" w:type="dxa"/>
            <w:hideMark/>
          </w:tcPr>
          <w:p w14:paraId="016C21E6"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92" w:type="dxa"/>
            <w:hideMark/>
          </w:tcPr>
          <w:p w14:paraId="2C5D2AE1"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92" w:type="dxa"/>
            <w:hideMark/>
          </w:tcPr>
          <w:p w14:paraId="0D42C7AB"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045" w:type="dxa"/>
            <w:hideMark/>
          </w:tcPr>
          <w:p w14:paraId="55F2A680"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58EA679C"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3395AB6E"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045" w:type="dxa"/>
            <w:hideMark/>
          </w:tcPr>
          <w:p w14:paraId="0FDE7A0C"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8D78C8" w:rsidRPr="002912DA" w14:paraId="2F1FD83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val="restart"/>
            <w:hideMark/>
          </w:tcPr>
          <w:p w14:paraId="54ED8F2D" w14:textId="77777777" w:rsidR="008D78C8" w:rsidRPr="002912DA" w:rsidRDefault="008D78C8" w:rsidP="00D85F07">
            <w:pPr>
              <w:pStyle w:val="Tabletextcentre"/>
            </w:pPr>
            <w:r w:rsidRPr="002912DA">
              <w:t>Not reported</w:t>
            </w:r>
          </w:p>
        </w:tc>
        <w:tc>
          <w:tcPr>
            <w:tcW w:w="651" w:type="dxa"/>
            <w:hideMark/>
          </w:tcPr>
          <w:p w14:paraId="389A99CC"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851" w:type="dxa"/>
            <w:hideMark/>
          </w:tcPr>
          <w:p w14:paraId="1E0B08E5"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992" w:type="dxa"/>
            <w:hideMark/>
          </w:tcPr>
          <w:p w14:paraId="2860EE3E"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92" w:type="dxa"/>
            <w:hideMark/>
          </w:tcPr>
          <w:p w14:paraId="29A08B14"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45" w:type="dxa"/>
            <w:hideMark/>
          </w:tcPr>
          <w:p w14:paraId="0F044DD8"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134" w:type="dxa"/>
            <w:hideMark/>
          </w:tcPr>
          <w:p w14:paraId="332B0733"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1134" w:type="dxa"/>
            <w:hideMark/>
          </w:tcPr>
          <w:p w14:paraId="14BFFE0E"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045" w:type="dxa"/>
            <w:hideMark/>
          </w:tcPr>
          <w:p w14:paraId="2482205A"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8D78C8" w:rsidRPr="002912DA" w14:paraId="53DFA48A"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hideMark/>
          </w:tcPr>
          <w:p w14:paraId="73B58BD1" w14:textId="77777777" w:rsidR="008D78C8" w:rsidRPr="002912DA" w:rsidRDefault="008D78C8" w:rsidP="00D85F07">
            <w:pPr>
              <w:pStyle w:val="Tabletextcentre"/>
            </w:pPr>
          </w:p>
        </w:tc>
        <w:tc>
          <w:tcPr>
            <w:tcW w:w="651" w:type="dxa"/>
            <w:hideMark/>
          </w:tcPr>
          <w:p w14:paraId="16C1BDB9"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851" w:type="dxa"/>
            <w:hideMark/>
          </w:tcPr>
          <w:p w14:paraId="21983228"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992" w:type="dxa"/>
            <w:hideMark/>
          </w:tcPr>
          <w:p w14:paraId="66C8FB1A"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92" w:type="dxa"/>
            <w:hideMark/>
          </w:tcPr>
          <w:p w14:paraId="4755F4BA"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045" w:type="dxa"/>
            <w:hideMark/>
          </w:tcPr>
          <w:p w14:paraId="479A6D12"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0A571BCA"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4AD1DC77"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045" w:type="dxa"/>
            <w:hideMark/>
          </w:tcPr>
          <w:p w14:paraId="70039107"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8D78C8" w:rsidRPr="002912DA" w14:paraId="1D5B627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val="restart"/>
            <w:hideMark/>
          </w:tcPr>
          <w:p w14:paraId="45B82AA8" w14:textId="77777777" w:rsidR="008D78C8" w:rsidRPr="002912DA" w:rsidRDefault="008D78C8" w:rsidP="00D85F07">
            <w:pPr>
              <w:pStyle w:val="Tabletextcentre"/>
            </w:pPr>
            <w:r w:rsidRPr="002912DA">
              <w:t>All genders</w:t>
            </w:r>
          </w:p>
        </w:tc>
        <w:tc>
          <w:tcPr>
            <w:tcW w:w="651" w:type="dxa"/>
            <w:hideMark/>
          </w:tcPr>
          <w:p w14:paraId="454957C8"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851" w:type="dxa"/>
            <w:hideMark/>
          </w:tcPr>
          <w:p w14:paraId="29B96AF3"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145</w:t>
            </w:r>
          </w:p>
        </w:tc>
        <w:tc>
          <w:tcPr>
            <w:tcW w:w="992" w:type="dxa"/>
            <w:hideMark/>
          </w:tcPr>
          <w:p w14:paraId="4948B735"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w:t>
            </w:r>
          </w:p>
        </w:tc>
        <w:tc>
          <w:tcPr>
            <w:tcW w:w="992" w:type="dxa"/>
            <w:hideMark/>
          </w:tcPr>
          <w:p w14:paraId="05A9384F"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17.2</w:t>
            </w:r>
          </w:p>
        </w:tc>
        <w:tc>
          <w:tcPr>
            <w:tcW w:w="1045" w:type="dxa"/>
            <w:hideMark/>
          </w:tcPr>
          <w:p w14:paraId="47E1F030"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42,336,565</w:t>
            </w:r>
          </w:p>
        </w:tc>
        <w:tc>
          <w:tcPr>
            <w:tcW w:w="1134" w:type="dxa"/>
            <w:hideMark/>
          </w:tcPr>
          <w:p w14:paraId="41C831D6"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c>
          <w:tcPr>
            <w:tcW w:w="1134" w:type="dxa"/>
            <w:hideMark/>
          </w:tcPr>
          <w:p w14:paraId="382CB4C3"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w:t>
            </w:r>
          </w:p>
        </w:tc>
        <w:tc>
          <w:tcPr>
            <w:tcW w:w="1045" w:type="dxa"/>
            <w:hideMark/>
          </w:tcPr>
          <w:p w14:paraId="261F6466" w14:textId="77777777" w:rsidR="008D78C8" w:rsidRPr="002912DA" w:rsidRDefault="008D78C8"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1,693,462</w:t>
            </w:r>
          </w:p>
        </w:tc>
      </w:tr>
      <w:tr w:rsidR="008D78C8" w:rsidRPr="002912DA" w14:paraId="3499937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81" w:type="dxa"/>
            <w:vMerge/>
            <w:hideMark/>
          </w:tcPr>
          <w:p w14:paraId="55DC442B" w14:textId="77777777" w:rsidR="008D78C8" w:rsidRPr="002912DA" w:rsidRDefault="008D78C8" w:rsidP="00361E69">
            <w:pPr>
              <w:pStyle w:val="Tabletextleft"/>
            </w:pPr>
          </w:p>
        </w:tc>
        <w:tc>
          <w:tcPr>
            <w:tcW w:w="651" w:type="dxa"/>
            <w:hideMark/>
          </w:tcPr>
          <w:p w14:paraId="7E300B85"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851" w:type="dxa"/>
            <w:noWrap/>
            <w:hideMark/>
          </w:tcPr>
          <w:p w14:paraId="1436EEB8"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418</w:t>
            </w:r>
          </w:p>
        </w:tc>
        <w:tc>
          <w:tcPr>
            <w:tcW w:w="992" w:type="dxa"/>
            <w:noWrap/>
            <w:hideMark/>
          </w:tcPr>
          <w:p w14:paraId="1A70D6FF"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23</w:t>
            </w:r>
          </w:p>
        </w:tc>
        <w:tc>
          <w:tcPr>
            <w:tcW w:w="992" w:type="dxa"/>
            <w:hideMark/>
          </w:tcPr>
          <w:p w14:paraId="75F4B96B"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5.5</w:t>
            </w:r>
          </w:p>
        </w:tc>
        <w:tc>
          <w:tcPr>
            <w:tcW w:w="1045" w:type="dxa"/>
            <w:hideMark/>
          </w:tcPr>
          <w:p w14:paraId="487A3455"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42,800,000</w:t>
            </w:r>
          </w:p>
        </w:tc>
        <w:tc>
          <w:tcPr>
            <w:tcW w:w="1134" w:type="dxa"/>
            <w:hideMark/>
          </w:tcPr>
          <w:p w14:paraId="13368177"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100.0</w:t>
            </w:r>
          </w:p>
        </w:tc>
        <w:tc>
          <w:tcPr>
            <w:tcW w:w="1134" w:type="dxa"/>
            <w:hideMark/>
          </w:tcPr>
          <w:p w14:paraId="2D116AE1"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100</w:t>
            </w:r>
          </w:p>
        </w:tc>
        <w:tc>
          <w:tcPr>
            <w:tcW w:w="1045" w:type="dxa"/>
            <w:hideMark/>
          </w:tcPr>
          <w:p w14:paraId="103DF981" w14:textId="77777777" w:rsidR="008D78C8" w:rsidRPr="002912DA" w:rsidRDefault="008D78C8"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1,860,870</w:t>
            </w:r>
          </w:p>
        </w:tc>
      </w:tr>
    </w:tbl>
    <w:p w14:paraId="02BA3E21" w14:textId="77777777" w:rsidR="008D78C8" w:rsidRPr="001B7D28" w:rsidRDefault="008D78C8" w:rsidP="001B7D28">
      <w:pPr>
        <w:pStyle w:val="FootnoteText"/>
      </w:pPr>
      <w:r w:rsidRPr="001B7D28">
        <w:t>The analysis of gender was based on data provided by Chief Investigators (CIs) captured through self-identification as woman or female, male or man, non-binary, or not reported.</w:t>
      </w:r>
    </w:p>
    <w:p w14:paraId="3DEE36EE" w14:textId="77777777" w:rsidR="008D78C8" w:rsidRPr="001B7D28" w:rsidRDefault="008D78C8" w:rsidP="001B7D28">
      <w:pPr>
        <w:pStyle w:val="FootnoteText"/>
      </w:pPr>
      <w:r w:rsidRPr="001B7D28">
        <w:t>$ rounded to whole dollars</w:t>
      </w:r>
    </w:p>
    <w:p w14:paraId="65BC7F1D" w14:textId="4FB2F393" w:rsidR="00342EED" w:rsidRPr="00CD59E2" w:rsidRDefault="00342EED" w:rsidP="001B7D28">
      <w:r w:rsidRPr="00CD59E2">
        <w:t xml:space="preserve">CIA genders were represented differently across the streams of the 2023 grant opportunity. Men were awarded a greater number and total value of grants in Stream 3 compared to women (Table </w:t>
      </w:r>
      <w:r w:rsidR="00007DA6" w:rsidRPr="00CD59E2">
        <w:t>10</w:t>
      </w:r>
      <w:r w:rsidRPr="00CD59E2">
        <w:t>), but a significantly lower number and value for Streams 1 and 2</w:t>
      </w:r>
      <w:r w:rsidR="000F6921" w:rsidRPr="00CD59E2">
        <w:t xml:space="preserve"> compared to women</w:t>
      </w:r>
      <w:r w:rsidRPr="00CD59E2">
        <w:t>. This distribution is consistent with the 2021 grant opportunity</w:t>
      </w:r>
      <w:r w:rsidR="00826B3C" w:rsidRPr="00CD59E2">
        <w:t>.</w:t>
      </w:r>
    </w:p>
    <w:p w14:paraId="4ED63F82" w14:textId="5AA5C2E6" w:rsidR="00DC12B9" w:rsidRDefault="00955E6E" w:rsidP="00955E6E">
      <w:pPr>
        <w:pStyle w:val="Caption"/>
      </w:pPr>
      <w:bookmarkStart w:id="16" w:name="_Hlk129174617"/>
      <w:r>
        <w:t xml:space="preserve">Table </w:t>
      </w:r>
      <w:r>
        <w:fldChar w:fldCharType="begin"/>
      </w:r>
      <w:r>
        <w:instrText xml:space="preserve"> SEQ Table \* ARABIC </w:instrText>
      </w:r>
      <w:r>
        <w:fldChar w:fldCharType="separate"/>
      </w:r>
      <w:r w:rsidR="00D85F07">
        <w:rPr>
          <w:noProof/>
        </w:rPr>
        <w:t>10</w:t>
      </w:r>
      <w:r>
        <w:fldChar w:fldCharType="end"/>
      </w:r>
      <w:r w:rsidR="00DC12B9" w:rsidRPr="00223BB4">
        <w:t xml:space="preserve"> </w:t>
      </w:r>
      <w:r>
        <w:t>–</w:t>
      </w:r>
      <w:r w:rsidR="00DC12B9" w:rsidRPr="00223BB4">
        <w:t xml:space="preserve"> Gender of CIA on applications (apps) and awarded grants by </w:t>
      </w:r>
      <w:r w:rsidR="00327CBA">
        <w:t>s</w:t>
      </w:r>
      <w:r w:rsidR="00DC12B9" w:rsidRPr="00223BB4">
        <w:t>tream</w:t>
      </w:r>
    </w:p>
    <w:tbl>
      <w:tblPr>
        <w:tblStyle w:val="DepartmentofHealthtable"/>
        <w:tblW w:w="9214" w:type="dxa"/>
        <w:tblLayout w:type="fixed"/>
        <w:tblLook w:val="04A0" w:firstRow="1" w:lastRow="0" w:firstColumn="1" w:lastColumn="0" w:noHBand="0" w:noVBand="1"/>
      </w:tblPr>
      <w:tblGrid>
        <w:gridCol w:w="851"/>
        <w:gridCol w:w="613"/>
        <w:gridCol w:w="709"/>
        <w:gridCol w:w="850"/>
        <w:gridCol w:w="992"/>
        <w:gridCol w:w="709"/>
        <w:gridCol w:w="851"/>
        <w:gridCol w:w="1134"/>
        <w:gridCol w:w="708"/>
        <w:gridCol w:w="851"/>
        <w:gridCol w:w="946"/>
      </w:tblGrid>
      <w:tr w:rsidR="008651E7" w:rsidRPr="002912DA" w14:paraId="23014FE4" w14:textId="77777777" w:rsidTr="001B7D2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2651EFE9" w14:textId="247C9FE4" w:rsidR="00B61116" w:rsidRPr="002912DA" w:rsidRDefault="00653975" w:rsidP="00D85F07">
            <w:pPr>
              <w:pStyle w:val="StyleTableHeaderWhite"/>
            </w:pPr>
            <w:r w:rsidRPr="002912DA">
              <w:t>Gender</w:t>
            </w:r>
          </w:p>
        </w:tc>
        <w:tc>
          <w:tcPr>
            <w:tcW w:w="613" w:type="dxa"/>
            <w:vMerge w:val="restart"/>
            <w:hideMark/>
          </w:tcPr>
          <w:p w14:paraId="306D808F" w14:textId="77777777" w:rsidR="00B61116" w:rsidRPr="002912DA" w:rsidRDefault="00B61116"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Year</w:t>
            </w:r>
          </w:p>
        </w:tc>
        <w:tc>
          <w:tcPr>
            <w:tcW w:w="2551" w:type="dxa"/>
            <w:gridSpan w:val="3"/>
            <w:hideMark/>
          </w:tcPr>
          <w:p w14:paraId="73E9A94A" w14:textId="544BF865" w:rsidR="00B61116" w:rsidRPr="002912DA" w:rsidRDefault="00B61116"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Stream 1</w:t>
            </w:r>
          </w:p>
        </w:tc>
        <w:tc>
          <w:tcPr>
            <w:tcW w:w="2694" w:type="dxa"/>
            <w:gridSpan w:val="3"/>
            <w:hideMark/>
          </w:tcPr>
          <w:p w14:paraId="661076B0" w14:textId="0185276B" w:rsidR="00B61116" w:rsidRPr="002912DA" w:rsidRDefault="00B61116"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Stream 2</w:t>
            </w:r>
          </w:p>
        </w:tc>
        <w:tc>
          <w:tcPr>
            <w:tcW w:w="2505" w:type="dxa"/>
            <w:gridSpan w:val="3"/>
            <w:hideMark/>
          </w:tcPr>
          <w:p w14:paraId="20A6330D" w14:textId="6C45D67C" w:rsidR="00B61116" w:rsidRPr="002912DA" w:rsidRDefault="00B61116"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Stream 3</w:t>
            </w:r>
          </w:p>
        </w:tc>
      </w:tr>
      <w:tr w:rsidR="001B7D28" w:rsidRPr="002912DA" w14:paraId="169973AB" w14:textId="77777777" w:rsidTr="00D85F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1" w:type="dxa"/>
            <w:vMerge/>
            <w:tcBorders>
              <w:right w:val="single" w:sz="4" w:space="0" w:color="FFFFFF" w:themeColor="background1"/>
            </w:tcBorders>
            <w:hideMark/>
          </w:tcPr>
          <w:p w14:paraId="0462B353" w14:textId="77777777" w:rsidR="00B61116" w:rsidRPr="002912DA" w:rsidRDefault="00B61116" w:rsidP="002912DA"/>
        </w:tc>
        <w:tc>
          <w:tcPr>
            <w:tcW w:w="613" w:type="dxa"/>
            <w:vMerge/>
            <w:tcBorders>
              <w:left w:val="single" w:sz="4" w:space="0" w:color="FFFFFF" w:themeColor="background1"/>
              <w:right w:val="single" w:sz="4" w:space="0" w:color="FFFFFF" w:themeColor="background1"/>
            </w:tcBorders>
            <w:shd w:val="clear" w:color="auto" w:fill="1F497D" w:themeFill="text2"/>
            <w:hideMark/>
          </w:tcPr>
          <w:p w14:paraId="5986344B" w14:textId="77777777" w:rsidR="00B61116" w:rsidRPr="002912DA" w:rsidRDefault="00B61116" w:rsidP="002912DA">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C91037B" w14:textId="4E42501A" w:rsidR="00B61116"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B927F8" w:rsidRPr="002912DA">
              <w:t xml:space="preserve"> (n)</w:t>
            </w:r>
          </w:p>
        </w:tc>
        <w:tc>
          <w:tcPr>
            <w:tcW w:w="85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23F3E2E" w14:textId="022AB399" w:rsidR="00B927F8"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1B7D28">
              <w:t xml:space="preserve"> </w:t>
            </w:r>
            <w:r w:rsidR="00B927F8" w:rsidRPr="002912DA">
              <w:t>(n)</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F4142E7" w14:textId="35FCCC18" w:rsidR="00B61116"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Total value</w:t>
            </w:r>
            <w:r w:rsidR="00B05FD8" w:rsidRPr="002912DA">
              <w:t xml:space="preserve"> ($)</w:t>
            </w: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5B069BD" w14:textId="00FDC5B6" w:rsidR="00B61116"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1B7D28">
              <w:t xml:space="preserve"> </w:t>
            </w:r>
            <w:r w:rsidR="00B927F8" w:rsidRPr="002912DA">
              <w:t>(n)</w:t>
            </w:r>
          </w:p>
        </w:tc>
        <w:tc>
          <w:tcPr>
            <w:tcW w:w="851"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1BD55EFD" w14:textId="5182540C" w:rsidR="00B927F8"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1B7D28">
              <w:t xml:space="preserve"> </w:t>
            </w:r>
            <w:r w:rsidR="00B927F8" w:rsidRPr="002912DA">
              <w:t>(n)</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63A9D5E4" w14:textId="0AD36C1F" w:rsidR="00B61116"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Total value</w:t>
            </w:r>
            <w:r w:rsidR="00B05FD8" w:rsidRPr="002912DA">
              <w:t xml:space="preserve"> ($)</w:t>
            </w:r>
          </w:p>
        </w:tc>
        <w:tc>
          <w:tcPr>
            <w:tcW w:w="708"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57F7EB2" w14:textId="67314F0C" w:rsidR="00B927F8"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1B7D28">
              <w:t xml:space="preserve"> </w:t>
            </w:r>
            <w:r w:rsidR="00B927F8" w:rsidRPr="002912DA">
              <w:t>(n)</w:t>
            </w:r>
          </w:p>
        </w:tc>
        <w:tc>
          <w:tcPr>
            <w:tcW w:w="851"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72C379A" w14:textId="7B1A5F6D" w:rsidR="00B927F8"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1B7D28">
              <w:t xml:space="preserve"> </w:t>
            </w:r>
            <w:r w:rsidR="00B927F8" w:rsidRPr="002912DA">
              <w:t>(n)</w:t>
            </w:r>
          </w:p>
        </w:tc>
        <w:tc>
          <w:tcPr>
            <w:tcW w:w="946" w:type="dxa"/>
            <w:tcBorders>
              <w:top w:val="single" w:sz="4" w:space="0" w:color="FFFFFF" w:themeColor="background1"/>
              <w:left w:val="single" w:sz="4" w:space="0" w:color="FFFFFF" w:themeColor="background1"/>
            </w:tcBorders>
            <w:shd w:val="clear" w:color="auto" w:fill="1F497D" w:themeFill="text2"/>
            <w:hideMark/>
          </w:tcPr>
          <w:p w14:paraId="465DC69E" w14:textId="0DD9BF63" w:rsidR="00B61116" w:rsidRPr="002912DA" w:rsidRDefault="00B61116"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Total value</w:t>
            </w:r>
            <w:r w:rsidR="00B05FD8" w:rsidRPr="002912DA">
              <w:t xml:space="preserve"> ($)</w:t>
            </w:r>
          </w:p>
        </w:tc>
      </w:tr>
      <w:tr w:rsidR="009B5160" w:rsidRPr="002912DA" w14:paraId="542269D2"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17F7198D" w14:textId="77777777" w:rsidR="00B61116" w:rsidRPr="002912DA" w:rsidRDefault="00B61116" w:rsidP="00D85F07">
            <w:pPr>
              <w:pStyle w:val="Tabletextcentre"/>
            </w:pPr>
            <w:r w:rsidRPr="002912DA">
              <w:t>Woman or Female</w:t>
            </w:r>
          </w:p>
        </w:tc>
        <w:tc>
          <w:tcPr>
            <w:tcW w:w="613" w:type="dxa"/>
            <w:hideMark/>
          </w:tcPr>
          <w:p w14:paraId="7D9BF310"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709" w:type="dxa"/>
            <w:hideMark/>
          </w:tcPr>
          <w:p w14:paraId="62C89988"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55</w:t>
            </w:r>
          </w:p>
        </w:tc>
        <w:tc>
          <w:tcPr>
            <w:tcW w:w="850" w:type="dxa"/>
            <w:hideMark/>
          </w:tcPr>
          <w:p w14:paraId="44B6E5D3"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w:t>
            </w:r>
          </w:p>
        </w:tc>
        <w:tc>
          <w:tcPr>
            <w:tcW w:w="992" w:type="dxa"/>
            <w:hideMark/>
          </w:tcPr>
          <w:p w14:paraId="379BAD50" w14:textId="4AD68510"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6,663,618</w:t>
            </w:r>
          </w:p>
        </w:tc>
        <w:tc>
          <w:tcPr>
            <w:tcW w:w="709" w:type="dxa"/>
            <w:hideMark/>
          </w:tcPr>
          <w:p w14:paraId="6A54B1D9"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26</w:t>
            </w:r>
          </w:p>
        </w:tc>
        <w:tc>
          <w:tcPr>
            <w:tcW w:w="851" w:type="dxa"/>
            <w:hideMark/>
          </w:tcPr>
          <w:p w14:paraId="4E37BF3A"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w:t>
            </w:r>
          </w:p>
        </w:tc>
        <w:tc>
          <w:tcPr>
            <w:tcW w:w="1134" w:type="dxa"/>
            <w:hideMark/>
          </w:tcPr>
          <w:p w14:paraId="4BAFF567" w14:textId="79979A3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23,227,717</w:t>
            </w:r>
          </w:p>
        </w:tc>
        <w:tc>
          <w:tcPr>
            <w:tcW w:w="708" w:type="dxa"/>
            <w:hideMark/>
          </w:tcPr>
          <w:p w14:paraId="38664862"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851" w:type="dxa"/>
            <w:hideMark/>
          </w:tcPr>
          <w:p w14:paraId="46F3BAE2"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946" w:type="dxa"/>
            <w:hideMark/>
          </w:tcPr>
          <w:p w14:paraId="0F553D6E" w14:textId="32132D98"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1,748,720</w:t>
            </w:r>
          </w:p>
        </w:tc>
      </w:tr>
      <w:tr w:rsidR="009B5160" w:rsidRPr="002912DA" w14:paraId="6D771A4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hideMark/>
          </w:tcPr>
          <w:p w14:paraId="4742745B" w14:textId="77777777" w:rsidR="00B61116" w:rsidRPr="002912DA" w:rsidRDefault="00B61116" w:rsidP="00D85F07">
            <w:pPr>
              <w:pStyle w:val="Tabletextcentre"/>
            </w:pPr>
          </w:p>
        </w:tc>
        <w:tc>
          <w:tcPr>
            <w:tcW w:w="613" w:type="dxa"/>
            <w:hideMark/>
          </w:tcPr>
          <w:p w14:paraId="5B76A372"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709" w:type="dxa"/>
            <w:hideMark/>
          </w:tcPr>
          <w:p w14:paraId="716924D4"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191</w:t>
            </w:r>
          </w:p>
        </w:tc>
        <w:tc>
          <w:tcPr>
            <w:tcW w:w="850" w:type="dxa"/>
            <w:hideMark/>
          </w:tcPr>
          <w:p w14:paraId="69B6BFBD"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c>
          <w:tcPr>
            <w:tcW w:w="992" w:type="dxa"/>
            <w:hideMark/>
          </w:tcPr>
          <w:p w14:paraId="22E6B710" w14:textId="25547B55"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4,086,814</w:t>
            </w:r>
          </w:p>
        </w:tc>
        <w:tc>
          <w:tcPr>
            <w:tcW w:w="709" w:type="dxa"/>
            <w:hideMark/>
          </w:tcPr>
          <w:p w14:paraId="0809AEE4"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57</w:t>
            </w:r>
          </w:p>
        </w:tc>
        <w:tc>
          <w:tcPr>
            <w:tcW w:w="851" w:type="dxa"/>
            <w:hideMark/>
          </w:tcPr>
          <w:p w14:paraId="76871EA4"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1134" w:type="dxa"/>
            <w:hideMark/>
          </w:tcPr>
          <w:p w14:paraId="38AF7429" w14:textId="6E6E914A"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18,399,528</w:t>
            </w:r>
          </w:p>
        </w:tc>
        <w:tc>
          <w:tcPr>
            <w:tcW w:w="708" w:type="dxa"/>
            <w:hideMark/>
          </w:tcPr>
          <w:p w14:paraId="3E082907"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w:t>
            </w:r>
          </w:p>
        </w:tc>
        <w:tc>
          <w:tcPr>
            <w:tcW w:w="851" w:type="dxa"/>
            <w:hideMark/>
          </w:tcPr>
          <w:p w14:paraId="5A1ACD1B"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946" w:type="dxa"/>
            <w:hideMark/>
          </w:tcPr>
          <w:p w14:paraId="513B5D4C" w14:textId="2F8E9E63"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2,984,562</w:t>
            </w:r>
          </w:p>
        </w:tc>
      </w:tr>
      <w:tr w:rsidR="009B5160" w:rsidRPr="002912DA" w14:paraId="0ACEFFC8"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0D38F92E" w14:textId="77777777" w:rsidR="00B61116" w:rsidRPr="002912DA" w:rsidRDefault="00B61116" w:rsidP="00D85F07">
            <w:pPr>
              <w:pStyle w:val="Tabletextcentre"/>
            </w:pPr>
            <w:r w:rsidRPr="002912DA">
              <w:t>Man or Male</w:t>
            </w:r>
          </w:p>
        </w:tc>
        <w:tc>
          <w:tcPr>
            <w:tcW w:w="613" w:type="dxa"/>
            <w:hideMark/>
          </w:tcPr>
          <w:p w14:paraId="5DBC2144"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709" w:type="dxa"/>
            <w:hideMark/>
          </w:tcPr>
          <w:p w14:paraId="15551974"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38</w:t>
            </w:r>
          </w:p>
        </w:tc>
        <w:tc>
          <w:tcPr>
            <w:tcW w:w="850" w:type="dxa"/>
            <w:hideMark/>
          </w:tcPr>
          <w:p w14:paraId="7CBE3241"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992" w:type="dxa"/>
            <w:hideMark/>
          </w:tcPr>
          <w:p w14:paraId="279AF3E1" w14:textId="6170E703"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2,274,368</w:t>
            </w:r>
          </w:p>
        </w:tc>
        <w:tc>
          <w:tcPr>
            <w:tcW w:w="709" w:type="dxa"/>
            <w:hideMark/>
          </w:tcPr>
          <w:p w14:paraId="7E8AD9C6"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12</w:t>
            </w:r>
          </w:p>
        </w:tc>
        <w:tc>
          <w:tcPr>
            <w:tcW w:w="851" w:type="dxa"/>
            <w:hideMark/>
          </w:tcPr>
          <w:p w14:paraId="2FD1755F"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1134" w:type="dxa"/>
            <w:hideMark/>
          </w:tcPr>
          <w:p w14:paraId="11907B7B" w14:textId="4A63F18A"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4,995,332</w:t>
            </w:r>
          </w:p>
        </w:tc>
        <w:tc>
          <w:tcPr>
            <w:tcW w:w="708" w:type="dxa"/>
            <w:hideMark/>
          </w:tcPr>
          <w:p w14:paraId="6EDDD979"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w:t>
            </w:r>
          </w:p>
        </w:tc>
        <w:tc>
          <w:tcPr>
            <w:tcW w:w="851" w:type="dxa"/>
            <w:hideMark/>
          </w:tcPr>
          <w:p w14:paraId="4FECF536"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946" w:type="dxa"/>
            <w:hideMark/>
          </w:tcPr>
          <w:p w14:paraId="5087F501" w14:textId="3643F03B"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3,426,810</w:t>
            </w:r>
          </w:p>
        </w:tc>
      </w:tr>
      <w:tr w:rsidR="009B5160" w:rsidRPr="002912DA" w14:paraId="2DE84BD6"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hideMark/>
          </w:tcPr>
          <w:p w14:paraId="42375C05" w14:textId="77777777" w:rsidR="00B61116" w:rsidRPr="002912DA" w:rsidRDefault="00B61116" w:rsidP="00361E69">
            <w:pPr>
              <w:pStyle w:val="Tabletextleft"/>
            </w:pPr>
          </w:p>
        </w:tc>
        <w:tc>
          <w:tcPr>
            <w:tcW w:w="613" w:type="dxa"/>
            <w:hideMark/>
          </w:tcPr>
          <w:p w14:paraId="60D206C7"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709" w:type="dxa"/>
            <w:hideMark/>
          </w:tcPr>
          <w:p w14:paraId="745AEDC3"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111</w:t>
            </w:r>
          </w:p>
        </w:tc>
        <w:tc>
          <w:tcPr>
            <w:tcW w:w="850" w:type="dxa"/>
            <w:hideMark/>
          </w:tcPr>
          <w:p w14:paraId="5F603A23"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992" w:type="dxa"/>
            <w:hideMark/>
          </w:tcPr>
          <w:p w14:paraId="09A34AED" w14:textId="579DAF0E"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2,329,283</w:t>
            </w:r>
          </w:p>
        </w:tc>
        <w:tc>
          <w:tcPr>
            <w:tcW w:w="709" w:type="dxa"/>
            <w:hideMark/>
          </w:tcPr>
          <w:p w14:paraId="587E2363"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42</w:t>
            </w:r>
          </w:p>
        </w:tc>
        <w:tc>
          <w:tcPr>
            <w:tcW w:w="851" w:type="dxa"/>
            <w:hideMark/>
          </w:tcPr>
          <w:p w14:paraId="7A207D21"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1134" w:type="dxa"/>
            <w:hideMark/>
          </w:tcPr>
          <w:p w14:paraId="4B6D57F8" w14:textId="08F3EC28"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9,797,431</w:t>
            </w:r>
          </w:p>
        </w:tc>
        <w:tc>
          <w:tcPr>
            <w:tcW w:w="708" w:type="dxa"/>
            <w:hideMark/>
          </w:tcPr>
          <w:p w14:paraId="3CD49E09"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w:t>
            </w:r>
          </w:p>
        </w:tc>
        <w:tc>
          <w:tcPr>
            <w:tcW w:w="851" w:type="dxa"/>
            <w:hideMark/>
          </w:tcPr>
          <w:p w14:paraId="43BF8A0C"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c>
          <w:tcPr>
            <w:tcW w:w="946" w:type="dxa"/>
            <w:hideMark/>
          </w:tcPr>
          <w:p w14:paraId="261FD2D7" w14:textId="02913EEB"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5,202,383</w:t>
            </w:r>
          </w:p>
        </w:tc>
      </w:tr>
      <w:tr w:rsidR="009B5160" w:rsidRPr="002912DA" w14:paraId="4110832C"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43B22064" w14:textId="77777777" w:rsidR="00B61116" w:rsidRPr="002912DA" w:rsidRDefault="00B61116" w:rsidP="00D85F07">
            <w:pPr>
              <w:pStyle w:val="Tabletextcentre"/>
            </w:pPr>
            <w:r w:rsidRPr="002912DA">
              <w:lastRenderedPageBreak/>
              <w:t>Non-binary</w:t>
            </w:r>
          </w:p>
        </w:tc>
        <w:tc>
          <w:tcPr>
            <w:tcW w:w="613" w:type="dxa"/>
            <w:hideMark/>
          </w:tcPr>
          <w:p w14:paraId="23917964"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709" w:type="dxa"/>
            <w:hideMark/>
          </w:tcPr>
          <w:p w14:paraId="1EEABBBC"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50" w:type="dxa"/>
            <w:hideMark/>
          </w:tcPr>
          <w:p w14:paraId="2E30DCEF"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92" w:type="dxa"/>
            <w:hideMark/>
          </w:tcPr>
          <w:p w14:paraId="23989B29" w14:textId="5C6B1B79"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9" w:type="dxa"/>
            <w:hideMark/>
          </w:tcPr>
          <w:p w14:paraId="308541AC"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51" w:type="dxa"/>
            <w:hideMark/>
          </w:tcPr>
          <w:p w14:paraId="03352BCB"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29DDC917" w14:textId="175B0012"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3C782FA1"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51" w:type="dxa"/>
            <w:hideMark/>
          </w:tcPr>
          <w:p w14:paraId="69C80DC6"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46" w:type="dxa"/>
            <w:hideMark/>
          </w:tcPr>
          <w:p w14:paraId="3AC5606A" w14:textId="4ECCDE5F"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9B5160" w:rsidRPr="002912DA" w14:paraId="13559E31"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hideMark/>
          </w:tcPr>
          <w:p w14:paraId="3184FF75" w14:textId="77777777" w:rsidR="00B61116" w:rsidRPr="002912DA" w:rsidRDefault="00B61116" w:rsidP="00D85F07">
            <w:pPr>
              <w:pStyle w:val="Tabletextcentre"/>
            </w:pPr>
          </w:p>
        </w:tc>
        <w:tc>
          <w:tcPr>
            <w:tcW w:w="613" w:type="dxa"/>
            <w:hideMark/>
          </w:tcPr>
          <w:p w14:paraId="5649087D"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709" w:type="dxa"/>
            <w:hideMark/>
          </w:tcPr>
          <w:p w14:paraId="4AD78D35"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0" w:type="dxa"/>
            <w:hideMark/>
          </w:tcPr>
          <w:p w14:paraId="4A511660"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92" w:type="dxa"/>
            <w:hideMark/>
          </w:tcPr>
          <w:p w14:paraId="23D43ED6" w14:textId="54C3425F"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9" w:type="dxa"/>
            <w:hideMark/>
          </w:tcPr>
          <w:p w14:paraId="207B690B"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1" w:type="dxa"/>
            <w:hideMark/>
          </w:tcPr>
          <w:p w14:paraId="3979818B"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134" w:type="dxa"/>
            <w:hideMark/>
          </w:tcPr>
          <w:p w14:paraId="056B9455" w14:textId="702B4516"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0B262466"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1" w:type="dxa"/>
            <w:hideMark/>
          </w:tcPr>
          <w:p w14:paraId="514F1447"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46" w:type="dxa"/>
            <w:hideMark/>
          </w:tcPr>
          <w:p w14:paraId="61C9BC9C" w14:textId="3BB0275A"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r w:rsidR="009B5160" w:rsidRPr="002912DA" w14:paraId="4C6FA868"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56A27865" w14:textId="77777777" w:rsidR="00B61116" w:rsidRPr="002912DA" w:rsidRDefault="00B61116" w:rsidP="00D85F07">
            <w:pPr>
              <w:pStyle w:val="Tabletextcentre"/>
            </w:pPr>
            <w:r w:rsidRPr="002912DA">
              <w:t>Not reported</w:t>
            </w:r>
          </w:p>
        </w:tc>
        <w:tc>
          <w:tcPr>
            <w:tcW w:w="613" w:type="dxa"/>
            <w:hideMark/>
          </w:tcPr>
          <w:p w14:paraId="31F1962E"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709" w:type="dxa"/>
            <w:hideMark/>
          </w:tcPr>
          <w:p w14:paraId="1C1B343C"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50" w:type="dxa"/>
            <w:hideMark/>
          </w:tcPr>
          <w:p w14:paraId="5AAFAD40"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92" w:type="dxa"/>
            <w:hideMark/>
          </w:tcPr>
          <w:p w14:paraId="209646B8" w14:textId="729BBD0F"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9" w:type="dxa"/>
            <w:hideMark/>
          </w:tcPr>
          <w:p w14:paraId="4023CBD9"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851" w:type="dxa"/>
            <w:hideMark/>
          </w:tcPr>
          <w:p w14:paraId="385016DA"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73898CEC" w14:textId="52FE8558"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08" w:type="dxa"/>
            <w:hideMark/>
          </w:tcPr>
          <w:p w14:paraId="7EF030DE"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51" w:type="dxa"/>
            <w:hideMark/>
          </w:tcPr>
          <w:p w14:paraId="5F8FADA8" w14:textId="77777777"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46" w:type="dxa"/>
            <w:hideMark/>
          </w:tcPr>
          <w:p w14:paraId="2605ED5C" w14:textId="0964A688" w:rsidR="00B61116" w:rsidRPr="002912DA" w:rsidRDefault="00B61116"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9B5160" w:rsidRPr="002912DA" w14:paraId="725AD5A7"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Merge/>
            <w:hideMark/>
          </w:tcPr>
          <w:p w14:paraId="729C6A48" w14:textId="77777777" w:rsidR="00B61116" w:rsidRPr="002912DA" w:rsidRDefault="00B61116" w:rsidP="00D85F07">
            <w:pPr>
              <w:pStyle w:val="Tabletextcentre"/>
            </w:pPr>
          </w:p>
        </w:tc>
        <w:tc>
          <w:tcPr>
            <w:tcW w:w="613" w:type="dxa"/>
            <w:hideMark/>
          </w:tcPr>
          <w:p w14:paraId="75A63773"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709" w:type="dxa"/>
            <w:hideMark/>
          </w:tcPr>
          <w:p w14:paraId="04AA3B2E"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850" w:type="dxa"/>
            <w:hideMark/>
          </w:tcPr>
          <w:p w14:paraId="11AD05B1"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92" w:type="dxa"/>
            <w:hideMark/>
          </w:tcPr>
          <w:p w14:paraId="35C010B2" w14:textId="43C90F2A"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9" w:type="dxa"/>
            <w:hideMark/>
          </w:tcPr>
          <w:p w14:paraId="244D5BC0"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1" w:type="dxa"/>
            <w:hideMark/>
          </w:tcPr>
          <w:p w14:paraId="46C59B7B"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1134" w:type="dxa"/>
            <w:hideMark/>
          </w:tcPr>
          <w:p w14:paraId="25EAA982" w14:textId="7422A316"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708" w:type="dxa"/>
            <w:hideMark/>
          </w:tcPr>
          <w:p w14:paraId="3675A250"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1" w:type="dxa"/>
            <w:hideMark/>
          </w:tcPr>
          <w:p w14:paraId="59E0B8D8" w14:textId="77777777"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46" w:type="dxa"/>
            <w:hideMark/>
          </w:tcPr>
          <w:p w14:paraId="1D2011E2" w14:textId="12A06D43" w:rsidR="00B61116" w:rsidRPr="002912DA" w:rsidRDefault="00B61116"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r>
    </w:tbl>
    <w:p w14:paraId="5E7F09F8" w14:textId="6CA47984" w:rsidR="00A76897" w:rsidRPr="001B7D28" w:rsidRDefault="00811A18" w:rsidP="001B7D28">
      <w:pPr>
        <w:pStyle w:val="FootnoteText"/>
        <w:rPr>
          <w:rFonts w:eastAsia="Cambria"/>
        </w:rPr>
      </w:pPr>
      <w:r w:rsidRPr="001B7D28">
        <w:t>$ rounded to whole dollars</w:t>
      </w:r>
    </w:p>
    <w:p w14:paraId="77CAB3C7" w14:textId="09E7D317" w:rsidR="00D103B1" w:rsidRPr="00E6756B" w:rsidRDefault="00F86E90" w:rsidP="002912DA">
      <w:pPr>
        <w:pStyle w:val="Heading2"/>
      </w:pPr>
      <w:bookmarkStart w:id="17" w:name="_Toc168043242"/>
      <w:bookmarkEnd w:id="16"/>
      <w:r w:rsidRPr="00E6756B">
        <w:t>Years post-PhD of CIA</w:t>
      </w:r>
      <w:r w:rsidR="00E45F45" w:rsidRPr="000640DD">
        <w:rPr>
          <w:rStyle w:val="FootnoteReference"/>
        </w:rPr>
        <w:footnoteReference w:id="10"/>
      </w:r>
      <w:bookmarkEnd w:id="17"/>
    </w:p>
    <w:p w14:paraId="0657577B" w14:textId="52F2533B" w:rsidR="00D32350" w:rsidRPr="00B309D7" w:rsidRDefault="00517163" w:rsidP="00B309D7">
      <w:r w:rsidRPr="00A15524">
        <w:t>The largest proportion</w:t>
      </w:r>
      <w:r w:rsidR="002F7FD4" w:rsidRPr="00A15524">
        <w:t xml:space="preserve"> (</w:t>
      </w:r>
      <w:r w:rsidR="0085112B" w:rsidRPr="00A15524">
        <w:t>73</w:t>
      </w:r>
      <w:r w:rsidR="002F7FD4" w:rsidRPr="00A15524">
        <w:t>%)</w:t>
      </w:r>
      <w:r w:rsidRPr="00A15524">
        <w:t xml:space="preserve"> of the available </w:t>
      </w:r>
      <w:r w:rsidR="002F7FD4" w:rsidRPr="00A15524">
        <w:t>funding was</w:t>
      </w:r>
      <w:r w:rsidRPr="00A15524">
        <w:t xml:space="preserve"> awarded to individuals who were between </w:t>
      </w:r>
      <w:r w:rsidR="003C045B" w:rsidRPr="00A15524">
        <w:t>5</w:t>
      </w:r>
      <w:r w:rsidRPr="00A15524" w:rsidDel="00E67836">
        <w:t xml:space="preserve"> </w:t>
      </w:r>
      <w:r w:rsidRPr="00A15524">
        <w:t xml:space="preserve">and </w:t>
      </w:r>
      <w:r w:rsidR="003C045B" w:rsidRPr="00A15524">
        <w:t>10</w:t>
      </w:r>
      <w:r w:rsidR="00F81E10" w:rsidRPr="00A15524">
        <w:t xml:space="preserve"> </w:t>
      </w:r>
      <w:r w:rsidRPr="00A15524">
        <w:t xml:space="preserve">years </w:t>
      </w:r>
      <w:r w:rsidR="00982D83" w:rsidRPr="00A15524">
        <w:t>post-PhD completion</w:t>
      </w:r>
      <w:r w:rsidR="003E462A" w:rsidRPr="00A15524">
        <w:t>, excluding career disruptions</w:t>
      </w:r>
      <w:r w:rsidR="00982D83" w:rsidRPr="00A15524">
        <w:t xml:space="preserve">. </w:t>
      </w:r>
      <w:r w:rsidR="00C239B4" w:rsidRPr="00A15524">
        <w:t>The largest number</w:t>
      </w:r>
      <w:r w:rsidR="00DE06B3" w:rsidRPr="00A15524">
        <w:t>s</w:t>
      </w:r>
      <w:r w:rsidR="00C239B4" w:rsidRPr="00A15524">
        <w:t xml:space="preserve"> of grants w</w:t>
      </w:r>
      <w:r w:rsidR="00DE06B3" w:rsidRPr="00A15524">
        <w:t>ere</w:t>
      </w:r>
      <w:r w:rsidR="00C239B4" w:rsidRPr="00A15524">
        <w:t xml:space="preserve"> awarded to individuals</w:t>
      </w:r>
      <w:r w:rsidR="00050F2C" w:rsidRPr="00A15524">
        <w:t xml:space="preserve"> (CIAs)</w:t>
      </w:r>
      <w:r w:rsidR="00C239B4" w:rsidRPr="00A15524">
        <w:t xml:space="preserve"> who had completed their PhD less than 5 years </w:t>
      </w:r>
      <w:r w:rsidR="003E462A" w:rsidRPr="00A15524">
        <w:t xml:space="preserve">prior to the application closing date </w:t>
      </w:r>
      <w:r w:rsidR="00771600" w:rsidRPr="00A15524">
        <w:t xml:space="preserve">(Table </w:t>
      </w:r>
      <w:r w:rsidR="005D2696" w:rsidRPr="00A15524">
        <w:t>11</w:t>
      </w:r>
      <w:r w:rsidR="00771600" w:rsidRPr="00A15524">
        <w:t>)</w:t>
      </w:r>
      <w:r w:rsidR="00F93FB4" w:rsidRPr="00A15524">
        <w:t xml:space="preserve"> while the highest propo</w:t>
      </w:r>
      <w:r w:rsidR="007E4228" w:rsidRPr="00A15524">
        <w:t>rtion of funding awarded (56.3</w:t>
      </w:r>
      <w:r w:rsidR="00DE06B3" w:rsidRPr="00A15524">
        <w:t>%</w:t>
      </w:r>
      <w:r w:rsidR="007E4228" w:rsidRPr="00A15524">
        <w:t xml:space="preserve">) was to MCRs (Figure </w:t>
      </w:r>
      <w:r w:rsidR="0008420D" w:rsidRPr="00A15524">
        <w:t>4</w:t>
      </w:r>
      <w:r w:rsidR="00EA6D49" w:rsidRPr="00A15524">
        <w:t>D</w:t>
      </w:r>
      <w:r w:rsidR="007E4228" w:rsidRPr="00A15524">
        <w:t xml:space="preserve">) which is consistent </w:t>
      </w:r>
      <w:r w:rsidR="00FC46C8" w:rsidRPr="00A15524">
        <w:t xml:space="preserve">with </w:t>
      </w:r>
      <w:r w:rsidR="0077027C" w:rsidRPr="00A15524">
        <w:t>Stream 2 having th</w:t>
      </w:r>
      <w:r w:rsidR="00D609D5" w:rsidRPr="00A15524">
        <w:t>e</w:t>
      </w:r>
      <w:r w:rsidR="0077027C" w:rsidRPr="00A15524">
        <w:t xml:space="preserve"> highest funding available ($</w:t>
      </w:r>
      <w:r w:rsidR="00CC73A9" w:rsidRPr="00A15524">
        <w:t>25.8 million)</w:t>
      </w:r>
      <w:r w:rsidR="00C239B4" w:rsidRPr="00A15524">
        <w:t>.</w:t>
      </w:r>
    </w:p>
    <w:p w14:paraId="2E05D4E9" w14:textId="6EE143C8" w:rsidR="00FC5B7E" w:rsidRPr="00B309D7" w:rsidRDefault="00F86E90" w:rsidP="00B309D7">
      <w:r w:rsidRPr="00B309D7">
        <w:t xml:space="preserve">The years post-PhD </w:t>
      </w:r>
      <w:r w:rsidR="00154585" w:rsidRPr="00B309D7">
        <w:t>(</w:t>
      </w:r>
      <w:r w:rsidR="00B947AE" w:rsidRPr="00B309D7">
        <w:t>T</w:t>
      </w:r>
      <w:r w:rsidRPr="00B309D7">
        <w:t>able</w:t>
      </w:r>
      <w:r w:rsidR="00B947AE" w:rsidRPr="00B309D7">
        <w:t>s</w:t>
      </w:r>
      <w:r w:rsidRPr="00B309D7">
        <w:t xml:space="preserve"> </w:t>
      </w:r>
      <w:r w:rsidR="00943FEA" w:rsidRPr="00B309D7">
        <w:t>1</w:t>
      </w:r>
      <w:r w:rsidR="003D7FEE" w:rsidRPr="00B309D7">
        <w:t>1</w:t>
      </w:r>
      <w:r w:rsidR="00216275" w:rsidRPr="00B309D7">
        <w:t xml:space="preserve"> and 1</w:t>
      </w:r>
      <w:r w:rsidR="003D7FEE" w:rsidRPr="00B309D7">
        <w:t>2</w:t>
      </w:r>
      <w:r w:rsidR="00154585" w:rsidRPr="00B309D7">
        <w:t>)</w:t>
      </w:r>
      <w:r w:rsidR="00DF4CCF" w:rsidRPr="00B309D7">
        <w:t xml:space="preserve"> </w:t>
      </w:r>
      <w:r w:rsidRPr="00B309D7">
        <w:t xml:space="preserve">have not been adjusted for </w:t>
      </w:r>
      <w:r w:rsidR="00F95627" w:rsidRPr="00B309D7">
        <w:t>career disruption</w:t>
      </w:r>
      <w:r w:rsidR="009B7846" w:rsidRPr="00B309D7">
        <w:t>,</w:t>
      </w:r>
      <w:r w:rsidR="00E316A9" w:rsidRPr="00B309D7">
        <w:t xml:space="preserve"> so some of the individuals in the </w:t>
      </w:r>
      <w:r w:rsidR="00A36EB8" w:rsidRPr="00B309D7">
        <w:t>‘</w:t>
      </w:r>
      <w:r w:rsidR="00516E9F" w:rsidRPr="00B309D7">
        <w:t>5</w:t>
      </w:r>
      <w:r w:rsidR="00B87837" w:rsidRPr="00B309D7">
        <w:t xml:space="preserve"> to &lt;</w:t>
      </w:r>
      <w:r w:rsidR="00E316A9" w:rsidRPr="00B309D7">
        <w:t>10</w:t>
      </w:r>
      <w:r w:rsidR="00A36EB8" w:rsidRPr="00B309D7">
        <w:t>’</w:t>
      </w:r>
      <w:r w:rsidR="00237521" w:rsidRPr="00B309D7">
        <w:t xml:space="preserve">, </w:t>
      </w:r>
      <w:r w:rsidR="00762F95" w:rsidRPr="00B309D7">
        <w:t xml:space="preserve">or </w:t>
      </w:r>
      <w:r w:rsidR="00A36EB8" w:rsidRPr="00B309D7">
        <w:t>‘</w:t>
      </w:r>
      <w:r w:rsidR="00762F95" w:rsidRPr="00B309D7">
        <w:t xml:space="preserve">10 </w:t>
      </w:r>
      <w:r w:rsidR="00A36EB8" w:rsidRPr="00B309D7">
        <w:t xml:space="preserve">and over’ </w:t>
      </w:r>
      <w:r w:rsidR="00F81E10" w:rsidRPr="00B309D7">
        <w:t xml:space="preserve">years </w:t>
      </w:r>
      <w:r w:rsidR="00C239B4" w:rsidRPr="00B309D7">
        <w:t>categor</w:t>
      </w:r>
      <w:r w:rsidR="008C4F98" w:rsidRPr="00B309D7">
        <w:t>ies</w:t>
      </w:r>
      <w:r w:rsidR="00C239B4" w:rsidRPr="00B309D7">
        <w:t xml:space="preserve"> </w:t>
      </w:r>
      <w:r w:rsidR="00E316A9" w:rsidRPr="00B309D7">
        <w:t>will have had career disruptions that qualify them as ECRs</w:t>
      </w:r>
      <w:r w:rsidR="00982D83" w:rsidRPr="00B309D7">
        <w:t>.</w:t>
      </w:r>
      <w:r w:rsidR="00E316A9" w:rsidRPr="00B309D7">
        <w:t xml:space="preserve"> </w:t>
      </w:r>
      <w:r w:rsidR="00982D83" w:rsidRPr="00B309D7">
        <w:t>A</w:t>
      </w:r>
      <w:r w:rsidR="007B169A" w:rsidRPr="00B309D7">
        <w:t>ll the</w:t>
      </w:r>
      <w:r w:rsidR="00E316A9" w:rsidRPr="00B309D7">
        <w:t xml:space="preserve"> individuals in the </w:t>
      </w:r>
      <w:r w:rsidR="00A36EB8" w:rsidRPr="00B309D7">
        <w:t xml:space="preserve">’10 and </w:t>
      </w:r>
      <w:r w:rsidR="00E316A9" w:rsidRPr="00B309D7">
        <w:t>over</w:t>
      </w:r>
      <w:r w:rsidR="00A36EB8" w:rsidRPr="00B309D7">
        <w:t xml:space="preserve">’ </w:t>
      </w:r>
      <w:r w:rsidR="00E316A9" w:rsidRPr="00B309D7">
        <w:t>years category have had career disruptions that qualify them as MCRs</w:t>
      </w:r>
      <w:r w:rsidR="00517163" w:rsidRPr="00B309D7">
        <w:t>.</w:t>
      </w:r>
    </w:p>
    <w:p w14:paraId="01738587" w14:textId="0D69A259" w:rsidR="00E316A9" w:rsidRPr="00223BB4" w:rsidRDefault="00955E6E" w:rsidP="00955E6E">
      <w:pPr>
        <w:pStyle w:val="Caption"/>
      </w:pPr>
      <w:r>
        <w:t xml:space="preserve">Table </w:t>
      </w:r>
      <w:r>
        <w:fldChar w:fldCharType="begin"/>
      </w:r>
      <w:r>
        <w:instrText xml:space="preserve"> SEQ Table \* ARABIC </w:instrText>
      </w:r>
      <w:r>
        <w:fldChar w:fldCharType="separate"/>
      </w:r>
      <w:r w:rsidR="00D85F07">
        <w:rPr>
          <w:noProof/>
        </w:rPr>
        <w:t>11</w:t>
      </w:r>
      <w:r>
        <w:fldChar w:fldCharType="end"/>
      </w:r>
      <w:r w:rsidR="00E316A9" w:rsidRPr="00B309D7">
        <w:t xml:space="preserve"> – </w:t>
      </w:r>
      <w:r w:rsidR="00770F3A" w:rsidRPr="00B309D7">
        <w:t>Y</w:t>
      </w:r>
      <w:r w:rsidR="00E316A9" w:rsidRPr="00B309D7">
        <w:t>ears post PhD of CIA</w:t>
      </w:r>
      <w:r w:rsidR="00770F3A" w:rsidRPr="00B309D7">
        <w:t xml:space="preserve"> (without career disruption)</w:t>
      </w:r>
      <w:r w:rsidR="00236887" w:rsidRPr="00CD59E2">
        <w:rPr>
          <w:rStyle w:val="FootnoteReference"/>
        </w:rPr>
        <w:footnoteReference w:id="11"/>
      </w:r>
    </w:p>
    <w:tbl>
      <w:tblPr>
        <w:tblStyle w:val="DepartmentofHealthtable"/>
        <w:tblW w:w="9072" w:type="dxa"/>
        <w:tblLayout w:type="fixed"/>
        <w:tblLook w:val="04A0" w:firstRow="1" w:lastRow="0" w:firstColumn="1" w:lastColumn="0" w:noHBand="0" w:noVBand="1"/>
      </w:tblPr>
      <w:tblGrid>
        <w:gridCol w:w="1134"/>
        <w:gridCol w:w="1134"/>
        <w:gridCol w:w="1134"/>
        <w:gridCol w:w="1134"/>
        <w:gridCol w:w="1134"/>
        <w:gridCol w:w="1134"/>
        <w:gridCol w:w="1134"/>
        <w:gridCol w:w="1134"/>
      </w:tblGrid>
      <w:tr w:rsidR="005C0027" w:rsidRPr="002912DA" w14:paraId="6C55BCAE" w14:textId="77777777" w:rsidTr="002912DA">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134" w:type="dxa"/>
            <w:hideMark/>
          </w:tcPr>
          <w:p w14:paraId="066D9D36" w14:textId="77777777" w:rsidR="00D03E60" w:rsidRPr="002912DA" w:rsidRDefault="00D03E60" w:rsidP="00D85F07">
            <w:pPr>
              <w:pStyle w:val="StyleTableHeaderWhite"/>
            </w:pPr>
            <w:r w:rsidRPr="002912DA">
              <w:t>Years Post PhD</w:t>
            </w:r>
          </w:p>
        </w:tc>
        <w:tc>
          <w:tcPr>
            <w:tcW w:w="1134" w:type="dxa"/>
            <w:hideMark/>
          </w:tcPr>
          <w:p w14:paraId="3634D4D8" w14:textId="6A865185" w:rsidR="00B927F8"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Applications</w:t>
            </w:r>
            <w:r w:rsidR="002912DA">
              <w:t xml:space="preserve"> </w:t>
            </w:r>
            <w:r w:rsidR="00B927F8" w:rsidRPr="002912DA">
              <w:t>(n)</w:t>
            </w:r>
          </w:p>
        </w:tc>
        <w:tc>
          <w:tcPr>
            <w:tcW w:w="1134" w:type="dxa"/>
            <w:hideMark/>
          </w:tcPr>
          <w:p w14:paraId="585080C0" w14:textId="77777777" w:rsidR="00B927F8"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Grants </w:t>
            </w:r>
            <w:r w:rsidR="00263513" w:rsidRPr="002912DA">
              <w:t xml:space="preserve"> awarded</w:t>
            </w:r>
          </w:p>
          <w:p w14:paraId="23D62D19" w14:textId="236824B9" w:rsidR="00B927F8" w:rsidRPr="002912DA" w:rsidRDefault="00B927F8"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(n)</w:t>
            </w:r>
          </w:p>
        </w:tc>
        <w:tc>
          <w:tcPr>
            <w:tcW w:w="1134" w:type="dxa"/>
            <w:hideMark/>
          </w:tcPr>
          <w:p w14:paraId="6A8CEE9F" w14:textId="2F1EA681" w:rsidR="00D03E60"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Funded </w:t>
            </w:r>
            <w:r w:rsidR="0003769C" w:rsidRPr="002912DA">
              <w:t>r</w:t>
            </w:r>
            <w:r w:rsidRPr="002912DA">
              <w:t>ate (%)</w:t>
            </w:r>
          </w:p>
        </w:tc>
        <w:tc>
          <w:tcPr>
            <w:tcW w:w="1134" w:type="dxa"/>
            <w:hideMark/>
          </w:tcPr>
          <w:p w14:paraId="3BAB4219" w14:textId="33C41429" w:rsidR="00D03E60"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Total </w:t>
            </w:r>
            <w:r w:rsidR="0003769C" w:rsidRPr="002912DA">
              <w:t>v</w:t>
            </w:r>
            <w:r w:rsidRPr="002912DA">
              <w:t>alue ($)</w:t>
            </w:r>
          </w:p>
        </w:tc>
        <w:tc>
          <w:tcPr>
            <w:tcW w:w="1134" w:type="dxa"/>
            <w:hideMark/>
          </w:tcPr>
          <w:p w14:paraId="341387FC" w14:textId="77777777" w:rsidR="00D03E60"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Proportion of grants awarded (%)</w:t>
            </w:r>
          </w:p>
        </w:tc>
        <w:tc>
          <w:tcPr>
            <w:tcW w:w="1134" w:type="dxa"/>
            <w:hideMark/>
          </w:tcPr>
          <w:p w14:paraId="6C548C49" w14:textId="77777777" w:rsidR="00D03E60"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Proportion of $ awarded (%)</w:t>
            </w:r>
          </w:p>
        </w:tc>
        <w:tc>
          <w:tcPr>
            <w:tcW w:w="1134" w:type="dxa"/>
            <w:hideMark/>
          </w:tcPr>
          <w:p w14:paraId="0296C023" w14:textId="77777777" w:rsidR="00D03E60" w:rsidRPr="002912DA" w:rsidRDefault="00D03E6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Mean value awarded ($)</w:t>
            </w:r>
          </w:p>
        </w:tc>
      </w:tr>
      <w:tr w:rsidR="00F8352A" w:rsidRPr="002912DA" w14:paraId="16AE4D7A"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3034415F" w14:textId="77777777" w:rsidR="00D03E60" w:rsidRPr="002912DA" w:rsidRDefault="00D03E60" w:rsidP="00D85F07">
            <w:pPr>
              <w:pStyle w:val="Tabletextcentre"/>
            </w:pPr>
            <w:r w:rsidRPr="002912DA">
              <w:t>Less than 5</w:t>
            </w:r>
          </w:p>
        </w:tc>
        <w:tc>
          <w:tcPr>
            <w:tcW w:w="1134" w:type="dxa"/>
            <w:hideMark/>
          </w:tcPr>
          <w:p w14:paraId="5FBCA21E"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72</w:t>
            </w:r>
          </w:p>
        </w:tc>
        <w:tc>
          <w:tcPr>
            <w:tcW w:w="1134" w:type="dxa"/>
            <w:hideMark/>
          </w:tcPr>
          <w:p w14:paraId="62A4331C"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w:t>
            </w:r>
          </w:p>
        </w:tc>
        <w:tc>
          <w:tcPr>
            <w:tcW w:w="1134" w:type="dxa"/>
            <w:hideMark/>
          </w:tcPr>
          <w:p w14:paraId="5049ADAF"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13.9</w:t>
            </w:r>
          </w:p>
        </w:tc>
        <w:tc>
          <w:tcPr>
            <w:tcW w:w="1134" w:type="dxa"/>
            <w:hideMark/>
          </w:tcPr>
          <w:p w14:paraId="3598FDB9"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7,234,814</w:t>
            </w:r>
          </w:p>
        </w:tc>
        <w:tc>
          <w:tcPr>
            <w:tcW w:w="1134" w:type="dxa"/>
            <w:hideMark/>
          </w:tcPr>
          <w:p w14:paraId="494A724E"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40.0</w:t>
            </w:r>
          </w:p>
        </w:tc>
        <w:tc>
          <w:tcPr>
            <w:tcW w:w="1134" w:type="dxa"/>
            <w:hideMark/>
          </w:tcPr>
          <w:p w14:paraId="480FFAD8"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17.1</w:t>
            </w:r>
          </w:p>
        </w:tc>
        <w:tc>
          <w:tcPr>
            <w:tcW w:w="1134" w:type="dxa"/>
            <w:hideMark/>
          </w:tcPr>
          <w:p w14:paraId="28170883"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723,481</w:t>
            </w:r>
          </w:p>
        </w:tc>
      </w:tr>
      <w:tr w:rsidR="00F8352A" w:rsidRPr="002912DA" w14:paraId="0AD97060"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37DF0A87" w14:textId="0DCA3B1F" w:rsidR="00D03E60" w:rsidRPr="002912DA" w:rsidRDefault="00B87837" w:rsidP="00D85F07">
            <w:pPr>
              <w:pStyle w:val="Tabletextcentre"/>
            </w:pPr>
            <w:r w:rsidRPr="002912DA">
              <w:t>5 to &lt;10</w:t>
            </w:r>
          </w:p>
        </w:tc>
        <w:tc>
          <w:tcPr>
            <w:tcW w:w="1134" w:type="dxa"/>
            <w:hideMark/>
          </w:tcPr>
          <w:p w14:paraId="02A3A248"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54</w:t>
            </w:r>
          </w:p>
        </w:tc>
        <w:tc>
          <w:tcPr>
            <w:tcW w:w="1134" w:type="dxa"/>
            <w:hideMark/>
          </w:tcPr>
          <w:p w14:paraId="5A955156"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11</w:t>
            </w:r>
          </w:p>
        </w:tc>
        <w:tc>
          <w:tcPr>
            <w:tcW w:w="1134" w:type="dxa"/>
            <w:hideMark/>
          </w:tcPr>
          <w:p w14:paraId="2D5E3E64"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20.4</w:t>
            </w:r>
          </w:p>
        </w:tc>
        <w:tc>
          <w:tcPr>
            <w:tcW w:w="1134" w:type="dxa"/>
            <w:hideMark/>
          </w:tcPr>
          <w:p w14:paraId="138C4D42"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23,854,533</w:t>
            </w:r>
          </w:p>
        </w:tc>
        <w:tc>
          <w:tcPr>
            <w:tcW w:w="1134" w:type="dxa"/>
            <w:hideMark/>
          </w:tcPr>
          <w:p w14:paraId="087CA908"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44.0</w:t>
            </w:r>
          </w:p>
        </w:tc>
        <w:tc>
          <w:tcPr>
            <w:tcW w:w="1134" w:type="dxa"/>
            <w:hideMark/>
          </w:tcPr>
          <w:p w14:paraId="316D5965"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56.3</w:t>
            </w:r>
          </w:p>
        </w:tc>
        <w:tc>
          <w:tcPr>
            <w:tcW w:w="1134" w:type="dxa"/>
            <w:hideMark/>
          </w:tcPr>
          <w:p w14:paraId="4B0B4817" w14:textId="77777777" w:rsidR="00D03E60" w:rsidRPr="002912DA" w:rsidRDefault="00D03E6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2,168,594</w:t>
            </w:r>
          </w:p>
        </w:tc>
      </w:tr>
      <w:tr w:rsidR="00F8352A" w:rsidRPr="002912DA" w14:paraId="3B72551F"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52B8DA6E" w14:textId="53DB2C9C" w:rsidR="00D03E60" w:rsidRPr="002912DA" w:rsidRDefault="00D03E60" w:rsidP="00D85F07">
            <w:pPr>
              <w:pStyle w:val="Tabletextcentre"/>
            </w:pPr>
            <w:r w:rsidRPr="002912DA">
              <w:t>10</w:t>
            </w:r>
            <w:r w:rsidR="00AC0093" w:rsidRPr="002912DA">
              <w:t xml:space="preserve"> and over</w:t>
            </w:r>
          </w:p>
        </w:tc>
        <w:tc>
          <w:tcPr>
            <w:tcW w:w="1134" w:type="dxa"/>
            <w:hideMark/>
          </w:tcPr>
          <w:p w14:paraId="18A099B6"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w:t>
            </w:r>
          </w:p>
        </w:tc>
        <w:tc>
          <w:tcPr>
            <w:tcW w:w="1134" w:type="dxa"/>
            <w:hideMark/>
          </w:tcPr>
          <w:p w14:paraId="6435963C"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1134" w:type="dxa"/>
            <w:hideMark/>
          </w:tcPr>
          <w:p w14:paraId="76D161B2"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22.2</w:t>
            </w:r>
          </w:p>
        </w:tc>
        <w:tc>
          <w:tcPr>
            <w:tcW w:w="1134" w:type="dxa"/>
            <w:hideMark/>
          </w:tcPr>
          <w:p w14:paraId="599DEB10"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11,247,218</w:t>
            </w:r>
          </w:p>
        </w:tc>
        <w:tc>
          <w:tcPr>
            <w:tcW w:w="1134" w:type="dxa"/>
            <w:hideMark/>
          </w:tcPr>
          <w:p w14:paraId="1A4FB954"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16.0</w:t>
            </w:r>
          </w:p>
        </w:tc>
        <w:tc>
          <w:tcPr>
            <w:tcW w:w="1134" w:type="dxa"/>
            <w:hideMark/>
          </w:tcPr>
          <w:p w14:paraId="7F85904C"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26.6</w:t>
            </w:r>
          </w:p>
        </w:tc>
        <w:tc>
          <w:tcPr>
            <w:tcW w:w="1134" w:type="dxa"/>
            <w:hideMark/>
          </w:tcPr>
          <w:p w14:paraId="41FDAA12" w14:textId="77777777" w:rsidR="00D03E60" w:rsidRPr="002912DA" w:rsidRDefault="00D03E6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2,811,805</w:t>
            </w:r>
          </w:p>
        </w:tc>
      </w:tr>
      <w:tr w:rsidR="00F8352A" w:rsidRPr="002912DA" w14:paraId="706559C8"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2FBBB29E" w14:textId="0EA54650" w:rsidR="00186B2F" w:rsidRPr="002912DA" w:rsidRDefault="00186B2F" w:rsidP="00D85F07">
            <w:pPr>
              <w:pStyle w:val="Tabletextcentre"/>
            </w:pPr>
            <w:r w:rsidRPr="002912DA">
              <w:t>Not reported</w:t>
            </w:r>
          </w:p>
        </w:tc>
        <w:tc>
          <w:tcPr>
            <w:tcW w:w="1134" w:type="dxa"/>
            <w:hideMark/>
          </w:tcPr>
          <w:p w14:paraId="4EC01789"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1134" w:type="dxa"/>
            <w:hideMark/>
          </w:tcPr>
          <w:p w14:paraId="3A53CF31"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3C405E45"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134" w:type="dxa"/>
            <w:hideMark/>
          </w:tcPr>
          <w:p w14:paraId="0C6D643F"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134" w:type="dxa"/>
            <w:hideMark/>
          </w:tcPr>
          <w:p w14:paraId="5BAB7CEF"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134" w:type="dxa"/>
            <w:hideMark/>
          </w:tcPr>
          <w:p w14:paraId="5CE4B191"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134" w:type="dxa"/>
            <w:hideMark/>
          </w:tcPr>
          <w:p w14:paraId="4C7CF239" w14:textId="77777777" w:rsidR="00186B2F" w:rsidRPr="002912DA" w:rsidRDefault="00186B2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r>
      <w:tr w:rsidR="00F8352A" w:rsidRPr="002912DA" w14:paraId="291E3E60"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7B324F21" w14:textId="77777777" w:rsidR="00186B2F" w:rsidRPr="002912DA" w:rsidRDefault="00186B2F" w:rsidP="00D85F07">
            <w:pPr>
              <w:pStyle w:val="Tabletextcentre"/>
            </w:pPr>
            <w:r w:rsidRPr="002912DA">
              <w:t>Total</w:t>
            </w:r>
          </w:p>
        </w:tc>
        <w:tc>
          <w:tcPr>
            <w:tcW w:w="1134" w:type="dxa"/>
            <w:hideMark/>
          </w:tcPr>
          <w:p w14:paraId="5412A065"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145</w:t>
            </w:r>
          </w:p>
        </w:tc>
        <w:tc>
          <w:tcPr>
            <w:tcW w:w="1134" w:type="dxa"/>
            <w:hideMark/>
          </w:tcPr>
          <w:p w14:paraId="69A022D2"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w:t>
            </w:r>
          </w:p>
        </w:tc>
        <w:tc>
          <w:tcPr>
            <w:tcW w:w="1134" w:type="dxa"/>
            <w:hideMark/>
          </w:tcPr>
          <w:p w14:paraId="3F64D437"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17.2</w:t>
            </w:r>
          </w:p>
        </w:tc>
        <w:tc>
          <w:tcPr>
            <w:tcW w:w="1134" w:type="dxa"/>
            <w:hideMark/>
          </w:tcPr>
          <w:p w14:paraId="1A2E1A79"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42,336,565</w:t>
            </w:r>
          </w:p>
        </w:tc>
        <w:tc>
          <w:tcPr>
            <w:tcW w:w="1134" w:type="dxa"/>
            <w:hideMark/>
          </w:tcPr>
          <w:p w14:paraId="75BA5B49"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c>
          <w:tcPr>
            <w:tcW w:w="1134" w:type="dxa"/>
            <w:hideMark/>
          </w:tcPr>
          <w:p w14:paraId="094CFCBA"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c>
          <w:tcPr>
            <w:tcW w:w="1134" w:type="dxa"/>
            <w:hideMark/>
          </w:tcPr>
          <w:p w14:paraId="69883320" w14:textId="77777777" w:rsidR="00186B2F" w:rsidRPr="002912DA" w:rsidRDefault="00186B2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1,693,463</w:t>
            </w:r>
          </w:p>
        </w:tc>
      </w:tr>
    </w:tbl>
    <w:p w14:paraId="38B6F080" w14:textId="77777777" w:rsidR="00811A18" w:rsidRPr="001B7D28" w:rsidRDefault="00811A18" w:rsidP="001B7D28">
      <w:pPr>
        <w:pStyle w:val="FootnoteText"/>
      </w:pPr>
      <w:r>
        <w:t>$ rounded to whole dollars</w:t>
      </w:r>
    </w:p>
    <w:p w14:paraId="28D633A4" w14:textId="14E703E0" w:rsidR="00DD3896" w:rsidRPr="001F432C" w:rsidRDefault="005475C5" w:rsidP="001F432C">
      <w:r w:rsidRPr="001F432C">
        <w:t>Per the Grant Opportunity Guidelines, t</w:t>
      </w:r>
      <w:r w:rsidR="00216275" w:rsidRPr="001F432C">
        <w:t xml:space="preserve">he CIA </w:t>
      </w:r>
      <w:r w:rsidR="00770514" w:rsidRPr="001F432C">
        <w:t>for Stream 3 could be an ECR or an MCR</w:t>
      </w:r>
      <w:r w:rsidR="00FA7805" w:rsidRPr="001F432C">
        <w:t xml:space="preserve">. </w:t>
      </w:r>
      <w:r w:rsidR="00F75A69" w:rsidRPr="001F432C">
        <w:t>T</w:t>
      </w:r>
      <w:r w:rsidR="00216275" w:rsidRPr="001F432C">
        <w:t>wo grants from Stream 3 are being led</w:t>
      </w:r>
      <w:r w:rsidR="001C459E" w:rsidRPr="001F432C">
        <w:t xml:space="preserve"> by</w:t>
      </w:r>
      <w:r w:rsidR="00216275" w:rsidRPr="001F432C">
        <w:t xml:space="preserve"> early-career researchers (</w:t>
      </w:r>
      <w:r w:rsidR="001C459E" w:rsidRPr="001F432C">
        <w:t>T</w:t>
      </w:r>
      <w:r w:rsidR="00216275" w:rsidRPr="001F432C">
        <w:t>able 1</w:t>
      </w:r>
      <w:r w:rsidR="00492B7C" w:rsidRPr="001F432C">
        <w:t>2</w:t>
      </w:r>
      <w:r w:rsidR="00216275" w:rsidRPr="001F432C">
        <w:t xml:space="preserve">). </w:t>
      </w:r>
    </w:p>
    <w:p w14:paraId="56DBF461" w14:textId="6545C229" w:rsidR="00164C59" w:rsidRPr="00223BB4" w:rsidRDefault="00D85F07" w:rsidP="00D85F07">
      <w:pPr>
        <w:pStyle w:val="Caption"/>
      </w:pPr>
      <w:r>
        <w:lastRenderedPageBreak/>
        <w:t xml:space="preserve">Table </w:t>
      </w:r>
      <w:r>
        <w:fldChar w:fldCharType="begin"/>
      </w:r>
      <w:r>
        <w:instrText xml:space="preserve"> SEQ Table \* ARABIC </w:instrText>
      </w:r>
      <w:r>
        <w:fldChar w:fldCharType="separate"/>
      </w:r>
      <w:r>
        <w:rPr>
          <w:noProof/>
        </w:rPr>
        <w:t>12</w:t>
      </w:r>
      <w:r>
        <w:fldChar w:fldCharType="end"/>
      </w:r>
      <w:r w:rsidR="00216275" w:rsidRPr="00B309D7">
        <w:t xml:space="preserve"> – </w:t>
      </w:r>
      <w:r w:rsidR="00770F3A" w:rsidRPr="00B309D7">
        <w:t>Y</w:t>
      </w:r>
      <w:r w:rsidR="00216275" w:rsidRPr="00B309D7">
        <w:t>ears post PhD of CIA</w:t>
      </w:r>
      <w:r w:rsidR="00770F3A" w:rsidRPr="00B309D7">
        <w:t xml:space="preserve"> (without career disruption)</w:t>
      </w:r>
      <w:r w:rsidR="00E45F45" w:rsidRPr="00CD59E2">
        <w:rPr>
          <w:rStyle w:val="FootnoteReference"/>
        </w:rPr>
        <w:footnoteReference w:id="12"/>
      </w:r>
      <w:r w:rsidR="000A2B85" w:rsidRPr="00223BB4">
        <w:t xml:space="preserve"> </w:t>
      </w:r>
      <w:r w:rsidR="00164C59" w:rsidRPr="00223BB4">
        <w:t xml:space="preserve">on applications (apps) and awarded grants by </w:t>
      </w:r>
      <w:r w:rsidR="00400D38">
        <w:t>s</w:t>
      </w:r>
      <w:r w:rsidR="00164C59" w:rsidRPr="00223BB4">
        <w:t>tream</w:t>
      </w:r>
    </w:p>
    <w:tbl>
      <w:tblPr>
        <w:tblStyle w:val="DepartmentofHealthtable"/>
        <w:tblW w:w="9188" w:type="dxa"/>
        <w:tblLook w:val="04A0" w:firstRow="1" w:lastRow="0" w:firstColumn="1" w:lastColumn="0" w:noHBand="0" w:noVBand="1"/>
      </w:tblPr>
      <w:tblGrid>
        <w:gridCol w:w="1134"/>
        <w:gridCol w:w="852"/>
        <w:gridCol w:w="883"/>
        <w:gridCol w:w="873"/>
        <w:gridCol w:w="932"/>
        <w:gridCol w:w="883"/>
        <w:gridCol w:w="943"/>
        <w:gridCol w:w="932"/>
        <w:gridCol w:w="883"/>
        <w:gridCol w:w="873"/>
      </w:tblGrid>
      <w:tr w:rsidR="002912DA" w:rsidRPr="00A15524" w14:paraId="4A85A0CF" w14:textId="77777777" w:rsidTr="00D85F0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34" w:type="dxa"/>
            <w:vMerge w:val="restart"/>
            <w:hideMark/>
          </w:tcPr>
          <w:p w14:paraId="41C22B5D" w14:textId="04AE051B" w:rsidR="00715F8F" w:rsidRPr="00A15524" w:rsidRDefault="00715F8F" w:rsidP="00D85F07">
            <w:pPr>
              <w:pStyle w:val="StyleTableHeaderWhite"/>
            </w:pPr>
            <w:r w:rsidRPr="00A15524">
              <w:t>Years Post PhD</w:t>
            </w:r>
          </w:p>
        </w:tc>
        <w:tc>
          <w:tcPr>
            <w:tcW w:w="2608" w:type="dxa"/>
            <w:gridSpan w:val="3"/>
            <w:hideMark/>
          </w:tcPr>
          <w:p w14:paraId="51066C4C" w14:textId="7B67B306" w:rsidR="00715F8F" w:rsidRPr="00A15524" w:rsidRDefault="00715F8F" w:rsidP="00D85F07">
            <w:pPr>
              <w:pStyle w:val="StyleTableHeaderWhite"/>
              <w:cnfStyle w:val="100000000000" w:firstRow="1" w:lastRow="0" w:firstColumn="0" w:lastColumn="0" w:oddVBand="0" w:evenVBand="0" w:oddHBand="0" w:evenHBand="0" w:firstRowFirstColumn="0" w:firstRowLastColumn="0" w:lastRowFirstColumn="0" w:lastRowLastColumn="0"/>
            </w:pPr>
            <w:r w:rsidRPr="00A15524">
              <w:t>Stream 1</w:t>
            </w:r>
          </w:p>
        </w:tc>
        <w:tc>
          <w:tcPr>
            <w:tcW w:w="2758" w:type="dxa"/>
            <w:gridSpan w:val="3"/>
            <w:hideMark/>
          </w:tcPr>
          <w:p w14:paraId="7E756D75" w14:textId="77777777" w:rsidR="00715F8F" w:rsidRPr="00A15524" w:rsidRDefault="00715F8F" w:rsidP="00D85F07">
            <w:pPr>
              <w:pStyle w:val="StyleTableHeaderWhite"/>
              <w:cnfStyle w:val="100000000000" w:firstRow="1" w:lastRow="0" w:firstColumn="0" w:lastColumn="0" w:oddVBand="0" w:evenVBand="0" w:oddHBand="0" w:evenHBand="0" w:firstRowFirstColumn="0" w:firstRowLastColumn="0" w:lastRowFirstColumn="0" w:lastRowLastColumn="0"/>
            </w:pPr>
            <w:r w:rsidRPr="00A15524">
              <w:t>Stream 2</w:t>
            </w:r>
          </w:p>
        </w:tc>
        <w:tc>
          <w:tcPr>
            <w:tcW w:w="2688" w:type="dxa"/>
            <w:gridSpan w:val="3"/>
            <w:hideMark/>
          </w:tcPr>
          <w:p w14:paraId="79F51723" w14:textId="77777777" w:rsidR="00715F8F" w:rsidRPr="00A15524" w:rsidRDefault="00715F8F" w:rsidP="00D85F07">
            <w:pPr>
              <w:pStyle w:val="StyleTableHeaderWhite"/>
              <w:cnfStyle w:val="100000000000" w:firstRow="1" w:lastRow="0" w:firstColumn="0" w:lastColumn="0" w:oddVBand="0" w:evenVBand="0" w:oddHBand="0" w:evenHBand="0" w:firstRowFirstColumn="0" w:firstRowLastColumn="0" w:lastRowFirstColumn="0" w:lastRowLastColumn="0"/>
            </w:pPr>
            <w:r w:rsidRPr="00A15524">
              <w:t>Stream 3</w:t>
            </w:r>
          </w:p>
        </w:tc>
      </w:tr>
      <w:tr w:rsidR="00D85F07" w:rsidRPr="000A24A8" w14:paraId="03D16584" w14:textId="77777777" w:rsidTr="00D85F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4" w:space="0" w:color="FFFFFF" w:themeColor="background1"/>
            </w:tcBorders>
            <w:hideMark/>
          </w:tcPr>
          <w:p w14:paraId="03771239" w14:textId="77777777" w:rsidR="00715F8F" w:rsidRPr="000A24A8" w:rsidRDefault="00715F8F" w:rsidP="00715F8F">
            <w:pPr>
              <w:rPr>
                <w:rFonts w:cs="Arial"/>
                <w:bCs/>
                <w:color w:val="FFFFFF"/>
                <w:sz w:val="16"/>
                <w:szCs w:val="16"/>
                <w:lang w:eastAsia="en-AU"/>
              </w:rPr>
            </w:pPr>
          </w:p>
        </w:tc>
        <w:tc>
          <w:tcPr>
            <w:tcW w:w="852"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A02D333" w14:textId="1752C1EE" w:rsidR="00B927F8"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App</w:t>
            </w:r>
            <w:r w:rsidR="0003769C" w:rsidRPr="00A15524">
              <w:t>s</w:t>
            </w:r>
            <w:r w:rsidR="00B927F8" w:rsidRPr="00A15524">
              <w:t>(n)</w:t>
            </w:r>
          </w:p>
        </w:tc>
        <w:tc>
          <w:tcPr>
            <w:tcW w:w="88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296D11BD" w14:textId="13FDF8B8" w:rsidR="00B927F8"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 xml:space="preserve">Grants </w:t>
            </w:r>
            <w:r w:rsidR="00263513" w:rsidRPr="00A15524">
              <w:t>a</w:t>
            </w:r>
            <w:r w:rsidRPr="00A15524">
              <w:t>warded</w:t>
            </w:r>
            <w:r w:rsidR="00A15524">
              <w:t xml:space="preserve"> </w:t>
            </w:r>
            <w:r w:rsidR="00B927F8" w:rsidRPr="00A15524">
              <w:t>(n)</w:t>
            </w:r>
          </w:p>
        </w:tc>
        <w:tc>
          <w:tcPr>
            <w:tcW w:w="87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584E3AB4" w14:textId="77777777" w:rsidR="00715F8F"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Mean value awarded ($)</w:t>
            </w:r>
          </w:p>
        </w:tc>
        <w:tc>
          <w:tcPr>
            <w:tcW w:w="932"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C2EEA53" w14:textId="68F2A6CA" w:rsidR="00B927F8"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App</w:t>
            </w:r>
            <w:r w:rsidR="0003769C" w:rsidRPr="00A15524">
              <w:t>s</w:t>
            </w:r>
            <w:r w:rsidR="00A15524">
              <w:t xml:space="preserve"> </w:t>
            </w:r>
            <w:r w:rsidR="00B927F8" w:rsidRPr="00A15524">
              <w:t>(n)</w:t>
            </w:r>
          </w:p>
        </w:tc>
        <w:tc>
          <w:tcPr>
            <w:tcW w:w="88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EE05150" w14:textId="4999047E" w:rsidR="00B927F8"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 xml:space="preserve">Grants </w:t>
            </w:r>
            <w:r w:rsidR="00263513" w:rsidRPr="00A15524">
              <w:t>a</w:t>
            </w:r>
            <w:r w:rsidRPr="00A15524">
              <w:t>warded</w:t>
            </w:r>
            <w:r w:rsidR="00A15524">
              <w:t xml:space="preserve"> </w:t>
            </w:r>
            <w:r w:rsidR="00B927F8" w:rsidRPr="00A15524">
              <w:t>(n)</w:t>
            </w:r>
          </w:p>
        </w:tc>
        <w:tc>
          <w:tcPr>
            <w:tcW w:w="94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E9C37C3" w14:textId="77777777" w:rsidR="00715F8F"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Mean value awarded ($)</w:t>
            </w:r>
          </w:p>
        </w:tc>
        <w:tc>
          <w:tcPr>
            <w:tcW w:w="932"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A141B8B" w14:textId="313BD7D2" w:rsidR="00B927F8"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App</w:t>
            </w:r>
            <w:r w:rsidR="00FD5C91" w:rsidRPr="00A15524">
              <w:t>s</w:t>
            </w:r>
            <w:r w:rsidR="00A15524">
              <w:t xml:space="preserve"> </w:t>
            </w:r>
            <w:r w:rsidR="00B927F8" w:rsidRPr="00A15524">
              <w:t>(n)</w:t>
            </w:r>
          </w:p>
        </w:tc>
        <w:tc>
          <w:tcPr>
            <w:tcW w:w="88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07165F5" w14:textId="4AA1B95F" w:rsidR="00B927F8"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 xml:space="preserve">Grants </w:t>
            </w:r>
            <w:r w:rsidR="00263513" w:rsidRPr="00A15524">
              <w:t>a</w:t>
            </w:r>
            <w:r w:rsidRPr="00A15524">
              <w:t>warded</w:t>
            </w:r>
            <w:r w:rsidR="00A15524">
              <w:t xml:space="preserve"> </w:t>
            </w:r>
            <w:r w:rsidR="00B927F8" w:rsidRPr="00A15524">
              <w:t>(n)</w:t>
            </w:r>
          </w:p>
        </w:tc>
        <w:tc>
          <w:tcPr>
            <w:tcW w:w="873" w:type="dxa"/>
            <w:tcBorders>
              <w:top w:val="single" w:sz="4" w:space="0" w:color="FFFFFF" w:themeColor="background1"/>
              <w:left w:val="single" w:sz="4" w:space="0" w:color="FFFFFF" w:themeColor="background1"/>
            </w:tcBorders>
            <w:shd w:val="clear" w:color="auto" w:fill="1F497D" w:themeFill="text2"/>
            <w:hideMark/>
          </w:tcPr>
          <w:p w14:paraId="59614643" w14:textId="77777777" w:rsidR="00715F8F" w:rsidRPr="00A15524" w:rsidRDefault="00715F8F" w:rsidP="001B7D28">
            <w:pPr>
              <w:pStyle w:val="TableHeaderWhite"/>
              <w:cnfStyle w:val="000000100000" w:firstRow="0" w:lastRow="0" w:firstColumn="0" w:lastColumn="0" w:oddVBand="0" w:evenVBand="0" w:oddHBand="1" w:evenHBand="0" w:firstRowFirstColumn="0" w:firstRowLastColumn="0" w:lastRowFirstColumn="0" w:lastRowLastColumn="0"/>
            </w:pPr>
            <w:r w:rsidRPr="00A15524">
              <w:t>Mean value awarded ($)</w:t>
            </w:r>
          </w:p>
        </w:tc>
      </w:tr>
      <w:tr w:rsidR="00A15524" w:rsidRPr="002912DA" w14:paraId="4E6BAE4A"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13301F05" w14:textId="77777777" w:rsidR="00715F8F" w:rsidRPr="002912DA" w:rsidRDefault="00715F8F" w:rsidP="00D85F07">
            <w:pPr>
              <w:pStyle w:val="Tabletextcentre"/>
            </w:pPr>
            <w:r w:rsidRPr="002912DA">
              <w:t>Less than 5</w:t>
            </w:r>
          </w:p>
        </w:tc>
        <w:tc>
          <w:tcPr>
            <w:tcW w:w="852" w:type="dxa"/>
            <w:hideMark/>
          </w:tcPr>
          <w:p w14:paraId="3822C0C8"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69</w:t>
            </w:r>
          </w:p>
        </w:tc>
        <w:tc>
          <w:tcPr>
            <w:tcW w:w="883" w:type="dxa"/>
            <w:hideMark/>
          </w:tcPr>
          <w:p w14:paraId="284A9AD0"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w:t>
            </w:r>
          </w:p>
        </w:tc>
        <w:tc>
          <w:tcPr>
            <w:tcW w:w="873" w:type="dxa"/>
            <w:hideMark/>
          </w:tcPr>
          <w:p w14:paraId="5121F574"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675,979</w:t>
            </w:r>
          </w:p>
        </w:tc>
        <w:tc>
          <w:tcPr>
            <w:tcW w:w="932" w:type="dxa"/>
            <w:hideMark/>
          </w:tcPr>
          <w:p w14:paraId="1ED23F74"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83" w:type="dxa"/>
            <w:hideMark/>
          </w:tcPr>
          <w:p w14:paraId="02D91697"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43" w:type="dxa"/>
            <w:hideMark/>
          </w:tcPr>
          <w:p w14:paraId="5D446357"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932" w:type="dxa"/>
            <w:hideMark/>
          </w:tcPr>
          <w:p w14:paraId="23A3DB33"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883" w:type="dxa"/>
            <w:hideMark/>
          </w:tcPr>
          <w:p w14:paraId="601CEECB"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873" w:type="dxa"/>
            <w:hideMark/>
          </w:tcPr>
          <w:p w14:paraId="5101D596"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913,493</w:t>
            </w:r>
          </w:p>
        </w:tc>
      </w:tr>
      <w:tr w:rsidR="00A15524" w:rsidRPr="002912DA" w14:paraId="71EAABE3"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140A1BB6" w14:textId="6F1598F3" w:rsidR="00715F8F" w:rsidRPr="002912DA" w:rsidRDefault="00715F8F" w:rsidP="00D85F07">
            <w:pPr>
              <w:pStyle w:val="Tabletextcentre"/>
            </w:pPr>
            <w:r w:rsidRPr="002912DA">
              <w:t>5</w:t>
            </w:r>
            <w:r w:rsidR="00B87837" w:rsidRPr="002912DA">
              <w:t xml:space="preserve"> to &lt;</w:t>
            </w:r>
            <w:r w:rsidRPr="002912DA">
              <w:t>10</w:t>
            </w:r>
          </w:p>
        </w:tc>
        <w:tc>
          <w:tcPr>
            <w:tcW w:w="852" w:type="dxa"/>
            <w:hideMark/>
          </w:tcPr>
          <w:p w14:paraId="62D5CBE3"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22</w:t>
            </w:r>
          </w:p>
        </w:tc>
        <w:tc>
          <w:tcPr>
            <w:tcW w:w="883" w:type="dxa"/>
            <w:hideMark/>
          </w:tcPr>
          <w:p w14:paraId="3EFBBB33"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873" w:type="dxa"/>
            <w:hideMark/>
          </w:tcPr>
          <w:p w14:paraId="5A497768"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692,654</w:t>
            </w:r>
          </w:p>
        </w:tc>
        <w:tc>
          <w:tcPr>
            <w:tcW w:w="932" w:type="dxa"/>
            <w:hideMark/>
          </w:tcPr>
          <w:p w14:paraId="4F76AF7D"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26</w:t>
            </w:r>
          </w:p>
        </w:tc>
        <w:tc>
          <w:tcPr>
            <w:tcW w:w="883" w:type="dxa"/>
            <w:hideMark/>
          </w:tcPr>
          <w:p w14:paraId="17373F08"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943" w:type="dxa"/>
            <w:hideMark/>
          </w:tcPr>
          <w:p w14:paraId="3D79C99B"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4,583,843</w:t>
            </w:r>
          </w:p>
        </w:tc>
        <w:tc>
          <w:tcPr>
            <w:tcW w:w="932" w:type="dxa"/>
            <w:hideMark/>
          </w:tcPr>
          <w:p w14:paraId="043825E4"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w:t>
            </w:r>
          </w:p>
        </w:tc>
        <w:tc>
          <w:tcPr>
            <w:tcW w:w="883" w:type="dxa"/>
            <w:hideMark/>
          </w:tcPr>
          <w:p w14:paraId="7912427D"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873" w:type="dxa"/>
            <w:hideMark/>
          </w:tcPr>
          <w:p w14:paraId="4C8DAB1F"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916,182</w:t>
            </w:r>
          </w:p>
        </w:tc>
      </w:tr>
      <w:tr w:rsidR="00A15524" w:rsidRPr="002912DA" w14:paraId="074A0671"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52D10552" w14:textId="2DA1B9F0" w:rsidR="00715F8F" w:rsidRPr="002912DA" w:rsidRDefault="00715F8F" w:rsidP="00D85F07">
            <w:pPr>
              <w:pStyle w:val="Tabletextcentre"/>
            </w:pPr>
            <w:r w:rsidRPr="002912DA">
              <w:t>10</w:t>
            </w:r>
            <w:r w:rsidR="00AC0093" w:rsidRPr="002912DA">
              <w:t xml:space="preserve"> and over</w:t>
            </w:r>
          </w:p>
        </w:tc>
        <w:tc>
          <w:tcPr>
            <w:tcW w:w="852" w:type="dxa"/>
            <w:hideMark/>
          </w:tcPr>
          <w:p w14:paraId="37C5FD52"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83" w:type="dxa"/>
            <w:hideMark/>
          </w:tcPr>
          <w:p w14:paraId="41940729"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73" w:type="dxa"/>
            <w:hideMark/>
          </w:tcPr>
          <w:p w14:paraId="66E37799"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759,542</w:t>
            </w:r>
          </w:p>
        </w:tc>
        <w:tc>
          <w:tcPr>
            <w:tcW w:w="932" w:type="dxa"/>
            <w:hideMark/>
          </w:tcPr>
          <w:p w14:paraId="3F702244"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15</w:t>
            </w:r>
          </w:p>
        </w:tc>
        <w:tc>
          <w:tcPr>
            <w:tcW w:w="883" w:type="dxa"/>
            <w:hideMark/>
          </w:tcPr>
          <w:p w14:paraId="4BDF63F1"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943" w:type="dxa"/>
            <w:hideMark/>
          </w:tcPr>
          <w:p w14:paraId="5409FB34"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4,943,838</w:t>
            </w:r>
          </w:p>
        </w:tc>
        <w:tc>
          <w:tcPr>
            <w:tcW w:w="932" w:type="dxa"/>
            <w:hideMark/>
          </w:tcPr>
          <w:p w14:paraId="1DF6CDE3"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883" w:type="dxa"/>
            <w:hideMark/>
          </w:tcPr>
          <w:p w14:paraId="204548B2"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73" w:type="dxa"/>
            <w:hideMark/>
          </w:tcPr>
          <w:p w14:paraId="1D02963B"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600,000</w:t>
            </w:r>
          </w:p>
        </w:tc>
      </w:tr>
      <w:tr w:rsidR="00A15524" w:rsidRPr="002912DA" w14:paraId="43215F77"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3DE5C896" w14:textId="77777777" w:rsidR="00715F8F" w:rsidRPr="002912DA" w:rsidRDefault="00715F8F" w:rsidP="00D85F07">
            <w:pPr>
              <w:pStyle w:val="Tabletextcentre"/>
            </w:pPr>
            <w:r w:rsidRPr="002912DA">
              <w:t>Not reported</w:t>
            </w:r>
          </w:p>
        </w:tc>
        <w:tc>
          <w:tcPr>
            <w:tcW w:w="852" w:type="dxa"/>
            <w:hideMark/>
          </w:tcPr>
          <w:p w14:paraId="334CEA6D"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883" w:type="dxa"/>
            <w:hideMark/>
          </w:tcPr>
          <w:p w14:paraId="28CA1976"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73" w:type="dxa"/>
            <w:hideMark/>
          </w:tcPr>
          <w:p w14:paraId="6C3F90BE"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932" w:type="dxa"/>
            <w:hideMark/>
          </w:tcPr>
          <w:p w14:paraId="5DA0B0CC"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w:t>
            </w:r>
          </w:p>
        </w:tc>
        <w:tc>
          <w:tcPr>
            <w:tcW w:w="883" w:type="dxa"/>
            <w:hideMark/>
          </w:tcPr>
          <w:p w14:paraId="78AB71F9"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w:t>
            </w:r>
          </w:p>
        </w:tc>
        <w:tc>
          <w:tcPr>
            <w:tcW w:w="943" w:type="dxa"/>
            <w:hideMark/>
          </w:tcPr>
          <w:p w14:paraId="644064ED"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w:t>
            </w:r>
          </w:p>
        </w:tc>
        <w:tc>
          <w:tcPr>
            <w:tcW w:w="932" w:type="dxa"/>
            <w:hideMark/>
          </w:tcPr>
          <w:p w14:paraId="156CC186"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w:t>
            </w:r>
          </w:p>
        </w:tc>
        <w:tc>
          <w:tcPr>
            <w:tcW w:w="883" w:type="dxa"/>
            <w:hideMark/>
          </w:tcPr>
          <w:p w14:paraId="0848FAF7"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w:t>
            </w:r>
          </w:p>
        </w:tc>
        <w:tc>
          <w:tcPr>
            <w:tcW w:w="873" w:type="dxa"/>
            <w:hideMark/>
          </w:tcPr>
          <w:p w14:paraId="72D07B91" w14:textId="77777777" w:rsidR="00715F8F" w:rsidRPr="002912DA" w:rsidRDefault="00715F8F"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w:t>
            </w:r>
          </w:p>
        </w:tc>
      </w:tr>
      <w:tr w:rsidR="00A15524" w:rsidRPr="002912DA" w14:paraId="7CF77C25"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dxa"/>
            <w:hideMark/>
          </w:tcPr>
          <w:p w14:paraId="72582062" w14:textId="77777777" w:rsidR="00715F8F" w:rsidRPr="002912DA" w:rsidRDefault="00715F8F" w:rsidP="00D85F07">
            <w:pPr>
              <w:pStyle w:val="Tabletextcentre"/>
            </w:pPr>
            <w:r w:rsidRPr="002912DA">
              <w:t>Total</w:t>
            </w:r>
          </w:p>
        </w:tc>
        <w:tc>
          <w:tcPr>
            <w:tcW w:w="852" w:type="dxa"/>
            <w:hideMark/>
          </w:tcPr>
          <w:p w14:paraId="39DF4CBC"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93</w:t>
            </w:r>
          </w:p>
        </w:tc>
        <w:tc>
          <w:tcPr>
            <w:tcW w:w="883" w:type="dxa"/>
            <w:hideMark/>
          </w:tcPr>
          <w:p w14:paraId="468F88F6"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w:t>
            </w:r>
          </w:p>
        </w:tc>
        <w:tc>
          <w:tcPr>
            <w:tcW w:w="873" w:type="dxa"/>
            <w:hideMark/>
          </w:tcPr>
          <w:p w14:paraId="0B8615D8"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687,537</w:t>
            </w:r>
          </w:p>
        </w:tc>
        <w:tc>
          <w:tcPr>
            <w:tcW w:w="932" w:type="dxa"/>
            <w:hideMark/>
          </w:tcPr>
          <w:p w14:paraId="3200B618"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41</w:t>
            </w:r>
          </w:p>
        </w:tc>
        <w:tc>
          <w:tcPr>
            <w:tcW w:w="883" w:type="dxa"/>
            <w:hideMark/>
          </w:tcPr>
          <w:p w14:paraId="60567A27"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w:t>
            </w:r>
          </w:p>
        </w:tc>
        <w:tc>
          <w:tcPr>
            <w:tcW w:w="943" w:type="dxa"/>
            <w:hideMark/>
          </w:tcPr>
          <w:p w14:paraId="70991649"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4,703,841</w:t>
            </w:r>
          </w:p>
        </w:tc>
        <w:tc>
          <w:tcPr>
            <w:tcW w:w="932" w:type="dxa"/>
            <w:hideMark/>
          </w:tcPr>
          <w:p w14:paraId="3BF8F2D8"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11</w:t>
            </w:r>
          </w:p>
        </w:tc>
        <w:tc>
          <w:tcPr>
            <w:tcW w:w="883" w:type="dxa"/>
            <w:hideMark/>
          </w:tcPr>
          <w:p w14:paraId="588919EA"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w:t>
            </w:r>
          </w:p>
        </w:tc>
        <w:tc>
          <w:tcPr>
            <w:tcW w:w="873" w:type="dxa"/>
            <w:hideMark/>
          </w:tcPr>
          <w:p w14:paraId="1EB410DC" w14:textId="77777777" w:rsidR="00715F8F" w:rsidRPr="002912DA" w:rsidRDefault="00715F8F"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862,588</w:t>
            </w:r>
          </w:p>
        </w:tc>
      </w:tr>
    </w:tbl>
    <w:p w14:paraId="7FB60240" w14:textId="668E1975" w:rsidR="00AF2FD2" w:rsidRDefault="00811A18" w:rsidP="001B7D28">
      <w:pPr>
        <w:pStyle w:val="FootnoteText"/>
      </w:pPr>
      <w:r>
        <w:t>$ rounded to whole dollars</w:t>
      </w:r>
    </w:p>
    <w:p w14:paraId="08A17C31" w14:textId="0E83DC39" w:rsidR="002F323A" w:rsidRPr="001B7D28" w:rsidRDefault="002F323A" w:rsidP="001B7D28">
      <w:pPr>
        <w:pStyle w:val="Heading2"/>
      </w:pPr>
      <w:bookmarkStart w:id="18" w:name="_Toc168043243"/>
      <w:r w:rsidRPr="00E6756B">
        <w:t>First Nations</w:t>
      </w:r>
      <w:r w:rsidR="001D2297" w:rsidRPr="00E6756B">
        <w:t xml:space="preserve"> </w:t>
      </w:r>
      <w:r w:rsidR="008643F2" w:rsidRPr="00E6756B">
        <w:t>investigators</w:t>
      </w:r>
      <w:bookmarkEnd w:id="18"/>
    </w:p>
    <w:p w14:paraId="461494FC" w14:textId="44FF650A" w:rsidR="004B2415" w:rsidRPr="00A15524" w:rsidRDefault="004B2415" w:rsidP="00A15524">
      <w:r w:rsidRPr="00A15524">
        <w:t xml:space="preserve">Three applications with First Nations CIAs were </w:t>
      </w:r>
      <w:r w:rsidR="00F91BAC" w:rsidRPr="00A15524">
        <w:t>received</w:t>
      </w:r>
      <w:r w:rsidRPr="00A15524">
        <w:t xml:space="preserve"> </w:t>
      </w:r>
      <w:r w:rsidR="00C257EE" w:rsidRPr="00A15524">
        <w:t>and</w:t>
      </w:r>
      <w:r w:rsidRPr="00A15524">
        <w:t xml:space="preserve"> two applications </w:t>
      </w:r>
      <w:r w:rsidR="00433169" w:rsidRPr="00A15524">
        <w:t xml:space="preserve">were </w:t>
      </w:r>
      <w:r w:rsidRPr="00A15524">
        <w:t xml:space="preserve">awarded funding. </w:t>
      </w:r>
      <w:r w:rsidR="00A50399" w:rsidRPr="00A15524">
        <w:t xml:space="preserve">First nations CIAs were awarded </w:t>
      </w:r>
      <w:r w:rsidR="00BC6D45" w:rsidRPr="00A15524">
        <w:t>13.</w:t>
      </w:r>
      <w:r w:rsidR="00AD0C0E" w:rsidRPr="00A15524">
        <w:t>9</w:t>
      </w:r>
      <w:r w:rsidR="00BC6D45" w:rsidRPr="00A15524">
        <w:t>% of total</w:t>
      </w:r>
      <w:r w:rsidR="009F795A" w:rsidRPr="00A15524">
        <w:t xml:space="preserve"> awarded</w:t>
      </w:r>
      <w:r w:rsidR="00BC6D45" w:rsidRPr="00A15524">
        <w:t xml:space="preserve"> funding</w:t>
      </w:r>
      <w:r w:rsidR="001D7D6D" w:rsidRPr="00A15524">
        <w:t>.</w:t>
      </w:r>
      <w:r w:rsidR="00AA155A" w:rsidRPr="00A15524">
        <w:t xml:space="preserve"> </w:t>
      </w:r>
      <w:r w:rsidR="0095754F" w:rsidRPr="00A15524">
        <w:t>A total of 19</w:t>
      </w:r>
      <w:r w:rsidR="00A36F7E" w:rsidRPr="00A15524">
        <w:t xml:space="preserve"> First Nations CIs were included </w:t>
      </w:r>
      <w:r w:rsidR="00CF1B95" w:rsidRPr="00A15524">
        <w:t>across all</w:t>
      </w:r>
      <w:r w:rsidR="0095754F" w:rsidRPr="00A15524">
        <w:t xml:space="preserve"> applications</w:t>
      </w:r>
      <w:r w:rsidR="00A36F7E" w:rsidRPr="00A15524">
        <w:t>, of which 10</w:t>
      </w:r>
      <w:r w:rsidR="004B79F3" w:rsidRPr="00A15524">
        <w:t xml:space="preserve"> </w:t>
      </w:r>
      <w:r w:rsidR="00133451" w:rsidRPr="00A15524">
        <w:t xml:space="preserve">became a CI on an awarded grant. </w:t>
      </w:r>
    </w:p>
    <w:p w14:paraId="084CFFB5" w14:textId="1DC6DE45" w:rsidR="00633D3B" w:rsidRPr="00A15524" w:rsidRDefault="00633D3B" w:rsidP="00A15524">
      <w:r w:rsidRPr="00A15524">
        <w:t xml:space="preserve">These figures </w:t>
      </w:r>
      <w:r w:rsidR="00681046" w:rsidRPr="00A15524">
        <w:t xml:space="preserve">show an </w:t>
      </w:r>
      <w:r w:rsidRPr="00A15524">
        <w:t>increase in successful</w:t>
      </w:r>
      <w:r w:rsidR="00681046" w:rsidRPr="00A15524">
        <w:t xml:space="preserve"> applications for</w:t>
      </w:r>
      <w:r w:rsidRPr="00A15524">
        <w:t xml:space="preserve"> </w:t>
      </w:r>
      <w:r w:rsidR="00BB217F" w:rsidRPr="00A15524">
        <w:t xml:space="preserve">both </w:t>
      </w:r>
      <w:r w:rsidRPr="00A15524">
        <w:t>First Nations CIAs and CI</w:t>
      </w:r>
      <w:r w:rsidR="00681046" w:rsidRPr="00A15524">
        <w:t>s</w:t>
      </w:r>
      <w:r w:rsidRPr="00A15524">
        <w:t xml:space="preserve"> from the 2021 </w:t>
      </w:r>
      <w:r w:rsidR="008521FA" w:rsidRPr="00A15524">
        <w:t>g</w:t>
      </w:r>
      <w:r w:rsidRPr="00A15524">
        <w:t>rant opportunity</w:t>
      </w:r>
      <w:r w:rsidR="000444A9" w:rsidRPr="00A15524">
        <w:t>. In 2021,</w:t>
      </w:r>
      <w:r w:rsidRPr="00A15524">
        <w:t xml:space="preserve"> 0 of 3 received applications</w:t>
      </w:r>
      <w:r w:rsidR="00027956" w:rsidRPr="00A15524">
        <w:t xml:space="preserve"> with a First Nations CIA w</w:t>
      </w:r>
      <w:r w:rsidR="000444A9" w:rsidRPr="00A15524">
        <w:t>ere</w:t>
      </w:r>
      <w:r w:rsidRPr="00A15524">
        <w:t xml:space="preserve"> awarded funding</w:t>
      </w:r>
      <w:r w:rsidR="00681046" w:rsidRPr="00A15524">
        <w:t xml:space="preserve"> and 1 of 31 </w:t>
      </w:r>
      <w:r w:rsidR="00E5487F" w:rsidRPr="00A15524">
        <w:t xml:space="preserve">First Nations </w:t>
      </w:r>
      <w:r w:rsidR="00681046" w:rsidRPr="00A15524">
        <w:t>CIs</w:t>
      </w:r>
      <w:r w:rsidR="00027956" w:rsidRPr="00A15524">
        <w:t xml:space="preserve"> </w:t>
      </w:r>
      <w:r w:rsidR="000444A9" w:rsidRPr="00A15524">
        <w:t>was on an awarded grant.</w:t>
      </w:r>
    </w:p>
    <w:p w14:paraId="13948340" w14:textId="77777777" w:rsidR="00957D28" w:rsidRPr="00A15524" w:rsidRDefault="005C273B" w:rsidP="00A15524">
      <w:bookmarkStart w:id="19" w:name="_Hlk129950944"/>
      <w:bookmarkStart w:id="20" w:name="_Hlk163732163"/>
      <w:r w:rsidRPr="00A15524">
        <w:t xml:space="preserve">Three </w:t>
      </w:r>
      <w:r w:rsidR="007E0247" w:rsidRPr="00A15524">
        <w:t xml:space="preserve">projects awarded </w:t>
      </w:r>
      <w:r w:rsidR="000070CB" w:rsidRPr="00A15524">
        <w:t>have a</w:t>
      </w:r>
      <w:r w:rsidR="007E0247" w:rsidRPr="00A15524">
        <w:t xml:space="preserve"> focus on First Nations health (see Appendix </w:t>
      </w:r>
      <w:r w:rsidR="008154A1" w:rsidRPr="00A15524">
        <w:t>A</w:t>
      </w:r>
      <w:r w:rsidR="007E0247" w:rsidRPr="00A15524">
        <w:t xml:space="preserve">). </w:t>
      </w:r>
    </w:p>
    <w:p w14:paraId="548EC5DB" w14:textId="66BCEA23" w:rsidR="00A943FA" w:rsidRPr="000640DD" w:rsidRDefault="00A943FA" w:rsidP="000640DD">
      <w:pPr>
        <w:pStyle w:val="Heading2"/>
      </w:pPr>
      <w:bookmarkStart w:id="21" w:name="_Toc168043244"/>
      <w:bookmarkEnd w:id="19"/>
      <w:bookmarkEnd w:id="20"/>
      <w:r w:rsidRPr="000640DD">
        <w:t xml:space="preserve">Size of </w:t>
      </w:r>
      <w:r w:rsidR="008643F2" w:rsidRPr="000640DD">
        <w:t xml:space="preserve">investigator </w:t>
      </w:r>
      <w:r w:rsidRPr="000640DD">
        <w:t>team</w:t>
      </w:r>
      <w:r w:rsidR="009C7C82" w:rsidRPr="000640DD">
        <w:t>s</w:t>
      </w:r>
      <w:bookmarkEnd w:id="21"/>
    </w:p>
    <w:p w14:paraId="06DCF4BB" w14:textId="344E476D" w:rsidR="0072160A" w:rsidRPr="00A15524" w:rsidRDefault="0072160A" w:rsidP="00A15524">
      <w:r w:rsidRPr="00A15524">
        <w:t xml:space="preserve">The 2023 </w:t>
      </w:r>
      <w:r w:rsidR="008521FA" w:rsidRPr="00A15524">
        <w:t>g</w:t>
      </w:r>
      <w:r w:rsidRPr="00A15524">
        <w:t>rant opportunity almost equally distributed awarded grants between teams with 1</w:t>
      </w:r>
      <w:r w:rsidR="00E87FC8" w:rsidRPr="00A15524">
        <w:noBreakHyphen/>
      </w:r>
      <w:r w:rsidRPr="00A15524">
        <w:t>5, 6</w:t>
      </w:r>
      <w:r w:rsidR="00E87FC8" w:rsidRPr="00A15524">
        <w:noBreakHyphen/>
      </w:r>
      <w:r w:rsidRPr="00A15524">
        <w:t>10 and 11</w:t>
      </w:r>
      <w:r w:rsidR="00E87FC8" w:rsidRPr="00A15524">
        <w:noBreakHyphen/>
        <w:t>1</w:t>
      </w:r>
      <w:r w:rsidRPr="00A15524">
        <w:t>5 members, representing a more even distribution compared to the 2021 grant opportunity</w:t>
      </w:r>
      <w:r w:rsidR="00E71432" w:rsidRPr="00A15524">
        <w:t xml:space="preserve"> (Table 1</w:t>
      </w:r>
      <w:r w:rsidR="00492B7C" w:rsidRPr="00A15524">
        <w:t>3</w:t>
      </w:r>
      <w:r w:rsidR="00E71432" w:rsidRPr="00A15524">
        <w:t>)</w:t>
      </w:r>
      <w:r w:rsidR="00322F8B" w:rsidRPr="00A15524">
        <w:t xml:space="preserve">, where almost </w:t>
      </w:r>
      <w:r w:rsidR="00DF3B45" w:rsidRPr="00A15524">
        <w:t>half</w:t>
      </w:r>
      <w:r w:rsidR="00322F8B" w:rsidRPr="00A15524">
        <w:t xml:space="preserve"> of awarded grants were to teams with 6</w:t>
      </w:r>
      <w:r w:rsidR="00E87FC8" w:rsidRPr="00A15524">
        <w:noBreakHyphen/>
      </w:r>
      <w:r w:rsidR="00322F8B" w:rsidRPr="00A15524">
        <w:t>10 members.</w:t>
      </w:r>
    </w:p>
    <w:p w14:paraId="65A5571D" w14:textId="3FD5C092" w:rsidR="0072160A" w:rsidRPr="00A15524" w:rsidRDefault="00BE536C" w:rsidP="00A15524">
      <w:r w:rsidRPr="00A15524">
        <w:t xml:space="preserve">Seventy-five percent </w:t>
      </w:r>
      <w:r w:rsidR="0072160A" w:rsidRPr="00A15524">
        <w:t xml:space="preserve">of grants awarded in Stream 1 had a team size of 1-5, with no teams larger than 10 members. All grants from Stream 2 had a team of more than 5 CIs, which is in line with objective of Stream 2 (see page </w:t>
      </w:r>
      <w:r w:rsidR="00F54930" w:rsidRPr="00A15524">
        <w:t>2 of this report)</w:t>
      </w:r>
      <w:r w:rsidR="0072160A" w:rsidRPr="00A15524">
        <w:t xml:space="preserve">. </w:t>
      </w:r>
      <w:r w:rsidR="003D7B5B" w:rsidRPr="00A15524">
        <w:t xml:space="preserve">Within </w:t>
      </w:r>
      <w:r w:rsidR="003B61F5" w:rsidRPr="00A15524">
        <w:t>S</w:t>
      </w:r>
      <w:r w:rsidR="003D7B5B" w:rsidRPr="00A15524">
        <w:t>tream</w:t>
      </w:r>
      <w:r w:rsidR="00D32F3B" w:rsidRPr="00A15524">
        <w:t xml:space="preserve"> 2</w:t>
      </w:r>
      <w:r w:rsidR="003D7B5B" w:rsidRPr="00A15524">
        <w:t>, t</w:t>
      </w:r>
      <w:r w:rsidR="00F44F0B" w:rsidRPr="00A15524">
        <w:t>here</w:t>
      </w:r>
      <w:r w:rsidR="00950532" w:rsidRPr="00A15524">
        <w:t xml:space="preserve"> </w:t>
      </w:r>
      <w:r w:rsidR="00E740D3" w:rsidRPr="00A15524">
        <w:t xml:space="preserve">was a </w:t>
      </w:r>
      <w:r w:rsidR="003D7B5B" w:rsidRPr="00A15524">
        <w:t xml:space="preserve">decrease </w:t>
      </w:r>
      <w:r w:rsidR="00E740D3" w:rsidRPr="00A15524">
        <w:t>in the number of awarded grants for</w:t>
      </w:r>
      <w:r w:rsidR="00950532" w:rsidRPr="00A15524">
        <w:t xml:space="preserve"> team sizes </w:t>
      </w:r>
      <w:r w:rsidR="00E740D3" w:rsidRPr="00A15524">
        <w:t xml:space="preserve">with </w:t>
      </w:r>
      <w:r w:rsidR="003D7B5B" w:rsidRPr="00A15524">
        <w:t>6</w:t>
      </w:r>
      <w:r w:rsidR="00E87FC8" w:rsidRPr="00A15524">
        <w:noBreakHyphen/>
      </w:r>
      <w:r w:rsidR="003D7B5B" w:rsidRPr="00A15524">
        <w:t>10</w:t>
      </w:r>
      <w:r w:rsidR="00E740D3" w:rsidRPr="00A15524">
        <w:t xml:space="preserve"> members</w:t>
      </w:r>
      <w:r w:rsidR="003D7B5B" w:rsidRPr="00A15524">
        <w:t xml:space="preserve"> </w:t>
      </w:r>
      <w:r w:rsidR="00D32F3B" w:rsidRPr="00A15524">
        <w:t>and an increase of teams with 11</w:t>
      </w:r>
      <w:r w:rsidR="00E87FC8" w:rsidRPr="00A15524">
        <w:noBreakHyphen/>
      </w:r>
      <w:r w:rsidR="00D32F3B" w:rsidRPr="00A15524">
        <w:t xml:space="preserve">15 members </w:t>
      </w:r>
      <w:r w:rsidR="00F44F0B" w:rsidRPr="00A15524">
        <w:t>compared with 2021</w:t>
      </w:r>
      <w:r w:rsidR="00D32F3B" w:rsidRPr="00A15524">
        <w:t xml:space="preserve">. </w:t>
      </w:r>
      <w:r w:rsidR="0072160A" w:rsidRPr="00A15524">
        <w:t xml:space="preserve">Stream 3 awarded all grants to teams greater than </w:t>
      </w:r>
      <w:r w:rsidR="005C1C51" w:rsidRPr="00A15524">
        <w:t xml:space="preserve">5, </w:t>
      </w:r>
      <w:r w:rsidR="009C7980" w:rsidRPr="00A15524">
        <w:t xml:space="preserve">a decrease from the 2021 </w:t>
      </w:r>
      <w:r w:rsidR="004511EB" w:rsidRPr="00A15524">
        <w:t>grant</w:t>
      </w:r>
      <w:r w:rsidR="009C7980" w:rsidRPr="00A15524">
        <w:t xml:space="preserve"> opportunity in which 2 awarded grants went to teams of 1</w:t>
      </w:r>
      <w:r w:rsidR="00E87FC8" w:rsidRPr="00A15524">
        <w:noBreakHyphen/>
      </w:r>
      <w:r w:rsidR="009C7980" w:rsidRPr="00A15524">
        <w:t>5.</w:t>
      </w:r>
    </w:p>
    <w:p w14:paraId="16783BCC" w14:textId="579ECE6C" w:rsidR="008B78B3" w:rsidRDefault="00D85F07" w:rsidP="00D85F07">
      <w:pPr>
        <w:pStyle w:val="Caption"/>
      </w:pPr>
      <w:r>
        <w:t xml:space="preserve">Table </w:t>
      </w:r>
      <w:r>
        <w:fldChar w:fldCharType="begin"/>
      </w:r>
      <w:r>
        <w:instrText xml:space="preserve"> SEQ Table \* ARABIC </w:instrText>
      </w:r>
      <w:r>
        <w:fldChar w:fldCharType="separate"/>
      </w:r>
      <w:r>
        <w:rPr>
          <w:noProof/>
        </w:rPr>
        <w:t>13</w:t>
      </w:r>
      <w:r>
        <w:fldChar w:fldCharType="end"/>
      </w:r>
      <w:r w:rsidR="00955E6E">
        <w:t xml:space="preserve"> </w:t>
      </w:r>
      <w:r w:rsidR="00A97B14" w:rsidRPr="00223BB4">
        <w:t xml:space="preserve">– Team size on applications (apps) and awarded grants by </w:t>
      </w:r>
      <w:r w:rsidR="00400D38">
        <w:t>s</w:t>
      </w:r>
      <w:r w:rsidR="00A97B14" w:rsidRPr="00223BB4">
        <w:t>tream</w:t>
      </w:r>
    </w:p>
    <w:tbl>
      <w:tblPr>
        <w:tblStyle w:val="DepartmentofHealthtable"/>
        <w:tblW w:w="9699" w:type="dxa"/>
        <w:tblLayout w:type="fixed"/>
        <w:tblLook w:val="04A0" w:firstRow="1" w:lastRow="0" w:firstColumn="1" w:lastColumn="0" w:noHBand="0" w:noVBand="1"/>
      </w:tblPr>
      <w:tblGrid>
        <w:gridCol w:w="638"/>
        <w:gridCol w:w="616"/>
        <w:gridCol w:w="587"/>
        <w:gridCol w:w="675"/>
        <w:gridCol w:w="853"/>
        <w:gridCol w:w="567"/>
        <w:gridCol w:w="709"/>
        <w:gridCol w:w="851"/>
        <w:gridCol w:w="567"/>
        <w:gridCol w:w="709"/>
        <w:gridCol w:w="797"/>
        <w:gridCol w:w="620"/>
        <w:gridCol w:w="709"/>
        <w:gridCol w:w="801"/>
      </w:tblGrid>
      <w:tr w:rsidR="00474156" w:rsidRPr="002912DA" w14:paraId="104946D9" w14:textId="77777777" w:rsidTr="002912D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38" w:type="dxa"/>
            <w:vMerge w:val="restart"/>
            <w:hideMark/>
          </w:tcPr>
          <w:p w14:paraId="64F241B6" w14:textId="77777777" w:rsidR="001F01D0" w:rsidRPr="002912DA" w:rsidRDefault="001F01D0" w:rsidP="00D85F07">
            <w:pPr>
              <w:pStyle w:val="StyleTableHeaderWhite"/>
            </w:pPr>
            <w:r w:rsidRPr="002912DA">
              <w:t>Team Size</w:t>
            </w:r>
          </w:p>
        </w:tc>
        <w:tc>
          <w:tcPr>
            <w:tcW w:w="616" w:type="dxa"/>
            <w:vMerge w:val="restart"/>
            <w:hideMark/>
          </w:tcPr>
          <w:p w14:paraId="3CCFC845" w14:textId="77777777" w:rsidR="001F01D0" w:rsidRPr="002912DA" w:rsidRDefault="001F01D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Year</w:t>
            </w:r>
          </w:p>
        </w:tc>
        <w:tc>
          <w:tcPr>
            <w:tcW w:w="2115" w:type="dxa"/>
            <w:gridSpan w:val="3"/>
            <w:hideMark/>
          </w:tcPr>
          <w:p w14:paraId="0A42E127" w14:textId="77777777" w:rsidR="001F01D0" w:rsidRPr="002912DA" w:rsidRDefault="001F01D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Stream 1 </w:t>
            </w:r>
          </w:p>
        </w:tc>
        <w:tc>
          <w:tcPr>
            <w:tcW w:w="2127" w:type="dxa"/>
            <w:gridSpan w:val="3"/>
            <w:hideMark/>
          </w:tcPr>
          <w:p w14:paraId="42C43FBA" w14:textId="77777777" w:rsidR="001F01D0" w:rsidRPr="002912DA" w:rsidRDefault="001F01D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Stream 2</w:t>
            </w:r>
          </w:p>
        </w:tc>
        <w:tc>
          <w:tcPr>
            <w:tcW w:w="2073" w:type="dxa"/>
            <w:gridSpan w:val="3"/>
            <w:hideMark/>
          </w:tcPr>
          <w:p w14:paraId="7DCDA300" w14:textId="77777777" w:rsidR="001F01D0" w:rsidRPr="002912DA" w:rsidRDefault="001F01D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Stream 3</w:t>
            </w:r>
          </w:p>
        </w:tc>
        <w:tc>
          <w:tcPr>
            <w:tcW w:w="2130" w:type="dxa"/>
            <w:gridSpan w:val="3"/>
            <w:hideMark/>
          </w:tcPr>
          <w:p w14:paraId="54F32E6F" w14:textId="5FF4754A" w:rsidR="001F01D0" w:rsidRPr="002912DA" w:rsidRDefault="001F01D0"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All </w:t>
            </w:r>
            <w:r w:rsidR="00FD5C91" w:rsidRPr="002912DA">
              <w:t>s</w:t>
            </w:r>
            <w:r w:rsidRPr="002912DA">
              <w:t>treams</w:t>
            </w:r>
          </w:p>
        </w:tc>
      </w:tr>
      <w:tr w:rsidR="002912DA" w:rsidRPr="002912DA" w14:paraId="13E10649" w14:textId="77777777" w:rsidTr="00D85F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8" w:type="dxa"/>
            <w:vMerge/>
            <w:tcBorders>
              <w:right w:val="single" w:sz="4" w:space="0" w:color="FFFFFF" w:themeColor="background1"/>
            </w:tcBorders>
            <w:hideMark/>
          </w:tcPr>
          <w:p w14:paraId="662FA33C" w14:textId="77777777" w:rsidR="001F01D0" w:rsidRPr="002912DA" w:rsidRDefault="001F01D0" w:rsidP="002912DA"/>
        </w:tc>
        <w:tc>
          <w:tcPr>
            <w:tcW w:w="616" w:type="dxa"/>
            <w:vMerge/>
            <w:tcBorders>
              <w:left w:val="single" w:sz="4" w:space="0" w:color="FFFFFF" w:themeColor="background1"/>
              <w:right w:val="single" w:sz="4" w:space="0" w:color="FFFFFF" w:themeColor="background1"/>
            </w:tcBorders>
            <w:hideMark/>
          </w:tcPr>
          <w:p w14:paraId="4C961BAC" w14:textId="77777777" w:rsidR="001F01D0" w:rsidRPr="002912DA" w:rsidRDefault="001F01D0" w:rsidP="002912DA">
            <w:pPr>
              <w:cnfStyle w:val="000000100000" w:firstRow="0" w:lastRow="0" w:firstColumn="0" w:lastColumn="0" w:oddVBand="0" w:evenVBand="0" w:oddHBand="1" w:evenHBand="0" w:firstRowFirstColumn="0" w:firstRowLastColumn="0" w:lastRowFirstColumn="0" w:lastRowLastColumn="0"/>
            </w:pPr>
          </w:p>
        </w:tc>
        <w:tc>
          <w:tcPr>
            <w:tcW w:w="587"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5B07E63" w14:textId="5CDB2B5B" w:rsidR="001F01D0"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w:t>
            </w:r>
            <w:r w:rsidR="008E689B" w:rsidRPr="002912DA">
              <w:t>s</w:t>
            </w:r>
            <w:r w:rsidR="00B927F8" w:rsidRPr="002912DA">
              <w:t xml:space="preserve"> (n)</w:t>
            </w:r>
          </w:p>
        </w:tc>
        <w:tc>
          <w:tcPr>
            <w:tcW w:w="675"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EED5AD4" w14:textId="7A2C5254"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2912DA">
              <w:t xml:space="preserve"> </w:t>
            </w:r>
            <w:r w:rsidR="00B927F8" w:rsidRPr="002912DA">
              <w:t>(n)</w:t>
            </w:r>
          </w:p>
        </w:tc>
        <w:tc>
          <w:tcPr>
            <w:tcW w:w="853"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2C26012" w14:textId="4B9B36E5" w:rsidR="001F01D0"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 xml:space="preserve">Funded </w:t>
            </w:r>
            <w:r w:rsidR="00263513" w:rsidRPr="002912DA">
              <w:t>r</w:t>
            </w:r>
            <w:r w:rsidRPr="002912DA">
              <w:t>ate (%)</w:t>
            </w: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75EC38F9" w14:textId="145BB597"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2912DA">
              <w:t xml:space="preserve"> </w:t>
            </w:r>
            <w:r w:rsidR="00B927F8" w:rsidRPr="002912DA">
              <w:t>(n)</w:t>
            </w: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0252AFA2" w14:textId="751CA09A"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2912DA">
              <w:t xml:space="preserve"> </w:t>
            </w:r>
            <w:r w:rsidR="00B927F8" w:rsidRPr="002912DA">
              <w:t>(n)</w:t>
            </w:r>
          </w:p>
        </w:tc>
        <w:tc>
          <w:tcPr>
            <w:tcW w:w="851"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3928981E" w14:textId="276BEBF7" w:rsidR="001F01D0"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 xml:space="preserve">Funded </w:t>
            </w:r>
            <w:r w:rsidR="00263513" w:rsidRPr="002912DA">
              <w:t>r</w:t>
            </w:r>
            <w:r w:rsidRPr="002912DA">
              <w:t>ate (%)</w:t>
            </w: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65608E91" w14:textId="47B6C7DD"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2912DA">
              <w:t xml:space="preserve"> </w:t>
            </w:r>
            <w:r w:rsidR="00B927F8" w:rsidRPr="002912DA">
              <w:t>(n)</w:t>
            </w: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44A2F16" w14:textId="07CAFFBD"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2912DA">
              <w:t xml:space="preserve"> </w:t>
            </w:r>
            <w:r w:rsidR="00B927F8" w:rsidRPr="002912DA">
              <w:t>(n)</w:t>
            </w:r>
          </w:p>
        </w:tc>
        <w:tc>
          <w:tcPr>
            <w:tcW w:w="797"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6CFD33BC" w14:textId="600AD212" w:rsidR="001F01D0"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 xml:space="preserve">Funded </w:t>
            </w:r>
            <w:r w:rsidR="00263513" w:rsidRPr="002912DA">
              <w:t>r</w:t>
            </w:r>
            <w:r w:rsidRPr="002912DA">
              <w:t>ate (%)</w:t>
            </w:r>
          </w:p>
        </w:tc>
        <w:tc>
          <w:tcPr>
            <w:tcW w:w="620"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48B69DD8" w14:textId="4CFB5B77"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Apps</w:t>
            </w:r>
            <w:r w:rsidR="002912DA">
              <w:t xml:space="preserve"> </w:t>
            </w:r>
            <w:r w:rsidR="00B927F8" w:rsidRPr="002912DA">
              <w:t>(n)</w:t>
            </w: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1F497D" w:themeFill="text2"/>
            <w:hideMark/>
          </w:tcPr>
          <w:p w14:paraId="20D24CB3" w14:textId="6BEF27C0" w:rsidR="00B927F8"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Grants</w:t>
            </w:r>
            <w:r w:rsidR="002912DA">
              <w:t xml:space="preserve"> </w:t>
            </w:r>
            <w:r w:rsidR="00B927F8" w:rsidRPr="002912DA">
              <w:t>(n)</w:t>
            </w:r>
          </w:p>
        </w:tc>
        <w:tc>
          <w:tcPr>
            <w:tcW w:w="801" w:type="dxa"/>
            <w:tcBorders>
              <w:top w:val="single" w:sz="4" w:space="0" w:color="FFFFFF" w:themeColor="background1"/>
              <w:left w:val="single" w:sz="4" w:space="0" w:color="FFFFFF" w:themeColor="background1"/>
            </w:tcBorders>
            <w:shd w:val="clear" w:color="auto" w:fill="1F497D" w:themeFill="text2"/>
            <w:hideMark/>
          </w:tcPr>
          <w:p w14:paraId="3ED531B7" w14:textId="7B02CA83" w:rsidR="001F01D0" w:rsidRPr="002912DA" w:rsidRDefault="001F01D0" w:rsidP="001B7D28">
            <w:pPr>
              <w:pStyle w:val="TableHeaderWhite"/>
              <w:cnfStyle w:val="000000100000" w:firstRow="0" w:lastRow="0" w:firstColumn="0" w:lastColumn="0" w:oddVBand="0" w:evenVBand="0" w:oddHBand="1" w:evenHBand="0" w:firstRowFirstColumn="0" w:firstRowLastColumn="0" w:lastRowFirstColumn="0" w:lastRowLastColumn="0"/>
            </w:pPr>
            <w:r w:rsidRPr="002912DA">
              <w:t xml:space="preserve">Funded </w:t>
            </w:r>
            <w:r w:rsidR="00263513" w:rsidRPr="002912DA">
              <w:t>r</w:t>
            </w:r>
            <w:r w:rsidRPr="002912DA">
              <w:t>ate (%)</w:t>
            </w:r>
          </w:p>
        </w:tc>
      </w:tr>
      <w:tr w:rsidR="002912DA" w:rsidRPr="002912DA" w14:paraId="1B64FC67"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8" w:type="dxa"/>
            <w:vMerge w:val="restart"/>
            <w:hideMark/>
          </w:tcPr>
          <w:p w14:paraId="3ABAD8F7" w14:textId="77777777" w:rsidR="001F01D0" w:rsidRPr="002912DA" w:rsidRDefault="001F01D0" w:rsidP="00D85F07">
            <w:pPr>
              <w:pStyle w:val="Tabletextcentre"/>
            </w:pPr>
            <w:r w:rsidRPr="002912DA">
              <w:t>1-5</w:t>
            </w:r>
          </w:p>
        </w:tc>
        <w:tc>
          <w:tcPr>
            <w:tcW w:w="616" w:type="dxa"/>
            <w:hideMark/>
          </w:tcPr>
          <w:p w14:paraId="2D224948"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587" w:type="dxa"/>
            <w:hideMark/>
          </w:tcPr>
          <w:p w14:paraId="176228EC"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54</w:t>
            </w:r>
          </w:p>
        </w:tc>
        <w:tc>
          <w:tcPr>
            <w:tcW w:w="675" w:type="dxa"/>
            <w:hideMark/>
          </w:tcPr>
          <w:p w14:paraId="2BC8B070"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w:t>
            </w:r>
          </w:p>
        </w:tc>
        <w:tc>
          <w:tcPr>
            <w:tcW w:w="853" w:type="dxa"/>
            <w:hideMark/>
          </w:tcPr>
          <w:p w14:paraId="4D259633"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16.7</w:t>
            </w:r>
          </w:p>
        </w:tc>
        <w:tc>
          <w:tcPr>
            <w:tcW w:w="567" w:type="dxa"/>
            <w:hideMark/>
          </w:tcPr>
          <w:p w14:paraId="35FFF061"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w:t>
            </w:r>
          </w:p>
        </w:tc>
        <w:tc>
          <w:tcPr>
            <w:tcW w:w="709" w:type="dxa"/>
            <w:hideMark/>
          </w:tcPr>
          <w:p w14:paraId="36B58883"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51" w:type="dxa"/>
            <w:hideMark/>
          </w:tcPr>
          <w:p w14:paraId="6D42EA2C"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567" w:type="dxa"/>
            <w:hideMark/>
          </w:tcPr>
          <w:p w14:paraId="3B1E78FE"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709" w:type="dxa"/>
            <w:hideMark/>
          </w:tcPr>
          <w:p w14:paraId="1B148E67"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797" w:type="dxa"/>
            <w:hideMark/>
          </w:tcPr>
          <w:p w14:paraId="7EA7CEFE"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620" w:type="dxa"/>
            <w:hideMark/>
          </w:tcPr>
          <w:p w14:paraId="06BCF4B7"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62</w:t>
            </w:r>
          </w:p>
        </w:tc>
        <w:tc>
          <w:tcPr>
            <w:tcW w:w="709" w:type="dxa"/>
            <w:hideMark/>
          </w:tcPr>
          <w:p w14:paraId="1A04CF7F"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w:t>
            </w:r>
          </w:p>
        </w:tc>
        <w:tc>
          <w:tcPr>
            <w:tcW w:w="801" w:type="dxa"/>
            <w:hideMark/>
          </w:tcPr>
          <w:p w14:paraId="45990BC2"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14.5</w:t>
            </w:r>
          </w:p>
        </w:tc>
      </w:tr>
      <w:tr w:rsidR="002912DA" w:rsidRPr="002912DA" w14:paraId="5982B8FD"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8" w:type="dxa"/>
            <w:vMerge/>
            <w:hideMark/>
          </w:tcPr>
          <w:p w14:paraId="0C33B69D" w14:textId="77777777" w:rsidR="001F01D0" w:rsidRPr="002912DA" w:rsidRDefault="001F01D0" w:rsidP="00D85F07">
            <w:pPr>
              <w:pStyle w:val="Tabletextcentre"/>
            </w:pPr>
          </w:p>
        </w:tc>
        <w:tc>
          <w:tcPr>
            <w:tcW w:w="616" w:type="dxa"/>
            <w:hideMark/>
          </w:tcPr>
          <w:p w14:paraId="36F16B8B"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587" w:type="dxa"/>
            <w:hideMark/>
          </w:tcPr>
          <w:p w14:paraId="66B78A69"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180</w:t>
            </w:r>
          </w:p>
        </w:tc>
        <w:tc>
          <w:tcPr>
            <w:tcW w:w="675" w:type="dxa"/>
            <w:hideMark/>
          </w:tcPr>
          <w:p w14:paraId="2A45D2F6"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c>
          <w:tcPr>
            <w:tcW w:w="853" w:type="dxa"/>
            <w:hideMark/>
          </w:tcPr>
          <w:p w14:paraId="53BAE1A9"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2.8</w:t>
            </w:r>
          </w:p>
        </w:tc>
        <w:tc>
          <w:tcPr>
            <w:tcW w:w="567" w:type="dxa"/>
            <w:hideMark/>
          </w:tcPr>
          <w:p w14:paraId="436FF65F"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w:t>
            </w:r>
          </w:p>
        </w:tc>
        <w:tc>
          <w:tcPr>
            <w:tcW w:w="709" w:type="dxa"/>
            <w:hideMark/>
          </w:tcPr>
          <w:p w14:paraId="394B7C85"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1" w:type="dxa"/>
            <w:hideMark/>
          </w:tcPr>
          <w:p w14:paraId="1FF4C446"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0.0</w:t>
            </w:r>
          </w:p>
        </w:tc>
        <w:tc>
          <w:tcPr>
            <w:tcW w:w="567" w:type="dxa"/>
            <w:hideMark/>
          </w:tcPr>
          <w:p w14:paraId="0C1A6FA0"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709" w:type="dxa"/>
            <w:hideMark/>
          </w:tcPr>
          <w:p w14:paraId="6D38F775"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797" w:type="dxa"/>
            <w:hideMark/>
          </w:tcPr>
          <w:p w14:paraId="3D7A3565"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50.0</w:t>
            </w:r>
          </w:p>
        </w:tc>
        <w:tc>
          <w:tcPr>
            <w:tcW w:w="620" w:type="dxa"/>
            <w:hideMark/>
          </w:tcPr>
          <w:p w14:paraId="145F4121"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209</w:t>
            </w:r>
          </w:p>
        </w:tc>
        <w:tc>
          <w:tcPr>
            <w:tcW w:w="709" w:type="dxa"/>
            <w:hideMark/>
          </w:tcPr>
          <w:p w14:paraId="255255DF"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w:t>
            </w:r>
          </w:p>
        </w:tc>
        <w:tc>
          <w:tcPr>
            <w:tcW w:w="801" w:type="dxa"/>
            <w:hideMark/>
          </w:tcPr>
          <w:p w14:paraId="62B51F68"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3.4</w:t>
            </w:r>
          </w:p>
        </w:tc>
      </w:tr>
      <w:tr w:rsidR="002912DA" w:rsidRPr="002912DA" w14:paraId="316CE37F"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8" w:type="dxa"/>
            <w:vMerge w:val="restart"/>
            <w:hideMark/>
          </w:tcPr>
          <w:p w14:paraId="06FFA472" w14:textId="77777777" w:rsidR="001F01D0" w:rsidRPr="002912DA" w:rsidRDefault="001F01D0" w:rsidP="00D85F07">
            <w:pPr>
              <w:pStyle w:val="Tabletextcentre"/>
            </w:pPr>
            <w:r w:rsidRPr="002912DA">
              <w:lastRenderedPageBreak/>
              <w:t>6-10</w:t>
            </w:r>
          </w:p>
        </w:tc>
        <w:tc>
          <w:tcPr>
            <w:tcW w:w="616" w:type="dxa"/>
            <w:hideMark/>
          </w:tcPr>
          <w:p w14:paraId="1854576C"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587" w:type="dxa"/>
            <w:hideMark/>
          </w:tcPr>
          <w:p w14:paraId="76AA91F0"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34</w:t>
            </w:r>
          </w:p>
        </w:tc>
        <w:tc>
          <w:tcPr>
            <w:tcW w:w="675" w:type="dxa"/>
            <w:hideMark/>
          </w:tcPr>
          <w:p w14:paraId="08AD9DE0"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853" w:type="dxa"/>
            <w:hideMark/>
          </w:tcPr>
          <w:p w14:paraId="078E4D41"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11.8</w:t>
            </w:r>
          </w:p>
        </w:tc>
        <w:tc>
          <w:tcPr>
            <w:tcW w:w="567" w:type="dxa"/>
            <w:hideMark/>
          </w:tcPr>
          <w:p w14:paraId="793676E6"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21</w:t>
            </w:r>
          </w:p>
        </w:tc>
        <w:tc>
          <w:tcPr>
            <w:tcW w:w="709" w:type="dxa"/>
            <w:hideMark/>
          </w:tcPr>
          <w:p w14:paraId="397C4FEA"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w:t>
            </w:r>
          </w:p>
        </w:tc>
        <w:tc>
          <w:tcPr>
            <w:tcW w:w="851" w:type="dxa"/>
            <w:hideMark/>
          </w:tcPr>
          <w:p w14:paraId="71128F4F"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4.8</w:t>
            </w:r>
          </w:p>
        </w:tc>
        <w:tc>
          <w:tcPr>
            <w:tcW w:w="567" w:type="dxa"/>
            <w:hideMark/>
          </w:tcPr>
          <w:p w14:paraId="7010B897"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w:t>
            </w:r>
          </w:p>
        </w:tc>
        <w:tc>
          <w:tcPr>
            <w:tcW w:w="709" w:type="dxa"/>
            <w:hideMark/>
          </w:tcPr>
          <w:p w14:paraId="4C867277"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797" w:type="dxa"/>
            <w:hideMark/>
          </w:tcPr>
          <w:p w14:paraId="5CE21193"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50.0</w:t>
            </w:r>
          </w:p>
        </w:tc>
        <w:tc>
          <w:tcPr>
            <w:tcW w:w="620" w:type="dxa"/>
            <w:hideMark/>
          </w:tcPr>
          <w:p w14:paraId="67C92624"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61</w:t>
            </w:r>
          </w:p>
        </w:tc>
        <w:tc>
          <w:tcPr>
            <w:tcW w:w="709" w:type="dxa"/>
            <w:hideMark/>
          </w:tcPr>
          <w:p w14:paraId="2AC928F1"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w:t>
            </w:r>
          </w:p>
        </w:tc>
        <w:tc>
          <w:tcPr>
            <w:tcW w:w="801" w:type="dxa"/>
            <w:hideMark/>
          </w:tcPr>
          <w:p w14:paraId="023474AE"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13.1</w:t>
            </w:r>
          </w:p>
        </w:tc>
      </w:tr>
      <w:tr w:rsidR="002912DA" w:rsidRPr="002912DA" w14:paraId="6089EF2A"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8" w:type="dxa"/>
            <w:vMerge/>
            <w:hideMark/>
          </w:tcPr>
          <w:p w14:paraId="39604007" w14:textId="77777777" w:rsidR="001F01D0" w:rsidRPr="002912DA" w:rsidRDefault="001F01D0" w:rsidP="00D85F07">
            <w:pPr>
              <w:pStyle w:val="Tabletextcentre"/>
            </w:pPr>
          </w:p>
        </w:tc>
        <w:tc>
          <w:tcPr>
            <w:tcW w:w="616" w:type="dxa"/>
            <w:hideMark/>
          </w:tcPr>
          <w:p w14:paraId="3C852290"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587" w:type="dxa"/>
            <w:hideMark/>
          </w:tcPr>
          <w:p w14:paraId="5A8BB5DE"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w:t>
            </w:r>
          </w:p>
        </w:tc>
        <w:tc>
          <w:tcPr>
            <w:tcW w:w="675" w:type="dxa"/>
            <w:hideMark/>
          </w:tcPr>
          <w:p w14:paraId="3CCCF165"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853" w:type="dxa"/>
            <w:hideMark/>
          </w:tcPr>
          <w:p w14:paraId="1D55912D"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567" w:type="dxa"/>
            <w:hideMark/>
          </w:tcPr>
          <w:p w14:paraId="76AF2AE2"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52</w:t>
            </w:r>
          </w:p>
        </w:tc>
        <w:tc>
          <w:tcPr>
            <w:tcW w:w="709" w:type="dxa"/>
            <w:hideMark/>
          </w:tcPr>
          <w:p w14:paraId="390D2181"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851" w:type="dxa"/>
            <w:hideMark/>
          </w:tcPr>
          <w:p w14:paraId="47CB2003"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8.0</w:t>
            </w:r>
          </w:p>
        </w:tc>
        <w:tc>
          <w:tcPr>
            <w:tcW w:w="567" w:type="dxa"/>
            <w:hideMark/>
          </w:tcPr>
          <w:p w14:paraId="5697FE3C"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709" w:type="dxa"/>
            <w:hideMark/>
          </w:tcPr>
          <w:p w14:paraId="20013A43"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797" w:type="dxa"/>
            <w:hideMark/>
          </w:tcPr>
          <w:p w14:paraId="6A24D67B"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c>
          <w:tcPr>
            <w:tcW w:w="620" w:type="dxa"/>
            <w:hideMark/>
          </w:tcPr>
          <w:p w14:paraId="22452B17"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155</w:t>
            </w:r>
          </w:p>
        </w:tc>
        <w:tc>
          <w:tcPr>
            <w:tcW w:w="709" w:type="dxa"/>
            <w:hideMark/>
          </w:tcPr>
          <w:p w14:paraId="5292D53D"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11</w:t>
            </w:r>
          </w:p>
        </w:tc>
        <w:tc>
          <w:tcPr>
            <w:tcW w:w="801" w:type="dxa"/>
            <w:hideMark/>
          </w:tcPr>
          <w:p w14:paraId="660B74BA"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7.1</w:t>
            </w:r>
          </w:p>
        </w:tc>
      </w:tr>
      <w:tr w:rsidR="002912DA" w:rsidRPr="002912DA" w14:paraId="641B617B" w14:textId="77777777" w:rsidTr="002912D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8" w:type="dxa"/>
            <w:vMerge w:val="restart"/>
            <w:hideMark/>
          </w:tcPr>
          <w:p w14:paraId="26A9182B" w14:textId="77777777" w:rsidR="001F01D0" w:rsidRPr="002912DA" w:rsidRDefault="001F01D0" w:rsidP="00D85F07">
            <w:pPr>
              <w:pStyle w:val="Tabletextcentre"/>
            </w:pPr>
            <w:r w:rsidRPr="002912DA">
              <w:t>11-15</w:t>
            </w:r>
          </w:p>
        </w:tc>
        <w:tc>
          <w:tcPr>
            <w:tcW w:w="616" w:type="dxa"/>
            <w:hideMark/>
          </w:tcPr>
          <w:p w14:paraId="4010F167"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2023</w:t>
            </w:r>
          </w:p>
        </w:tc>
        <w:tc>
          <w:tcPr>
            <w:tcW w:w="587" w:type="dxa"/>
            <w:hideMark/>
          </w:tcPr>
          <w:p w14:paraId="6509D6B4"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w:t>
            </w:r>
          </w:p>
        </w:tc>
        <w:tc>
          <w:tcPr>
            <w:tcW w:w="675" w:type="dxa"/>
            <w:hideMark/>
          </w:tcPr>
          <w:p w14:paraId="457EB2DF"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853" w:type="dxa"/>
            <w:hideMark/>
          </w:tcPr>
          <w:p w14:paraId="28A0FC0A"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567" w:type="dxa"/>
            <w:hideMark/>
          </w:tcPr>
          <w:p w14:paraId="42F1DC1B"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13</w:t>
            </w:r>
          </w:p>
        </w:tc>
        <w:tc>
          <w:tcPr>
            <w:tcW w:w="709" w:type="dxa"/>
            <w:hideMark/>
          </w:tcPr>
          <w:p w14:paraId="5395D4CB"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w:t>
            </w:r>
          </w:p>
        </w:tc>
        <w:tc>
          <w:tcPr>
            <w:tcW w:w="851" w:type="dxa"/>
            <w:hideMark/>
          </w:tcPr>
          <w:p w14:paraId="3611598C"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38.5</w:t>
            </w:r>
          </w:p>
        </w:tc>
        <w:tc>
          <w:tcPr>
            <w:tcW w:w="567" w:type="dxa"/>
            <w:hideMark/>
          </w:tcPr>
          <w:p w14:paraId="52A5159E"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w:t>
            </w:r>
          </w:p>
        </w:tc>
        <w:tc>
          <w:tcPr>
            <w:tcW w:w="709" w:type="dxa"/>
            <w:hideMark/>
          </w:tcPr>
          <w:p w14:paraId="223B2C5C"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w:t>
            </w:r>
          </w:p>
        </w:tc>
        <w:tc>
          <w:tcPr>
            <w:tcW w:w="797" w:type="dxa"/>
            <w:hideMark/>
          </w:tcPr>
          <w:p w14:paraId="532196B8"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75.0</w:t>
            </w:r>
          </w:p>
        </w:tc>
        <w:tc>
          <w:tcPr>
            <w:tcW w:w="620" w:type="dxa"/>
            <w:hideMark/>
          </w:tcPr>
          <w:p w14:paraId="4A9FEDC1"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22</w:t>
            </w:r>
          </w:p>
        </w:tc>
        <w:tc>
          <w:tcPr>
            <w:tcW w:w="709" w:type="dxa"/>
            <w:hideMark/>
          </w:tcPr>
          <w:p w14:paraId="7470E7F1"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w:t>
            </w:r>
          </w:p>
        </w:tc>
        <w:tc>
          <w:tcPr>
            <w:tcW w:w="801" w:type="dxa"/>
            <w:hideMark/>
          </w:tcPr>
          <w:p w14:paraId="2A7EF8CC" w14:textId="77777777" w:rsidR="001F01D0" w:rsidRPr="002912DA" w:rsidRDefault="001F01D0"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36.4</w:t>
            </w:r>
          </w:p>
        </w:tc>
      </w:tr>
      <w:tr w:rsidR="002912DA" w:rsidRPr="002912DA" w14:paraId="08EF23EC" w14:textId="77777777" w:rsidTr="002912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8" w:type="dxa"/>
            <w:vMerge/>
            <w:hideMark/>
          </w:tcPr>
          <w:p w14:paraId="09778E71" w14:textId="77777777" w:rsidR="001F01D0" w:rsidRPr="002912DA" w:rsidRDefault="001F01D0" w:rsidP="00D85F07">
            <w:pPr>
              <w:pStyle w:val="Tabletextcentre"/>
            </w:pPr>
          </w:p>
        </w:tc>
        <w:tc>
          <w:tcPr>
            <w:tcW w:w="616" w:type="dxa"/>
            <w:hideMark/>
          </w:tcPr>
          <w:p w14:paraId="4AA047F6"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2021</w:t>
            </w:r>
          </w:p>
        </w:tc>
        <w:tc>
          <w:tcPr>
            <w:tcW w:w="587" w:type="dxa"/>
            <w:hideMark/>
          </w:tcPr>
          <w:p w14:paraId="01F58A14"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23</w:t>
            </w:r>
          </w:p>
        </w:tc>
        <w:tc>
          <w:tcPr>
            <w:tcW w:w="675" w:type="dxa"/>
            <w:hideMark/>
          </w:tcPr>
          <w:p w14:paraId="43BECF59"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853" w:type="dxa"/>
            <w:hideMark/>
          </w:tcPr>
          <w:p w14:paraId="0A255803"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w:t>
            </w:r>
          </w:p>
        </w:tc>
        <w:tc>
          <w:tcPr>
            <w:tcW w:w="567" w:type="dxa"/>
            <w:hideMark/>
          </w:tcPr>
          <w:p w14:paraId="55AE2AEE"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22</w:t>
            </w:r>
          </w:p>
        </w:tc>
        <w:tc>
          <w:tcPr>
            <w:tcW w:w="709" w:type="dxa"/>
            <w:hideMark/>
          </w:tcPr>
          <w:p w14:paraId="15B1BD03"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w:t>
            </w:r>
          </w:p>
        </w:tc>
        <w:tc>
          <w:tcPr>
            <w:tcW w:w="851" w:type="dxa"/>
            <w:hideMark/>
          </w:tcPr>
          <w:p w14:paraId="5EACD9AE"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9.0</w:t>
            </w:r>
          </w:p>
        </w:tc>
        <w:tc>
          <w:tcPr>
            <w:tcW w:w="567" w:type="dxa"/>
            <w:hideMark/>
          </w:tcPr>
          <w:p w14:paraId="2827CDE4"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w:t>
            </w:r>
          </w:p>
        </w:tc>
        <w:tc>
          <w:tcPr>
            <w:tcW w:w="709" w:type="dxa"/>
            <w:hideMark/>
          </w:tcPr>
          <w:p w14:paraId="1A1269F7"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w:t>
            </w:r>
          </w:p>
        </w:tc>
        <w:tc>
          <w:tcPr>
            <w:tcW w:w="797" w:type="dxa"/>
            <w:hideMark/>
          </w:tcPr>
          <w:p w14:paraId="4F77DCCE"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33.3</w:t>
            </w:r>
          </w:p>
        </w:tc>
        <w:tc>
          <w:tcPr>
            <w:tcW w:w="620" w:type="dxa"/>
            <w:hideMark/>
          </w:tcPr>
          <w:p w14:paraId="445EADE4"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54</w:t>
            </w:r>
          </w:p>
        </w:tc>
        <w:tc>
          <w:tcPr>
            <w:tcW w:w="709" w:type="dxa"/>
            <w:hideMark/>
          </w:tcPr>
          <w:p w14:paraId="7F41E29C"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w:t>
            </w:r>
          </w:p>
        </w:tc>
        <w:tc>
          <w:tcPr>
            <w:tcW w:w="801" w:type="dxa"/>
            <w:hideMark/>
          </w:tcPr>
          <w:p w14:paraId="1D9F7243" w14:textId="77777777" w:rsidR="001F01D0" w:rsidRPr="002912DA" w:rsidRDefault="001F01D0"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9.3</w:t>
            </w:r>
          </w:p>
        </w:tc>
      </w:tr>
    </w:tbl>
    <w:p w14:paraId="40101880" w14:textId="77777777" w:rsidR="00A81D23" w:rsidRPr="00E6756B" w:rsidRDefault="00A81D23" w:rsidP="00A81D23">
      <w:pPr>
        <w:pStyle w:val="Heading2"/>
      </w:pPr>
      <w:bookmarkStart w:id="22" w:name="_Toc168043245"/>
      <w:r w:rsidRPr="00E6756B">
        <w:t>Gender of investigator teams</w:t>
      </w:r>
      <w:bookmarkEnd w:id="22"/>
    </w:p>
    <w:p w14:paraId="4488AEE1" w14:textId="7B8882F8" w:rsidR="00A81D23" w:rsidRPr="00A15524" w:rsidRDefault="00A81D23" w:rsidP="00A15524">
      <w:r w:rsidRPr="00A15524">
        <w:t xml:space="preserve">Of the total CI cohort who were awarded funding, 138 CIs were women, and 75 CIs were men. Compared to the 2021 </w:t>
      </w:r>
      <w:r w:rsidR="008521FA" w:rsidRPr="00A15524">
        <w:t>g</w:t>
      </w:r>
      <w:r w:rsidRPr="00A15524">
        <w:t xml:space="preserve">rant </w:t>
      </w:r>
      <w:r w:rsidR="008521FA" w:rsidRPr="00A15524">
        <w:t>o</w:t>
      </w:r>
      <w:r w:rsidRPr="00A15524">
        <w:t>pportunity, there was an increase in the funded rate for all reported genders, notably females, where the funded rate increased above males. Data on gender was not reported for 4 CIs who were awarded funding (Table 14). Four CIs on applications were non-binary, of which one was included in a grant that was awarded funding, an increase from the 2021 grant opportunity.</w:t>
      </w:r>
    </w:p>
    <w:p w14:paraId="1D9AAFCB" w14:textId="6C168A2C" w:rsidR="008B78B3" w:rsidRPr="00223BB4" w:rsidRDefault="00D85F07" w:rsidP="00D85F07">
      <w:pPr>
        <w:pStyle w:val="Caption"/>
      </w:pPr>
      <w:r>
        <w:t xml:space="preserve">Table </w:t>
      </w:r>
      <w:r>
        <w:fldChar w:fldCharType="begin"/>
      </w:r>
      <w:r>
        <w:instrText xml:space="preserve"> SEQ Table \* ARABIC </w:instrText>
      </w:r>
      <w:r>
        <w:fldChar w:fldCharType="separate"/>
      </w:r>
      <w:r>
        <w:rPr>
          <w:noProof/>
        </w:rPr>
        <w:t>14</w:t>
      </w:r>
      <w:r>
        <w:fldChar w:fldCharType="end"/>
      </w:r>
      <w:r w:rsidR="008B78B3" w:rsidRPr="00223BB4">
        <w:t xml:space="preserve"> – Gender of the CI </w:t>
      </w:r>
      <w:r w:rsidR="00CE2152">
        <w:t>.</w:t>
      </w:r>
    </w:p>
    <w:tbl>
      <w:tblPr>
        <w:tblStyle w:val="DepartmentofHealthtable"/>
        <w:tblW w:w="9634" w:type="dxa"/>
        <w:tblLook w:val="04A0" w:firstRow="1" w:lastRow="0" w:firstColumn="1" w:lastColumn="0" w:noHBand="0" w:noVBand="1"/>
      </w:tblPr>
      <w:tblGrid>
        <w:gridCol w:w="1540"/>
        <w:gridCol w:w="1700"/>
        <w:gridCol w:w="1620"/>
        <w:gridCol w:w="1420"/>
        <w:gridCol w:w="1720"/>
        <w:gridCol w:w="1634"/>
      </w:tblGrid>
      <w:tr w:rsidR="00C25A21" w:rsidRPr="002912DA" w14:paraId="506C7475" w14:textId="77777777" w:rsidTr="00D85F07">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540" w:type="dxa"/>
            <w:hideMark/>
          </w:tcPr>
          <w:p w14:paraId="78A64451" w14:textId="77777777" w:rsidR="00C25A21" w:rsidRPr="002912DA" w:rsidRDefault="00C25A21" w:rsidP="00D85F07">
            <w:pPr>
              <w:pStyle w:val="StyleTableHeaderWhite"/>
            </w:pPr>
            <w:r w:rsidRPr="002912DA">
              <w:t>Gender</w:t>
            </w:r>
          </w:p>
        </w:tc>
        <w:tc>
          <w:tcPr>
            <w:tcW w:w="1700" w:type="dxa"/>
            <w:hideMark/>
          </w:tcPr>
          <w:p w14:paraId="1D97CC64" w14:textId="77777777" w:rsidR="00C25A21" w:rsidRPr="002912DA" w:rsidRDefault="00C25A21"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Year</w:t>
            </w:r>
          </w:p>
        </w:tc>
        <w:tc>
          <w:tcPr>
            <w:tcW w:w="1620" w:type="dxa"/>
            <w:hideMark/>
          </w:tcPr>
          <w:p w14:paraId="6388E0A2" w14:textId="30E43155" w:rsidR="00C25A21" w:rsidRPr="002912DA" w:rsidRDefault="00C25A21"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CIs on </w:t>
            </w:r>
            <w:r w:rsidR="00263513" w:rsidRPr="002912DA">
              <w:t>a</w:t>
            </w:r>
            <w:r w:rsidRPr="002912DA">
              <w:t>pplications</w:t>
            </w:r>
            <w:r w:rsidR="00F54930" w:rsidRPr="002912DA">
              <w:t xml:space="preserve"> (n)</w:t>
            </w:r>
          </w:p>
        </w:tc>
        <w:tc>
          <w:tcPr>
            <w:tcW w:w="1420" w:type="dxa"/>
            <w:hideMark/>
          </w:tcPr>
          <w:p w14:paraId="151E8B8F" w14:textId="6643BBF1" w:rsidR="00C25A21" w:rsidRPr="002912DA" w:rsidRDefault="00C25A21"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 xml:space="preserve">CIs on </w:t>
            </w:r>
            <w:r w:rsidR="00263513" w:rsidRPr="002912DA">
              <w:t>g</w:t>
            </w:r>
            <w:r w:rsidRPr="002912DA">
              <w:t xml:space="preserve">rants </w:t>
            </w:r>
            <w:r w:rsidR="00263513" w:rsidRPr="002912DA">
              <w:t>a</w:t>
            </w:r>
            <w:r w:rsidRPr="002912DA">
              <w:t>warded</w:t>
            </w:r>
            <w:r w:rsidR="00F54930" w:rsidRPr="002912DA">
              <w:t xml:space="preserve"> (n)</w:t>
            </w:r>
          </w:p>
        </w:tc>
        <w:tc>
          <w:tcPr>
            <w:tcW w:w="1720" w:type="dxa"/>
            <w:hideMark/>
          </w:tcPr>
          <w:p w14:paraId="4FDCA538" w14:textId="50F38EC0" w:rsidR="00C25A21" w:rsidRPr="002912DA" w:rsidRDefault="00C25A21"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Funded rate</w:t>
            </w:r>
            <w:r w:rsidR="00F54930" w:rsidRPr="002912DA">
              <w:t xml:space="preserve"> (%)</w:t>
            </w:r>
          </w:p>
        </w:tc>
        <w:tc>
          <w:tcPr>
            <w:tcW w:w="1634" w:type="dxa"/>
            <w:hideMark/>
          </w:tcPr>
          <w:p w14:paraId="5EBB3EFE" w14:textId="18C4F2AB" w:rsidR="00C25A21" w:rsidRPr="002912DA" w:rsidRDefault="00C25A21" w:rsidP="00D85F07">
            <w:pPr>
              <w:pStyle w:val="StyleTableHeaderWhite"/>
              <w:cnfStyle w:val="100000000000" w:firstRow="1" w:lastRow="0" w:firstColumn="0" w:lastColumn="0" w:oddVBand="0" w:evenVBand="0" w:oddHBand="0" w:evenHBand="0" w:firstRowFirstColumn="0" w:firstRowLastColumn="0" w:lastRowFirstColumn="0" w:lastRowLastColumn="0"/>
            </w:pPr>
            <w:r w:rsidRPr="002912DA">
              <w:t>Proportion of CIs awarded</w:t>
            </w:r>
            <w:r w:rsidR="00F54930" w:rsidRPr="002912DA">
              <w:t xml:space="preserve"> (%)</w:t>
            </w:r>
          </w:p>
        </w:tc>
      </w:tr>
      <w:tr w:rsidR="00C25A21" w:rsidRPr="002912DA" w14:paraId="251C57B2"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val="restart"/>
            <w:hideMark/>
          </w:tcPr>
          <w:p w14:paraId="6BBC92B4" w14:textId="77777777" w:rsidR="00C25A21" w:rsidRPr="002912DA" w:rsidRDefault="00C25A21" w:rsidP="00D85F07">
            <w:pPr>
              <w:pStyle w:val="Tabletextcentre"/>
            </w:pPr>
            <w:r w:rsidRPr="002912DA">
              <w:t>Woman or Female</w:t>
            </w:r>
          </w:p>
        </w:tc>
        <w:tc>
          <w:tcPr>
            <w:tcW w:w="1700" w:type="dxa"/>
            <w:hideMark/>
          </w:tcPr>
          <w:p w14:paraId="3C54FA4D"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620" w:type="dxa"/>
            <w:hideMark/>
          </w:tcPr>
          <w:p w14:paraId="23134001"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574</w:t>
            </w:r>
          </w:p>
        </w:tc>
        <w:tc>
          <w:tcPr>
            <w:tcW w:w="1420" w:type="dxa"/>
            <w:hideMark/>
          </w:tcPr>
          <w:p w14:paraId="348B2CA6"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138</w:t>
            </w:r>
          </w:p>
        </w:tc>
        <w:tc>
          <w:tcPr>
            <w:tcW w:w="1720" w:type="dxa"/>
            <w:hideMark/>
          </w:tcPr>
          <w:p w14:paraId="5A3C9E51"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24.0</w:t>
            </w:r>
          </w:p>
        </w:tc>
        <w:tc>
          <w:tcPr>
            <w:tcW w:w="1634" w:type="dxa"/>
            <w:hideMark/>
          </w:tcPr>
          <w:p w14:paraId="6292643D"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63.3</w:t>
            </w:r>
          </w:p>
        </w:tc>
      </w:tr>
      <w:tr w:rsidR="00C25A21" w:rsidRPr="002912DA" w14:paraId="6B383D8F"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hideMark/>
          </w:tcPr>
          <w:p w14:paraId="4B5D11D8" w14:textId="77777777" w:rsidR="00C25A21" w:rsidRPr="002912DA" w:rsidRDefault="00C25A21" w:rsidP="00D85F07">
            <w:pPr>
              <w:pStyle w:val="Tabletextcentre"/>
            </w:pPr>
          </w:p>
        </w:tc>
        <w:tc>
          <w:tcPr>
            <w:tcW w:w="1700" w:type="dxa"/>
            <w:hideMark/>
          </w:tcPr>
          <w:p w14:paraId="4C825E90"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620" w:type="dxa"/>
            <w:hideMark/>
          </w:tcPr>
          <w:p w14:paraId="4072A503"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1578</w:t>
            </w:r>
          </w:p>
        </w:tc>
        <w:tc>
          <w:tcPr>
            <w:tcW w:w="1420" w:type="dxa"/>
            <w:hideMark/>
          </w:tcPr>
          <w:p w14:paraId="093130BF"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99</w:t>
            </w:r>
          </w:p>
        </w:tc>
        <w:tc>
          <w:tcPr>
            <w:tcW w:w="1720" w:type="dxa"/>
            <w:hideMark/>
          </w:tcPr>
          <w:p w14:paraId="3F27BBE5"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6.3</w:t>
            </w:r>
          </w:p>
        </w:tc>
        <w:tc>
          <w:tcPr>
            <w:tcW w:w="1634" w:type="dxa"/>
            <w:hideMark/>
          </w:tcPr>
          <w:p w14:paraId="726015FB"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53.2</w:t>
            </w:r>
          </w:p>
        </w:tc>
      </w:tr>
      <w:tr w:rsidR="00C25A21" w:rsidRPr="002912DA" w14:paraId="1C07AD48"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val="restart"/>
            <w:hideMark/>
          </w:tcPr>
          <w:p w14:paraId="679E8F0F" w14:textId="77777777" w:rsidR="00C25A21" w:rsidRPr="002912DA" w:rsidRDefault="00C25A21" w:rsidP="00D85F07">
            <w:pPr>
              <w:pStyle w:val="Tabletextcentre"/>
            </w:pPr>
            <w:r w:rsidRPr="002912DA">
              <w:t>Man or Male</w:t>
            </w:r>
          </w:p>
        </w:tc>
        <w:tc>
          <w:tcPr>
            <w:tcW w:w="1700" w:type="dxa"/>
            <w:hideMark/>
          </w:tcPr>
          <w:p w14:paraId="48E312E2"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620" w:type="dxa"/>
            <w:hideMark/>
          </w:tcPr>
          <w:p w14:paraId="4A58392C"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374</w:t>
            </w:r>
          </w:p>
        </w:tc>
        <w:tc>
          <w:tcPr>
            <w:tcW w:w="1420" w:type="dxa"/>
            <w:hideMark/>
          </w:tcPr>
          <w:p w14:paraId="35963B5B"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75</w:t>
            </w:r>
          </w:p>
        </w:tc>
        <w:tc>
          <w:tcPr>
            <w:tcW w:w="1720" w:type="dxa"/>
            <w:hideMark/>
          </w:tcPr>
          <w:p w14:paraId="5F6FDAE3"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20.1</w:t>
            </w:r>
          </w:p>
        </w:tc>
        <w:tc>
          <w:tcPr>
            <w:tcW w:w="1634" w:type="dxa"/>
            <w:hideMark/>
          </w:tcPr>
          <w:p w14:paraId="612D2595"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34.4</w:t>
            </w:r>
          </w:p>
        </w:tc>
      </w:tr>
      <w:tr w:rsidR="00C25A21" w:rsidRPr="002912DA" w14:paraId="11DD97FF"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hideMark/>
          </w:tcPr>
          <w:p w14:paraId="6D8F6910" w14:textId="77777777" w:rsidR="00C25A21" w:rsidRPr="002912DA" w:rsidRDefault="00C25A21" w:rsidP="00D85F07">
            <w:pPr>
              <w:pStyle w:val="Tabletextcentre"/>
            </w:pPr>
          </w:p>
        </w:tc>
        <w:tc>
          <w:tcPr>
            <w:tcW w:w="1700" w:type="dxa"/>
            <w:hideMark/>
          </w:tcPr>
          <w:p w14:paraId="31BE76B6"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620" w:type="dxa"/>
            <w:hideMark/>
          </w:tcPr>
          <w:p w14:paraId="72DCED2B"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994</w:t>
            </w:r>
          </w:p>
        </w:tc>
        <w:tc>
          <w:tcPr>
            <w:tcW w:w="1420" w:type="dxa"/>
            <w:hideMark/>
          </w:tcPr>
          <w:p w14:paraId="20838EA6"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79</w:t>
            </w:r>
          </w:p>
        </w:tc>
        <w:tc>
          <w:tcPr>
            <w:tcW w:w="1720" w:type="dxa"/>
            <w:hideMark/>
          </w:tcPr>
          <w:p w14:paraId="72042BE0"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8.0</w:t>
            </w:r>
          </w:p>
        </w:tc>
        <w:tc>
          <w:tcPr>
            <w:tcW w:w="1634" w:type="dxa"/>
            <w:hideMark/>
          </w:tcPr>
          <w:p w14:paraId="25142BB5"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42.5</w:t>
            </w:r>
          </w:p>
        </w:tc>
      </w:tr>
      <w:tr w:rsidR="00C25A21" w:rsidRPr="002912DA" w14:paraId="055809DD"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val="restart"/>
            <w:hideMark/>
          </w:tcPr>
          <w:p w14:paraId="7D1CD1EC" w14:textId="77777777" w:rsidR="00C25A21" w:rsidRPr="002912DA" w:rsidRDefault="00C25A21" w:rsidP="00D85F07">
            <w:pPr>
              <w:pStyle w:val="Tabletextcentre"/>
            </w:pPr>
            <w:r w:rsidRPr="002912DA">
              <w:t>Non-binary</w:t>
            </w:r>
          </w:p>
        </w:tc>
        <w:tc>
          <w:tcPr>
            <w:tcW w:w="1700" w:type="dxa"/>
            <w:hideMark/>
          </w:tcPr>
          <w:p w14:paraId="55AE4517"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620" w:type="dxa"/>
            <w:hideMark/>
          </w:tcPr>
          <w:p w14:paraId="199D7506"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1420" w:type="dxa"/>
            <w:hideMark/>
          </w:tcPr>
          <w:p w14:paraId="489F2FB6"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w:t>
            </w:r>
          </w:p>
        </w:tc>
        <w:tc>
          <w:tcPr>
            <w:tcW w:w="1720" w:type="dxa"/>
            <w:hideMark/>
          </w:tcPr>
          <w:p w14:paraId="1DF62C5D"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25.0</w:t>
            </w:r>
          </w:p>
        </w:tc>
        <w:tc>
          <w:tcPr>
            <w:tcW w:w="1634" w:type="dxa"/>
            <w:hideMark/>
          </w:tcPr>
          <w:p w14:paraId="0810BE0F"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0.46</w:t>
            </w:r>
          </w:p>
        </w:tc>
      </w:tr>
      <w:tr w:rsidR="00C25A21" w:rsidRPr="002912DA" w14:paraId="1F4F6479"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hideMark/>
          </w:tcPr>
          <w:p w14:paraId="1D7F108B" w14:textId="77777777" w:rsidR="00C25A21" w:rsidRPr="002912DA" w:rsidRDefault="00C25A21" w:rsidP="00D85F07">
            <w:pPr>
              <w:pStyle w:val="Tabletextcentre"/>
            </w:pPr>
          </w:p>
        </w:tc>
        <w:tc>
          <w:tcPr>
            <w:tcW w:w="1700" w:type="dxa"/>
            <w:hideMark/>
          </w:tcPr>
          <w:p w14:paraId="2EAA733F"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620" w:type="dxa"/>
            <w:hideMark/>
          </w:tcPr>
          <w:p w14:paraId="5C140E0E"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w:t>
            </w:r>
          </w:p>
        </w:tc>
        <w:tc>
          <w:tcPr>
            <w:tcW w:w="1420" w:type="dxa"/>
            <w:hideMark/>
          </w:tcPr>
          <w:p w14:paraId="086C0495"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w:t>
            </w:r>
          </w:p>
        </w:tc>
        <w:tc>
          <w:tcPr>
            <w:tcW w:w="1720" w:type="dxa"/>
            <w:hideMark/>
          </w:tcPr>
          <w:p w14:paraId="32F88546"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c>
          <w:tcPr>
            <w:tcW w:w="1634" w:type="dxa"/>
            <w:hideMark/>
          </w:tcPr>
          <w:p w14:paraId="031D8A4D"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0.0</w:t>
            </w:r>
          </w:p>
        </w:tc>
      </w:tr>
      <w:tr w:rsidR="00C25A21" w:rsidRPr="002912DA" w14:paraId="0623FCF8"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val="restart"/>
            <w:hideMark/>
          </w:tcPr>
          <w:p w14:paraId="43CE27C9" w14:textId="77777777" w:rsidR="00C25A21" w:rsidRPr="002912DA" w:rsidRDefault="00C25A21" w:rsidP="00D85F07">
            <w:pPr>
              <w:pStyle w:val="Tabletextcentre"/>
            </w:pPr>
            <w:r w:rsidRPr="002912DA">
              <w:t>Not reported</w:t>
            </w:r>
          </w:p>
        </w:tc>
        <w:tc>
          <w:tcPr>
            <w:tcW w:w="1700" w:type="dxa"/>
            <w:hideMark/>
          </w:tcPr>
          <w:p w14:paraId="56D932D8"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620" w:type="dxa"/>
            <w:hideMark/>
          </w:tcPr>
          <w:p w14:paraId="658066BA"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46</w:t>
            </w:r>
          </w:p>
        </w:tc>
        <w:tc>
          <w:tcPr>
            <w:tcW w:w="1420" w:type="dxa"/>
            <w:hideMark/>
          </w:tcPr>
          <w:p w14:paraId="09F1DABF"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4</w:t>
            </w:r>
          </w:p>
        </w:tc>
        <w:tc>
          <w:tcPr>
            <w:tcW w:w="1720" w:type="dxa"/>
            <w:hideMark/>
          </w:tcPr>
          <w:p w14:paraId="1E617774" w14:textId="1161F1B1"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8</w:t>
            </w:r>
            <w:r w:rsidR="00B56BE0" w:rsidRPr="002912DA">
              <w:t>.</w:t>
            </w:r>
            <w:r w:rsidRPr="002912DA">
              <w:t>7</w:t>
            </w:r>
          </w:p>
        </w:tc>
        <w:tc>
          <w:tcPr>
            <w:tcW w:w="1634" w:type="dxa"/>
            <w:hideMark/>
          </w:tcPr>
          <w:p w14:paraId="1C305B1C"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1.8</w:t>
            </w:r>
          </w:p>
        </w:tc>
      </w:tr>
      <w:tr w:rsidR="00C25A21" w:rsidRPr="002912DA" w14:paraId="6831535B"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hideMark/>
          </w:tcPr>
          <w:p w14:paraId="2DAC679F" w14:textId="77777777" w:rsidR="00C25A21" w:rsidRPr="002912DA" w:rsidRDefault="00C25A21" w:rsidP="00D85F07">
            <w:pPr>
              <w:pStyle w:val="Tabletextcentre"/>
            </w:pPr>
          </w:p>
        </w:tc>
        <w:tc>
          <w:tcPr>
            <w:tcW w:w="1700" w:type="dxa"/>
            <w:hideMark/>
          </w:tcPr>
          <w:p w14:paraId="4A101B13"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620" w:type="dxa"/>
            <w:hideMark/>
          </w:tcPr>
          <w:p w14:paraId="66EB7959"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109</w:t>
            </w:r>
          </w:p>
        </w:tc>
        <w:tc>
          <w:tcPr>
            <w:tcW w:w="1420" w:type="dxa"/>
            <w:hideMark/>
          </w:tcPr>
          <w:p w14:paraId="729B362D"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8</w:t>
            </w:r>
          </w:p>
        </w:tc>
        <w:tc>
          <w:tcPr>
            <w:tcW w:w="1720" w:type="dxa"/>
            <w:hideMark/>
          </w:tcPr>
          <w:p w14:paraId="477A5D4D"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7.3</w:t>
            </w:r>
          </w:p>
        </w:tc>
        <w:tc>
          <w:tcPr>
            <w:tcW w:w="1634" w:type="dxa"/>
            <w:hideMark/>
          </w:tcPr>
          <w:p w14:paraId="3C5A1DAD"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4.3</w:t>
            </w:r>
          </w:p>
        </w:tc>
      </w:tr>
      <w:tr w:rsidR="00C25A21" w:rsidRPr="002912DA" w14:paraId="03932014" w14:textId="77777777" w:rsidTr="00D85F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val="restart"/>
            <w:hideMark/>
          </w:tcPr>
          <w:p w14:paraId="4757BE46" w14:textId="77777777" w:rsidR="00C25A21" w:rsidRPr="002912DA" w:rsidRDefault="00C25A21" w:rsidP="00D85F07">
            <w:pPr>
              <w:pStyle w:val="Tabletextcentre"/>
            </w:pPr>
            <w:r w:rsidRPr="002912DA">
              <w:t>All genders</w:t>
            </w:r>
          </w:p>
        </w:tc>
        <w:tc>
          <w:tcPr>
            <w:tcW w:w="1700" w:type="dxa"/>
            <w:hideMark/>
          </w:tcPr>
          <w:p w14:paraId="0C2B52B5"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2023</w:t>
            </w:r>
          </w:p>
        </w:tc>
        <w:tc>
          <w:tcPr>
            <w:tcW w:w="1620" w:type="dxa"/>
            <w:hideMark/>
          </w:tcPr>
          <w:p w14:paraId="7510A3F8"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998</w:t>
            </w:r>
          </w:p>
        </w:tc>
        <w:tc>
          <w:tcPr>
            <w:tcW w:w="1420" w:type="dxa"/>
            <w:hideMark/>
          </w:tcPr>
          <w:p w14:paraId="1A6F6678"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218</w:t>
            </w:r>
          </w:p>
        </w:tc>
        <w:tc>
          <w:tcPr>
            <w:tcW w:w="1720" w:type="dxa"/>
            <w:hideMark/>
          </w:tcPr>
          <w:p w14:paraId="3EBAC95C"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21.8</w:t>
            </w:r>
          </w:p>
        </w:tc>
        <w:tc>
          <w:tcPr>
            <w:tcW w:w="1634" w:type="dxa"/>
            <w:hideMark/>
          </w:tcPr>
          <w:p w14:paraId="1ECB9801" w14:textId="77777777" w:rsidR="00C25A21" w:rsidRPr="002912DA" w:rsidRDefault="00C25A21" w:rsidP="00D85F07">
            <w:pPr>
              <w:pStyle w:val="Tabletextcentre"/>
              <w:cnfStyle w:val="000000100000" w:firstRow="0" w:lastRow="0" w:firstColumn="0" w:lastColumn="0" w:oddVBand="0" w:evenVBand="0" w:oddHBand="1" w:evenHBand="0" w:firstRowFirstColumn="0" w:firstRowLastColumn="0" w:lastRowFirstColumn="0" w:lastRowLastColumn="0"/>
            </w:pPr>
            <w:r w:rsidRPr="002912DA">
              <w:t>100.0</w:t>
            </w:r>
          </w:p>
        </w:tc>
      </w:tr>
      <w:tr w:rsidR="00C25A21" w:rsidRPr="002912DA" w14:paraId="17A4546F" w14:textId="77777777" w:rsidTr="00D85F0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40" w:type="dxa"/>
            <w:vMerge/>
            <w:hideMark/>
          </w:tcPr>
          <w:p w14:paraId="3E425E35" w14:textId="77777777" w:rsidR="00C25A21" w:rsidRPr="002912DA" w:rsidRDefault="00C25A21" w:rsidP="00D85F07">
            <w:pPr>
              <w:pStyle w:val="Tabletextcentre"/>
            </w:pPr>
          </w:p>
        </w:tc>
        <w:tc>
          <w:tcPr>
            <w:tcW w:w="1700" w:type="dxa"/>
            <w:hideMark/>
          </w:tcPr>
          <w:p w14:paraId="1324E0E9"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2021</w:t>
            </w:r>
          </w:p>
        </w:tc>
        <w:tc>
          <w:tcPr>
            <w:tcW w:w="1620" w:type="dxa"/>
            <w:hideMark/>
          </w:tcPr>
          <w:p w14:paraId="08D51354"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2683</w:t>
            </w:r>
          </w:p>
        </w:tc>
        <w:tc>
          <w:tcPr>
            <w:tcW w:w="1420" w:type="dxa"/>
            <w:hideMark/>
          </w:tcPr>
          <w:p w14:paraId="71533855"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186</w:t>
            </w:r>
          </w:p>
        </w:tc>
        <w:tc>
          <w:tcPr>
            <w:tcW w:w="1720" w:type="dxa"/>
            <w:hideMark/>
          </w:tcPr>
          <w:p w14:paraId="20A50546"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6.9</w:t>
            </w:r>
          </w:p>
        </w:tc>
        <w:tc>
          <w:tcPr>
            <w:tcW w:w="1634" w:type="dxa"/>
            <w:hideMark/>
          </w:tcPr>
          <w:p w14:paraId="75C81396" w14:textId="77777777" w:rsidR="00C25A21" w:rsidRPr="002912DA" w:rsidRDefault="00C25A21" w:rsidP="00D85F07">
            <w:pPr>
              <w:pStyle w:val="Tabletextcentre"/>
              <w:cnfStyle w:val="000000010000" w:firstRow="0" w:lastRow="0" w:firstColumn="0" w:lastColumn="0" w:oddVBand="0" w:evenVBand="0" w:oddHBand="0" w:evenHBand="1" w:firstRowFirstColumn="0" w:firstRowLastColumn="0" w:lastRowFirstColumn="0" w:lastRowLastColumn="0"/>
            </w:pPr>
            <w:r w:rsidRPr="002912DA">
              <w:t>100.0</w:t>
            </w:r>
          </w:p>
        </w:tc>
      </w:tr>
    </w:tbl>
    <w:p w14:paraId="1E7E73C2" w14:textId="4E9061BC" w:rsidR="00D54260" w:rsidRDefault="00D54260" w:rsidP="00361E69">
      <w:pPr>
        <w:pStyle w:val="Tabletextleft"/>
      </w:pPr>
      <w:r w:rsidRPr="00AB6D49">
        <w:t>The analysis of gender was based on data provided by Chief Investigators (CIs) captured through self-identification as</w:t>
      </w:r>
      <w:r>
        <w:t xml:space="preserve"> woman or female,</w:t>
      </w:r>
      <w:r w:rsidRPr="00AB6D49">
        <w:t xml:space="preserve"> male or man,</w:t>
      </w:r>
      <w:r w:rsidR="00E31306">
        <w:t xml:space="preserve"> </w:t>
      </w:r>
      <w:r w:rsidRPr="00AB6D49">
        <w:t xml:space="preserve">non-binary, or not reported. </w:t>
      </w:r>
    </w:p>
    <w:p w14:paraId="7B1E34B3" w14:textId="6A004D4F" w:rsidR="007E1BE3" w:rsidRPr="00E6756B" w:rsidRDefault="007E1BE3" w:rsidP="000640DD">
      <w:pPr>
        <w:pStyle w:val="Heading2"/>
      </w:pPr>
      <w:bookmarkStart w:id="23" w:name="_Toc168043246"/>
      <w:r w:rsidRPr="00E6756B">
        <w:t xml:space="preserve">Years post-PhD of </w:t>
      </w:r>
      <w:r w:rsidR="00AE7F04" w:rsidRPr="00E6756B">
        <w:t>investigator</w:t>
      </w:r>
      <w:r w:rsidRPr="00E6756B">
        <w:t xml:space="preserve"> team</w:t>
      </w:r>
      <w:r w:rsidR="009C7C82" w:rsidRPr="00E6756B">
        <w:t>s</w:t>
      </w:r>
      <w:bookmarkEnd w:id="23"/>
    </w:p>
    <w:p w14:paraId="29084CDD" w14:textId="2906DD49" w:rsidR="00ED3149" w:rsidRPr="00CD59E2" w:rsidRDefault="00552BF2" w:rsidP="00CD59E2">
      <w:r w:rsidRPr="00CD59E2">
        <w:t xml:space="preserve">Over </w:t>
      </w:r>
      <w:r w:rsidR="00B603FB" w:rsidRPr="00CD59E2">
        <w:t>80</w:t>
      </w:r>
      <w:r w:rsidRPr="00CD59E2">
        <w:t>% of the</w:t>
      </w:r>
      <w:r w:rsidR="00D6714D" w:rsidRPr="00CD59E2">
        <w:t xml:space="preserve"> </w:t>
      </w:r>
      <w:r w:rsidR="00817A59" w:rsidRPr="00CD59E2">
        <w:t>218</w:t>
      </w:r>
      <w:r w:rsidRPr="00CD59E2">
        <w:t xml:space="preserve"> </w:t>
      </w:r>
      <w:r w:rsidR="00F8024E" w:rsidRPr="00CD59E2">
        <w:t xml:space="preserve">CIs who received funding through the </w:t>
      </w:r>
      <w:r w:rsidR="00A1077C" w:rsidRPr="00CD59E2">
        <w:t>2023 Early to Mid-Career Researcher</w:t>
      </w:r>
      <w:r w:rsidR="002D77AD" w:rsidRPr="00CD59E2">
        <w:t>s Grant Opportunity</w:t>
      </w:r>
      <w:r w:rsidR="002D77AD" w:rsidRPr="00CD59E2" w:rsidDel="00E45F45">
        <w:t xml:space="preserve"> </w:t>
      </w:r>
      <w:r w:rsidR="0047388F" w:rsidRPr="00CD59E2">
        <w:t>had completed their PhDs less than 1</w:t>
      </w:r>
      <w:r w:rsidR="00543F48" w:rsidRPr="00CD59E2">
        <w:t>1</w:t>
      </w:r>
      <w:r w:rsidR="0047388F" w:rsidRPr="00CD59E2">
        <w:t xml:space="preserve"> years ago</w:t>
      </w:r>
      <w:r w:rsidR="002E2181" w:rsidRPr="00CD59E2">
        <w:t>, comparable to the 2021 grant opportunity</w:t>
      </w:r>
      <w:r w:rsidR="0047388F" w:rsidRPr="00CD59E2">
        <w:t>.</w:t>
      </w:r>
      <w:r w:rsidR="00F8024E" w:rsidRPr="00CD59E2">
        <w:t xml:space="preserve"> In </w:t>
      </w:r>
      <w:r w:rsidR="00771600" w:rsidRPr="00CD59E2">
        <w:t>F</w:t>
      </w:r>
      <w:r w:rsidR="0047388F" w:rsidRPr="00CD59E2">
        <w:t xml:space="preserve">igure </w:t>
      </w:r>
      <w:r w:rsidR="00662032" w:rsidRPr="00CD59E2">
        <w:t>6</w:t>
      </w:r>
      <w:r w:rsidR="003141F3" w:rsidRPr="00CD59E2">
        <w:t>,</w:t>
      </w:r>
      <w:r w:rsidR="00F8024E" w:rsidRPr="00CD59E2">
        <w:t xml:space="preserve"> many of the researchers who are </w:t>
      </w:r>
      <w:r w:rsidR="00426C8D" w:rsidRPr="00CD59E2">
        <w:t>more than</w:t>
      </w:r>
      <w:r w:rsidR="00F8024E" w:rsidRPr="00CD59E2">
        <w:t xml:space="preserve"> 10 years post-PhD will have </w:t>
      </w:r>
      <w:r w:rsidR="0026665A" w:rsidRPr="00CD59E2">
        <w:t xml:space="preserve">declared </w:t>
      </w:r>
      <w:r w:rsidR="00F8024E" w:rsidRPr="00CD59E2">
        <w:t>career disruptions</w:t>
      </w:r>
      <w:r w:rsidR="002D77AD" w:rsidRPr="00CD59E2">
        <w:t xml:space="preserve"> and</w:t>
      </w:r>
      <w:r w:rsidR="00F8024E" w:rsidRPr="00CD59E2">
        <w:t xml:space="preserve"> qualified as MCRs.</w:t>
      </w:r>
      <w:r w:rsidR="007D547A" w:rsidRPr="00CD59E2">
        <w:t xml:space="preserve"> </w:t>
      </w:r>
      <w:r w:rsidR="00233C0B" w:rsidRPr="00CD59E2">
        <w:t>The CIA on Stream 3 applications had to be an E</w:t>
      </w:r>
      <w:r w:rsidR="00D6714D" w:rsidRPr="00CD59E2">
        <w:t>CR or MCR</w:t>
      </w:r>
      <w:r w:rsidR="00F45527" w:rsidRPr="00CD59E2">
        <w:t>, however</w:t>
      </w:r>
      <w:r w:rsidR="00233C0B" w:rsidRPr="00CD59E2">
        <w:t xml:space="preserve"> more experienced researchers could be part of the CI team</w:t>
      </w:r>
      <w:r w:rsidR="005D5584" w:rsidRPr="00CD59E2">
        <w:t>.</w:t>
      </w:r>
      <w:r w:rsidR="00CE2152" w:rsidRPr="00CD59E2">
        <w:t xml:space="preserve"> </w:t>
      </w:r>
    </w:p>
    <w:p w14:paraId="718249BA" w14:textId="2805A818" w:rsidR="00817A59" w:rsidRPr="00223BB4" w:rsidRDefault="002912DA" w:rsidP="002912DA">
      <w:pPr>
        <w:pStyle w:val="Caption"/>
      </w:pPr>
      <w:r>
        <w:lastRenderedPageBreak/>
        <w:t xml:space="preserve">Figure </w:t>
      </w:r>
      <w:r>
        <w:fldChar w:fldCharType="begin"/>
      </w:r>
      <w:r>
        <w:instrText xml:space="preserve"> SEQ Figure \* ARABIC </w:instrText>
      </w:r>
      <w:r>
        <w:fldChar w:fldCharType="separate"/>
      </w:r>
      <w:r>
        <w:rPr>
          <w:noProof/>
        </w:rPr>
        <w:t>6</w:t>
      </w:r>
      <w:r>
        <w:fldChar w:fldCharType="end"/>
      </w:r>
      <w:r w:rsidR="009802B8" w:rsidRPr="00223BB4">
        <w:t xml:space="preserve"> - Years post-PhD of CI team members on awarded grants, unadjusted for career disruption</w:t>
      </w:r>
    </w:p>
    <w:p w14:paraId="726CF06B" w14:textId="55E4BBF2" w:rsidR="00817A59" w:rsidRPr="001B7D28" w:rsidRDefault="00DD6E39" w:rsidP="001B7D28">
      <w:r w:rsidRPr="001B7D28">
        <w:drawing>
          <wp:inline distT="0" distB="0" distL="0" distR="0" wp14:anchorId="430B1572" wp14:editId="2D62A263">
            <wp:extent cx="5572125" cy="3267075"/>
            <wp:effectExtent l="0" t="0" r="9525" b="9525"/>
            <wp:docPr id="5" name="Chart 5" descr="A bar graph illustrating the year post PhD of awarded CI's. The X axis records the unadjusted number of years post PhD of the CI and the Y axis records number of CI's.">
              <a:extLst xmlns:a="http://schemas.openxmlformats.org/drawingml/2006/main">
                <a:ext uri="{FF2B5EF4-FFF2-40B4-BE49-F238E27FC236}">
                  <a16:creationId xmlns:a16="http://schemas.microsoft.com/office/drawing/2014/main" id="{319B3DB8-43A5-5200-BB7F-6AAD223EA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C97DA36" w14:textId="20A502B6" w:rsidR="00FD5C91" w:rsidRPr="001B7D28" w:rsidRDefault="00DD6E39" w:rsidP="001B7D28">
      <w:pPr>
        <w:pStyle w:val="FootnoteText"/>
      </w:pPr>
      <w:bookmarkStart w:id="24" w:name="_Toc96522284"/>
      <w:r w:rsidRPr="00A15524">
        <w:t>*  Not reported</w:t>
      </w:r>
      <w:bookmarkStart w:id="25" w:name="_Hlk129628024"/>
      <w:bookmarkEnd w:id="24"/>
    </w:p>
    <w:p w14:paraId="652C993A" w14:textId="7B9DE400" w:rsidR="00CC3C76" w:rsidRDefault="00CC3C76" w:rsidP="00DD6E39">
      <w:pPr>
        <w:pStyle w:val="Paragraphtext"/>
        <w:sectPr w:rsidR="00CC3C76" w:rsidSect="001413B5">
          <w:pgSz w:w="11906" w:h="16838" w:code="9"/>
          <w:pgMar w:top="1701" w:right="1418" w:bottom="1418" w:left="1418" w:header="709" w:footer="567" w:gutter="0"/>
          <w:cols w:space="708"/>
          <w:docGrid w:linePitch="360"/>
        </w:sectPr>
      </w:pPr>
    </w:p>
    <w:p w14:paraId="7AFF2E38" w14:textId="7C0E735C" w:rsidR="00CC3C76" w:rsidRPr="00CE3E77" w:rsidRDefault="00CC3C76" w:rsidP="00CC3C76">
      <w:pPr>
        <w:pStyle w:val="Heading1"/>
      </w:pPr>
      <w:bookmarkStart w:id="26" w:name="_Toc168043247"/>
      <w:r>
        <w:lastRenderedPageBreak/>
        <w:t>A</w:t>
      </w:r>
      <w:r w:rsidRPr="00CE3E77">
        <w:t xml:space="preserve">ppendix </w:t>
      </w:r>
      <w:r>
        <w:t>A</w:t>
      </w:r>
      <w:r w:rsidRPr="00CE3E77">
        <w:t>. Table of grants awarded</w:t>
      </w:r>
      <w:bookmarkEnd w:id="26"/>
    </w:p>
    <w:tbl>
      <w:tblPr>
        <w:tblStyle w:val="DepartmentofHealthtable"/>
        <w:tblW w:w="9154" w:type="dxa"/>
        <w:tblLook w:val="04A0" w:firstRow="1" w:lastRow="0" w:firstColumn="1" w:lastColumn="0" w:noHBand="0" w:noVBand="1"/>
      </w:tblPr>
      <w:tblGrid>
        <w:gridCol w:w="4329"/>
        <w:gridCol w:w="2564"/>
        <w:gridCol w:w="1368"/>
        <w:gridCol w:w="893"/>
      </w:tblGrid>
      <w:tr w:rsidR="00574836" w:rsidRPr="00A15524" w14:paraId="0A1EB37D" w14:textId="77777777" w:rsidTr="00A15524">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329" w:type="dxa"/>
            <w:hideMark/>
          </w:tcPr>
          <w:p w14:paraId="386A9BFA" w14:textId="77777777" w:rsidR="00574836" w:rsidRPr="00A15524" w:rsidRDefault="00574836" w:rsidP="00D85F07">
            <w:pPr>
              <w:pStyle w:val="StyleTableHeaderWhite"/>
            </w:pPr>
            <w:r w:rsidRPr="00A15524">
              <w:t>Project</w:t>
            </w:r>
          </w:p>
        </w:tc>
        <w:tc>
          <w:tcPr>
            <w:tcW w:w="2564" w:type="dxa"/>
            <w:hideMark/>
          </w:tcPr>
          <w:p w14:paraId="6CEEA640" w14:textId="77777777" w:rsidR="00574836" w:rsidRPr="00A15524" w:rsidRDefault="00574836" w:rsidP="00D85F07">
            <w:pPr>
              <w:pStyle w:val="StyleTableHeaderWhite"/>
              <w:cnfStyle w:val="100000000000" w:firstRow="1" w:lastRow="0" w:firstColumn="0" w:lastColumn="0" w:oddVBand="0" w:evenVBand="0" w:oddHBand="0" w:evenHBand="0" w:firstRowFirstColumn="0" w:firstRowLastColumn="0" w:lastRowFirstColumn="0" w:lastRowLastColumn="0"/>
            </w:pPr>
            <w:r w:rsidRPr="00A15524">
              <w:t>Recipient</w:t>
            </w:r>
          </w:p>
        </w:tc>
        <w:tc>
          <w:tcPr>
            <w:tcW w:w="1368" w:type="dxa"/>
            <w:hideMark/>
          </w:tcPr>
          <w:p w14:paraId="1A6CDCB0" w14:textId="4D069083" w:rsidR="00574836" w:rsidRPr="00A15524" w:rsidRDefault="00574836" w:rsidP="00D85F07">
            <w:pPr>
              <w:pStyle w:val="StyleTableHeaderWhite"/>
              <w:cnfStyle w:val="100000000000" w:firstRow="1" w:lastRow="0" w:firstColumn="0" w:lastColumn="0" w:oddVBand="0" w:evenVBand="0" w:oddHBand="0" w:evenHBand="0" w:firstRowFirstColumn="0" w:firstRowLastColumn="0" w:lastRowFirstColumn="0" w:lastRowLastColumn="0"/>
            </w:pPr>
            <w:r w:rsidRPr="00A15524">
              <w:t xml:space="preserve">Funding </w:t>
            </w:r>
            <w:r w:rsidR="00CE2152" w:rsidRPr="00A15524">
              <w:t>($)</w:t>
            </w:r>
          </w:p>
        </w:tc>
        <w:tc>
          <w:tcPr>
            <w:tcW w:w="893" w:type="dxa"/>
            <w:hideMark/>
          </w:tcPr>
          <w:p w14:paraId="5D5B1418" w14:textId="77777777" w:rsidR="00574836" w:rsidRPr="00A15524" w:rsidRDefault="00574836" w:rsidP="00D85F07">
            <w:pPr>
              <w:pStyle w:val="StyleTableHeaderWhite"/>
              <w:cnfStyle w:val="100000000000" w:firstRow="1" w:lastRow="0" w:firstColumn="0" w:lastColumn="0" w:oddVBand="0" w:evenVBand="0" w:oddHBand="0" w:evenHBand="0" w:firstRowFirstColumn="0" w:firstRowLastColumn="0" w:lastRowFirstColumn="0" w:lastRowLastColumn="0"/>
            </w:pPr>
            <w:r w:rsidRPr="00A15524">
              <w:t>Stream</w:t>
            </w:r>
          </w:p>
        </w:tc>
      </w:tr>
      <w:tr w:rsidR="00574836" w:rsidRPr="00574836" w14:paraId="15AD443B"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56D882EC" w14:textId="77777777" w:rsidR="00574836" w:rsidRPr="00A15524" w:rsidRDefault="00574836" w:rsidP="00D85F07">
            <w:pPr>
              <w:pStyle w:val="Tabletextleft"/>
            </w:pPr>
            <w:r w:rsidRPr="00A15524">
              <w:t>Integrating an Artificial Intelligence Powered Smart Camera for Red Flag Detection of Life-Threatening Headaches in Rural Emergency Departments</w:t>
            </w:r>
          </w:p>
        </w:tc>
        <w:tc>
          <w:tcPr>
            <w:tcW w:w="2564" w:type="dxa"/>
            <w:noWrap/>
            <w:hideMark/>
          </w:tcPr>
          <w:p w14:paraId="4B2380A2"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Centre for Eye Research Australia Limited</w:t>
            </w:r>
          </w:p>
        </w:tc>
        <w:tc>
          <w:tcPr>
            <w:tcW w:w="1368" w:type="dxa"/>
            <w:noWrap/>
            <w:hideMark/>
          </w:tcPr>
          <w:p w14:paraId="2C0AAC15" w14:textId="0FE2DDB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598,392.60</w:t>
            </w:r>
          </w:p>
        </w:tc>
        <w:tc>
          <w:tcPr>
            <w:tcW w:w="893" w:type="dxa"/>
            <w:noWrap/>
            <w:hideMark/>
          </w:tcPr>
          <w:p w14:paraId="30786451" w14:textId="77777777" w:rsidR="00574836" w:rsidRPr="001F432C"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1F432C">
              <w:t>1</w:t>
            </w:r>
          </w:p>
        </w:tc>
      </w:tr>
      <w:tr w:rsidR="00574836" w:rsidRPr="00574836" w14:paraId="0134A73E"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331F45E1" w14:textId="77777777" w:rsidR="00574836" w:rsidRPr="00A15524" w:rsidRDefault="00574836" w:rsidP="00D85F07">
            <w:pPr>
              <w:pStyle w:val="Tabletextleft"/>
            </w:pPr>
            <w:r w:rsidRPr="00A15524">
              <w:t>A spatial, systems and solution focused approach to understanding food environment factors that influence dietary risks of Australians living in rural and remote areas</w:t>
            </w:r>
          </w:p>
        </w:tc>
        <w:tc>
          <w:tcPr>
            <w:tcW w:w="2564" w:type="dxa"/>
            <w:noWrap/>
            <w:hideMark/>
          </w:tcPr>
          <w:p w14:paraId="51C8964A"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Deakin University</w:t>
            </w:r>
          </w:p>
        </w:tc>
        <w:tc>
          <w:tcPr>
            <w:tcW w:w="1368" w:type="dxa"/>
            <w:noWrap/>
            <w:hideMark/>
          </w:tcPr>
          <w:p w14:paraId="173A6EA6" w14:textId="0D606D15"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757,310.20</w:t>
            </w:r>
          </w:p>
        </w:tc>
        <w:tc>
          <w:tcPr>
            <w:tcW w:w="893" w:type="dxa"/>
            <w:noWrap/>
            <w:hideMark/>
          </w:tcPr>
          <w:p w14:paraId="37B3A102" w14:textId="77777777" w:rsidR="00574836" w:rsidRPr="001F432C"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1F432C">
              <w:t>1</w:t>
            </w:r>
          </w:p>
        </w:tc>
      </w:tr>
      <w:tr w:rsidR="00574836" w:rsidRPr="00574836" w14:paraId="646BF5EE"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5C009D02" w14:textId="77777777" w:rsidR="00574836" w:rsidRPr="00A15524" w:rsidRDefault="00574836" w:rsidP="00D85F07">
            <w:pPr>
              <w:pStyle w:val="Tabletextleft"/>
            </w:pPr>
            <w:r w:rsidRPr="00A15524">
              <w:t>Development of Bespoke Chemotherapeutics that Target Advanced, Drug-Resistant Tumours by a Novel Mechanism</w:t>
            </w:r>
          </w:p>
        </w:tc>
        <w:tc>
          <w:tcPr>
            <w:tcW w:w="2564" w:type="dxa"/>
            <w:noWrap/>
            <w:hideMark/>
          </w:tcPr>
          <w:p w14:paraId="1E944B5E"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Griffith University</w:t>
            </w:r>
          </w:p>
        </w:tc>
        <w:tc>
          <w:tcPr>
            <w:tcW w:w="1368" w:type="dxa"/>
            <w:noWrap/>
            <w:hideMark/>
          </w:tcPr>
          <w:p w14:paraId="3A1C1AD5" w14:textId="47456990"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524,762.00</w:t>
            </w:r>
          </w:p>
        </w:tc>
        <w:tc>
          <w:tcPr>
            <w:tcW w:w="893" w:type="dxa"/>
            <w:noWrap/>
            <w:hideMark/>
          </w:tcPr>
          <w:p w14:paraId="633E345E" w14:textId="77777777" w:rsidR="00574836" w:rsidRPr="001F432C"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1F432C">
              <w:t>1</w:t>
            </w:r>
          </w:p>
        </w:tc>
      </w:tr>
      <w:tr w:rsidR="00574836" w:rsidRPr="00574836" w14:paraId="74C766D8"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1CC68800" w14:textId="77777777" w:rsidR="00574836" w:rsidRPr="00A15524" w:rsidRDefault="00574836" w:rsidP="00D85F07">
            <w:pPr>
              <w:pStyle w:val="Tabletextleft"/>
            </w:pPr>
            <w:r w:rsidRPr="00A15524">
              <w:t>3D Bioprinted Strategies for Improving Female Pelvic Reconstructive Surgery Outcomes</w:t>
            </w:r>
          </w:p>
        </w:tc>
        <w:tc>
          <w:tcPr>
            <w:tcW w:w="2564" w:type="dxa"/>
            <w:noWrap/>
            <w:hideMark/>
          </w:tcPr>
          <w:p w14:paraId="075C27FE"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Monash University</w:t>
            </w:r>
          </w:p>
        </w:tc>
        <w:tc>
          <w:tcPr>
            <w:tcW w:w="1368" w:type="dxa"/>
            <w:noWrap/>
            <w:hideMark/>
          </w:tcPr>
          <w:p w14:paraId="7576F364" w14:textId="4CEF9639"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759,541.90</w:t>
            </w:r>
          </w:p>
        </w:tc>
        <w:tc>
          <w:tcPr>
            <w:tcW w:w="893" w:type="dxa"/>
            <w:noWrap/>
            <w:hideMark/>
          </w:tcPr>
          <w:p w14:paraId="6F644567" w14:textId="77777777" w:rsidR="00574836" w:rsidRPr="001F432C"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1F432C">
              <w:t>1</w:t>
            </w:r>
          </w:p>
        </w:tc>
      </w:tr>
      <w:tr w:rsidR="00574836" w:rsidRPr="00574836" w14:paraId="08180C0A"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20C15200" w14:textId="77777777" w:rsidR="00574836" w:rsidRPr="00A15524" w:rsidRDefault="00574836" w:rsidP="00D85F07">
            <w:pPr>
              <w:pStyle w:val="Tabletextleft"/>
            </w:pPr>
            <w:r w:rsidRPr="00A15524">
              <w:t>Targeting the Dysregulated Epigenome to Enhance Immunotherapy Response</w:t>
            </w:r>
          </w:p>
        </w:tc>
        <w:tc>
          <w:tcPr>
            <w:tcW w:w="2564" w:type="dxa"/>
            <w:noWrap/>
            <w:hideMark/>
          </w:tcPr>
          <w:p w14:paraId="33738246"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Monash University</w:t>
            </w:r>
          </w:p>
        </w:tc>
        <w:tc>
          <w:tcPr>
            <w:tcW w:w="1368" w:type="dxa"/>
            <w:noWrap/>
            <w:hideMark/>
          </w:tcPr>
          <w:p w14:paraId="71597AB6" w14:textId="1E62EB8A"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993,500.10</w:t>
            </w:r>
          </w:p>
        </w:tc>
        <w:tc>
          <w:tcPr>
            <w:tcW w:w="893" w:type="dxa"/>
            <w:noWrap/>
            <w:hideMark/>
          </w:tcPr>
          <w:p w14:paraId="10C59CAB" w14:textId="77777777" w:rsidR="00574836" w:rsidRPr="001F432C"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1F432C">
              <w:t>1</w:t>
            </w:r>
          </w:p>
        </w:tc>
      </w:tr>
      <w:tr w:rsidR="00574836" w:rsidRPr="00574836" w14:paraId="0095541F"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1D928CCA" w14:textId="77777777" w:rsidR="00574836" w:rsidRPr="00A15524" w:rsidRDefault="00574836" w:rsidP="00D85F07">
            <w:pPr>
              <w:pStyle w:val="Tabletextleft"/>
            </w:pPr>
            <w:r w:rsidRPr="00A15524">
              <w:t>NOTE-FY: Nocturnal Oxygen with Telemonitoring in Fibrotic Interstitial Lung Disease Feasibility Evaluation</w:t>
            </w:r>
          </w:p>
        </w:tc>
        <w:tc>
          <w:tcPr>
            <w:tcW w:w="2564" w:type="dxa"/>
            <w:noWrap/>
            <w:hideMark/>
          </w:tcPr>
          <w:p w14:paraId="1A2FDADB"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Monash University</w:t>
            </w:r>
          </w:p>
        </w:tc>
        <w:tc>
          <w:tcPr>
            <w:tcW w:w="1368" w:type="dxa"/>
            <w:noWrap/>
            <w:hideMark/>
          </w:tcPr>
          <w:p w14:paraId="38EBC340" w14:textId="53F2D703"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642,425.80</w:t>
            </w:r>
          </w:p>
        </w:tc>
        <w:tc>
          <w:tcPr>
            <w:tcW w:w="893" w:type="dxa"/>
            <w:noWrap/>
            <w:hideMark/>
          </w:tcPr>
          <w:p w14:paraId="47AE30DC" w14:textId="77777777" w:rsidR="00574836" w:rsidRPr="001F432C"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1F432C">
              <w:t>1</w:t>
            </w:r>
          </w:p>
        </w:tc>
      </w:tr>
      <w:tr w:rsidR="00574836" w:rsidRPr="00574836" w14:paraId="5998C5EC"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7BC8E7D3" w14:textId="0A0B2144" w:rsidR="00574836" w:rsidRPr="00A15524" w:rsidRDefault="00574836" w:rsidP="00D85F07">
            <w:pPr>
              <w:pStyle w:val="Tabletextleft"/>
            </w:pPr>
            <w:r w:rsidRPr="00A15524">
              <w:t>Molecular determinants and clinical outcomes of Australian Indigenous blood cancer: The first comprehensive survey</w:t>
            </w:r>
          </w:p>
        </w:tc>
        <w:tc>
          <w:tcPr>
            <w:tcW w:w="2564" w:type="dxa"/>
            <w:noWrap/>
            <w:hideMark/>
          </w:tcPr>
          <w:p w14:paraId="65727D31"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The Australian National University</w:t>
            </w:r>
          </w:p>
        </w:tc>
        <w:tc>
          <w:tcPr>
            <w:tcW w:w="1368" w:type="dxa"/>
            <w:noWrap/>
            <w:hideMark/>
          </w:tcPr>
          <w:p w14:paraId="7439A99F" w14:textId="262F6BAD"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883,925.76</w:t>
            </w:r>
          </w:p>
        </w:tc>
        <w:tc>
          <w:tcPr>
            <w:tcW w:w="893" w:type="dxa"/>
            <w:noWrap/>
            <w:hideMark/>
          </w:tcPr>
          <w:p w14:paraId="632D3D62" w14:textId="77777777" w:rsidR="00574836" w:rsidRPr="001F432C"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1F432C">
              <w:t>1</w:t>
            </w:r>
          </w:p>
        </w:tc>
      </w:tr>
      <w:tr w:rsidR="00574836" w:rsidRPr="00574836" w14:paraId="746E174A"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54EDC919" w14:textId="77777777" w:rsidR="00574836" w:rsidRPr="00A15524" w:rsidRDefault="00574836" w:rsidP="00D85F07">
            <w:pPr>
              <w:pStyle w:val="Tabletextleft"/>
            </w:pPr>
            <w:r w:rsidRPr="00A15524">
              <w:t>Effectiveness of Zinc Supplementation in Respiratory Infections in COPD Patients: A Randomised Controlled Trial</w:t>
            </w:r>
          </w:p>
        </w:tc>
        <w:tc>
          <w:tcPr>
            <w:tcW w:w="2564" w:type="dxa"/>
            <w:noWrap/>
            <w:hideMark/>
          </w:tcPr>
          <w:p w14:paraId="4148A02B"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Adelaide</w:t>
            </w:r>
          </w:p>
        </w:tc>
        <w:tc>
          <w:tcPr>
            <w:tcW w:w="1368" w:type="dxa"/>
            <w:noWrap/>
            <w:hideMark/>
          </w:tcPr>
          <w:p w14:paraId="1A357487" w14:textId="0442A0AC"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990,064.00</w:t>
            </w:r>
          </w:p>
        </w:tc>
        <w:tc>
          <w:tcPr>
            <w:tcW w:w="893" w:type="dxa"/>
            <w:noWrap/>
            <w:hideMark/>
          </w:tcPr>
          <w:p w14:paraId="0FC42FE5" w14:textId="77777777" w:rsidR="00574836" w:rsidRPr="001F432C"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1F432C">
              <w:t>1</w:t>
            </w:r>
          </w:p>
        </w:tc>
      </w:tr>
      <w:tr w:rsidR="00574836" w:rsidRPr="00574836" w14:paraId="1B3073FD"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3E806D71" w14:textId="77777777" w:rsidR="00574836" w:rsidRPr="00A15524" w:rsidRDefault="00574836" w:rsidP="00D85F07">
            <w:pPr>
              <w:pStyle w:val="Tabletextleft"/>
            </w:pPr>
            <w:r w:rsidRPr="00A15524">
              <w:t>Tracking retinal biomarkers throughout prodromal and symptomatic prion disease</w:t>
            </w:r>
          </w:p>
        </w:tc>
        <w:tc>
          <w:tcPr>
            <w:tcW w:w="2564" w:type="dxa"/>
            <w:noWrap/>
            <w:hideMark/>
          </w:tcPr>
          <w:p w14:paraId="5FF34FC1"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The University of Melbourne</w:t>
            </w:r>
          </w:p>
        </w:tc>
        <w:tc>
          <w:tcPr>
            <w:tcW w:w="1368" w:type="dxa"/>
            <w:noWrap/>
            <w:hideMark/>
          </w:tcPr>
          <w:p w14:paraId="144798CD" w14:textId="0B1A8B4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702,151.63</w:t>
            </w:r>
          </w:p>
        </w:tc>
        <w:tc>
          <w:tcPr>
            <w:tcW w:w="893" w:type="dxa"/>
            <w:noWrap/>
            <w:hideMark/>
          </w:tcPr>
          <w:p w14:paraId="19BDA35A" w14:textId="77777777" w:rsidR="00574836" w:rsidRPr="001F432C"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1F432C">
              <w:t>1</w:t>
            </w:r>
          </w:p>
        </w:tc>
      </w:tr>
      <w:tr w:rsidR="00574836" w:rsidRPr="00574836" w14:paraId="3D2679E4"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2CDE5E8B" w14:textId="77777777" w:rsidR="00574836" w:rsidRPr="00A15524" w:rsidRDefault="00574836" w:rsidP="00D85F07">
            <w:pPr>
              <w:pStyle w:val="Tabletextleft"/>
            </w:pPr>
            <w:r w:rsidRPr="00A15524">
              <w:t>COMet AMS: Constructing One Health Metrics for evaluating antimicrobial stewardship</w:t>
            </w:r>
          </w:p>
        </w:tc>
        <w:tc>
          <w:tcPr>
            <w:tcW w:w="2564" w:type="dxa"/>
            <w:noWrap/>
            <w:hideMark/>
          </w:tcPr>
          <w:p w14:paraId="69DDC5B9"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Melbourne</w:t>
            </w:r>
          </w:p>
        </w:tc>
        <w:tc>
          <w:tcPr>
            <w:tcW w:w="1368" w:type="dxa"/>
            <w:noWrap/>
            <w:hideMark/>
          </w:tcPr>
          <w:p w14:paraId="7BF73221" w14:textId="145DDD64"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794,587.60</w:t>
            </w:r>
          </w:p>
        </w:tc>
        <w:tc>
          <w:tcPr>
            <w:tcW w:w="893" w:type="dxa"/>
            <w:noWrap/>
            <w:hideMark/>
          </w:tcPr>
          <w:p w14:paraId="554B19B8" w14:textId="77777777" w:rsidR="00574836" w:rsidRPr="001F432C"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1F432C">
              <w:t>1</w:t>
            </w:r>
          </w:p>
        </w:tc>
      </w:tr>
      <w:tr w:rsidR="00574836" w:rsidRPr="00574836" w14:paraId="6BA559BF"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081EF5B3" w14:textId="77777777" w:rsidR="00574836" w:rsidRPr="00A15524" w:rsidRDefault="00574836" w:rsidP="00D85F07">
            <w:pPr>
              <w:pStyle w:val="Tabletextleft"/>
            </w:pPr>
            <w:r w:rsidRPr="00A15524">
              <w:t>Reducing alcohol intake and harm through individualised feedback</w:t>
            </w:r>
          </w:p>
        </w:tc>
        <w:tc>
          <w:tcPr>
            <w:tcW w:w="2564" w:type="dxa"/>
            <w:noWrap/>
            <w:hideMark/>
          </w:tcPr>
          <w:p w14:paraId="26C48DA6"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The University of Melbourne</w:t>
            </w:r>
          </w:p>
        </w:tc>
        <w:tc>
          <w:tcPr>
            <w:tcW w:w="1368" w:type="dxa"/>
            <w:noWrap/>
            <w:hideMark/>
          </w:tcPr>
          <w:p w14:paraId="5D7AE6EE" w14:textId="7002FA73"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488,637.75</w:t>
            </w:r>
          </w:p>
        </w:tc>
        <w:tc>
          <w:tcPr>
            <w:tcW w:w="893" w:type="dxa"/>
            <w:noWrap/>
            <w:hideMark/>
          </w:tcPr>
          <w:p w14:paraId="4EFA1931" w14:textId="77777777" w:rsidR="00574836" w:rsidRPr="001F432C"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1F432C">
              <w:t>1</w:t>
            </w:r>
          </w:p>
        </w:tc>
      </w:tr>
      <w:tr w:rsidR="00574836" w:rsidRPr="00574836" w14:paraId="2DDFC02E"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4170D246" w14:textId="77777777" w:rsidR="00574836" w:rsidRPr="00A15524" w:rsidRDefault="00574836" w:rsidP="00D85F07">
            <w:pPr>
              <w:pStyle w:val="Tabletextleft"/>
            </w:pPr>
            <w:r w:rsidRPr="00A15524">
              <w:t>Understanding the Social Determinants of Young Peoples Mental Health: an Exploratory Mixed Methods Study</w:t>
            </w:r>
          </w:p>
        </w:tc>
        <w:tc>
          <w:tcPr>
            <w:tcW w:w="2564" w:type="dxa"/>
            <w:noWrap/>
            <w:hideMark/>
          </w:tcPr>
          <w:p w14:paraId="203F91D6"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Newcastle</w:t>
            </w:r>
          </w:p>
        </w:tc>
        <w:tc>
          <w:tcPr>
            <w:tcW w:w="1368" w:type="dxa"/>
            <w:noWrap/>
            <w:hideMark/>
          </w:tcPr>
          <w:p w14:paraId="41CA8061" w14:textId="3D4F05AA"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457,765.90</w:t>
            </w:r>
          </w:p>
        </w:tc>
        <w:tc>
          <w:tcPr>
            <w:tcW w:w="893" w:type="dxa"/>
            <w:noWrap/>
            <w:hideMark/>
          </w:tcPr>
          <w:p w14:paraId="10ABE794"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1</w:t>
            </w:r>
          </w:p>
        </w:tc>
      </w:tr>
      <w:tr w:rsidR="00574836" w:rsidRPr="00574836" w14:paraId="375D7E78"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7BDC6D03" w14:textId="77777777" w:rsidR="00574836" w:rsidRPr="00A15524" w:rsidRDefault="00574836" w:rsidP="00D85F07">
            <w:pPr>
              <w:pStyle w:val="Tabletextleft"/>
            </w:pPr>
            <w:r w:rsidRPr="00A15524">
              <w:t>Mental health of first responders in rural Australia</w:t>
            </w:r>
          </w:p>
        </w:tc>
        <w:tc>
          <w:tcPr>
            <w:tcW w:w="2564" w:type="dxa"/>
            <w:noWrap/>
            <w:hideMark/>
          </w:tcPr>
          <w:p w14:paraId="524F1728"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University of New England</w:t>
            </w:r>
          </w:p>
        </w:tc>
        <w:tc>
          <w:tcPr>
            <w:tcW w:w="1368" w:type="dxa"/>
            <w:noWrap/>
            <w:hideMark/>
          </w:tcPr>
          <w:p w14:paraId="3F38382B" w14:textId="1B99163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344,920.70</w:t>
            </w:r>
          </w:p>
        </w:tc>
        <w:tc>
          <w:tcPr>
            <w:tcW w:w="893" w:type="dxa"/>
            <w:noWrap/>
            <w:hideMark/>
          </w:tcPr>
          <w:p w14:paraId="6ACF8CE8"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1</w:t>
            </w:r>
          </w:p>
        </w:tc>
      </w:tr>
      <w:tr w:rsidR="00574836" w:rsidRPr="00574836" w14:paraId="1272C7A6"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18C98183" w14:textId="7A2F7792" w:rsidR="00574836" w:rsidRPr="00A15524" w:rsidRDefault="00574836" w:rsidP="00D85F07">
            <w:pPr>
              <w:pStyle w:val="Tabletextleft"/>
            </w:pPr>
            <w:r w:rsidRPr="00A15524">
              <w:t>Working together: A collective impact approach to achieve the priority reforms underpinning Closing the Gap targets</w:t>
            </w:r>
          </w:p>
        </w:tc>
        <w:tc>
          <w:tcPr>
            <w:tcW w:w="2564" w:type="dxa"/>
            <w:noWrap/>
            <w:hideMark/>
          </w:tcPr>
          <w:p w14:paraId="057A2FBF"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Central Queensland University</w:t>
            </w:r>
          </w:p>
        </w:tc>
        <w:tc>
          <w:tcPr>
            <w:tcW w:w="1368" w:type="dxa"/>
            <w:noWrap/>
            <w:hideMark/>
          </w:tcPr>
          <w:p w14:paraId="3B866BDB" w14:textId="051337C4"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4,988,655.25</w:t>
            </w:r>
          </w:p>
        </w:tc>
        <w:tc>
          <w:tcPr>
            <w:tcW w:w="893" w:type="dxa"/>
            <w:noWrap/>
            <w:hideMark/>
          </w:tcPr>
          <w:p w14:paraId="2EE4969D"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2</w:t>
            </w:r>
          </w:p>
        </w:tc>
      </w:tr>
      <w:tr w:rsidR="00574836" w:rsidRPr="00574836" w14:paraId="7DCBC561"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5861F123" w14:textId="77777777" w:rsidR="00574836" w:rsidRPr="00A15524" w:rsidRDefault="00574836" w:rsidP="00D85F07">
            <w:pPr>
              <w:pStyle w:val="Tabletextleft"/>
            </w:pPr>
            <w:r w:rsidRPr="00A15524">
              <w:t>Driving equitable cancer outcomes across Australia: Establishing a nationally scalable model to embed best practice cancer care into rural health services</w:t>
            </w:r>
          </w:p>
        </w:tc>
        <w:tc>
          <w:tcPr>
            <w:tcW w:w="2564" w:type="dxa"/>
            <w:noWrap/>
            <w:hideMark/>
          </w:tcPr>
          <w:p w14:paraId="406CB0A5"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Deakin University</w:t>
            </w:r>
          </w:p>
        </w:tc>
        <w:tc>
          <w:tcPr>
            <w:tcW w:w="1368" w:type="dxa"/>
            <w:noWrap/>
            <w:hideMark/>
          </w:tcPr>
          <w:p w14:paraId="24C1771F" w14:textId="4D4F049D"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4,899,021.10</w:t>
            </w:r>
          </w:p>
        </w:tc>
        <w:tc>
          <w:tcPr>
            <w:tcW w:w="893" w:type="dxa"/>
            <w:noWrap/>
            <w:hideMark/>
          </w:tcPr>
          <w:p w14:paraId="2D039730"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2</w:t>
            </w:r>
          </w:p>
        </w:tc>
      </w:tr>
      <w:tr w:rsidR="00574836" w:rsidRPr="00574836" w14:paraId="776DDD02"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0D601C3E" w14:textId="315DE539" w:rsidR="00574836" w:rsidRPr="00A15524" w:rsidRDefault="00574836" w:rsidP="00D85F07">
            <w:pPr>
              <w:pStyle w:val="Tabletextleft"/>
            </w:pPr>
            <w:r w:rsidRPr="00A15524">
              <w:t>Relighting the firesticks: Accelerating diffusion and progressing to sustainability of innovative care to foster a healthy start to life for Aboriginal and Torres Strait Islander families</w:t>
            </w:r>
          </w:p>
        </w:tc>
        <w:tc>
          <w:tcPr>
            <w:tcW w:w="2564" w:type="dxa"/>
            <w:noWrap/>
            <w:hideMark/>
          </w:tcPr>
          <w:p w14:paraId="3B282FB2"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Melbourne</w:t>
            </w:r>
          </w:p>
        </w:tc>
        <w:tc>
          <w:tcPr>
            <w:tcW w:w="1368" w:type="dxa"/>
            <w:noWrap/>
            <w:hideMark/>
          </w:tcPr>
          <w:p w14:paraId="0FBA89D9" w14:textId="6B70CD8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4,999,953.60</w:t>
            </w:r>
          </w:p>
        </w:tc>
        <w:tc>
          <w:tcPr>
            <w:tcW w:w="893" w:type="dxa"/>
            <w:noWrap/>
            <w:hideMark/>
          </w:tcPr>
          <w:p w14:paraId="0246F691"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2</w:t>
            </w:r>
          </w:p>
        </w:tc>
      </w:tr>
      <w:tr w:rsidR="00574836" w:rsidRPr="00574836" w14:paraId="4FD59562"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4CC488BE" w14:textId="77777777" w:rsidR="00574836" w:rsidRPr="00A15524" w:rsidRDefault="00574836" w:rsidP="00D85F07">
            <w:pPr>
              <w:pStyle w:val="Tabletextleft"/>
            </w:pPr>
            <w:r w:rsidRPr="00A15524">
              <w:t>Tools for Change: Informing and Supporting Sustainable Chronic Disease Prevention in Australian Schools</w:t>
            </w:r>
          </w:p>
        </w:tc>
        <w:tc>
          <w:tcPr>
            <w:tcW w:w="2564" w:type="dxa"/>
            <w:noWrap/>
            <w:hideMark/>
          </w:tcPr>
          <w:p w14:paraId="2ABECAE6"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The University of Newcastle</w:t>
            </w:r>
          </w:p>
        </w:tc>
        <w:tc>
          <w:tcPr>
            <w:tcW w:w="1368" w:type="dxa"/>
            <w:noWrap/>
            <w:hideMark/>
          </w:tcPr>
          <w:p w14:paraId="747AA647" w14:textId="6189B3B8"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4,869,263.25</w:t>
            </w:r>
          </w:p>
        </w:tc>
        <w:tc>
          <w:tcPr>
            <w:tcW w:w="893" w:type="dxa"/>
            <w:noWrap/>
            <w:hideMark/>
          </w:tcPr>
          <w:p w14:paraId="2049F1FF"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2</w:t>
            </w:r>
          </w:p>
        </w:tc>
      </w:tr>
      <w:tr w:rsidR="00574836" w:rsidRPr="00574836" w14:paraId="1D8C1D0F"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4FD0B0F5" w14:textId="77777777" w:rsidR="00574836" w:rsidRPr="00A15524" w:rsidRDefault="00574836" w:rsidP="00D85F07">
            <w:pPr>
              <w:pStyle w:val="Tabletextleft"/>
            </w:pPr>
            <w:r w:rsidRPr="00A15524">
              <w:lastRenderedPageBreak/>
              <w:t>Virtual Multimodal Hub for Patients Undergoing Major Colorectal Cancer Surgery – PRIORITY-CONNECT 2</w:t>
            </w:r>
          </w:p>
        </w:tc>
        <w:tc>
          <w:tcPr>
            <w:tcW w:w="2564" w:type="dxa"/>
            <w:noWrap/>
            <w:hideMark/>
          </w:tcPr>
          <w:p w14:paraId="14219779"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Sydney</w:t>
            </w:r>
          </w:p>
        </w:tc>
        <w:tc>
          <w:tcPr>
            <w:tcW w:w="1368" w:type="dxa"/>
            <w:noWrap/>
            <w:hideMark/>
          </w:tcPr>
          <w:p w14:paraId="67BCC915" w14:textId="7AC08776"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4,995,331.90</w:t>
            </w:r>
          </w:p>
        </w:tc>
        <w:tc>
          <w:tcPr>
            <w:tcW w:w="893" w:type="dxa"/>
            <w:noWrap/>
            <w:hideMark/>
          </w:tcPr>
          <w:p w14:paraId="507B1972"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2</w:t>
            </w:r>
          </w:p>
        </w:tc>
      </w:tr>
      <w:tr w:rsidR="00574836" w:rsidRPr="00574836" w14:paraId="0C850316"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2343787B" w14:textId="77777777" w:rsidR="00574836" w:rsidRPr="00A15524" w:rsidRDefault="00574836" w:rsidP="00D85F07">
            <w:pPr>
              <w:pStyle w:val="Tabletextleft"/>
            </w:pPr>
            <w:r w:rsidRPr="00A15524">
              <w:t>Like your life depends on it: Integrating digital interventions into schools to prevent self-harm in children and adolescents</w:t>
            </w:r>
          </w:p>
        </w:tc>
        <w:tc>
          <w:tcPr>
            <w:tcW w:w="2564" w:type="dxa"/>
            <w:noWrap/>
            <w:hideMark/>
          </w:tcPr>
          <w:p w14:paraId="6E71CAB7"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University of New South Wales</w:t>
            </w:r>
          </w:p>
        </w:tc>
        <w:tc>
          <w:tcPr>
            <w:tcW w:w="1368" w:type="dxa"/>
            <w:noWrap/>
            <w:hideMark/>
          </w:tcPr>
          <w:p w14:paraId="1E7ACBFD" w14:textId="4719B01B" w:rsidR="00574836" w:rsidRPr="00D85F0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D85F07">
              <w:t>3,470,823.35</w:t>
            </w:r>
          </w:p>
        </w:tc>
        <w:tc>
          <w:tcPr>
            <w:tcW w:w="893" w:type="dxa"/>
            <w:noWrap/>
            <w:hideMark/>
          </w:tcPr>
          <w:p w14:paraId="67F065F9"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2</w:t>
            </w:r>
          </w:p>
        </w:tc>
      </w:tr>
      <w:tr w:rsidR="00574836" w:rsidRPr="00574836" w14:paraId="0B2B91B0"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65D41F9B" w14:textId="77777777" w:rsidR="00574836" w:rsidRPr="00A15524" w:rsidRDefault="00574836" w:rsidP="00D85F07">
            <w:pPr>
              <w:pStyle w:val="Tabletextleft"/>
            </w:pPr>
            <w:r w:rsidRPr="00A15524">
              <w:t>BRAINtegrate: an alliance for better outcomes in young people with brain cancer and epilepsy</w:t>
            </w:r>
          </w:p>
        </w:tc>
        <w:tc>
          <w:tcPr>
            <w:tcW w:w="2564" w:type="dxa"/>
            <w:noWrap/>
            <w:hideMark/>
          </w:tcPr>
          <w:p w14:paraId="15CD7B7E"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Murdoch Children's Research Institute</w:t>
            </w:r>
          </w:p>
        </w:tc>
        <w:tc>
          <w:tcPr>
            <w:tcW w:w="1368" w:type="dxa"/>
            <w:noWrap/>
            <w:hideMark/>
          </w:tcPr>
          <w:p w14:paraId="07073FC2" w14:textId="3F85C790" w:rsidR="00574836" w:rsidRPr="00D85F0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D85F07">
              <w:t>1,279,641.90</w:t>
            </w:r>
          </w:p>
        </w:tc>
        <w:tc>
          <w:tcPr>
            <w:tcW w:w="893" w:type="dxa"/>
            <w:noWrap/>
            <w:hideMark/>
          </w:tcPr>
          <w:p w14:paraId="3C25A4AF"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3</w:t>
            </w:r>
          </w:p>
        </w:tc>
      </w:tr>
      <w:tr w:rsidR="00574836" w:rsidRPr="00574836" w14:paraId="73EBFF44"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2180C4B0" w14:textId="77777777" w:rsidR="00574836" w:rsidRPr="00A15524" w:rsidRDefault="00574836" w:rsidP="00D85F07">
            <w:pPr>
              <w:pStyle w:val="Tabletextleft"/>
            </w:pPr>
            <w:r w:rsidRPr="00A15524">
              <w:t>RESOLVE-D, Implementing new and effective treatments for low back pain</w:t>
            </w:r>
          </w:p>
        </w:tc>
        <w:tc>
          <w:tcPr>
            <w:tcW w:w="2564" w:type="dxa"/>
            <w:noWrap/>
            <w:hideMark/>
          </w:tcPr>
          <w:p w14:paraId="64064CCE"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University of New South Wales</w:t>
            </w:r>
          </w:p>
        </w:tc>
        <w:tc>
          <w:tcPr>
            <w:tcW w:w="1368" w:type="dxa"/>
            <w:noWrap/>
            <w:hideMark/>
          </w:tcPr>
          <w:p w14:paraId="60BD75DE" w14:textId="0A45AB4B" w:rsidR="00574836" w:rsidRPr="00D85F0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D85F07">
              <w:t>999,330.20</w:t>
            </w:r>
          </w:p>
        </w:tc>
        <w:tc>
          <w:tcPr>
            <w:tcW w:w="893" w:type="dxa"/>
            <w:noWrap/>
            <w:hideMark/>
          </w:tcPr>
          <w:p w14:paraId="5F5FA93A"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3</w:t>
            </w:r>
          </w:p>
        </w:tc>
      </w:tr>
      <w:tr w:rsidR="00574836" w:rsidRPr="00574836" w14:paraId="29860FBD"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3FACD4CE" w14:textId="77777777" w:rsidR="00574836" w:rsidRPr="00A15524" w:rsidRDefault="00574836" w:rsidP="00D85F07">
            <w:pPr>
              <w:pStyle w:val="Tabletextleft"/>
            </w:pPr>
            <w:r w:rsidRPr="00A15524">
              <w:t>Mesenchymal Signal Targeting in Myelodysplasia as a pathway to transfusion independence and blood count improvement – the MESSAGE study</w:t>
            </w:r>
          </w:p>
        </w:tc>
        <w:tc>
          <w:tcPr>
            <w:tcW w:w="2564" w:type="dxa"/>
            <w:noWrap/>
            <w:hideMark/>
          </w:tcPr>
          <w:p w14:paraId="646CBB79"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Newcastle</w:t>
            </w:r>
          </w:p>
        </w:tc>
        <w:tc>
          <w:tcPr>
            <w:tcW w:w="1368" w:type="dxa"/>
            <w:noWrap/>
            <w:hideMark/>
          </w:tcPr>
          <w:p w14:paraId="3A610C97" w14:textId="2DC916C4" w:rsidR="00574836" w:rsidRPr="00D85F0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D85F07">
              <w:t>827,655.28</w:t>
            </w:r>
          </w:p>
        </w:tc>
        <w:tc>
          <w:tcPr>
            <w:tcW w:w="893" w:type="dxa"/>
            <w:noWrap/>
            <w:hideMark/>
          </w:tcPr>
          <w:p w14:paraId="382CCB75"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3</w:t>
            </w:r>
          </w:p>
        </w:tc>
      </w:tr>
      <w:tr w:rsidR="00574836" w:rsidRPr="00574836" w14:paraId="5AF60875"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17167D09" w14:textId="77777777" w:rsidR="00574836" w:rsidRPr="00A15524" w:rsidRDefault="00574836" w:rsidP="00D85F07">
            <w:pPr>
              <w:pStyle w:val="Tabletextleft"/>
            </w:pPr>
            <w:r w:rsidRPr="00A15524">
              <w:t>Translating trustworthy AI to improve decision-making and outcomes for children with pneumonia</w:t>
            </w:r>
          </w:p>
        </w:tc>
        <w:tc>
          <w:tcPr>
            <w:tcW w:w="2564" w:type="dxa"/>
            <w:noWrap/>
            <w:hideMark/>
          </w:tcPr>
          <w:p w14:paraId="54C77EA9"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The University of Sydney</w:t>
            </w:r>
          </w:p>
        </w:tc>
        <w:tc>
          <w:tcPr>
            <w:tcW w:w="1368" w:type="dxa"/>
            <w:noWrap/>
            <w:hideMark/>
          </w:tcPr>
          <w:p w14:paraId="045302AC" w14:textId="167B31BA" w:rsidR="00574836" w:rsidRPr="00D85F0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D85F07">
              <w:t>469,078.50</w:t>
            </w:r>
          </w:p>
        </w:tc>
        <w:tc>
          <w:tcPr>
            <w:tcW w:w="893" w:type="dxa"/>
            <w:noWrap/>
            <w:hideMark/>
          </w:tcPr>
          <w:p w14:paraId="7F9A3BD3"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3</w:t>
            </w:r>
          </w:p>
        </w:tc>
      </w:tr>
      <w:tr w:rsidR="00574836" w:rsidRPr="00574836" w14:paraId="750BB9D9" w14:textId="77777777" w:rsidTr="00A1552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2BAF659E" w14:textId="77777777" w:rsidR="00574836" w:rsidRPr="00A15524" w:rsidRDefault="00574836" w:rsidP="00D85F07">
            <w:pPr>
              <w:pStyle w:val="Tabletextleft"/>
            </w:pPr>
            <w:r w:rsidRPr="00A15524">
              <w:t>METASPATIAL Study: Metabolic Spatial Analysis of Lung Cancer Study</w:t>
            </w:r>
          </w:p>
        </w:tc>
        <w:tc>
          <w:tcPr>
            <w:tcW w:w="2564" w:type="dxa"/>
            <w:noWrap/>
            <w:hideMark/>
          </w:tcPr>
          <w:p w14:paraId="02DA3492" w14:textId="77777777" w:rsidR="00574836" w:rsidRPr="00A15524" w:rsidRDefault="00574836" w:rsidP="00D85F07">
            <w:pPr>
              <w:pStyle w:val="Tabletextleft"/>
              <w:cnfStyle w:val="000000010000" w:firstRow="0" w:lastRow="0" w:firstColumn="0" w:lastColumn="0" w:oddVBand="0" w:evenVBand="0" w:oddHBand="0" w:evenHBand="1" w:firstRowFirstColumn="0" w:firstRowLastColumn="0" w:lastRowFirstColumn="0" w:lastRowLastColumn="0"/>
            </w:pPr>
            <w:r w:rsidRPr="00A15524">
              <w:t>The University of Queensland</w:t>
            </w:r>
          </w:p>
        </w:tc>
        <w:tc>
          <w:tcPr>
            <w:tcW w:w="1368" w:type="dxa"/>
            <w:noWrap/>
            <w:hideMark/>
          </w:tcPr>
          <w:p w14:paraId="081F742C" w14:textId="0F2F5BDA" w:rsidR="00574836" w:rsidRPr="00D85F0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D85F07">
              <w:t>999,824.80</w:t>
            </w:r>
          </w:p>
        </w:tc>
        <w:tc>
          <w:tcPr>
            <w:tcW w:w="893" w:type="dxa"/>
            <w:noWrap/>
            <w:hideMark/>
          </w:tcPr>
          <w:p w14:paraId="39B87921" w14:textId="77777777" w:rsidR="00574836" w:rsidRPr="00B309D7" w:rsidRDefault="00574836" w:rsidP="00D85F07">
            <w:pPr>
              <w:pStyle w:val="Tabletextcentre"/>
              <w:cnfStyle w:val="000000010000" w:firstRow="0" w:lastRow="0" w:firstColumn="0" w:lastColumn="0" w:oddVBand="0" w:evenVBand="0" w:oddHBand="0" w:evenHBand="1" w:firstRowFirstColumn="0" w:firstRowLastColumn="0" w:lastRowFirstColumn="0" w:lastRowLastColumn="0"/>
            </w:pPr>
            <w:r w:rsidRPr="00B309D7">
              <w:t>3</w:t>
            </w:r>
          </w:p>
        </w:tc>
      </w:tr>
      <w:tr w:rsidR="00574836" w:rsidRPr="00574836" w14:paraId="298E120D" w14:textId="77777777" w:rsidTr="00A155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29" w:type="dxa"/>
            <w:hideMark/>
          </w:tcPr>
          <w:p w14:paraId="5DE5A6B4" w14:textId="77777777" w:rsidR="00574836" w:rsidRPr="00A15524" w:rsidRDefault="00574836" w:rsidP="00D85F07">
            <w:pPr>
              <w:pStyle w:val="Tabletextleft"/>
            </w:pPr>
            <w:r w:rsidRPr="00A15524">
              <w:t>Developing Personalised and Portable Point-Of-Care Testing (POCT) Microtechnologies for Rapid Thrombotic Risk and Anticoagulant Dosage Assessment</w:t>
            </w:r>
          </w:p>
        </w:tc>
        <w:tc>
          <w:tcPr>
            <w:tcW w:w="2564" w:type="dxa"/>
            <w:noWrap/>
            <w:hideMark/>
          </w:tcPr>
          <w:p w14:paraId="4E391E62" w14:textId="77777777" w:rsidR="00574836" w:rsidRPr="00A15524" w:rsidRDefault="00574836" w:rsidP="00D85F07">
            <w:pPr>
              <w:pStyle w:val="Tabletextleft"/>
              <w:cnfStyle w:val="000000100000" w:firstRow="0" w:lastRow="0" w:firstColumn="0" w:lastColumn="0" w:oddVBand="0" w:evenVBand="0" w:oddHBand="1" w:evenHBand="0" w:firstRowFirstColumn="0" w:firstRowLastColumn="0" w:lastRowFirstColumn="0" w:lastRowLastColumn="0"/>
            </w:pPr>
            <w:r w:rsidRPr="00A15524">
              <w:t>The University of Sydney</w:t>
            </w:r>
          </w:p>
        </w:tc>
        <w:tc>
          <w:tcPr>
            <w:tcW w:w="1368" w:type="dxa"/>
            <w:noWrap/>
            <w:hideMark/>
          </w:tcPr>
          <w:p w14:paraId="004F6B06" w14:textId="26E38546" w:rsidR="00574836" w:rsidRPr="00D85F0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D85F07">
              <w:t>600,000.00</w:t>
            </w:r>
          </w:p>
        </w:tc>
        <w:tc>
          <w:tcPr>
            <w:tcW w:w="893" w:type="dxa"/>
            <w:noWrap/>
            <w:hideMark/>
          </w:tcPr>
          <w:p w14:paraId="01C97B5B" w14:textId="77777777" w:rsidR="00574836" w:rsidRPr="00B309D7" w:rsidRDefault="00574836" w:rsidP="00D85F07">
            <w:pPr>
              <w:pStyle w:val="Tabletextcentre"/>
              <w:cnfStyle w:val="000000100000" w:firstRow="0" w:lastRow="0" w:firstColumn="0" w:lastColumn="0" w:oddVBand="0" w:evenVBand="0" w:oddHBand="1" w:evenHBand="0" w:firstRowFirstColumn="0" w:firstRowLastColumn="0" w:lastRowFirstColumn="0" w:lastRowLastColumn="0"/>
            </w:pPr>
            <w:r w:rsidRPr="00B309D7">
              <w:t>3</w:t>
            </w:r>
          </w:p>
        </w:tc>
      </w:tr>
    </w:tbl>
    <w:p w14:paraId="1FD5FA7C" w14:textId="7DAEAE33" w:rsidR="002C1631" w:rsidRPr="00A15524" w:rsidRDefault="00CE2152" w:rsidP="00A15524">
      <w:pPr>
        <w:sectPr w:rsidR="002C1631" w:rsidRPr="00A15524" w:rsidSect="001413B5">
          <w:pgSz w:w="11906" w:h="16838" w:code="9"/>
          <w:pgMar w:top="1701" w:right="1418" w:bottom="1418" w:left="1418" w:header="709" w:footer="567" w:gutter="0"/>
          <w:cols w:space="708"/>
          <w:docGrid w:linePitch="360"/>
        </w:sectPr>
      </w:pPr>
      <w:r w:rsidRPr="00A15524">
        <w:t xml:space="preserve"> </w:t>
      </w:r>
    </w:p>
    <w:p w14:paraId="6EF72F0D" w14:textId="563172CC" w:rsidR="006B486B" w:rsidRPr="00CE3E77" w:rsidRDefault="006B486B" w:rsidP="006B486B">
      <w:pPr>
        <w:pStyle w:val="Heading1"/>
      </w:pPr>
      <w:bookmarkStart w:id="27" w:name="_Toc168043248"/>
      <w:r w:rsidRPr="00CE3E77">
        <w:lastRenderedPageBreak/>
        <w:t xml:space="preserve">Appendix </w:t>
      </w:r>
      <w:r>
        <w:t>B</w:t>
      </w:r>
      <w:r w:rsidRPr="00CE3E77">
        <w:t xml:space="preserve">.  The </w:t>
      </w:r>
      <w:bookmarkStart w:id="28" w:name="_Hlk129560688"/>
      <w:r w:rsidRPr="00CE3E77">
        <w:t>MRFF Early to Mid-Career Researcher Initiative</w:t>
      </w:r>
      <w:bookmarkEnd w:id="27"/>
    </w:p>
    <w:bookmarkEnd w:id="28"/>
    <w:p w14:paraId="53C4A420" w14:textId="77777777" w:rsidR="006B486B" w:rsidRPr="002912DA" w:rsidRDefault="006B486B" w:rsidP="002912DA">
      <w:r w:rsidRPr="002912DA">
        <w:t xml:space="preserve">The Medical Research Future Fund (MRFF) is a $20 billion long-term investment supporting Australian health and medical research. The MRFF aims to transform health and medical research and innovation to improve lives, build the economy and contribute to health system sustainability. </w:t>
      </w:r>
    </w:p>
    <w:p w14:paraId="5FA36333" w14:textId="7AB8320A" w:rsidR="006B486B" w:rsidRPr="002912DA" w:rsidRDefault="006B486B" w:rsidP="002912DA">
      <w:r w:rsidRPr="002912DA">
        <w:t>Early to Mid-Career Researchers (EMCR) are researchers in the first 10 years of employment since completing postgraduate research training (excluding career disruptions). The department started consultation with EMCRs in early 2021 to find out what might support the next generation of health and medical research leaders to meet the challenges of improving the health of Australians. Subsequently two roundtables were held, and the outcomes were published on the Department’s website.</w:t>
      </w:r>
    </w:p>
    <w:p w14:paraId="40108BEC" w14:textId="77777777" w:rsidR="00D85F07" w:rsidRPr="00D85F07" w:rsidRDefault="00000000" w:rsidP="00B309D7">
      <w:pPr>
        <w:pStyle w:val="ListBullet"/>
        <w:rPr>
          <w:rStyle w:val="Hyperlink"/>
          <w:color w:val="000000" w:themeColor="text1"/>
          <w:u w:val="none"/>
        </w:rPr>
      </w:pPr>
      <w:hyperlink r:id="rId50" w:history="1">
        <w:r w:rsidR="006B486B" w:rsidRPr="00795D33">
          <w:rPr>
            <w:rStyle w:val="Hyperlink"/>
            <w:sz w:val="22"/>
            <w:szCs w:val="22"/>
          </w:rPr>
          <w:t>MRFF Health and Medical Research Early to Mid-Career Researchers Roundtable – 6 May 2021</w:t>
        </w:r>
      </w:hyperlink>
    </w:p>
    <w:p w14:paraId="3BD7774E" w14:textId="439ED9A6" w:rsidR="006B486B" w:rsidRPr="00B309D7" w:rsidRDefault="00000000" w:rsidP="00B309D7">
      <w:pPr>
        <w:pStyle w:val="ListBullet"/>
      </w:pPr>
      <w:hyperlink r:id="rId51" w:anchor=":%7E:text=Description%3A,roundtable%20on%2014%20October%202021." w:history="1">
        <w:r w:rsidR="006B486B" w:rsidRPr="00D85F07">
          <w:rPr>
            <w:rStyle w:val="Hyperlink"/>
            <w:sz w:val="22"/>
            <w:szCs w:val="22"/>
          </w:rPr>
          <w:t>MRFF Health Early to Mid-Career Researchers Stakeholder Roundtable – 14 October 2021</w:t>
        </w:r>
      </w:hyperlink>
    </w:p>
    <w:p w14:paraId="6CAFA17A" w14:textId="77777777" w:rsidR="006B486B" w:rsidRPr="00B309D7" w:rsidRDefault="006B486B" w:rsidP="00B309D7">
      <w:r w:rsidRPr="00B309D7">
        <w:t xml:space="preserve">These consultations helped shape the Early to Mid-Career Researchers initiative which was </w:t>
      </w:r>
      <w:hyperlink r:id="rId52" w:history="1">
        <w:r w:rsidRPr="00023758">
          <w:rPr>
            <w:rStyle w:val="Hyperlink"/>
            <w:sz w:val="22"/>
            <w:szCs w:val="22"/>
          </w:rPr>
          <w:t>announced</w:t>
        </w:r>
      </w:hyperlink>
      <w:r w:rsidRPr="00B309D7">
        <w:t xml:space="preserve"> as part of the 2nd 10-year Investment Plan for the Medical Research Future Fund.</w:t>
      </w:r>
    </w:p>
    <w:p w14:paraId="3744F98F" w14:textId="0A4504DB" w:rsidR="006B486B" w:rsidRPr="00A15524" w:rsidRDefault="006B486B" w:rsidP="00A15524">
      <w:r w:rsidRPr="00A15524">
        <w:t xml:space="preserve">The Early to Mid-Career Researchers initiative is one of 21 initiatives under the MRFF </w:t>
      </w:r>
      <w:hyperlink r:id="rId53" w:history="1">
        <w:r w:rsidRPr="00795D33">
          <w:rPr>
            <w:rStyle w:val="Hyperlink"/>
            <w:sz w:val="22"/>
            <w:szCs w:val="22"/>
          </w:rPr>
          <w:t>2</w:t>
        </w:r>
        <w:r w:rsidRPr="00795D33">
          <w:rPr>
            <w:rStyle w:val="Hyperlink"/>
            <w:sz w:val="22"/>
            <w:szCs w:val="22"/>
            <w:vertAlign w:val="superscript"/>
          </w:rPr>
          <w:t>nd</w:t>
        </w:r>
        <w:r w:rsidRPr="00795D33">
          <w:rPr>
            <w:rStyle w:val="Hyperlink"/>
            <w:sz w:val="22"/>
            <w:szCs w:val="22"/>
          </w:rPr>
          <w:t xml:space="preserve"> 10-year </w:t>
        </w:r>
        <w:r>
          <w:rPr>
            <w:rStyle w:val="Hyperlink"/>
            <w:sz w:val="22"/>
            <w:szCs w:val="22"/>
          </w:rPr>
          <w:t>Investment P</w:t>
        </w:r>
        <w:r w:rsidRPr="00795D33">
          <w:rPr>
            <w:rStyle w:val="Hyperlink"/>
            <w:sz w:val="22"/>
            <w:szCs w:val="22"/>
          </w:rPr>
          <w:t>lan</w:t>
        </w:r>
      </w:hyperlink>
      <w:r w:rsidRPr="00A15524">
        <w:t>.</w:t>
      </w:r>
    </w:p>
    <w:p w14:paraId="6C26C5ED" w14:textId="6C207D6D" w:rsidR="006B486B" w:rsidRPr="002912DA" w:rsidRDefault="006B486B" w:rsidP="002912DA">
      <w:r w:rsidRPr="002912DA">
        <w:t>The Early to Mid-Career Researchers initiative will invest $384.2 million over 10 years from 2022-23 in early to mid-career researchers. The EMCR initiative will address the need of emerging leaders by providing targeted funding that enables EMCRs to lead research projects as named investigators. The funding will also encourage EMCRs to collaborate and embed a wider range of perspectives in health and medical research. The initiative will build and grow research capacity and capability in Australia by supporting EMCRs to continue their health and medical research careers.</w:t>
      </w:r>
    </w:p>
    <w:p w14:paraId="33E46023" w14:textId="77777777" w:rsidR="006B486B" w:rsidRPr="002912DA" w:rsidRDefault="006B486B" w:rsidP="002912DA">
      <w:r w:rsidRPr="002912DA">
        <w:t>This initiative will support emerging health and medical research leaders to:</w:t>
      </w:r>
    </w:p>
    <w:p w14:paraId="5B48F448" w14:textId="77777777" w:rsidR="006B486B" w:rsidRPr="002912DA" w:rsidRDefault="006B486B" w:rsidP="002912DA">
      <w:pPr>
        <w:pStyle w:val="ListBullet"/>
      </w:pPr>
      <w:r w:rsidRPr="002912DA">
        <w:t>make breakthrough discoveries</w:t>
      </w:r>
    </w:p>
    <w:p w14:paraId="18D058A2" w14:textId="77777777" w:rsidR="006B486B" w:rsidRPr="002912DA" w:rsidRDefault="006B486B" w:rsidP="002912DA">
      <w:pPr>
        <w:pStyle w:val="ListBullet"/>
      </w:pPr>
      <w:r w:rsidRPr="002912DA">
        <w:t>address intractable health issues</w:t>
      </w:r>
    </w:p>
    <w:p w14:paraId="0BE4F69A" w14:textId="77777777" w:rsidR="006B486B" w:rsidRPr="002912DA" w:rsidRDefault="006B486B" w:rsidP="002912DA">
      <w:pPr>
        <w:pStyle w:val="ListBullet"/>
      </w:pPr>
      <w:r w:rsidRPr="002912DA">
        <w:t>accelerate research translation</w:t>
      </w:r>
    </w:p>
    <w:p w14:paraId="4EFD7AEA" w14:textId="4816C06E" w:rsidR="006B486B" w:rsidRPr="002912DA" w:rsidRDefault="006B486B" w:rsidP="002912DA">
      <w:pPr>
        <w:pStyle w:val="ListBullet"/>
      </w:pPr>
      <w:r w:rsidRPr="002912DA">
        <w:t>develop their skills and progress their careers in Australia</w:t>
      </w:r>
      <w:r w:rsidR="00DD6121" w:rsidRPr="002912DA">
        <w:t>.</w:t>
      </w:r>
    </w:p>
    <w:p w14:paraId="62563650" w14:textId="58775D1E" w:rsidR="00847D33" w:rsidRPr="00CE3E77" w:rsidRDefault="00847D33" w:rsidP="009B0F94">
      <w:pPr>
        <w:pStyle w:val="Heading2"/>
      </w:pPr>
      <w:bookmarkStart w:id="29" w:name="_Toc168043249"/>
      <w:r w:rsidRPr="00CE3E77">
        <w:t>Focus of the 202</w:t>
      </w:r>
      <w:r w:rsidR="00E77E8D" w:rsidRPr="00CE3E77">
        <w:t>4</w:t>
      </w:r>
      <w:r w:rsidRPr="00CE3E77">
        <w:t xml:space="preserve"> Early to Mid-Career Researchers </w:t>
      </w:r>
      <w:r w:rsidR="00847869">
        <w:t>G</w:t>
      </w:r>
      <w:r w:rsidRPr="00CE3E77">
        <w:t xml:space="preserve">rant </w:t>
      </w:r>
      <w:r w:rsidR="00847869">
        <w:t>O</w:t>
      </w:r>
      <w:r w:rsidRPr="00CE3E77">
        <w:t>pportunity</w:t>
      </w:r>
      <w:bookmarkEnd w:id="29"/>
      <w:r w:rsidRPr="00CE3E77">
        <w:t xml:space="preserve"> </w:t>
      </w:r>
    </w:p>
    <w:bookmarkEnd w:id="25"/>
    <w:p w14:paraId="4CD84D72" w14:textId="77F4ED6A" w:rsidR="00317808" w:rsidRPr="00A15524" w:rsidRDefault="00847D33" w:rsidP="00A15524">
      <w:r w:rsidRPr="00A15524">
        <w:t xml:space="preserve">The </w:t>
      </w:r>
      <w:r w:rsidR="00E77E8D" w:rsidRPr="00A15524">
        <w:t xml:space="preserve">third </w:t>
      </w:r>
      <w:r w:rsidRPr="00A15524">
        <w:t>grant opportunity under the Early to Mid-Career Researchers initiative is the 202</w:t>
      </w:r>
      <w:r w:rsidR="00BE57D1" w:rsidRPr="00A15524">
        <w:t>4</w:t>
      </w:r>
      <w:r w:rsidRPr="00A15524">
        <w:t xml:space="preserve"> Early to Mid-Career Researchers </w:t>
      </w:r>
      <w:r w:rsidR="00DC7509" w:rsidRPr="00A15524">
        <w:t>G</w:t>
      </w:r>
      <w:r w:rsidRPr="00A15524">
        <w:t xml:space="preserve">rant </w:t>
      </w:r>
      <w:r w:rsidR="00DC7509" w:rsidRPr="00A15524">
        <w:t>O</w:t>
      </w:r>
      <w:r w:rsidRPr="00A15524">
        <w:t xml:space="preserve">pportunity which opened on </w:t>
      </w:r>
      <w:r w:rsidR="00BE57D1" w:rsidRPr="00A15524">
        <w:t>7</w:t>
      </w:r>
      <w:r w:rsidRPr="00A15524">
        <w:t xml:space="preserve"> February </w:t>
      </w:r>
      <w:r w:rsidR="00603947" w:rsidRPr="00A15524">
        <w:t>2024</w:t>
      </w:r>
      <w:r w:rsidRPr="00A15524">
        <w:t xml:space="preserve"> and close</w:t>
      </w:r>
      <w:r w:rsidR="0062460F" w:rsidRPr="00A15524">
        <w:t>s</w:t>
      </w:r>
      <w:r w:rsidRPr="00A15524">
        <w:t xml:space="preserve"> on 2</w:t>
      </w:r>
      <w:r w:rsidR="00BE57D1" w:rsidRPr="00A15524">
        <w:t>4 July 2024</w:t>
      </w:r>
      <w:r w:rsidRPr="00A15524">
        <w:t>. Outcomes are anticipated to be announced in Quarter 1 2024. Up to $44.8 million of funding is available over 5 years from 202</w:t>
      </w:r>
      <w:r w:rsidR="00BE57D1" w:rsidRPr="00A15524">
        <w:t>4</w:t>
      </w:r>
      <w:r w:rsidRPr="00A15524">
        <w:t>-2</w:t>
      </w:r>
      <w:r w:rsidR="00BE57D1" w:rsidRPr="00A15524">
        <w:t>5</w:t>
      </w:r>
      <w:r w:rsidRPr="00A15524">
        <w:t>.</w:t>
      </w:r>
    </w:p>
    <w:p w14:paraId="3B741D0F" w14:textId="49F3C8B6" w:rsidR="00071928" w:rsidRPr="00A15524" w:rsidRDefault="005D4620" w:rsidP="00A15524">
      <w:r w:rsidRPr="00A15524">
        <w:t>Consistent with the 2023 grant opportunity, t</w:t>
      </w:r>
      <w:r w:rsidR="00847D33" w:rsidRPr="00A15524">
        <w:t>he 202</w:t>
      </w:r>
      <w:r w:rsidR="00BE57D1" w:rsidRPr="00A15524">
        <w:t>4</w:t>
      </w:r>
      <w:r w:rsidR="00847D33" w:rsidRPr="00A15524">
        <w:t xml:space="preserve"> Early to Mid-Career Researchers </w:t>
      </w:r>
      <w:r w:rsidR="00F51B78" w:rsidRPr="00A15524">
        <w:t>G</w:t>
      </w:r>
      <w:r w:rsidR="00847D33" w:rsidRPr="00A15524">
        <w:t xml:space="preserve">rant </w:t>
      </w:r>
      <w:r w:rsidR="00F51B78" w:rsidRPr="00A15524">
        <w:t>O</w:t>
      </w:r>
      <w:r w:rsidR="00847D33" w:rsidRPr="00A15524">
        <w:t xml:space="preserve">pportunity </w:t>
      </w:r>
      <w:r w:rsidRPr="00A15524">
        <w:t xml:space="preserve">maintains </w:t>
      </w:r>
      <w:r w:rsidR="002B0812" w:rsidRPr="00A15524">
        <w:t>the same</w:t>
      </w:r>
      <w:r w:rsidR="00847D33" w:rsidRPr="00A15524">
        <w:t xml:space="preserve"> focus on </w:t>
      </w:r>
      <w:r w:rsidR="00603947" w:rsidRPr="00A15524">
        <w:t>P</w:t>
      </w:r>
      <w:r w:rsidR="00847D33" w:rsidRPr="00A15524">
        <w:t xml:space="preserve">riority </w:t>
      </w:r>
      <w:r w:rsidR="00603947" w:rsidRPr="00A15524">
        <w:t>P</w:t>
      </w:r>
      <w:r w:rsidR="00847D33" w:rsidRPr="00A15524">
        <w:t>opulations</w:t>
      </w:r>
      <w:r w:rsidR="00B01699" w:rsidRPr="00A15524">
        <w:t>.</w:t>
      </w:r>
      <w:r w:rsidR="00071928" w:rsidRPr="00A15524">
        <w:t xml:space="preserve"> </w:t>
      </w:r>
      <w:r w:rsidR="00BE0248" w:rsidRPr="00A15524">
        <w:t>There has been no change to the focus of Stream</w:t>
      </w:r>
      <w:r w:rsidR="00071928" w:rsidRPr="00A15524">
        <w:t xml:space="preserve"> </w:t>
      </w:r>
      <w:r w:rsidR="00BE0248" w:rsidRPr="00A15524">
        <w:t>1 and 2 of the grant opportunity.</w:t>
      </w:r>
    </w:p>
    <w:p w14:paraId="604C6F34" w14:textId="6F47E5EF" w:rsidR="00817112" w:rsidRPr="00A15524" w:rsidRDefault="00817112" w:rsidP="00A15524">
      <w:r w:rsidRPr="00A15524">
        <w:t xml:space="preserve">There has been no change in focus on </w:t>
      </w:r>
      <w:r w:rsidR="001E3113" w:rsidRPr="00A15524">
        <w:t>S</w:t>
      </w:r>
      <w:r w:rsidRPr="00A15524">
        <w:t xml:space="preserve">tream 3 </w:t>
      </w:r>
      <w:r w:rsidR="00C12F4D" w:rsidRPr="00A15524">
        <w:t xml:space="preserve">(Targeted Call for Research) </w:t>
      </w:r>
      <w:r w:rsidRPr="00A15524">
        <w:t>in the 202</w:t>
      </w:r>
      <w:r w:rsidR="00603947" w:rsidRPr="00A15524">
        <w:t xml:space="preserve">4 </w:t>
      </w:r>
      <w:r w:rsidRPr="00A15524">
        <w:t>grant opportunity which is to</w:t>
      </w:r>
      <w:r w:rsidR="009A3966" w:rsidRPr="00A15524">
        <w:t xml:space="preserve"> </w:t>
      </w:r>
      <w:r w:rsidRPr="00A15524">
        <w:t>utilise co-funding between the MRFF, a sponsoring academic organisation and partner organisation(s) to accelerate translation of research led by early to mid-career researchers.</w:t>
      </w:r>
      <w:r w:rsidR="00D501C1" w:rsidRPr="00A15524">
        <w:t xml:space="preserve"> Small adjustments, based on applicant feedback </w:t>
      </w:r>
      <w:r w:rsidR="000378AE" w:rsidRPr="00A15524">
        <w:t>have</w:t>
      </w:r>
      <w:r w:rsidR="00D501C1" w:rsidRPr="00A15524">
        <w:t xml:space="preserve"> been made </w:t>
      </w:r>
      <w:r w:rsidR="00F547FC" w:rsidRPr="00A15524">
        <w:t>to the arrangements for joint contributions from project partners towards total project costs.</w:t>
      </w:r>
    </w:p>
    <w:p w14:paraId="1904AF1B" w14:textId="23EBAB7E" w:rsidR="00847D33" w:rsidRPr="00A15524" w:rsidRDefault="00847D33" w:rsidP="00FD1DEA">
      <w:pPr>
        <w:jc w:val="both"/>
      </w:pPr>
      <w:r w:rsidRPr="00A15524">
        <w:t xml:space="preserve">For the purposes of the grant opportunity, Priority Populations are defined as Aboriginal and/or Torres Strait Islander people, older people experiencing diseases of ageing, people with rare or </w:t>
      </w:r>
      <w:r w:rsidRPr="00A15524">
        <w:lastRenderedPageBreak/>
        <w:t xml:space="preserve">currently untreatable diseases/conditions, people in remote/rural communities, people with a disability, individuals from culturally and linguistically diverse communities, LGBTIQ+ people, and youth. These are the Priority populations identified by </w:t>
      </w:r>
      <w:r w:rsidR="007E6E8D" w:rsidRPr="00A15524">
        <w:t>Australian Medical Research Advisory Board</w:t>
      </w:r>
      <w:r w:rsidRPr="00A15524">
        <w:t xml:space="preserve"> in the </w:t>
      </w:r>
      <w:hyperlink r:id="rId54" w:history="1">
        <w:r w:rsidRPr="00704C25">
          <w:rPr>
            <w:rStyle w:val="Hyperlink"/>
            <w:rFonts w:cs="Arial"/>
            <w:sz w:val="22"/>
            <w:szCs w:val="22"/>
          </w:rPr>
          <w:t>Australian Medical Research and Innovation Priorities 2022-</w:t>
        </w:r>
        <w:r w:rsidR="00603947" w:rsidRPr="00704C25">
          <w:rPr>
            <w:rStyle w:val="Hyperlink"/>
            <w:rFonts w:cs="Arial"/>
            <w:sz w:val="22"/>
            <w:szCs w:val="22"/>
          </w:rPr>
          <w:t>20</w:t>
        </w:r>
        <w:r w:rsidRPr="00704C25">
          <w:rPr>
            <w:rStyle w:val="Hyperlink"/>
            <w:rFonts w:cs="Arial"/>
            <w:sz w:val="22"/>
            <w:szCs w:val="22"/>
          </w:rPr>
          <w:t>24</w:t>
        </w:r>
      </w:hyperlink>
      <w:r w:rsidRPr="00A15524">
        <w:t>.</w:t>
      </w:r>
    </w:p>
    <w:p w14:paraId="0018269D" w14:textId="73E90F8F" w:rsidR="00847D33" w:rsidRPr="00A15524" w:rsidRDefault="00847D33" w:rsidP="00A15524">
      <w:r w:rsidRPr="00A15524">
        <w:t>The 202</w:t>
      </w:r>
      <w:r w:rsidR="00F547FC" w:rsidRPr="00A15524">
        <w:t>4</w:t>
      </w:r>
      <w:r w:rsidRPr="00A15524">
        <w:t xml:space="preserve"> Early to Mid-Career Researchers </w:t>
      </w:r>
      <w:r w:rsidR="00704C25" w:rsidRPr="00A15524">
        <w:t>G</w:t>
      </w:r>
      <w:r w:rsidRPr="00A15524">
        <w:t xml:space="preserve">rant </w:t>
      </w:r>
      <w:r w:rsidR="00704C25" w:rsidRPr="00A15524">
        <w:t>O</w:t>
      </w:r>
      <w:r w:rsidRPr="00A15524">
        <w:t>pportunity is intended to support excellent early and mid-career researchers to start, or continue to, focus on and build capacity in working with Priority Populations. Full details are available on</w:t>
      </w:r>
      <w:r w:rsidR="005260D8" w:rsidRPr="00A15524">
        <w:t xml:space="preserve"> </w:t>
      </w:r>
      <w:hyperlink r:id="rId55" w:history="1">
        <w:r w:rsidR="005260D8" w:rsidRPr="00FD1DEA">
          <w:rPr>
            <w:rStyle w:val="Hyperlink"/>
            <w:rFonts w:cs="Arial"/>
            <w:sz w:val="22"/>
            <w:szCs w:val="22"/>
          </w:rPr>
          <w:t>GrantConnect</w:t>
        </w:r>
      </w:hyperlink>
      <w:r w:rsidR="005260D8" w:rsidRPr="00A15524" w:rsidDel="005260D8">
        <w:t xml:space="preserve"> </w:t>
      </w:r>
      <w:r w:rsidR="00204E0C" w:rsidRPr="00A15524">
        <w:t>- GO6748.</w:t>
      </w:r>
    </w:p>
    <w:p w14:paraId="1C3CE032" w14:textId="77777777" w:rsidR="006D024C" w:rsidRDefault="006D024C"/>
    <w:p w14:paraId="3E6BCA10" w14:textId="77777777" w:rsidR="006D024C" w:rsidRDefault="006D024C">
      <w:pPr>
        <w:sectPr w:rsidR="006D024C" w:rsidSect="001413B5">
          <w:pgSz w:w="11906" w:h="16838" w:code="9"/>
          <w:pgMar w:top="1701" w:right="1418" w:bottom="1418" w:left="1418" w:header="709" w:footer="567" w:gutter="0"/>
          <w:cols w:space="708"/>
          <w:docGrid w:linePitch="360"/>
        </w:sectPr>
      </w:pPr>
    </w:p>
    <w:p w14:paraId="373B3FD5" w14:textId="3C0012F5" w:rsidR="00AE7C4C" w:rsidRPr="00CE3E77" w:rsidRDefault="00AE7C4C" w:rsidP="00CE3E77">
      <w:pPr>
        <w:pStyle w:val="Heading1"/>
      </w:pPr>
      <w:bookmarkStart w:id="30" w:name="_Toc168043250"/>
      <w:r w:rsidRPr="00CE3E77">
        <w:lastRenderedPageBreak/>
        <w:t>Glossary</w:t>
      </w:r>
      <w:bookmarkEnd w:id="30"/>
    </w:p>
    <w:tbl>
      <w:tblPr>
        <w:tblStyle w:val="DepartmentofHealthtable"/>
        <w:tblW w:w="9072" w:type="dxa"/>
        <w:tblLayout w:type="fixed"/>
        <w:tblLook w:val="0020" w:firstRow="1" w:lastRow="0" w:firstColumn="0" w:lastColumn="0" w:noHBand="0" w:noVBand="0"/>
      </w:tblPr>
      <w:tblGrid>
        <w:gridCol w:w="2552"/>
        <w:gridCol w:w="6520"/>
      </w:tblGrid>
      <w:tr w:rsidR="00BE01CD" w:rsidRPr="001F432C" w14:paraId="36B7549B" w14:textId="77777777" w:rsidTr="001F432C">
        <w:trPr>
          <w:cnfStyle w:val="100000000000" w:firstRow="1" w:lastRow="0" w:firstColumn="0" w:lastColumn="0" w:oddVBand="0" w:evenVBand="0" w:oddHBand="0" w:evenHBand="0" w:firstRowFirstColumn="0" w:firstRowLastColumn="0" w:lastRowFirstColumn="0" w:lastRowLastColumn="0"/>
          <w:trHeight w:val="283"/>
          <w:tblHeader/>
        </w:trPr>
        <w:tc>
          <w:tcPr>
            <w:tcW w:w="2552" w:type="dxa"/>
          </w:tcPr>
          <w:p w14:paraId="07326D62" w14:textId="77777777" w:rsidR="00AE7C4C" w:rsidRPr="001F432C" w:rsidRDefault="00AE7C4C" w:rsidP="001F432C">
            <w:r w:rsidRPr="001F432C">
              <w:t xml:space="preserve">Term </w:t>
            </w:r>
          </w:p>
        </w:tc>
        <w:tc>
          <w:tcPr>
            <w:tcW w:w="6520" w:type="dxa"/>
          </w:tcPr>
          <w:p w14:paraId="349AEE5E" w14:textId="77777777" w:rsidR="00AE7C4C" w:rsidRPr="001F432C" w:rsidRDefault="00AE7C4C" w:rsidP="001F432C">
            <w:r w:rsidRPr="001F432C">
              <w:t xml:space="preserve">Definition </w:t>
            </w:r>
          </w:p>
        </w:tc>
      </w:tr>
      <w:tr w:rsidR="00FD1DEA" w:rsidRPr="001F432C" w14:paraId="1DCE3281" w14:textId="77777777" w:rsidTr="001F432C">
        <w:trPr>
          <w:cnfStyle w:val="000000100000" w:firstRow="0" w:lastRow="0" w:firstColumn="0" w:lastColumn="0" w:oddVBand="0" w:evenVBand="0" w:oddHBand="1" w:evenHBand="0" w:firstRowFirstColumn="0" w:firstRowLastColumn="0" w:lastRowFirstColumn="0" w:lastRowLastColumn="0"/>
          <w:trHeight w:val="170"/>
        </w:trPr>
        <w:tc>
          <w:tcPr>
            <w:tcW w:w="2552" w:type="dxa"/>
          </w:tcPr>
          <w:p w14:paraId="32358A96" w14:textId="77777777" w:rsidR="00AE7C4C" w:rsidRPr="001F432C" w:rsidRDefault="00AE7C4C" w:rsidP="00940511">
            <w:pPr>
              <w:pStyle w:val="Tabletextleft"/>
            </w:pPr>
            <w:r w:rsidRPr="001F432C">
              <w:t>Career disruption</w:t>
            </w:r>
          </w:p>
        </w:tc>
        <w:tc>
          <w:tcPr>
            <w:tcW w:w="6520" w:type="dxa"/>
          </w:tcPr>
          <w:p w14:paraId="4B1272E2" w14:textId="02123EBC" w:rsidR="00AE7C4C" w:rsidRPr="001F432C" w:rsidRDefault="00AE7C4C" w:rsidP="00940511">
            <w:pPr>
              <w:pStyle w:val="Tabletextleft"/>
            </w:pPr>
            <w:r w:rsidRPr="001F432C">
              <w:t>a prolonged interruption to an applicant’s capacity to work, due to pregnancy, major illness/injury or carer responsibilities. Interruptions must involve either a continuous absence from work for periods of 90 calendar days or more and/or a long-term partial return to work that has been formalised with the applicant’s employer. Full details are available in the Grant Opportunity Guidelines</w:t>
            </w:r>
            <w:r w:rsidR="0006255C" w:rsidRPr="001F432C">
              <w:t>.</w:t>
            </w:r>
          </w:p>
        </w:tc>
      </w:tr>
      <w:tr w:rsidR="00AE7C4C" w:rsidRPr="001F432C" w14:paraId="143C6A1F" w14:textId="77777777" w:rsidTr="001F432C">
        <w:trPr>
          <w:cnfStyle w:val="000000010000" w:firstRow="0" w:lastRow="0" w:firstColumn="0" w:lastColumn="0" w:oddVBand="0" w:evenVBand="0" w:oddHBand="0" w:evenHBand="1" w:firstRowFirstColumn="0" w:firstRowLastColumn="0" w:lastRowFirstColumn="0" w:lastRowLastColumn="0"/>
          <w:trHeight w:val="170"/>
        </w:trPr>
        <w:tc>
          <w:tcPr>
            <w:tcW w:w="2552" w:type="dxa"/>
          </w:tcPr>
          <w:p w14:paraId="0A742FA5" w14:textId="603778A9" w:rsidR="00AE7C4C" w:rsidRPr="001F432C" w:rsidRDefault="00AE7C4C" w:rsidP="00940511">
            <w:pPr>
              <w:pStyle w:val="Tabletextleft"/>
            </w:pPr>
            <w:r w:rsidRPr="001F432C">
              <w:t xml:space="preserve">Early </w:t>
            </w:r>
            <w:r w:rsidR="007D6F85" w:rsidRPr="001F432C">
              <w:t>c</w:t>
            </w:r>
            <w:r w:rsidRPr="001F432C">
              <w:t xml:space="preserve">areer </w:t>
            </w:r>
            <w:r w:rsidR="007D6F85" w:rsidRPr="001F432C">
              <w:t>r</w:t>
            </w:r>
            <w:r w:rsidRPr="001F432C">
              <w:t>esearcher</w:t>
            </w:r>
          </w:p>
        </w:tc>
        <w:tc>
          <w:tcPr>
            <w:tcW w:w="6520" w:type="dxa"/>
          </w:tcPr>
          <w:p w14:paraId="265489EF" w14:textId="39DBBA46" w:rsidR="00AE7C4C" w:rsidRPr="001F432C" w:rsidRDefault="00AE7C4C" w:rsidP="00940511">
            <w:pPr>
              <w:pStyle w:val="Tabletextleft"/>
            </w:pPr>
            <w:r w:rsidRPr="001F432C">
              <w:t xml:space="preserve">An early-career researcher is defined as an individual who is within five years post PhD (i.e. within five years of their PhD </w:t>
            </w:r>
            <w:r w:rsidR="004155C1" w:rsidRPr="001F432C">
              <w:t>award dat</w:t>
            </w:r>
            <w:r w:rsidRPr="001F432C">
              <w:t>e), excluding career disruptions.</w:t>
            </w:r>
          </w:p>
        </w:tc>
      </w:tr>
      <w:tr w:rsidR="00AE7C4C" w:rsidRPr="001F432C" w14:paraId="7FA70AFD" w14:textId="77777777" w:rsidTr="001F432C">
        <w:trPr>
          <w:cnfStyle w:val="000000100000" w:firstRow="0" w:lastRow="0" w:firstColumn="0" w:lastColumn="0" w:oddVBand="0" w:evenVBand="0" w:oddHBand="1" w:evenHBand="0" w:firstRowFirstColumn="0" w:firstRowLastColumn="0" w:lastRowFirstColumn="0" w:lastRowLastColumn="0"/>
          <w:trHeight w:val="170"/>
        </w:trPr>
        <w:tc>
          <w:tcPr>
            <w:tcW w:w="2552" w:type="dxa"/>
          </w:tcPr>
          <w:p w14:paraId="6CBFE7FF" w14:textId="77777777" w:rsidR="00AE7C4C" w:rsidRPr="001F432C" w:rsidRDefault="00AE7C4C" w:rsidP="00940511">
            <w:pPr>
              <w:pStyle w:val="Tabletextleft"/>
            </w:pPr>
            <w:r w:rsidRPr="001F432C">
              <w:t xml:space="preserve">Eligible application </w:t>
            </w:r>
          </w:p>
        </w:tc>
        <w:tc>
          <w:tcPr>
            <w:tcW w:w="6520" w:type="dxa"/>
          </w:tcPr>
          <w:p w14:paraId="19341F72" w14:textId="77777777" w:rsidR="00AE7C4C" w:rsidRPr="001F432C" w:rsidRDefault="00AE7C4C" w:rsidP="00940511">
            <w:pPr>
              <w:pStyle w:val="Tabletextleft"/>
            </w:pPr>
            <w:r w:rsidRPr="001F432C">
              <w:t xml:space="preserve">An application or proposal for services or grant funding under the program that the Program Delegate has determined is eligible for assessment in accordance with the relevant guidelines. </w:t>
            </w:r>
          </w:p>
        </w:tc>
      </w:tr>
      <w:tr w:rsidR="00AE7C4C" w:rsidRPr="001F432C" w14:paraId="02891E66" w14:textId="77777777" w:rsidTr="001F432C">
        <w:trPr>
          <w:cnfStyle w:val="000000010000" w:firstRow="0" w:lastRow="0" w:firstColumn="0" w:lastColumn="0" w:oddVBand="0" w:evenVBand="0" w:oddHBand="0" w:evenHBand="1" w:firstRowFirstColumn="0" w:firstRowLastColumn="0" w:lastRowFirstColumn="0" w:lastRowLastColumn="0"/>
          <w:trHeight w:val="170"/>
        </w:trPr>
        <w:tc>
          <w:tcPr>
            <w:tcW w:w="2552" w:type="dxa"/>
          </w:tcPr>
          <w:p w14:paraId="69007B31" w14:textId="77777777" w:rsidR="00AE7C4C" w:rsidRPr="001F432C" w:rsidRDefault="00AE7C4C" w:rsidP="00940511">
            <w:pPr>
              <w:pStyle w:val="Tabletextleft"/>
            </w:pPr>
            <w:r w:rsidRPr="001F432C">
              <w:t xml:space="preserve">Eligible Organisation </w:t>
            </w:r>
          </w:p>
        </w:tc>
        <w:tc>
          <w:tcPr>
            <w:tcW w:w="6520" w:type="dxa"/>
          </w:tcPr>
          <w:p w14:paraId="5282E49C" w14:textId="77777777" w:rsidR="00AE7C4C" w:rsidRPr="001F432C" w:rsidRDefault="00AE7C4C" w:rsidP="00940511">
            <w:pPr>
              <w:pStyle w:val="Tabletextleft"/>
            </w:pPr>
            <w:r w:rsidRPr="001F432C">
              <w:t xml:space="preserve">An organisation that meets the eligibility requirements for receiving and administering MRFF funding and has been approved as an MRFF Eligible Organisation by NHMRC. </w:t>
            </w:r>
          </w:p>
        </w:tc>
      </w:tr>
      <w:tr w:rsidR="00AE7C4C" w:rsidRPr="001F432C" w14:paraId="4B5C5E26" w14:textId="77777777" w:rsidTr="001F432C">
        <w:trPr>
          <w:cnfStyle w:val="000000100000" w:firstRow="0" w:lastRow="0" w:firstColumn="0" w:lastColumn="0" w:oddVBand="0" w:evenVBand="0" w:oddHBand="1" w:evenHBand="0" w:firstRowFirstColumn="0" w:firstRowLastColumn="0" w:lastRowFirstColumn="0" w:lastRowLastColumn="0"/>
          <w:trHeight w:val="170"/>
        </w:trPr>
        <w:tc>
          <w:tcPr>
            <w:tcW w:w="2552" w:type="dxa"/>
          </w:tcPr>
          <w:p w14:paraId="615FEDD8" w14:textId="4FBD62C3" w:rsidR="00AE7C4C" w:rsidRPr="001F432C" w:rsidRDefault="00AE7C4C" w:rsidP="00940511">
            <w:pPr>
              <w:pStyle w:val="Tabletextleft"/>
            </w:pPr>
            <w:r w:rsidRPr="001F432C">
              <w:t xml:space="preserve">Mid-career </w:t>
            </w:r>
            <w:r w:rsidR="00A7438C" w:rsidRPr="001F432C">
              <w:t>r</w:t>
            </w:r>
            <w:r w:rsidRPr="001F432C">
              <w:t>esearcher</w:t>
            </w:r>
          </w:p>
        </w:tc>
        <w:tc>
          <w:tcPr>
            <w:tcW w:w="6520" w:type="dxa"/>
          </w:tcPr>
          <w:p w14:paraId="3834598E" w14:textId="64836AD7" w:rsidR="00AE7C4C" w:rsidRPr="001F432C" w:rsidRDefault="00AE7C4C" w:rsidP="00940511">
            <w:pPr>
              <w:pStyle w:val="Tabletextleft"/>
            </w:pPr>
            <w:r w:rsidRPr="001F432C">
              <w:t xml:space="preserve">A mid-career researcher is defined as an individual who is between </w:t>
            </w:r>
            <w:r w:rsidR="007075DB" w:rsidRPr="001F432C">
              <w:t>5</w:t>
            </w:r>
            <w:r w:rsidRPr="001F432C">
              <w:t xml:space="preserve"> and </w:t>
            </w:r>
            <w:r w:rsidR="007075DB" w:rsidRPr="001F432C">
              <w:t xml:space="preserve">10 </w:t>
            </w:r>
            <w:r w:rsidRPr="001F432C">
              <w:t xml:space="preserve">years post PhD (i.e. between five and ten years of their PhD </w:t>
            </w:r>
            <w:r w:rsidR="004155C1" w:rsidRPr="001F432C">
              <w:t>award</w:t>
            </w:r>
            <w:r w:rsidRPr="001F432C">
              <w:t xml:space="preserve"> date), excluding career disruptions.</w:t>
            </w:r>
          </w:p>
        </w:tc>
      </w:tr>
      <w:tr w:rsidR="00AE7C4C" w:rsidRPr="001F432C" w14:paraId="2BD515DE" w14:textId="77777777" w:rsidTr="001F432C">
        <w:trPr>
          <w:cnfStyle w:val="000000010000" w:firstRow="0" w:lastRow="0" w:firstColumn="0" w:lastColumn="0" w:oddVBand="0" w:evenVBand="0" w:oddHBand="0" w:evenHBand="1" w:firstRowFirstColumn="0" w:firstRowLastColumn="0" w:lastRowFirstColumn="0" w:lastRowLastColumn="0"/>
          <w:trHeight w:val="170"/>
        </w:trPr>
        <w:tc>
          <w:tcPr>
            <w:tcW w:w="2552" w:type="dxa"/>
          </w:tcPr>
          <w:p w14:paraId="3CBAAC43" w14:textId="77777777" w:rsidR="00AE7C4C" w:rsidRPr="001F432C" w:rsidRDefault="00AE7C4C" w:rsidP="00940511">
            <w:pPr>
              <w:pStyle w:val="Tabletextleft"/>
            </w:pPr>
            <w:r w:rsidRPr="001F432C">
              <w:t xml:space="preserve">Grant funding or grant funds </w:t>
            </w:r>
          </w:p>
        </w:tc>
        <w:tc>
          <w:tcPr>
            <w:tcW w:w="6520" w:type="dxa"/>
          </w:tcPr>
          <w:p w14:paraId="606F607A" w14:textId="77777777" w:rsidR="00AE7C4C" w:rsidRPr="001F432C" w:rsidRDefault="00AE7C4C" w:rsidP="00940511">
            <w:pPr>
              <w:pStyle w:val="Tabletextleft"/>
            </w:pPr>
            <w:r w:rsidRPr="001F432C">
              <w:t xml:space="preserve">The funding made available by the Australian Government to grantees under the program. </w:t>
            </w:r>
          </w:p>
        </w:tc>
      </w:tr>
      <w:tr w:rsidR="00AE7C4C" w:rsidRPr="001F432C" w14:paraId="3237B3BB" w14:textId="77777777" w:rsidTr="001F432C">
        <w:trPr>
          <w:cnfStyle w:val="000000100000" w:firstRow="0" w:lastRow="0" w:firstColumn="0" w:lastColumn="0" w:oddVBand="0" w:evenVBand="0" w:oddHBand="1" w:evenHBand="0" w:firstRowFirstColumn="0" w:firstRowLastColumn="0" w:lastRowFirstColumn="0" w:lastRowLastColumn="0"/>
          <w:trHeight w:val="170"/>
        </w:trPr>
        <w:tc>
          <w:tcPr>
            <w:tcW w:w="2552" w:type="dxa"/>
          </w:tcPr>
          <w:p w14:paraId="28B4AE8E" w14:textId="77777777" w:rsidR="00AE7C4C" w:rsidRPr="001F432C" w:rsidRDefault="00AE7C4C" w:rsidP="00940511">
            <w:pPr>
              <w:pStyle w:val="Tabletextleft"/>
            </w:pPr>
            <w:r w:rsidRPr="001F432C">
              <w:t xml:space="preserve">Grant Opportunity </w:t>
            </w:r>
          </w:p>
        </w:tc>
        <w:tc>
          <w:tcPr>
            <w:tcW w:w="6520" w:type="dxa"/>
          </w:tcPr>
          <w:p w14:paraId="36994D4F" w14:textId="77777777" w:rsidR="00AE7C4C" w:rsidRPr="001F432C" w:rsidRDefault="00AE7C4C" w:rsidP="00940511">
            <w:pPr>
              <w:pStyle w:val="Tabletextleft"/>
            </w:pPr>
            <w:r w:rsidRPr="001F432C">
              <w:t xml:space="preserve">Refers to the specific grant round or process where a Commonwealth grant is made available to potential grantees. A grant opportunity is aimed at achieving government policy outcomes under a Portfolio Budget Statement Program. </w:t>
            </w:r>
          </w:p>
        </w:tc>
      </w:tr>
      <w:tr w:rsidR="00AE7C4C" w:rsidRPr="001F432C" w14:paraId="42FFF6DF" w14:textId="77777777" w:rsidTr="001F432C">
        <w:trPr>
          <w:cnfStyle w:val="000000010000" w:firstRow="0" w:lastRow="0" w:firstColumn="0" w:lastColumn="0" w:oddVBand="0" w:evenVBand="0" w:oddHBand="0" w:evenHBand="1" w:firstRowFirstColumn="0" w:firstRowLastColumn="0" w:lastRowFirstColumn="0" w:lastRowLastColumn="0"/>
          <w:trHeight w:val="170"/>
        </w:trPr>
        <w:tc>
          <w:tcPr>
            <w:tcW w:w="2552" w:type="dxa"/>
          </w:tcPr>
          <w:p w14:paraId="1DF6D338" w14:textId="77777777" w:rsidR="00AE7C4C" w:rsidRPr="001F432C" w:rsidRDefault="00AE7C4C" w:rsidP="00940511">
            <w:pPr>
              <w:pStyle w:val="Tabletextleft"/>
            </w:pPr>
            <w:r w:rsidRPr="001F432C">
              <w:t xml:space="preserve">GrantConnect </w:t>
            </w:r>
          </w:p>
        </w:tc>
        <w:tc>
          <w:tcPr>
            <w:tcW w:w="6520" w:type="dxa"/>
          </w:tcPr>
          <w:p w14:paraId="2111CD5C" w14:textId="65D94472" w:rsidR="00AE7C4C" w:rsidRPr="001F432C" w:rsidRDefault="00AE7C4C" w:rsidP="00940511">
            <w:pPr>
              <w:pStyle w:val="Tabletextleft"/>
            </w:pPr>
            <w:r w:rsidRPr="001F432C">
              <w:t xml:space="preserve">The Australian Government’s whole-of-government grants information system, which centralises the publication and reporting of Commonwealth grants in accordance with the </w:t>
            </w:r>
            <w:r w:rsidR="00026FD4" w:rsidRPr="001F432C">
              <w:t>Commonwealth Grants Rules and Guidelines</w:t>
            </w:r>
            <w:r w:rsidRPr="001F432C">
              <w:t xml:space="preserve">. </w:t>
            </w:r>
          </w:p>
        </w:tc>
      </w:tr>
      <w:tr w:rsidR="00AE7C4C" w:rsidRPr="001F432C" w14:paraId="3CBACBE1" w14:textId="77777777" w:rsidTr="001F432C">
        <w:trPr>
          <w:cnfStyle w:val="000000100000" w:firstRow="0" w:lastRow="0" w:firstColumn="0" w:lastColumn="0" w:oddVBand="0" w:evenVBand="0" w:oddHBand="1" w:evenHBand="0" w:firstRowFirstColumn="0" w:firstRowLastColumn="0" w:lastRowFirstColumn="0" w:lastRowLastColumn="0"/>
          <w:trHeight w:val="170"/>
        </w:trPr>
        <w:tc>
          <w:tcPr>
            <w:tcW w:w="2552" w:type="dxa"/>
          </w:tcPr>
          <w:p w14:paraId="70AEA88B" w14:textId="77777777" w:rsidR="00AE7C4C" w:rsidRPr="001F432C" w:rsidRDefault="00AE7C4C" w:rsidP="00940511">
            <w:pPr>
              <w:pStyle w:val="Tabletextleft"/>
            </w:pPr>
            <w:r w:rsidRPr="001F432C">
              <w:t xml:space="preserve">Grantee </w:t>
            </w:r>
          </w:p>
        </w:tc>
        <w:tc>
          <w:tcPr>
            <w:tcW w:w="6520" w:type="dxa"/>
          </w:tcPr>
          <w:p w14:paraId="7784CD09" w14:textId="77777777" w:rsidR="00AE7C4C" w:rsidRPr="001F432C" w:rsidRDefault="00AE7C4C" w:rsidP="00940511">
            <w:pPr>
              <w:pStyle w:val="Tabletextleft"/>
            </w:pPr>
            <w:r w:rsidRPr="001F432C">
              <w:t xml:space="preserve">The individual/organisation which has been selected to receive a grant. </w:t>
            </w:r>
          </w:p>
        </w:tc>
      </w:tr>
      <w:tr w:rsidR="00AE7C4C" w:rsidRPr="001F432C" w14:paraId="6C07B802" w14:textId="77777777" w:rsidTr="001F432C">
        <w:trPr>
          <w:cnfStyle w:val="000000010000" w:firstRow="0" w:lastRow="0" w:firstColumn="0" w:lastColumn="0" w:oddVBand="0" w:evenVBand="0" w:oddHBand="0" w:evenHBand="1" w:firstRowFirstColumn="0" w:firstRowLastColumn="0" w:lastRowFirstColumn="0" w:lastRowLastColumn="0"/>
          <w:trHeight w:val="170"/>
        </w:trPr>
        <w:tc>
          <w:tcPr>
            <w:tcW w:w="2552" w:type="dxa"/>
          </w:tcPr>
          <w:p w14:paraId="652C4915" w14:textId="77777777" w:rsidR="00AE7C4C" w:rsidRPr="001F432C" w:rsidRDefault="00AE7C4C" w:rsidP="00940511">
            <w:pPr>
              <w:pStyle w:val="Tabletextleft"/>
            </w:pPr>
            <w:r w:rsidRPr="001F432C">
              <w:t xml:space="preserve">Project </w:t>
            </w:r>
          </w:p>
        </w:tc>
        <w:tc>
          <w:tcPr>
            <w:tcW w:w="6520" w:type="dxa"/>
          </w:tcPr>
          <w:p w14:paraId="6EFC9C5E" w14:textId="2626E7A5" w:rsidR="00AE7C4C" w:rsidRPr="001F432C" w:rsidRDefault="00AE7C4C" w:rsidP="00940511">
            <w:pPr>
              <w:pStyle w:val="Tabletextleft"/>
            </w:pPr>
            <w:r w:rsidRPr="001F432C">
              <w:t>A project described in an application for grant funding under the grant opportunity.</w:t>
            </w:r>
          </w:p>
        </w:tc>
      </w:tr>
    </w:tbl>
    <w:p w14:paraId="64063E19" w14:textId="57A2D8FB" w:rsidR="00AE7C4C" w:rsidRPr="00AE3273" w:rsidRDefault="00AE7C4C" w:rsidP="00B95348">
      <w:pPr>
        <w:sectPr w:rsidR="00AE7C4C" w:rsidRPr="00AE3273" w:rsidSect="001413B5">
          <w:pgSz w:w="11906" w:h="16838" w:code="9"/>
          <w:pgMar w:top="1701" w:right="1418" w:bottom="1418" w:left="1418" w:header="709" w:footer="567" w:gutter="0"/>
          <w:cols w:space="708"/>
          <w:docGrid w:linePitch="360"/>
        </w:sectPr>
      </w:pPr>
    </w:p>
    <w:p w14:paraId="5E893493" w14:textId="77777777" w:rsidR="00205A93" w:rsidRPr="00CD59E2" w:rsidRDefault="00205A93" w:rsidP="00CD59E2">
      <w:pPr>
        <w:pStyle w:val="Paragraphtext"/>
      </w:pPr>
      <w:r w:rsidRPr="00CD59E2">
        <w:lastRenderedPageBreak/>
        <w:t>Health.gov.au</w:t>
      </w:r>
    </w:p>
    <w:p w14:paraId="50B2D008" w14:textId="7F502661" w:rsidR="00205A93" w:rsidRPr="00CD59E2" w:rsidRDefault="00205A93" w:rsidP="00CD59E2">
      <w:pPr>
        <w:pStyle w:val="Paragraphtext"/>
      </w:pPr>
      <w:r w:rsidRPr="00CD59E2">
        <w:t xml:space="preserve">All information in this publication is correct as at </w:t>
      </w:r>
      <w:r w:rsidR="00BA3790" w:rsidRPr="00CD59E2">
        <w:t>May</w:t>
      </w:r>
      <w:r w:rsidR="00FE7BC7" w:rsidRPr="00CD59E2">
        <w:t xml:space="preserve"> 2024</w:t>
      </w:r>
    </w:p>
    <w:sectPr w:rsidR="00205A93" w:rsidRPr="00CD59E2" w:rsidSect="001413B5">
      <w:headerReference w:type="even" r:id="rId56"/>
      <w:headerReference w:type="default" r:id="rId57"/>
      <w:footerReference w:type="default" r:id="rId58"/>
      <w:headerReference w:type="first" r:id="rId59"/>
      <w:type w:val="oddPage"/>
      <w:pgSz w:w="11906" w:h="16838" w:code="9"/>
      <w:pgMar w:top="1701" w:right="1418" w:bottom="1418" w:left="1418" w:header="709" w:footer="709"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90BE" w14:textId="77777777" w:rsidR="0072764A" w:rsidRDefault="0072764A" w:rsidP="009567BB">
      <w:r>
        <w:separator/>
      </w:r>
    </w:p>
    <w:p w14:paraId="1B338DF6" w14:textId="77777777" w:rsidR="0072764A" w:rsidRDefault="0072764A" w:rsidP="009567BB"/>
  </w:endnote>
  <w:endnote w:type="continuationSeparator" w:id="0">
    <w:p w14:paraId="75C22DE5" w14:textId="77777777" w:rsidR="0072764A" w:rsidRDefault="0072764A" w:rsidP="009567BB">
      <w:r>
        <w:continuationSeparator/>
      </w:r>
    </w:p>
    <w:p w14:paraId="3567A958" w14:textId="77777777" w:rsidR="0072764A" w:rsidRDefault="0072764A" w:rsidP="009567BB"/>
  </w:endnote>
  <w:endnote w:type="continuationNotice" w:id="1">
    <w:p w14:paraId="5F89FC93" w14:textId="77777777" w:rsidR="0072764A" w:rsidRDefault="0072764A"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D81CCD" w14:paraId="757DE33A" w14:textId="77777777" w:rsidTr="6BD81CCD">
      <w:trPr>
        <w:trHeight w:val="300"/>
      </w:trPr>
      <w:tc>
        <w:tcPr>
          <w:tcW w:w="3020" w:type="dxa"/>
        </w:tcPr>
        <w:p w14:paraId="256DA4D6" w14:textId="0091B6A2" w:rsidR="6BD81CCD" w:rsidRDefault="6BD81CCD" w:rsidP="6BD81CCD">
          <w:pPr>
            <w:pStyle w:val="Header"/>
            <w:ind w:left="-115"/>
          </w:pPr>
        </w:p>
      </w:tc>
      <w:tc>
        <w:tcPr>
          <w:tcW w:w="3020" w:type="dxa"/>
        </w:tcPr>
        <w:p w14:paraId="3BE1CFA0" w14:textId="3B6615E8" w:rsidR="6BD81CCD" w:rsidRDefault="6BD81CCD" w:rsidP="6BD81CCD">
          <w:pPr>
            <w:pStyle w:val="Header"/>
            <w:jc w:val="center"/>
          </w:pPr>
        </w:p>
      </w:tc>
      <w:tc>
        <w:tcPr>
          <w:tcW w:w="3020" w:type="dxa"/>
        </w:tcPr>
        <w:p w14:paraId="75FA814F" w14:textId="07396038" w:rsidR="6BD81CCD" w:rsidRDefault="6BD81CCD" w:rsidP="6BD81CCD">
          <w:pPr>
            <w:pStyle w:val="Header"/>
            <w:ind w:right="-115"/>
            <w:jc w:val="right"/>
          </w:pPr>
        </w:p>
      </w:tc>
    </w:tr>
  </w:tbl>
  <w:p w14:paraId="5F7AC505" w14:textId="6DB392BF" w:rsidR="00C272CE" w:rsidRDefault="00C272C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5986" w14:textId="77777777" w:rsidR="00205A93" w:rsidRDefault="00205A93" w:rsidP="0095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D81CCD" w14:paraId="4210187A" w14:textId="77777777" w:rsidTr="6BD81CCD">
      <w:trPr>
        <w:trHeight w:val="300"/>
      </w:trPr>
      <w:tc>
        <w:tcPr>
          <w:tcW w:w="3020" w:type="dxa"/>
        </w:tcPr>
        <w:p w14:paraId="7A81EC54" w14:textId="507B22D2" w:rsidR="6BD81CCD" w:rsidRDefault="6BD81CCD" w:rsidP="6BD81CCD">
          <w:pPr>
            <w:pStyle w:val="Header"/>
            <w:ind w:left="-115"/>
          </w:pPr>
        </w:p>
      </w:tc>
      <w:tc>
        <w:tcPr>
          <w:tcW w:w="3020" w:type="dxa"/>
        </w:tcPr>
        <w:p w14:paraId="6012763D" w14:textId="29C6D6CE" w:rsidR="6BD81CCD" w:rsidRDefault="6BD81CCD" w:rsidP="6BD81CCD">
          <w:pPr>
            <w:pStyle w:val="Header"/>
            <w:jc w:val="center"/>
          </w:pPr>
        </w:p>
      </w:tc>
      <w:tc>
        <w:tcPr>
          <w:tcW w:w="3020" w:type="dxa"/>
        </w:tcPr>
        <w:p w14:paraId="47CBB470" w14:textId="403C16BC" w:rsidR="6BD81CCD" w:rsidRDefault="6BD81CCD" w:rsidP="6BD81CCD">
          <w:pPr>
            <w:pStyle w:val="Header"/>
            <w:ind w:right="-115"/>
            <w:jc w:val="right"/>
          </w:pPr>
        </w:p>
      </w:tc>
    </w:tr>
  </w:tbl>
  <w:p w14:paraId="07EE9A17" w14:textId="00D07E98" w:rsidR="00C272CE" w:rsidRDefault="00C27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B81E96" w14:paraId="22D26337" w14:textId="77777777" w:rsidTr="07B81E96">
      <w:trPr>
        <w:trHeight w:val="300"/>
      </w:trPr>
      <w:tc>
        <w:tcPr>
          <w:tcW w:w="3020" w:type="dxa"/>
        </w:tcPr>
        <w:p w14:paraId="2C2F7F90" w14:textId="7F7005E3" w:rsidR="07B81E96" w:rsidRDefault="07B81E96" w:rsidP="07B81E96">
          <w:pPr>
            <w:pStyle w:val="Header"/>
            <w:ind w:left="-115"/>
          </w:pPr>
        </w:p>
      </w:tc>
      <w:tc>
        <w:tcPr>
          <w:tcW w:w="3020" w:type="dxa"/>
        </w:tcPr>
        <w:p w14:paraId="1D159E47" w14:textId="5236CE1D" w:rsidR="07B81E96" w:rsidRDefault="07B81E96" w:rsidP="07B81E96">
          <w:pPr>
            <w:pStyle w:val="Header"/>
            <w:jc w:val="center"/>
          </w:pPr>
        </w:p>
      </w:tc>
      <w:tc>
        <w:tcPr>
          <w:tcW w:w="3020" w:type="dxa"/>
        </w:tcPr>
        <w:p w14:paraId="0839B104" w14:textId="32ECB0C3" w:rsidR="07B81E96" w:rsidRDefault="07B81E96" w:rsidP="07B81E96">
          <w:pPr>
            <w:pStyle w:val="Header"/>
            <w:ind w:right="-115"/>
            <w:jc w:val="right"/>
          </w:pPr>
        </w:p>
      </w:tc>
    </w:tr>
  </w:tbl>
  <w:p w14:paraId="6482244A" w14:textId="1A58B81B" w:rsidR="00F5034F" w:rsidRDefault="00F503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755717888"/>
      <w:docPartObj>
        <w:docPartGallery w:val="Page Numbers (Bottom of Page)"/>
        <w:docPartUnique/>
      </w:docPartObj>
    </w:sdtPr>
    <w:sdtEndPr>
      <w:rPr>
        <w:noProof/>
      </w:rPr>
    </w:sdtEndPr>
    <w:sdtContent>
      <w:p w14:paraId="05DE7898" w14:textId="295877E8" w:rsidR="00236073" w:rsidRPr="00323E32" w:rsidRDefault="00353F91" w:rsidP="00A216E1">
        <w:pPr>
          <w:pStyle w:val="Footer"/>
          <w:pBdr>
            <w:top w:val="single" w:sz="6" w:space="1" w:color="1F497D" w:themeColor="text2"/>
          </w:pBdr>
          <w:tabs>
            <w:tab w:val="clear" w:pos="0"/>
            <w:tab w:val="clear" w:pos="9026"/>
            <w:tab w:val="right" w:pos="14005"/>
          </w:tabs>
          <w:rPr>
            <w:color w:val="000000" w:themeColor="text1"/>
            <w:sz w:val="16"/>
            <w:szCs w:val="16"/>
          </w:rPr>
        </w:pPr>
        <w:r w:rsidRPr="00323E32">
          <w:rPr>
            <w:color w:val="000000" w:themeColor="text1"/>
            <w:sz w:val="16"/>
            <w:szCs w:val="16"/>
          </w:rPr>
          <w:t>MRFF - 2023 EMCR Grant Opportunity Outcomes</w:t>
        </w:r>
        <w:r w:rsidR="00A20D2B">
          <w:rPr>
            <w:color w:val="000000" w:themeColor="text1"/>
            <w:sz w:val="16"/>
            <w:szCs w:val="16"/>
          </w:rPr>
          <w:t xml:space="preserve"> Data</w:t>
        </w:r>
        <w:r w:rsidR="00A216E1" w:rsidRPr="00323E32">
          <w:rPr>
            <w:color w:val="000000" w:themeColor="text1"/>
            <w:sz w:val="16"/>
            <w:szCs w:val="16"/>
          </w:rPr>
          <w:tab/>
        </w:r>
        <w:r w:rsidR="00A216E1" w:rsidRPr="00323E32">
          <w:rPr>
            <w:color w:val="000000" w:themeColor="text1"/>
            <w:sz w:val="16"/>
            <w:szCs w:val="16"/>
          </w:rPr>
          <w:fldChar w:fldCharType="begin"/>
        </w:r>
        <w:r w:rsidR="00A216E1" w:rsidRPr="00323E32">
          <w:rPr>
            <w:color w:val="000000" w:themeColor="text1"/>
            <w:sz w:val="16"/>
            <w:szCs w:val="16"/>
          </w:rPr>
          <w:instrText xml:space="preserve"> PAGE   \* MERGEFORMAT </w:instrText>
        </w:r>
        <w:r w:rsidR="00A216E1" w:rsidRPr="00323E32">
          <w:rPr>
            <w:color w:val="000000" w:themeColor="text1"/>
            <w:sz w:val="16"/>
            <w:szCs w:val="16"/>
          </w:rPr>
          <w:fldChar w:fldCharType="separate"/>
        </w:r>
        <w:r w:rsidR="00A216E1" w:rsidRPr="00323E32">
          <w:rPr>
            <w:noProof/>
            <w:color w:val="000000" w:themeColor="text1"/>
            <w:sz w:val="16"/>
            <w:szCs w:val="16"/>
          </w:rPr>
          <w:t>3</w:t>
        </w:r>
        <w:r w:rsidR="00A216E1" w:rsidRPr="00323E32">
          <w:rPr>
            <w:noProof/>
            <w:color w:val="000000" w:themeColor="text1"/>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776178347"/>
      <w:docPartObj>
        <w:docPartGallery w:val="Page Numbers (Bottom of Page)"/>
        <w:docPartUnique/>
      </w:docPartObj>
    </w:sdtPr>
    <w:sdtEndPr>
      <w:rPr>
        <w:noProof/>
      </w:rPr>
    </w:sdtEndPr>
    <w:sdtContent>
      <w:p w14:paraId="1B9F1D08" w14:textId="635F2B14" w:rsidR="00236073" w:rsidRPr="00323E32" w:rsidRDefault="00C610DE" w:rsidP="00B76810">
        <w:pPr>
          <w:pStyle w:val="Footer"/>
          <w:pBdr>
            <w:top w:val="single" w:sz="6" w:space="1" w:color="1F497D" w:themeColor="text2"/>
          </w:pBdr>
          <w:tabs>
            <w:tab w:val="clear" w:pos="0"/>
            <w:tab w:val="clear" w:pos="9026"/>
            <w:tab w:val="right" w:pos="14005"/>
          </w:tabs>
          <w:rPr>
            <w:color w:val="000000" w:themeColor="text1"/>
            <w:sz w:val="16"/>
            <w:szCs w:val="16"/>
          </w:rPr>
        </w:pPr>
        <w:r w:rsidRPr="00323E32">
          <w:rPr>
            <w:color w:val="000000" w:themeColor="text1"/>
            <w:sz w:val="16"/>
            <w:szCs w:val="16"/>
          </w:rPr>
          <w:t>MRFF - 202</w:t>
        </w:r>
        <w:r w:rsidR="00580DC6" w:rsidRPr="00323E32">
          <w:rPr>
            <w:color w:val="000000" w:themeColor="text1"/>
            <w:sz w:val="16"/>
            <w:szCs w:val="16"/>
          </w:rPr>
          <w:t>3</w:t>
        </w:r>
        <w:r w:rsidRPr="00323E32">
          <w:rPr>
            <w:color w:val="000000" w:themeColor="text1"/>
            <w:sz w:val="16"/>
            <w:szCs w:val="16"/>
          </w:rPr>
          <w:t xml:space="preserve"> EMCR Grant Opportunity Outcomes</w:t>
        </w:r>
        <w:r w:rsidR="00A20D2B">
          <w:rPr>
            <w:color w:val="000000" w:themeColor="text1"/>
            <w:sz w:val="16"/>
            <w:szCs w:val="16"/>
          </w:rPr>
          <w:t xml:space="preserve"> Data</w:t>
        </w:r>
        <w:r w:rsidR="00B76810" w:rsidRPr="00323E32">
          <w:rPr>
            <w:color w:val="000000" w:themeColor="text1"/>
            <w:sz w:val="16"/>
            <w:szCs w:val="16"/>
          </w:rPr>
          <w:tab/>
        </w:r>
        <w:r w:rsidR="00B76810" w:rsidRPr="00323E32">
          <w:rPr>
            <w:color w:val="000000" w:themeColor="text1"/>
            <w:sz w:val="16"/>
            <w:szCs w:val="16"/>
          </w:rPr>
          <w:fldChar w:fldCharType="begin"/>
        </w:r>
        <w:r w:rsidR="00B76810" w:rsidRPr="00323E32">
          <w:rPr>
            <w:color w:val="000000" w:themeColor="text1"/>
            <w:sz w:val="16"/>
            <w:szCs w:val="16"/>
          </w:rPr>
          <w:instrText xml:space="preserve"> PAGE   \* MERGEFORMAT </w:instrText>
        </w:r>
        <w:r w:rsidR="00B76810" w:rsidRPr="00323E32">
          <w:rPr>
            <w:color w:val="000000" w:themeColor="text1"/>
            <w:sz w:val="16"/>
            <w:szCs w:val="16"/>
          </w:rPr>
          <w:fldChar w:fldCharType="separate"/>
        </w:r>
        <w:r w:rsidR="00B76810" w:rsidRPr="00323E32">
          <w:rPr>
            <w:noProof/>
            <w:color w:val="000000" w:themeColor="text1"/>
            <w:sz w:val="16"/>
            <w:szCs w:val="16"/>
          </w:rPr>
          <w:t>3</w:t>
        </w:r>
        <w:r w:rsidR="00B76810" w:rsidRPr="00323E32">
          <w:rPr>
            <w:noProof/>
            <w:color w:val="000000" w:themeColor="text1"/>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0E9B2AC4" w14:textId="77777777" w:rsidR="00236073" w:rsidRDefault="00236073" w:rsidP="009567BB">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1864931727"/>
      <w:docPartObj>
        <w:docPartGallery w:val="Page Numbers (Bottom of Page)"/>
        <w:docPartUnique/>
      </w:docPartObj>
    </w:sdtPr>
    <w:sdtEndPr>
      <w:rPr>
        <w:noProof/>
        <w:color w:val="4BACC6" w:themeColor="accent5"/>
      </w:rPr>
    </w:sdtEndPr>
    <w:sdtContent>
      <w:p w14:paraId="08C97C61" w14:textId="0037086D" w:rsidR="009E1CE1" w:rsidRPr="00B309D7" w:rsidRDefault="00353F91" w:rsidP="00B309D7">
        <w:pPr>
          <w:pStyle w:val="Footer"/>
          <w:pBdr>
            <w:top w:val="single" w:sz="6" w:space="1" w:color="1F497D" w:themeColor="text2"/>
          </w:pBdr>
          <w:tabs>
            <w:tab w:val="clear" w:pos="0"/>
            <w:tab w:val="clear" w:pos="9026"/>
            <w:tab w:val="right" w:pos="14005"/>
          </w:tabs>
          <w:rPr>
            <w:color w:val="000000" w:themeColor="text1"/>
            <w:sz w:val="16"/>
            <w:szCs w:val="16"/>
          </w:rPr>
        </w:pPr>
        <w:r w:rsidRPr="00323E32">
          <w:rPr>
            <w:color w:val="000000" w:themeColor="text1"/>
            <w:sz w:val="16"/>
            <w:szCs w:val="16"/>
          </w:rPr>
          <w:t>MRFF - 2023 EMCR Grant Opportunity Outcomes</w:t>
        </w:r>
        <w:r w:rsidR="00A20D2B">
          <w:rPr>
            <w:color w:val="000000" w:themeColor="text1"/>
            <w:sz w:val="16"/>
            <w:szCs w:val="16"/>
          </w:rPr>
          <w:t xml:space="preserve"> Data</w:t>
        </w:r>
        <w:r w:rsidR="00276C05" w:rsidRPr="000A1482">
          <w:rPr>
            <w:color w:val="000000" w:themeColor="text1"/>
            <w:sz w:val="16"/>
            <w:szCs w:val="16"/>
          </w:rPr>
          <w:tab/>
        </w:r>
        <w:r w:rsidR="00276C05" w:rsidRPr="000A1482">
          <w:rPr>
            <w:color w:val="000000" w:themeColor="text1"/>
            <w:sz w:val="16"/>
            <w:szCs w:val="16"/>
          </w:rPr>
          <w:fldChar w:fldCharType="begin"/>
        </w:r>
        <w:r w:rsidR="00276C05" w:rsidRPr="000A1482">
          <w:rPr>
            <w:color w:val="000000" w:themeColor="text1"/>
            <w:sz w:val="16"/>
            <w:szCs w:val="16"/>
          </w:rPr>
          <w:instrText xml:space="preserve"> PAGE   \* MERGEFORMAT </w:instrText>
        </w:r>
        <w:r w:rsidR="00276C05" w:rsidRPr="000A1482">
          <w:rPr>
            <w:color w:val="000000" w:themeColor="text1"/>
            <w:sz w:val="16"/>
            <w:szCs w:val="16"/>
          </w:rPr>
          <w:fldChar w:fldCharType="separate"/>
        </w:r>
        <w:r w:rsidR="00276C05" w:rsidRPr="000A1482">
          <w:rPr>
            <w:color w:val="000000" w:themeColor="text1"/>
            <w:sz w:val="16"/>
            <w:szCs w:val="16"/>
          </w:rPr>
          <w:t>3</w:t>
        </w:r>
        <w:r w:rsidR="00276C05" w:rsidRPr="000A1482">
          <w:rPr>
            <w:noProof/>
            <w:color w:val="000000" w:themeColor="text1"/>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1794714263"/>
      <w:docPartObj>
        <w:docPartGallery w:val="Page Numbers (Bottom of Page)"/>
        <w:docPartUnique/>
      </w:docPartObj>
    </w:sdtPr>
    <w:sdtEndPr>
      <w:rPr>
        <w:noProof/>
        <w:color w:val="4BACC6" w:themeColor="accent5"/>
      </w:rPr>
    </w:sdtEndPr>
    <w:sdtContent>
      <w:p w14:paraId="2B0C56A3" w14:textId="7EA19DE2" w:rsidR="009E1CE1" w:rsidRPr="000A1482" w:rsidRDefault="00353F91" w:rsidP="00B76810">
        <w:pPr>
          <w:pStyle w:val="Footer"/>
          <w:pBdr>
            <w:top w:val="single" w:sz="6" w:space="1" w:color="1F497D" w:themeColor="text2"/>
          </w:pBdr>
          <w:tabs>
            <w:tab w:val="clear" w:pos="0"/>
            <w:tab w:val="clear" w:pos="9026"/>
            <w:tab w:val="right" w:pos="14005"/>
          </w:tabs>
          <w:rPr>
            <w:color w:val="000000" w:themeColor="text1"/>
            <w:sz w:val="16"/>
            <w:szCs w:val="16"/>
          </w:rPr>
        </w:pPr>
        <w:r w:rsidRPr="00323E32">
          <w:rPr>
            <w:color w:val="000000" w:themeColor="text1"/>
            <w:sz w:val="16"/>
            <w:szCs w:val="16"/>
          </w:rPr>
          <w:t>MRFF - 2023 EMCR Grant Opportunity Outcomes</w:t>
        </w:r>
        <w:r w:rsidR="00A20D2B">
          <w:rPr>
            <w:color w:val="000000" w:themeColor="text1"/>
            <w:sz w:val="16"/>
            <w:szCs w:val="16"/>
          </w:rPr>
          <w:t xml:space="preserve"> Data</w:t>
        </w:r>
        <w:r w:rsidR="009E1CE1" w:rsidRPr="000A1482">
          <w:rPr>
            <w:color w:val="000000" w:themeColor="text1"/>
            <w:sz w:val="16"/>
            <w:szCs w:val="16"/>
          </w:rPr>
          <w:tab/>
        </w:r>
        <w:r w:rsidR="009E1CE1" w:rsidRPr="000A1482">
          <w:rPr>
            <w:color w:val="000000" w:themeColor="text1"/>
            <w:sz w:val="16"/>
            <w:szCs w:val="16"/>
          </w:rPr>
          <w:fldChar w:fldCharType="begin"/>
        </w:r>
        <w:r w:rsidR="009E1CE1" w:rsidRPr="000A1482">
          <w:rPr>
            <w:color w:val="000000" w:themeColor="text1"/>
            <w:sz w:val="16"/>
            <w:szCs w:val="16"/>
          </w:rPr>
          <w:instrText xml:space="preserve"> PAGE   \* MERGEFORMAT </w:instrText>
        </w:r>
        <w:r w:rsidR="009E1CE1" w:rsidRPr="000A1482">
          <w:rPr>
            <w:color w:val="000000" w:themeColor="text1"/>
            <w:sz w:val="16"/>
            <w:szCs w:val="16"/>
          </w:rPr>
          <w:fldChar w:fldCharType="separate"/>
        </w:r>
        <w:r w:rsidR="009E1CE1" w:rsidRPr="000A1482">
          <w:rPr>
            <w:noProof/>
            <w:color w:val="000000" w:themeColor="text1"/>
            <w:sz w:val="16"/>
            <w:szCs w:val="16"/>
          </w:rPr>
          <w:t>3</w:t>
        </w:r>
        <w:r w:rsidR="009E1CE1" w:rsidRPr="000A1482">
          <w:rPr>
            <w:noProof/>
            <w:color w:val="000000" w:themeColor="text1"/>
            <w:sz w:val="16"/>
            <w:szCs w:val="1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155680"/>
      <w:docPartObj>
        <w:docPartGallery w:val="Page Numbers (Bottom of Page)"/>
        <w:docPartUnique/>
      </w:docPartObj>
    </w:sdtPr>
    <w:sdtEndPr>
      <w:rPr>
        <w:noProof/>
      </w:rPr>
    </w:sdtEndPr>
    <w:sdtContent>
      <w:p w14:paraId="1DE80733" w14:textId="77777777" w:rsidR="009E1CE1" w:rsidRDefault="009E1CE1" w:rsidP="009567BB">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AD5B" w14:textId="77777777" w:rsidR="0072764A" w:rsidRDefault="0072764A" w:rsidP="009567BB">
      <w:r>
        <w:separator/>
      </w:r>
    </w:p>
  </w:footnote>
  <w:footnote w:type="continuationSeparator" w:id="0">
    <w:p w14:paraId="68420603" w14:textId="77777777" w:rsidR="0072764A" w:rsidRDefault="0072764A" w:rsidP="009567BB">
      <w:r>
        <w:continuationSeparator/>
      </w:r>
    </w:p>
  </w:footnote>
  <w:footnote w:type="continuationNotice" w:id="1">
    <w:p w14:paraId="01CD51DF" w14:textId="77777777" w:rsidR="0072764A" w:rsidRPr="00B309D7" w:rsidRDefault="0072764A" w:rsidP="00B309D7">
      <w:pPr>
        <w:pStyle w:val="Footer"/>
      </w:pPr>
    </w:p>
  </w:footnote>
  <w:footnote w:id="2">
    <w:p w14:paraId="171667DA" w14:textId="37885773" w:rsidR="00F23DF6" w:rsidRDefault="00F23DF6">
      <w:pPr>
        <w:pStyle w:val="FootnoteText"/>
      </w:pPr>
      <w:r>
        <w:rPr>
          <w:rStyle w:val="FootnoteReference"/>
        </w:rPr>
        <w:footnoteRef/>
      </w:r>
      <w:r>
        <w:t xml:space="preserve"> </w:t>
      </w:r>
      <w:r w:rsidR="00EE6CC9" w:rsidRPr="00EE6CC9">
        <w:rPr>
          <w:sz w:val="16"/>
          <w:szCs w:val="16"/>
        </w:rPr>
        <w:t>For the purposes of this grant opportunity, Priority Populations are defined as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and youth.</w:t>
      </w:r>
    </w:p>
  </w:footnote>
  <w:footnote w:id="3">
    <w:p w14:paraId="4E2580A4" w14:textId="118B858D" w:rsidR="002936B9" w:rsidRDefault="002936B9">
      <w:pPr>
        <w:pStyle w:val="FootnoteText"/>
      </w:pPr>
      <w:r>
        <w:rPr>
          <w:rStyle w:val="FootnoteReference"/>
        </w:rPr>
        <w:footnoteRef/>
      </w:r>
      <w:r>
        <w:t xml:space="preserve"> </w:t>
      </w:r>
      <w:r w:rsidR="00CC4E6A" w:rsidRPr="00CC4E6A">
        <w:rPr>
          <w:sz w:val="16"/>
          <w:szCs w:val="16"/>
        </w:rPr>
        <w:t>R</w:t>
      </w:r>
      <w:r w:rsidR="00CC4E6A">
        <w:rPr>
          <w:sz w:val="16"/>
          <w:szCs w:val="16"/>
        </w:rPr>
        <w:t>eporting of ‘applications’ within th</w:t>
      </w:r>
      <w:r w:rsidR="00CD7F33">
        <w:rPr>
          <w:sz w:val="16"/>
          <w:szCs w:val="16"/>
        </w:rPr>
        <w:t>is</w:t>
      </w:r>
      <w:r w:rsidR="00CC4E6A">
        <w:rPr>
          <w:sz w:val="16"/>
          <w:szCs w:val="16"/>
        </w:rPr>
        <w:t xml:space="preserve"> document</w:t>
      </w:r>
      <w:r w:rsidRPr="002936B9">
        <w:rPr>
          <w:sz w:val="16"/>
          <w:szCs w:val="16"/>
        </w:rPr>
        <w:t xml:space="preserve"> </w:t>
      </w:r>
      <w:r w:rsidR="00CC4E6A">
        <w:rPr>
          <w:sz w:val="16"/>
          <w:szCs w:val="16"/>
        </w:rPr>
        <w:t xml:space="preserve">refers to </w:t>
      </w:r>
      <w:r w:rsidRPr="002936B9">
        <w:rPr>
          <w:sz w:val="16"/>
          <w:szCs w:val="16"/>
        </w:rPr>
        <w:t>the number</w:t>
      </w:r>
      <w:r>
        <w:rPr>
          <w:sz w:val="16"/>
          <w:szCs w:val="16"/>
        </w:rPr>
        <w:t xml:space="preserve"> of applications</w:t>
      </w:r>
      <w:r w:rsidRPr="002936B9">
        <w:rPr>
          <w:sz w:val="16"/>
          <w:szCs w:val="16"/>
        </w:rPr>
        <w:t xml:space="preserve"> received at the time </w:t>
      </w:r>
      <w:r w:rsidR="00AC0093">
        <w:rPr>
          <w:sz w:val="16"/>
          <w:szCs w:val="16"/>
        </w:rPr>
        <w:t xml:space="preserve">the </w:t>
      </w:r>
      <w:r w:rsidR="00CC4E6A">
        <w:rPr>
          <w:sz w:val="16"/>
          <w:szCs w:val="16"/>
        </w:rPr>
        <w:t xml:space="preserve">grant </w:t>
      </w:r>
      <w:r w:rsidR="001008F9">
        <w:rPr>
          <w:sz w:val="16"/>
          <w:szCs w:val="16"/>
        </w:rPr>
        <w:t xml:space="preserve">opportunity </w:t>
      </w:r>
      <w:r w:rsidR="00AC0093">
        <w:rPr>
          <w:sz w:val="16"/>
          <w:szCs w:val="16"/>
        </w:rPr>
        <w:t>closed (145)</w:t>
      </w:r>
      <w:r w:rsidRPr="002936B9">
        <w:rPr>
          <w:sz w:val="16"/>
          <w:szCs w:val="16"/>
        </w:rPr>
        <w:t>.</w:t>
      </w:r>
      <w:r w:rsidR="001008F9">
        <w:rPr>
          <w:sz w:val="16"/>
          <w:szCs w:val="16"/>
        </w:rPr>
        <w:t xml:space="preserve"> </w:t>
      </w:r>
      <w:r w:rsidR="00C257FF">
        <w:rPr>
          <w:sz w:val="16"/>
          <w:szCs w:val="16"/>
        </w:rPr>
        <w:t>Where applicable, s</w:t>
      </w:r>
      <w:r w:rsidR="001008F9">
        <w:rPr>
          <w:sz w:val="16"/>
          <w:szCs w:val="16"/>
        </w:rPr>
        <w:t xml:space="preserve">ubsequent calculations within the report </w:t>
      </w:r>
      <w:r w:rsidR="00AC0093">
        <w:rPr>
          <w:sz w:val="16"/>
          <w:szCs w:val="16"/>
        </w:rPr>
        <w:t xml:space="preserve">use </w:t>
      </w:r>
      <w:r w:rsidR="001008F9">
        <w:rPr>
          <w:sz w:val="16"/>
          <w:szCs w:val="16"/>
        </w:rPr>
        <w:t>this figure.</w:t>
      </w:r>
    </w:p>
  </w:footnote>
  <w:footnote w:id="4">
    <w:p w14:paraId="1C53ADB1" w14:textId="77777777" w:rsidR="00924C0A" w:rsidRPr="001F29BA" w:rsidRDefault="00924C0A" w:rsidP="00924C0A">
      <w:pPr>
        <w:pStyle w:val="FootnoteText"/>
        <w:rPr>
          <w:sz w:val="16"/>
          <w:szCs w:val="16"/>
        </w:rPr>
      </w:pPr>
      <w:r w:rsidRPr="001F29BA">
        <w:rPr>
          <w:rStyle w:val="FootnoteReference"/>
          <w:sz w:val="16"/>
          <w:szCs w:val="16"/>
        </w:rPr>
        <w:footnoteRef/>
      </w:r>
      <w:r w:rsidRPr="001F29BA">
        <w:rPr>
          <w:sz w:val="16"/>
          <w:szCs w:val="16"/>
        </w:rPr>
        <w:t xml:space="preserve"> To be awarded MRFF funding applications must receive a score of 4 or higher against each of the weighted technical assessment criteria and rating of ‘Good’ or ‘Excellent’ for the non-weighted assessment criterion. See </w:t>
      </w:r>
      <w:r>
        <w:rPr>
          <w:sz w:val="16"/>
          <w:szCs w:val="16"/>
        </w:rPr>
        <w:t>s</w:t>
      </w:r>
      <w:r w:rsidRPr="001F29BA">
        <w:rPr>
          <w:sz w:val="16"/>
          <w:szCs w:val="16"/>
        </w:rPr>
        <w:t xml:space="preserve">ection 7.1 Assessment of grant applications of the </w:t>
      </w:r>
      <w:hyperlink r:id="rId1" w:history="1">
        <w:r w:rsidRPr="001F29BA">
          <w:rPr>
            <w:rStyle w:val="Hyperlink"/>
            <w:sz w:val="16"/>
            <w:szCs w:val="16"/>
          </w:rPr>
          <w:t>Grant Opportunity Guidelines</w:t>
        </w:r>
      </w:hyperlink>
    </w:p>
  </w:footnote>
  <w:footnote w:id="5">
    <w:p w14:paraId="513B1446" w14:textId="77777777" w:rsidR="00924C0A" w:rsidRPr="00B42A4B" w:rsidRDefault="00924C0A" w:rsidP="00924C0A">
      <w:pPr>
        <w:pStyle w:val="FootnoteText"/>
        <w:rPr>
          <w:sz w:val="16"/>
          <w:szCs w:val="16"/>
        </w:rPr>
      </w:pPr>
      <w:r w:rsidRPr="00B42A4B">
        <w:rPr>
          <w:rStyle w:val="FootnoteReference"/>
          <w:sz w:val="16"/>
          <w:szCs w:val="16"/>
        </w:rPr>
        <w:footnoteRef/>
      </w:r>
      <w:r w:rsidRPr="00B42A4B">
        <w:rPr>
          <w:sz w:val="16"/>
          <w:szCs w:val="16"/>
        </w:rPr>
        <w:t xml:space="preserve"> Refer to section 9</w:t>
      </w:r>
      <w:r>
        <w:rPr>
          <w:sz w:val="16"/>
          <w:szCs w:val="16"/>
        </w:rPr>
        <w:t xml:space="preserve"> Successful grant applications</w:t>
      </w:r>
      <w:r w:rsidRPr="00B42A4B">
        <w:rPr>
          <w:sz w:val="16"/>
          <w:szCs w:val="16"/>
        </w:rPr>
        <w:t xml:space="preserve"> of the </w:t>
      </w:r>
      <w:hyperlink r:id="rId2" w:history="1">
        <w:r w:rsidRPr="00B42A4B">
          <w:rPr>
            <w:rStyle w:val="Hyperlink"/>
            <w:sz w:val="16"/>
            <w:szCs w:val="16"/>
          </w:rPr>
          <w:t>Grant Opportunity Guidelines</w:t>
        </w:r>
      </w:hyperlink>
    </w:p>
  </w:footnote>
  <w:footnote w:id="6">
    <w:p w14:paraId="6285AB60" w14:textId="77777777" w:rsidR="00924C0A" w:rsidRPr="001F29BA" w:rsidRDefault="00924C0A" w:rsidP="00924C0A">
      <w:pPr>
        <w:pStyle w:val="FootnoteText"/>
        <w:rPr>
          <w:sz w:val="16"/>
          <w:szCs w:val="16"/>
        </w:rPr>
      </w:pPr>
      <w:r w:rsidRPr="001F29BA">
        <w:rPr>
          <w:rStyle w:val="FootnoteReference"/>
          <w:sz w:val="16"/>
          <w:szCs w:val="16"/>
        </w:rPr>
        <w:footnoteRef/>
      </w:r>
      <w:r w:rsidRPr="001F29BA">
        <w:rPr>
          <w:sz w:val="16"/>
          <w:szCs w:val="16"/>
        </w:rPr>
        <w:t xml:space="preserve"> Information about funding allocations was provided in the Grant Opportunity Guidelines</w:t>
      </w:r>
      <w:r>
        <w:rPr>
          <w:sz w:val="16"/>
          <w:szCs w:val="16"/>
        </w:rPr>
        <w:t xml:space="preserve"> on page </w:t>
      </w:r>
      <w:r w:rsidRPr="00B42A4B">
        <w:rPr>
          <w:sz w:val="16"/>
          <w:szCs w:val="16"/>
        </w:rPr>
        <w:t>10</w:t>
      </w:r>
      <w:r w:rsidRPr="001F29BA">
        <w:rPr>
          <w:sz w:val="16"/>
          <w:szCs w:val="16"/>
        </w:rPr>
        <w:t>.</w:t>
      </w:r>
    </w:p>
  </w:footnote>
  <w:footnote w:id="7">
    <w:p w14:paraId="45A43C29" w14:textId="6B5BEB1D" w:rsidR="007E783B" w:rsidRPr="00236887" w:rsidRDefault="007E783B" w:rsidP="007E783B">
      <w:pPr>
        <w:pStyle w:val="FootnoteText"/>
        <w:rPr>
          <w:szCs w:val="18"/>
        </w:rPr>
      </w:pPr>
      <w:r>
        <w:rPr>
          <w:rStyle w:val="FootnoteReference"/>
        </w:rPr>
        <w:footnoteRef/>
      </w:r>
      <w:r>
        <w:t xml:space="preserve"> </w:t>
      </w:r>
      <w:r w:rsidRPr="00236887">
        <w:rPr>
          <w:sz w:val="16"/>
          <w:szCs w:val="16"/>
        </w:rPr>
        <w:t xml:space="preserve">The analysis is based on the difference between the year of PhD awarded and the year the grant opportunity closed as captured on NHMRC grants management </w:t>
      </w:r>
      <w:r>
        <w:rPr>
          <w:sz w:val="16"/>
          <w:szCs w:val="16"/>
        </w:rPr>
        <w:t>system</w:t>
      </w:r>
      <w:r w:rsidR="008521FA">
        <w:rPr>
          <w:sz w:val="16"/>
          <w:szCs w:val="16"/>
        </w:rPr>
        <w:t xml:space="preserve"> (Sapphire)</w:t>
      </w:r>
      <w:r w:rsidRPr="00236887">
        <w:rPr>
          <w:sz w:val="16"/>
          <w:szCs w:val="16"/>
        </w:rPr>
        <w:t xml:space="preserve">. </w:t>
      </w:r>
      <w:r>
        <w:rPr>
          <w:sz w:val="16"/>
          <w:szCs w:val="16"/>
        </w:rPr>
        <w:t>This period may include career disruptions. As a result, some researchers who completed their PhD more than 10 years ago will meet eligibility requirements as an early to mid-career researcher.</w:t>
      </w:r>
    </w:p>
  </w:footnote>
  <w:footnote w:id="8">
    <w:p w14:paraId="2A61B8FC" w14:textId="0658C3A5" w:rsidR="009F7C20" w:rsidRDefault="009F7C20" w:rsidP="00841A70">
      <w:pPr>
        <w:pStyle w:val="FootnoteText"/>
        <w:jc w:val="both"/>
      </w:pPr>
      <w:r w:rsidRPr="00841A70">
        <w:rPr>
          <w:vertAlign w:val="superscript"/>
        </w:rPr>
        <w:footnoteRef/>
      </w:r>
      <w:r w:rsidRPr="00841A70">
        <w:rPr>
          <w:sz w:val="16"/>
          <w:szCs w:val="16"/>
        </w:rPr>
        <w:t xml:space="preserve"> </w:t>
      </w:r>
      <w:r w:rsidR="0022648B" w:rsidRPr="00841A70">
        <w:rPr>
          <w:sz w:val="16"/>
          <w:szCs w:val="16"/>
        </w:rPr>
        <w:t xml:space="preserve">Applicants could list multiple </w:t>
      </w:r>
      <w:r w:rsidR="005D4432">
        <w:rPr>
          <w:sz w:val="16"/>
          <w:szCs w:val="16"/>
        </w:rPr>
        <w:t>F</w:t>
      </w:r>
      <w:r w:rsidR="0022648B" w:rsidRPr="00841A70">
        <w:rPr>
          <w:sz w:val="16"/>
          <w:szCs w:val="16"/>
        </w:rPr>
        <w:t xml:space="preserve">ields of </w:t>
      </w:r>
      <w:r w:rsidR="005D4432">
        <w:rPr>
          <w:sz w:val="16"/>
          <w:szCs w:val="16"/>
        </w:rPr>
        <w:t>R</w:t>
      </w:r>
      <w:r w:rsidR="0022648B" w:rsidRPr="00841A70">
        <w:rPr>
          <w:sz w:val="16"/>
          <w:szCs w:val="16"/>
        </w:rPr>
        <w:t xml:space="preserve">esearch within their application. </w:t>
      </w:r>
      <w:r w:rsidRPr="00841A70">
        <w:rPr>
          <w:sz w:val="16"/>
          <w:szCs w:val="16"/>
        </w:rPr>
        <w:t xml:space="preserve">For the purposes of reporting, the first </w:t>
      </w:r>
      <w:r w:rsidR="0022648B" w:rsidRPr="00841A70">
        <w:rPr>
          <w:sz w:val="16"/>
          <w:szCs w:val="16"/>
        </w:rPr>
        <w:t xml:space="preserve">listed </w:t>
      </w:r>
      <w:r w:rsidR="005D4432">
        <w:rPr>
          <w:sz w:val="16"/>
          <w:szCs w:val="16"/>
        </w:rPr>
        <w:t>F</w:t>
      </w:r>
      <w:r w:rsidRPr="00841A70">
        <w:rPr>
          <w:sz w:val="16"/>
          <w:szCs w:val="16"/>
        </w:rPr>
        <w:t xml:space="preserve">ield of </w:t>
      </w:r>
      <w:r w:rsidR="005D4432">
        <w:rPr>
          <w:sz w:val="16"/>
          <w:szCs w:val="16"/>
        </w:rPr>
        <w:t>R</w:t>
      </w:r>
      <w:r w:rsidRPr="00841A70">
        <w:rPr>
          <w:sz w:val="16"/>
          <w:szCs w:val="16"/>
        </w:rPr>
        <w:t xml:space="preserve">esearch on the application </w:t>
      </w:r>
      <w:r w:rsidR="0022648B" w:rsidRPr="00841A70">
        <w:rPr>
          <w:sz w:val="16"/>
          <w:szCs w:val="16"/>
        </w:rPr>
        <w:t>was reported only.</w:t>
      </w:r>
    </w:p>
  </w:footnote>
  <w:footnote w:id="9">
    <w:p w14:paraId="48A4D5E6" w14:textId="66F232ED" w:rsidR="007E783B" w:rsidRDefault="007E783B" w:rsidP="00841A70">
      <w:pPr>
        <w:pStyle w:val="FootnoteText"/>
        <w:jc w:val="both"/>
      </w:pPr>
      <w:r>
        <w:rPr>
          <w:rStyle w:val="FootnoteReference"/>
        </w:rPr>
        <w:footnoteRef/>
      </w:r>
      <w:r>
        <w:t xml:space="preserve"> </w:t>
      </w:r>
      <w:r w:rsidRPr="00B42A4B">
        <w:rPr>
          <w:sz w:val="16"/>
          <w:szCs w:val="16"/>
        </w:rPr>
        <w:t xml:space="preserve">Table 5 </w:t>
      </w:r>
      <w:r>
        <w:rPr>
          <w:sz w:val="16"/>
          <w:szCs w:val="16"/>
        </w:rPr>
        <w:t>provides</w:t>
      </w:r>
      <w:r w:rsidRPr="00B42A4B">
        <w:rPr>
          <w:sz w:val="16"/>
          <w:szCs w:val="16"/>
        </w:rPr>
        <w:t xml:space="preserve"> information regarding</w:t>
      </w:r>
      <w:r>
        <w:rPr>
          <w:sz w:val="16"/>
          <w:szCs w:val="16"/>
        </w:rPr>
        <w:t xml:space="preserve"> only</w:t>
      </w:r>
      <w:r w:rsidRPr="00B42A4B">
        <w:rPr>
          <w:sz w:val="16"/>
          <w:szCs w:val="16"/>
        </w:rPr>
        <w:t xml:space="preserve"> </w:t>
      </w:r>
      <w:r w:rsidR="005D4432">
        <w:rPr>
          <w:sz w:val="16"/>
          <w:szCs w:val="16"/>
        </w:rPr>
        <w:t>F</w:t>
      </w:r>
      <w:r w:rsidRPr="00B42A4B">
        <w:rPr>
          <w:sz w:val="16"/>
          <w:szCs w:val="16"/>
        </w:rPr>
        <w:t xml:space="preserve">ields of </w:t>
      </w:r>
      <w:r w:rsidR="005D4432">
        <w:rPr>
          <w:sz w:val="16"/>
          <w:szCs w:val="16"/>
        </w:rPr>
        <w:t>R</w:t>
      </w:r>
      <w:r w:rsidRPr="00B42A4B">
        <w:rPr>
          <w:sz w:val="16"/>
          <w:szCs w:val="16"/>
        </w:rPr>
        <w:t xml:space="preserve">esearch where at least 1 grant was awarded. </w:t>
      </w:r>
      <w:r>
        <w:rPr>
          <w:sz w:val="16"/>
          <w:szCs w:val="16"/>
        </w:rPr>
        <w:t xml:space="preserve">Refer to Table 6 for </w:t>
      </w:r>
      <w:r w:rsidR="005D4432">
        <w:rPr>
          <w:sz w:val="16"/>
          <w:szCs w:val="16"/>
        </w:rPr>
        <w:t>F</w:t>
      </w:r>
      <w:r w:rsidRPr="00B42A4B">
        <w:rPr>
          <w:sz w:val="16"/>
          <w:szCs w:val="16"/>
        </w:rPr>
        <w:t xml:space="preserve">ields of </w:t>
      </w:r>
      <w:r w:rsidR="005D4432">
        <w:rPr>
          <w:sz w:val="16"/>
          <w:szCs w:val="16"/>
        </w:rPr>
        <w:t>R</w:t>
      </w:r>
      <w:r w:rsidRPr="00B42A4B">
        <w:rPr>
          <w:sz w:val="16"/>
          <w:szCs w:val="16"/>
        </w:rPr>
        <w:t>esearch where no grants were awarded</w:t>
      </w:r>
      <w:r>
        <w:rPr>
          <w:sz w:val="16"/>
          <w:szCs w:val="16"/>
        </w:rPr>
        <w:t>. Table</w:t>
      </w:r>
      <w:r w:rsidR="00C553A7">
        <w:rPr>
          <w:sz w:val="16"/>
          <w:szCs w:val="16"/>
        </w:rPr>
        <w:t>s</w:t>
      </w:r>
      <w:r>
        <w:rPr>
          <w:sz w:val="16"/>
          <w:szCs w:val="16"/>
        </w:rPr>
        <w:t xml:space="preserve"> 5 and 6 combined represent all applications for the grant opportunity.</w:t>
      </w:r>
    </w:p>
  </w:footnote>
  <w:footnote w:id="10">
    <w:p w14:paraId="5E49640C" w14:textId="3E25CF2C" w:rsidR="00E45F45" w:rsidRDefault="00E45F45" w:rsidP="00B95348">
      <w:pPr>
        <w:jc w:val="both"/>
      </w:pPr>
      <w:r>
        <w:rPr>
          <w:rStyle w:val="FootnoteReference"/>
        </w:rPr>
        <w:footnoteRef/>
      </w:r>
      <w:r>
        <w:t xml:space="preserve"> </w:t>
      </w:r>
      <w:r w:rsidRPr="00B95348">
        <w:rPr>
          <w:sz w:val="16"/>
          <w:szCs w:val="16"/>
        </w:rPr>
        <w:t xml:space="preserve">The analysis in this section is based on the difference between the year of PhD award and the year </w:t>
      </w:r>
      <w:r w:rsidRPr="00871DF3">
        <w:rPr>
          <w:color w:val="000000" w:themeColor="text1"/>
          <w:sz w:val="16"/>
          <w:szCs w:val="16"/>
        </w:rPr>
        <w:t xml:space="preserve">the </w:t>
      </w:r>
      <w:r w:rsidR="00871DF3">
        <w:rPr>
          <w:color w:val="000000" w:themeColor="text1"/>
          <w:sz w:val="16"/>
          <w:szCs w:val="16"/>
        </w:rPr>
        <w:t>grant opportunity</w:t>
      </w:r>
      <w:r w:rsidR="00871DF3" w:rsidRPr="00871DF3">
        <w:rPr>
          <w:color w:val="000000" w:themeColor="text1"/>
          <w:sz w:val="16"/>
          <w:szCs w:val="16"/>
        </w:rPr>
        <w:t xml:space="preserve"> </w:t>
      </w:r>
      <w:r w:rsidRPr="00871DF3">
        <w:rPr>
          <w:color w:val="000000" w:themeColor="text1"/>
          <w:sz w:val="16"/>
          <w:szCs w:val="16"/>
        </w:rPr>
        <w:t xml:space="preserve">closed </w:t>
      </w:r>
      <w:r w:rsidRPr="00B95348">
        <w:rPr>
          <w:sz w:val="16"/>
          <w:szCs w:val="16"/>
        </w:rPr>
        <w:t xml:space="preserve">as captured on NHMRC grants management </w:t>
      </w:r>
      <w:r w:rsidR="00FB560D">
        <w:rPr>
          <w:sz w:val="16"/>
          <w:szCs w:val="16"/>
        </w:rPr>
        <w:t>system</w:t>
      </w:r>
      <w:r w:rsidR="008521FA">
        <w:rPr>
          <w:sz w:val="16"/>
          <w:szCs w:val="16"/>
        </w:rPr>
        <w:t xml:space="preserve"> (Sapphire)</w:t>
      </w:r>
      <w:r w:rsidRPr="00B95348">
        <w:rPr>
          <w:sz w:val="16"/>
          <w:szCs w:val="16"/>
        </w:rPr>
        <w:t xml:space="preserve">. This is distinct </w:t>
      </w:r>
      <w:r w:rsidR="00655F40">
        <w:rPr>
          <w:sz w:val="16"/>
          <w:szCs w:val="16"/>
        </w:rPr>
        <w:t>from</w:t>
      </w:r>
      <w:r w:rsidRPr="00B95348">
        <w:rPr>
          <w:sz w:val="16"/>
          <w:szCs w:val="16"/>
        </w:rPr>
        <w:t xml:space="preserve"> data used for eligibility and may include discrepancies due to rounding</w:t>
      </w:r>
      <w:r w:rsidR="00236887">
        <w:rPr>
          <w:sz w:val="16"/>
          <w:szCs w:val="16"/>
        </w:rPr>
        <w:t xml:space="preserve">. </w:t>
      </w:r>
    </w:p>
  </w:footnote>
  <w:footnote w:id="11">
    <w:p w14:paraId="68610264" w14:textId="26F63556" w:rsidR="00236887" w:rsidRPr="00236887" w:rsidRDefault="00236887">
      <w:pPr>
        <w:pStyle w:val="FootnoteText"/>
        <w:rPr>
          <w:sz w:val="16"/>
          <w:szCs w:val="16"/>
        </w:rPr>
      </w:pPr>
      <w:r>
        <w:rPr>
          <w:rStyle w:val="FootnoteReference"/>
        </w:rPr>
        <w:footnoteRef/>
      </w:r>
      <w:r>
        <w:t xml:space="preserve"> </w:t>
      </w:r>
      <w:r w:rsidR="00867613">
        <w:rPr>
          <w:sz w:val="16"/>
          <w:szCs w:val="16"/>
        </w:rPr>
        <w:t xml:space="preserve">Ideally, </w:t>
      </w:r>
      <w:r w:rsidR="00A2475D">
        <w:rPr>
          <w:sz w:val="16"/>
          <w:szCs w:val="16"/>
        </w:rPr>
        <w:t>years post</w:t>
      </w:r>
      <w:r w:rsidR="00A2475D" w:rsidRPr="00236887">
        <w:rPr>
          <w:sz w:val="16"/>
          <w:szCs w:val="16"/>
        </w:rPr>
        <w:t xml:space="preserve">-PhD of the CIA </w:t>
      </w:r>
      <w:r w:rsidR="00867613">
        <w:rPr>
          <w:sz w:val="16"/>
          <w:szCs w:val="16"/>
        </w:rPr>
        <w:t xml:space="preserve">would be </w:t>
      </w:r>
      <w:r w:rsidR="00A2475D" w:rsidRPr="00236887">
        <w:rPr>
          <w:sz w:val="16"/>
          <w:szCs w:val="16"/>
        </w:rPr>
        <w:t xml:space="preserve">adjusted for career disruption. </w:t>
      </w:r>
      <w:r w:rsidR="00867613">
        <w:rPr>
          <w:sz w:val="16"/>
          <w:szCs w:val="16"/>
        </w:rPr>
        <w:t xml:space="preserve">This </w:t>
      </w:r>
      <w:r w:rsidR="006510A1">
        <w:rPr>
          <w:sz w:val="16"/>
          <w:szCs w:val="16"/>
        </w:rPr>
        <w:t>calculation</w:t>
      </w:r>
      <w:r w:rsidR="00867613">
        <w:rPr>
          <w:sz w:val="16"/>
          <w:szCs w:val="16"/>
        </w:rPr>
        <w:t xml:space="preserve"> is not currently availabl</w:t>
      </w:r>
      <w:r w:rsidR="00C74160" w:rsidRPr="00B42A4B">
        <w:rPr>
          <w:sz w:val="16"/>
          <w:szCs w:val="16"/>
        </w:rPr>
        <w:t>e</w:t>
      </w:r>
      <w:r w:rsidR="00867613">
        <w:rPr>
          <w:sz w:val="16"/>
          <w:szCs w:val="16"/>
        </w:rPr>
        <w:t>.</w:t>
      </w:r>
      <w:r w:rsidR="006510A1">
        <w:rPr>
          <w:sz w:val="16"/>
          <w:szCs w:val="16"/>
        </w:rPr>
        <w:t xml:space="preserve"> Note that years post-PhD is indicative as Sapphire collects only the year of PhD award, rather than the actual date of award.</w:t>
      </w:r>
    </w:p>
  </w:footnote>
  <w:footnote w:id="12">
    <w:p w14:paraId="59C3E076" w14:textId="05544D82" w:rsidR="00E45F45" w:rsidRDefault="00E45F45">
      <w:pPr>
        <w:pStyle w:val="FootnoteText"/>
      </w:pPr>
      <w:r w:rsidDel="00AC6576">
        <w:rPr>
          <w:rStyle w:val="FootnoteReference"/>
        </w:rPr>
        <w:footnoteRef/>
      </w:r>
      <w:r w:rsidDel="00AC6576">
        <w:t xml:space="preserve"> </w:t>
      </w:r>
      <w:r w:rsidR="007E21B4" w:rsidRPr="001C459E">
        <w:rPr>
          <w:rFonts w:cs="Arial"/>
          <w:sz w:val="16"/>
          <w:szCs w:val="16"/>
        </w:rPr>
        <w:t>In order to</w:t>
      </w:r>
      <w:r w:rsidRPr="001C459E" w:rsidDel="00AC6576">
        <w:rPr>
          <w:rFonts w:cs="Arial"/>
          <w:sz w:val="16"/>
          <w:szCs w:val="16"/>
        </w:rPr>
        <w:t xml:space="preserve"> be eligible as CIA</w:t>
      </w:r>
      <w:r w:rsidDel="00AC6576">
        <w:rPr>
          <w:rFonts w:cs="Arial"/>
          <w:sz w:val="16"/>
          <w:szCs w:val="16"/>
        </w:rPr>
        <w:t>,</w:t>
      </w:r>
      <w:r w:rsidRPr="001C459E" w:rsidDel="00AC6576">
        <w:rPr>
          <w:rFonts w:cs="Arial"/>
          <w:sz w:val="16"/>
          <w:szCs w:val="16"/>
        </w:rPr>
        <w:t xml:space="preserve"> applicants who were</w:t>
      </w:r>
      <w:r w:rsidR="008521FA">
        <w:rPr>
          <w:rFonts w:cs="Arial"/>
          <w:sz w:val="16"/>
          <w:szCs w:val="16"/>
        </w:rPr>
        <w:t xml:space="preserve"> 10 or</w:t>
      </w:r>
      <w:r w:rsidRPr="001C459E" w:rsidDel="00AC6576">
        <w:rPr>
          <w:rFonts w:cs="Arial"/>
          <w:sz w:val="16"/>
          <w:szCs w:val="16"/>
        </w:rPr>
        <w:t xml:space="preserve"> </w:t>
      </w:r>
      <w:r w:rsidR="007E21B4" w:rsidRPr="001C459E">
        <w:rPr>
          <w:rFonts w:cs="Arial"/>
          <w:sz w:val="16"/>
          <w:szCs w:val="16"/>
        </w:rPr>
        <w:t xml:space="preserve">more </w:t>
      </w:r>
      <w:r w:rsidRPr="001C459E" w:rsidDel="00AC6576">
        <w:rPr>
          <w:rFonts w:cs="Arial"/>
          <w:sz w:val="16"/>
          <w:szCs w:val="16"/>
        </w:rPr>
        <w:t xml:space="preserve">years post-PhD must have declared </w:t>
      </w:r>
      <w:r w:rsidR="007E21B4">
        <w:rPr>
          <w:rFonts w:cs="Arial"/>
          <w:sz w:val="16"/>
          <w:szCs w:val="16"/>
        </w:rPr>
        <w:t xml:space="preserve">a </w:t>
      </w:r>
      <w:r w:rsidRPr="001C459E" w:rsidDel="00AC6576">
        <w:rPr>
          <w:rFonts w:cs="Arial"/>
          <w:sz w:val="16"/>
          <w:szCs w:val="16"/>
        </w:rPr>
        <w:t>career disruption</w:t>
      </w:r>
      <w:r w:rsidDel="00AC6576">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D81CCD" w14:paraId="50592085" w14:textId="77777777" w:rsidTr="6BD81CCD">
      <w:trPr>
        <w:trHeight w:val="300"/>
      </w:trPr>
      <w:tc>
        <w:tcPr>
          <w:tcW w:w="3020" w:type="dxa"/>
        </w:tcPr>
        <w:p w14:paraId="0845EF61" w14:textId="3578E6DB" w:rsidR="6BD81CCD" w:rsidRDefault="6BD81CCD" w:rsidP="6BD81CCD">
          <w:pPr>
            <w:pStyle w:val="Header"/>
            <w:ind w:left="-115"/>
          </w:pPr>
        </w:p>
      </w:tc>
      <w:tc>
        <w:tcPr>
          <w:tcW w:w="3020" w:type="dxa"/>
        </w:tcPr>
        <w:p w14:paraId="6D1CCB3E" w14:textId="521829F0" w:rsidR="6BD81CCD" w:rsidRDefault="6BD81CCD" w:rsidP="6BD81CCD">
          <w:pPr>
            <w:pStyle w:val="Header"/>
            <w:jc w:val="center"/>
          </w:pPr>
        </w:p>
      </w:tc>
      <w:tc>
        <w:tcPr>
          <w:tcW w:w="3020" w:type="dxa"/>
        </w:tcPr>
        <w:p w14:paraId="4A19E735" w14:textId="0C1AD789" w:rsidR="6BD81CCD" w:rsidRDefault="6BD81CCD" w:rsidP="6BD81CCD">
          <w:pPr>
            <w:pStyle w:val="Header"/>
            <w:ind w:right="-115"/>
            <w:jc w:val="right"/>
          </w:pPr>
        </w:p>
      </w:tc>
    </w:tr>
  </w:tbl>
  <w:p w14:paraId="77356DFD" w14:textId="6132C1D5" w:rsidR="00C272CE" w:rsidRDefault="00C272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9050" w14:textId="1AC7C2C5" w:rsidR="00205A93" w:rsidRDefault="00205A93" w:rsidP="009567BB">
    <w:pPr>
      <w:pStyle w:val="Headertext"/>
    </w:pPr>
    <w:r>
      <w:rPr>
        <w:noProof/>
        <w:lang w:eastAsia="en-AU"/>
      </w:rPr>
      <w:drawing>
        <wp:anchor distT="0" distB="0" distL="114300" distR="114300" simplePos="0" relativeHeight="251658240" behindDoc="1" locked="0" layoutInCell="1" allowOverlap="1" wp14:anchorId="39676371" wp14:editId="4E5EBFF7">
          <wp:simplePos x="0" y="0"/>
          <wp:positionH relativeFrom="page">
            <wp:posOffset>0</wp:posOffset>
          </wp:positionH>
          <wp:positionV relativeFrom="page">
            <wp:posOffset>13648</wp:posOffset>
          </wp:positionV>
          <wp:extent cx="7560000" cy="10659785"/>
          <wp:effectExtent l="0" t="0" r="317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59" b="159"/>
                  <a:stretch>
                    <a:fillRect/>
                  </a:stretch>
                </pic:blipFill>
                <pic:spPr bwMode="auto">
                  <a:xfrm>
                    <a:off x="0" y="0"/>
                    <a:ext cx="7560000" cy="1065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8E0B" w14:textId="3F834291" w:rsidR="00D67852" w:rsidRDefault="00D67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B122" w14:textId="782C93E5" w:rsidR="00CA79CF" w:rsidRDefault="00205A93" w:rsidP="009567B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4A5" w14:textId="214EA104" w:rsidR="000D56E4" w:rsidRDefault="000D56E4" w:rsidP="00956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A30" w14:textId="6083CCED" w:rsidR="000D56E4" w:rsidRDefault="000D56E4" w:rsidP="009567BB">
    <w:pPr>
      <w:pStyle w:val="Head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88A2" w14:textId="6BCFE344" w:rsidR="000D56E4" w:rsidRDefault="000D56E4" w:rsidP="009567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F4FB" w14:textId="7D672298" w:rsidR="009E1CE1" w:rsidRDefault="009E1CE1" w:rsidP="009567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2982" w14:textId="78A726AA" w:rsidR="009E1CE1" w:rsidRDefault="009E1CE1" w:rsidP="009567BB">
    <w:pPr>
      <w:pStyle w:val="Headertex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3782" w14:textId="000C92C4" w:rsidR="009E1CE1" w:rsidRDefault="009E1CE1" w:rsidP="009567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C38E" w14:textId="299D836D" w:rsidR="00D67852" w:rsidRDefault="00D6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057"/>
    <w:multiLevelType w:val="hybridMultilevel"/>
    <w:tmpl w:val="9000DE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1718B"/>
    <w:multiLevelType w:val="hybridMultilevel"/>
    <w:tmpl w:val="7DE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12049"/>
    <w:multiLevelType w:val="hybridMultilevel"/>
    <w:tmpl w:val="B7248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75E21"/>
    <w:multiLevelType w:val="hybridMultilevel"/>
    <w:tmpl w:val="EA0C5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10275"/>
    <w:multiLevelType w:val="hybridMultilevel"/>
    <w:tmpl w:val="F1D06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94D5B"/>
    <w:multiLevelType w:val="hybridMultilevel"/>
    <w:tmpl w:val="A27E4376"/>
    <w:lvl w:ilvl="0" w:tplc="8B886978">
      <w:start w:val="1"/>
      <w:numFmt w:val="upp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867F96"/>
    <w:multiLevelType w:val="hybridMultilevel"/>
    <w:tmpl w:val="06449FD8"/>
    <w:lvl w:ilvl="0" w:tplc="BFD032DC">
      <w:start w:val="1"/>
      <w:numFmt w:val="bullet"/>
      <w:lvlText w:val=""/>
      <w:lvlJc w:val="left"/>
      <w:pPr>
        <w:ind w:left="720" w:hanging="360"/>
      </w:pPr>
      <w:rPr>
        <w:rFonts w:ascii="Symbol" w:hAnsi="Symbol"/>
      </w:rPr>
    </w:lvl>
    <w:lvl w:ilvl="1" w:tplc="9C8C3F56">
      <w:start w:val="1"/>
      <w:numFmt w:val="bullet"/>
      <w:lvlText w:val=""/>
      <w:lvlJc w:val="left"/>
      <w:pPr>
        <w:ind w:left="720" w:hanging="360"/>
      </w:pPr>
      <w:rPr>
        <w:rFonts w:ascii="Symbol" w:hAnsi="Symbol"/>
      </w:rPr>
    </w:lvl>
    <w:lvl w:ilvl="2" w:tplc="5802C326">
      <w:start w:val="1"/>
      <w:numFmt w:val="bullet"/>
      <w:lvlText w:val=""/>
      <w:lvlJc w:val="left"/>
      <w:pPr>
        <w:ind w:left="720" w:hanging="360"/>
      </w:pPr>
      <w:rPr>
        <w:rFonts w:ascii="Symbol" w:hAnsi="Symbol"/>
      </w:rPr>
    </w:lvl>
    <w:lvl w:ilvl="3" w:tplc="15D04EEE">
      <w:start w:val="1"/>
      <w:numFmt w:val="bullet"/>
      <w:lvlText w:val=""/>
      <w:lvlJc w:val="left"/>
      <w:pPr>
        <w:ind w:left="720" w:hanging="360"/>
      </w:pPr>
      <w:rPr>
        <w:rFonts w:ascii="Symbol" w:hAnsi="Symbol"/>
      </w:rPr>
    </w:lvl>
    <w:lvl w:ilvl="4" w:tplc="7D8ABE60">
      <w:start w:val="1"/>
      <w:numFmt w:val="bullet"/>
      <w:lvlText w:val=""/>
      <w:lvlJc w:val="left"/>
      <w:pPr>
        <w:ind w:left="720" w:hanging="360"/>
      </w:pPr>
      <w:rPr>
        <w:rFonts w:ascii="Symbol" w:hAnsi="Symbol"/>
      </w:rPr>
    </w:lvl>
    <w:lvl w:ilvl="5" w:tplc="F7366014">
      <w:start w:val="1"/>
      <w:numFmt w:val="bullet"/>
      <w:lvlText w:val=""/>
      <w:lvlJc w:val="left"/>
      <w:pPr>
        <w:ind w:left="720" w:hanging="360"/>
      </w:pPr>
      <w:rPr>
        <w:rFonts w:ascii="Symbol" w:hAnsi="Symbol"/>
      </w:rPr>
    </w:lvl>
    <w:lvl w:ilvl="6" w:tplc="4F6899F8">
      <w:start w:val="1"/>
      <w:numFmt w:val="bullet"/>
      <w:lvlText w:val=""/>
      <w:lvlJc w:val="left"/>
      <w:pPr>
        <w:ind w:left="720" w:hanging="360"/>
      </w:pPr>
      <w:rPr>
        <w:rFonts w:ascii="Symbol" w:hAnsi="Symbol"/>
      </w:rPr>
    </w:lvl>
    <w:lvl w:ilvl="7" w:tplc="6EBC7D10">
      <w:start w:val="1"/>
      <w:numFmt w:val="bullet"/>
      <w:lvlText w:val=""/>
      <w:lvlJc w:val="left"/>
      <w:pPr>
        <w:ind w:left="720" w:hanging="360"/>
      </w:pPr>
      <w:rPr>
        <w:rFonts w:ascii="Symbol" w:hAnsi="Symbol"/>
      </w:rPr>
    </w:lvl>
    <w:lvl w:ilvl="8" w:tplc="633099B0">
      <w:start w:val="1"/>
      <w:numFmt w:val="bullet"/>
      <w:lvlText w:val=""/>
      <w:lvlJc w:val="left"/>
      <w:pPr>
        <w:ind w:left="720" w:hanging="360"/>
      </w:pPr>
      <w:rPr>
        <w:rFonts w:ascii="Symbol" w:hAnsi="Symbol"/>
      </w:rPr>
    </w:lvl>
  </w:abstractNum>
  <w:abstractNum w:abstractNumId="9" w15:restartNumberingAfterBreak="0">
    <w:nsid w:val="2ED56B3C"/>
    <w:multiLevelType w:val="hybridMultilevel"/>
    <w:tmpl w:val="4456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48126E88"/>
    <w:lvl w:ilvl="0" w:tplc="BC64F7E0">
      <w:start w:val="1"/>
      <w:numFmt w:val="upperLetter"/>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5E26561"/>
    <w:multiLevelType w:val="hybridMultilevel"/>
    <w:tmpl w:val="25268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3A3673"/>
    <w:multiLevelType w:val="hybridMultilevel"/>
    <w:tmpl w:val="171A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2426ED"/>
    <w:multiLevelType w:val="hybridMultilevel"/>
    <w:tmpl w:val="30C8C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A6376"/>
    <w:multiLevelType w:val="hybridMultilevel"/>
    <w:tmpl w:val="C332E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38513A"/>
    <w:multiLevelType w:val="hybridMultilevel"/>
    <w:tmpl w:val="A9D605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CD15F6"/>
    <w:multiLevelType w:val="hybridMultilevel"/>
    <w:tmpl w:val="6D062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AF00EF"/>
    <w:multiLevelType w:val="hybridMultilevel"/>
    <w:tmpl w:val="E29E6BF8"/>
    <w:lvl w:ilvl="0" w:tplc="A07C5FCC">
      <w:start w:val="1"/>
      <w:numFmt w:val="bullet"/>
      <w:lvlText w:val=""/>
      <w:lvlJc w:val="left"/>
      <w:pPr>
        <w:ind w:left="720" w:hanging="360"/>
      </w:pPr>
      <w:rPr>
        <w:rFonts w:ascii="Symbol" w:hAnsi="Symbol"/>
      </w:rPr>
    </w:lvl>
    <w:lvl w:ilvl="1" w:tplc="7E8AE38A">
      <w:start w:val="1"/>
      <w:numFmt w:val="bullet"/>
      <w:lvlText w:val=""/>
      <w:lvlJc w:val="left"/>
      <w:pPr>
        <w:ind w:left="720" w:hanging="360"/>
      </w:pPr>
      <w:rPr>
        <w:rFonts w:ascii="Symbol" w:hAnsi="Symbol"/>
      </w:rPr>
    </w:lvl>
    <w:lvl w:ilvl="2" w:tplc="E420344C">
      <w:start w:val="1"/>
      <w:numFmt w:val="bullet"/>
      <w:lvlText w:val=""/>
      <w:lvlJc w:val="left"/>
      <w:pPr>
        <w:ind w:left="720" w:hanging="360"/>
      </w:pPr>
      <w:rPr>
        <w:rFonts w:ascii="Symbol" w:hAnsi="Symbol"/>
      </w:rPr>
    </w:lvl>
    <w:lvl w:ilvl="3" w:tplc="AB6A7D8C">
      <w:start w:val="1"/>
      <w:numFmt w:val="bullet"/>
      <w:lvlText w:val=""/>
      <w:lvlJc w:val="left"/>
      <w:pPr>
        <w:ind w:left="720" w:hanging="360"/>
      </w:pPr>
      <w:rPr>
        <w:rFonts w:ascii="Symbol" w:hAnsi="Symbol"/>
      </w:rPr>
    </w:lvl>
    <w:lvl w:ilvl="4" w:tplc="E4229264">
      <w:start w:val="1"/>
      <w:numFmt w:val="bullet"/>
      <w:lvlText w:val=""/>
      <w:lvlJc w:val="left"/>
      <w:pPr>
        <w:ind w:left="720" w:hanging="360"/>
      </w:pPr>
      <w:rPr>
        <w:rFonts w:ascii="Symbol" w:hAnsi="Symbol"/>
      </w:rPr>
    </w:lvl>
    <w:lvl w:ilvl="5" w:tplc="9BF4516E">
      <w:start w:val="1"/>
      <w:numFmt w:val="bullet"/>
      <w:lvlText w:val=""/>
      <w:lvlJc w:val="left"/>
      <w:pPr>
        <w:ind w:left="720" w:hanging="360"/>
      </w:pPr>
      <w:rPr>
        <w:rFonts w:ascii="Symbol" w:hAnsi="Symbol"/>
      </w:rPr>
    </w:lvl>
    <w:lvl w:ilvl="6" w:tplc="6DB8CA98">
      <w:start w:val="1"/>
      <w:numFmt w:val="bullet"/>
      <w:lvlText w:val=""/>
      <w:lvlJc w:val="left"/>
      <w:pPr>
        <w:ind w:left="720" w:hanging="360"/>
      </w:pPr>
      <w:rPr>
        <w:rFonts w:ascii="Symbol" w:hAnsi="Symbol"/>
      </w:rPr>
    </w:lvl>
    <w:lvl w:ilvl="7" w:tplc="BA721592">
      <w:start w:val="1"/>
      <w:numFmt w:val="bullet"/>
      <w:lvlText w:val=""/>
      <w:lvlJc w:val="left"/>
      <w:pPr>
        <w:ind w:left="720" w:hanging="360"/>
      </w:pPr>
      <w:rPr>
        <w:rFonts w:ascii="Symbol" w:hAnsi="Symbol"/>
      </w:rPr>
    </w:lvl>
    <w:lvl w:ilvl="8" w:tplc="D26892F8">
      <w:start w:val="1"/>
      <w:numFmt w:val="bullet"/>
      <w:lvlText w:val=""/>
      <w:lvlJc w:val="left"/>
      <w:pPr>
        <w:ind w:left="720" w:hanging="360"/>
      </w:pPr>
      <w:rPr>
        <w:rFonts w:ascii="Symbol" w:hAnsi="Symbol"/>
      </w:rPr>
    </w:lvl>
  </w:abstractNum>
  <w:abstractNum w:abstractNumId="19" w15:restartNumberingAfterBreak="0">
    <w:nsid w:val="5946092E"/>
    <w:multiLevelType w:val="hybridMultilevel"/>
    <w:tmpl w:val="26225840"/>
    <w:lvl w:ilvl="0" w:tplc="0C090001">
      <w:start w:val="1"/>
      <w:numFmt w:val="bullet"/>
      <w:lvlText w:val=""/>
      <w:lvlJc w:val="left"/>
      <w:pPr>
        <w:ind w:left="720" w:hanging="360"/>
      </w:pPr>
      <w:rPr>
        <w:rFonts w:ascii="Symbol" w:hAnsi="Symbol" w:hint="default"/>
      </w:rPr>
    </w:lvl>
    <w:lvl w:ilvl="1" w:tplc="FE4E9AC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D057BE"/>
    <w:multiLevelType w:val="hybridMultilevel"/>
    <w:tmpl w:val="B0ECF068"/>
    <w:lvl w:ilvl="0" w:tplc="5232A5B6">
      <w:start w:val="1"/>
      <w:numFmt w:val="bullet"/>
      <w:lvlText w:val=""/>
      <w:lvlJc w:val="left"/>
      <w:pPr>
        <w:ind w:left="720" w:hanging="360"/>
      </w:pPr>
      <w:rPr>
        <w:rFonts w:ascii="Symbol" w:hAnsi="Symbol"/>
      </w:rPr>
    </w:lvl>
    <w:lvl w:ilvl="1" w:tplc="E47C2F56">
      <w:start w:val="1"/>
      <w:numFmt w:val="bullet"/>
      <w:lvlText w:val=""/>
      <w:lvlJc w:val="left"/>
      <w:pPr>
        <w:ind w:left="720" w:hanging="360"/>
      </w:pPr>
      <w:rPr>
        <w:rFonts w:ascii="Symbol" w:hAnsi="Symbol"/>
      </w:rPr>
    </w:lvl>
    <w:lvl w:ilvl="2" w:tplc="4ED8404C">
      <w:start w:val="1"/>
      <w:numFmt w:val="bullet"/>
      <w:lvlText w:val=""/>
      <w:lvlJc w:val="left"/>
      <w:pPr>
        <w:ind w:left="720" w:hanging="360"/>
      </w:pPr>
      <w:rPr>
        <w:rFonts w:ascii="Symbol" w:hAnsi="Symbol"/>
      </w:rPr>
    </w:lvl>
    <w:lvl w:ilvl="3" w:tplc="FB62A536">
      <w:start w:val="1"/>
      <w:numFmt w:val="bullet"/>
      <w:lvlText w:val=""/>
      <w:lvlJc w:val="left"/>
      <w:pPr>
        <w:ind w:left="720" w:hanging="360"/>
      </w:pPr>
      <w:rPr>
        <w:rFonts w:ascii="Symbol" w:hAnsi="Symbol"/>
      </w:rPr>
    </w:lvl>
    <w:lvl w:ilvl="4" w:tplc="7DCC5E04">
      <w:start w:val="1"/>
      <w:numFmt w:val="bullet"/>
      <w:lvlText w:val=""/>
      <w:lvlJc w:val="left"/>
      <w:pPr>
        <w:ind w:left="720" w:hanging="360"/>
      </w:pPr>
      <w:rPr>
        <w:rFonts w:ascii="Symbol" w:hAnsi="Symbol"/>
      </w:rPr>
    </w:lvl>
    <w:lvl w:ilvl="5" w:tplc="3C088708">
      <w:start w:val="1"/>
      <w:numFmt w:val="bullet"/>
      <w:lvlText w:val=""/>
      <w:lvlJc w:val="left"/>
      <w:pPr>
        <w:ind w:left="720" w:hanging="360"/>
      </w:pPr>
      <w:rPr>
        <w:rFonts w:ascii="Symbol" w:hAnsi="Symbol"/>
      </w:rPr>
    </w:lvl>
    <w:lvl w:ilvl="6" w:tplc="D8CCB2F2">
      <w:start w:val="1"/>
      <w:numFmt w:val="bullet"/>
      <w:lvlText w:val=""/>
      <w:lvlJc w:val="left"/>
      <w:pPr>
        <w:ind w:left="720" w:hanging="360"/>
      </w:pPr>
      <w:rPr>
        <w:rFonts w:ascii="Symbol" w:hAnsi="Symbol"/>
      </w:rPr>
    </w:lvl>
    <w:lvl w:ilvl="7" w:tplc="947E3B14">
      <w:start w:val="1"/>
      <w:numFmt w:val="bullet"/>
      <w:lvlText w:val=""/>
      <w:lvlJc w:val="left"/>
      <w:pPr>
        <w:ind w:left="720" w:hanging="360"/>
      </w:pPr>
      <w:rPr>
        <w:rFonts w:ascii="Symbol" w:hAnsi="Symbol"/>
      </w:rPr>
    </w:lvl>
    <w:lvl w:ilvl="8" w:tplc="BCA6E5CA">
      <w:start w:val="1"/>
      <w:numFmt w:val="bullet"/>
      <w:lvlText w:val=""/>
      <w:lvlJc w:val="left"/>
      <w:pPr>
        <w:ind w:left="720" w:hanging="360"/>
      </w:pPr>
      <w:rPr>
        <w:rFonts w:ascii="Symbol" w:hAnsi="Symbol"/>
      </w:rPr>
    </w:lvl>
  </w:abstractNum>
  <w:abstractNum w:abstractNumId="21" w15:restartNumberingAfterBreak="0">
    <w:nsid w:val="5DAD77EC"/>
    <w:multiLevelType w:val="hybridMultilevel"/>
    <w:tmpl w:val="B1DA97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77131808">
    <w:abstractNumId w:val="16"/>
  </w:num>
  <w:num w:numId="2" w16cid:durableId="1106540877">
    <w:abstractNumId w:val="22"/>
  </w:num>
  <w:num w:numId="3" w16cid:durableId="2050956127">
    <w:abstractNumId w:val="1"/>
  </w:num>
  <w:num w:numId="4" w16cid:durableId="1585409242">
    <w:abstractNumId w:val="23"/>
  </w:num>
  <w:num w:numId="5" w16cid:durableId="282930470">
    <w:abstractNumId w:val="4"/>
  </w:num>
  <w:num w:numId="6" w16cid:durableId="1580214332">
    <w:abstractNumId w:val="10"/>
  </w:num>
  <w:num w:numId="7" w16cid:durableId="1201671767">
    <w:abstractNumId w:val="12"/>
  </w:num>
  <w:num w:numId="8" w16cid:durableId="364138347">
    <w:abstractNumId w:val="21"/>
  </w:num>
  <w:num w:numId="9" w16cid:durableId="30882830">
    <w:abstractNumId w:val="15"/>
  </w:num>
  <w:num w:numId="10" w16cid:durableId="1655985049">
    <w:abstractNumId w:val="11"/>
  </w:num>
  <w:num w:numId="11" w16cid:durableId="562302138">
    <w:abstractNumId w:val="14"/>
  </w:num>
  <w:num w:numId="12" w16cid:durableId="681665111">
    <w:abstractNumId w:val="5"/>
  </w:num>
  <w:num w:numId="13" w16cid:durableId="699164366">
    <w:abstractNumId w:val="2"/>
  </w:num>
  <w:num w:numId="14" w16cid:durableId="693580785">
    <w:abstractNumId w:val="19"/>
  </w:num>
  <w:num w:numId="15" w16cid:durableId="1548957112">
    <w:abstractNumId w:val="7"/>
  </w:num>
  <w:num w:numId="16" w16cid:durableId="1120488258">
    <w:abstractNumId w:val="0"/>
  </w:num>
  <w:num w:numId="17" w16cid:durableId="338503575">
    <w:abstractNumId w:val="3"/>
  </w:num>
  <w:num w:numId="18" w16cid:durableId="232930963">
    <w:abstractNumId w:val="9"/>
  </w:num>
  <w:num w:numId="19" w16cid:durableId="1437139169">
    <w:abstractNumId w:val="17"/>
  </w:num>
  <w:num w:numId="20" w16cid:durableId="333458664">
    <w:abstractNumId w:val="13"/>
  </w:num>
  <w:num w:numId="21" w16cid:durableId="1629119377">
    <w:abstractNumId w:val="8"/>
  </w:num>
  <w:num w:numId="22" w16cid:durableId="1837572702">
    <w:abstractNumId w:val="18"/>
  </w:num>
  <w:num w:numId="23" w16cid:durableId="508567112">
    <w:abstractNumId w:val="20"/>
  </w:num>
  <w:num w:numId="24" w16cid:durableId="172047224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3A"/>
    <w:rsid w:val="00000535"/>
    <w:rsid w:val="00000C1C"/>
    <w:rsid w:val="0000175A"/>
    <w:rsid w:val="00001836"/>
    <w:rsid w:val="000019C5"/>
    <w:rsid w:val="000022B2"/>
    <w:rsid w:val="0000355E"/>
    <w:rsid w:val="00003743"/>
    <w:rsid w:val="00003D9A"/>
    <w:rsid w:val="0000401D"/>
    <w:rsid w:val="000045B7"/>
    <w:rsid w:val="00004659"/>
    <w:rsid w:val="000047B4"/>
    <w:rsid w:val="00004DEE"/>
    <w:rsid w:val="00004E27"/>
    <w:rsid w:val="00005712"/>
    <w:rsid w:val="00005A62"/>
    <w:rsid w:val="00005CE0"/>
    <w:rsid w:val="00006A30"/>
    <w:rsid w:val="000070CB"/>
    <w:rsid w:val="0000746F"/>
    <w:rsid w:val="00007DA6"/>
    <w:rsid w:val="00007FD8"/>
    <w:rsid w:val="00010EF4"/>
    <w:rsid w:val="00010F68"/>
    <w:rsid w:val="000117F8"/>
    <w:rsid w:val="00011A61"/>
    <w:rsid w:val="00011F91"/>
    <w:rsid w:val="000129A0"/>
    <w:rsid w:val="00012EAB"/>
    <w:rsid w:val="00013342"/>
    <w:rsid w:val="000142A5"/>
    <w:rsid w:val="000147E0"/>
    <w:rsid w:val="0001527C"/>
    <w:rsid w:val="0001542A"/>
    <w:rsid w:val="00015AEC"/>
    <w:rsid w:val="00016291"/>
    <w:rsid w:val="000164F5"/>
    <w:rsid w:val="000219E0"/>
    <w:rsid w:val="00022434"/>
    <w:rsid w:val="000225FE"/>
    <w:rsid w:val="000227F0"/>
    <w:rsid w:val="00023503"/>
    <w:rsid w:val="00023758"/>
    <w:rsid w:val="00024021"/>
    <w:rsid w:val="0002408C"/>
    <w:rsid w:val="0002426A"/>
    <w:rsid w:val="0002539F"/>
    <w:rsid w:val="000259A9"/>
    <w:rsid w:val="00025BCD"/>
    <w:rsid w:val="00026139"/>
    <w:rsid w:val="0002647F"/>
    <w:rsid w:val="00026FD4"/>
    <w:rsid w:val="00027071"/>
    <w:rsid w:val="000271A3"/>
    <w:rsid w:val="000275B0"/>
    <w:rsid w:val="00027601"/>
    <w:rsid w:val="00027956"/>
    <w:rsid w:val="00030183"/>
    <w:rsid w:val="000306BA"/>
    <w:rsid w:val="0003142F"/>
    <w:rsid w:val="0003171D"/>
    <w:rsid w:val="00031DB6"/>
    <w:rsid w:val="000323CE"/>
    <w:rsid w:val="000324FD"/>
    <w:rsid w:val="000329D2"/>
    <w:rsid w:val="00032A22"/>
    <w:rsid w:val="00032C9F"/>
    <w:rsid w:val="00033321"/>
    <w:rsid w:val="000338E5"/>
    <w:rsid w:val="00033ECC"/>
    <w:rsid w:val="00033FB1"/>
    <w:rsid w:val="0003422F"/>
    <w:rsid w:val="0003444D"/>
    <w:rsid w:val="000348A2"/>
    <w:rsid w:val="0003516A"/>
    <w:rsid w:val="00035AC8"/>
    <w:rsid w:val="0003634A"/>
    <w:rsid w:val="000367BA"/>
    <w:rsid w:val="00037226"/>
    <w:rsid w:val="0003769C"/>
    <w:rsid w:val="000378AE"/>
    <w:rsid w:val="000410EA"/>
    <w:rsid w:val="00041F37"/>
    <w:rsid w:val="00043269"/>
    <w:rsid w:val="00043C3C"/>
    <w:rsid w:val="000444A9"/>
    <w:rsid w:val="00044EB3"/>
    <w:rsid w:val="00045E79"/>
    <w:rsid w:val="000460BD"/>
    <w:rsid w:val="0004613A"/>
    <w:rsid w:val="00046720"/>
    <w:rsid w:val="00046FF0"/>
    <w:rsid w:val="0004721F"/>
    <w:rsid w:val="00050176"/>
    <w:rsid w:val="00050F2C"/>
    <w:rsid w:val="000518CA"/>
    <w:rsid w:val="0005245B"/>
    <w:rsid w:val="0005276D"/>
    <w:rsid w:val="00052957"/>
    <w:rsid w:val="000533E3"/>
    <w:rsid w:val="00053A6D"/>
    <w:rsid w:val="00054521"/>
    <w:rsid w:val="0005518B"/>
    <w:rsid w:val="0005622C"/>
    <w:rsid w:val="00057568"/>
    <w:rsid w:val="00060107"/>
    <w:rsid w:val="0006197C"/>
    <w:rsid w:val="00061BCE"/>
    <w:rsid w:val="00061D71"/>
    <w:rsid w:val="0006255C"/>
    <w:rsid w:val="00062B65"/>
    <w:rsid w:val="00063646"/>
    <w:rsid w:val="00063AE9"/>
    <w:rsid w:val="000640DD"/>
    <w:rsid w:val="00064FFA"/>
    <w:rsid w:val="000651DC"/>
    <w:rsid w:val="0006547B"/>
    <w:rsid w:val="00065D6E"/>
    <w:rsid w:val="00067132"/>
    <w:rsid w:val="00067456"/>
    <w:rsid w:val="000674EE"/>
    <w:rsid w:val="000679DE"/>
    <w:rsid w:val="00067F5C"/>
    <w:rsid w:val="00071506"/>
    <w:rsid w:val="0007154F"/>
    <w:rsid w:val="00071928"/>
    <w:rsid w:val="00071A29"/>
    <w:rsid w:val="00071A95"/>
    <w:rsid w:val="00072992"/>
    <w:rsid w:val="00073E13"/>
    <w:rsid w:val="00074635"/>
    <w:rsid w:val="000746AC"/>
    <w:rsid w:val="00074FDC"/>
    <w:rsid w:val="0007609A"/>
    <w:rsid w:val="0007609F"/>
    <w:rsid w:val="00076780"/>
    <w:rsid w:val="00076C46"/>
    <w:rsid w:val="00076C80"/>
    <w:rsid w:val="00076E9A"/>
    <w:rsid w:val="000771EF"/>
    <w:rsid w:val="00080052"/>
    <w:rsid w:val="00080C7B"/>
    <w:rsid w:val="000815A8"/>
    <w:rsid w:val="00081AB1"/>
    <w:rsid w:val="00081F92"/>
    <w:rsid w:val="00082A2C"/>
    <w:rsid w:val="00082EE2"/>
    <w:rsid w:val="00083103"/>
    <w:rsid w:val="0008378F"/>
    <w:rsid w:val="0008420D"/>
    <w:rsid w:val="00084431"/>
    <w:rsid w:val="00084873"/>
    <w:rsid w:val="000865C3"/>
    <w:rsid w:val="00086842"/>
    <w:rsid w:val="00086A5E"/>
    <w:rsid w:val="0009016A"/>
    <w:rsid w:val="00090316"/>
    <w:rsid w:val="0009071E"/>
    <w:rsid w:val="00090954"/>
    <w:rsid w:val="00090CFE"/>
    <w:rsid w:val="0009370C"/>
    <w:rsid w:val="0009371E"/>
    <w:rsid w:val="00093981"/>
    <w:rsid w:val="00093CD9"/>
    <w:rsid w:val="000942ED"/>
    <w:rsid w:val="00094429"/>
    <w:rsid w:val="00094C26"/>
    <w:rsid w:val="0009500D"/>
    <w:rsid w:val="00097BE6"/>
    <w:rsid w:val="000A126C"/>
    <w:rsid w:val="000A1482"/>
    <w:rsid w:val="000A24A8"/>
    <w:rsid w:val="000A2B85"/>
    <w:rsid w:val="000A446E"/>
    <w:rsid w:val="000A4BC3"/>
    <w:rsid w:val="000A4C7C"/>
    <w:rsid w:val="000A529F"/>
    <w:rsid w:val="000A53E2"/>
    <w:rsid w:val="000A73CD"/>
    <w:rsid w:val="000A7797"/>
    <w:rsid w:val="000A7F27"/>
    <w:rsid w:val="000B067A"/>
    <w:rsid w:val="000B1540"/>
    <w:rsid w:val="000B1833"/>
    <w:rsid w:val="000B18C7"/>
    <w:rsid w:val="000B2457"/>
    <w:rsid w:val="000B2922"/>
    <w:rsid w:val="000B2CD3"/>
    <w:rsid w:val="000B3190"/>
    <w:rsid w:val="000B3331"/>
    <w:rsid w:val="000B33FD"/>
    <w:rsid w:val="000B3D3C"/>
    <w:rsid w:val="000B3D85"/>
    <w:rsid w:val="000B4ABA"/>
    <w:rsid w:val="000B4CE3"/>
    <w:rsid w:val="000B5DF8"/>
    <w:rsid w:val="000B6344"/>
    <w:rsid w:val="000B740A"/>
    <w:rsid w:val="000B7C60"/>
    <w:rsid w:val="000C073F"/>
    <w:rsid w:val="000C1E90"/>
    <w:rsid w:val="000C2CF8"/>
    <w:rsid w:val="000C3357"/>
    <w:rsid w:val="000C4172"/>
    <w:rsid w:val="000C47AB"/>
    <w:rsid w:val="000C47C2"/>
    <w:rsid w:val="000C4B16"/>
    <w:rsid w:val="000C50C3"/>
    <w:rsid w:val="000C54F8"/>
    <w:rsid w:val="000C64D1"/>
    <w:rsid w:val="000C7CF5"/>
    <w:rsid w:val="000D086E"/>
    <w:rsid w:val="000D0B01"/>
    <w:rsid w:val="000D0F11"/>
    <w:rsid w:val="000D178B"/>
    <w:rsid w:val="000D1CCF"/>
    <w:rsid w:val="000D21F6"/>
    <w:rsid w:val="000D2D6B"/>
    <w:rsid w:val="000D34BF"/>
    <w:rsid w:val="000D40D5"/>
    <w:rsid w:val="000D42C3"/>
    <w:rsid w:val="000D4500"/>
    <w:rsid w:val="000D4536"/>
    <w:rsid w:val="000D45B5"/>
    <w:rsid w:val="000D4ADA"/>
    <w:rsid w:val="000D56E4"/>
    <w:rsid w:val="000D6D71"/>
    <w:rsid w:val="000D7249"/>
    <w:rsid w:val="000D74BA"/>
    <w:rsid w:val="000D7AEA"/>
    <w:rsid w:val="000D7AF9"/>
    <w:rsid w:val="000D7E1B"/>
    <w:rsid w:val="000E01A9"/>
    <w:rsid w:val="000E0A34"/>
    <w:rsid w:val="000E0C8C"/>
    <w:rsid w:val="000E1614"/>
    <w:rsid w:val="000E16ED"/>
    <w:rsid w:val="000E2453"/>
    <w:rsid w:val="000E2C66"/>
    <w:rsid w:val="000E4326"/>
    <w:rsid w:val="000E4863"/>
    <w:rsid w:val="000E4EF4"/>
    <w:rsid w:val="000E4FCC"/>
    <w:rsid w:val="000E54E6"/>
    <w:rsid w:val="000E638B"/>
    <w:rsid w:val="000E6E7D"/>
    <w:rsid w:val="000E7296"/>
    <w:rsid w:val="000E732C"/>
    <w:rsid w:val="000E7923"/>
    <w:rsid w:val="000E7B80"/>
    <w:rsid w:val="000F006D"/>
    <w:rsid w:val="000F04B3"/>
    <w:rsid w:val="000F0655"/>
    <w:rsid w:val="000F072F"/>
    <w:rsid w:val="000F123C"/>
    <w:rsid w:val="000F15DA"/>
    <w:rsid w:val="000F1FD8"/>
    <w:rsid w:val="000F248B"/>
    <w:rsid w:val="000F28AB"/>
    <w:rsid w:val="000F2FED"/>
    <w:rsid w:val="000F3011"/>
    <w:rsid w:val="000F41B7"/>
    <w:rsid w:val="000F681E"/>
    <w:rsid w:val="000F6921"/>
    <w:rsid w:val="000F6F5D"/>
    <w:rsid w:val="000F7619"/>
    <w:rsid w:val="000F76AE"/>
    <w:rsid w:val="000F7951"/>
    <w:rsid w:val="000F7F3C"/>
    <w:rsid w:val="001008F9"/>
    <w:rsid w:val="00100AE4"/>
    <w:rsid w:val="00100CD6"/>
    <w:rsid w:val="00100F6D"/>
    <w:rsid w:val="00102A06"/>
    <w:rsid w:val="001033D4"/>
    <w:rsid w:val="0010346D"/>
    <w:rsid w:val="00103D7D"/>
    <w:rsid w:val="001041A0"/>
    <w:rsid w:val="00105B85"/>
    <w:rsid w:val="0010616D"/>
    <w:rsid w:val="001062DF"/>
    <w:rsid w:val="001063D6"/>
    <w:rsid w:val="0010763B"/>
    <w:rsid w:val="0011031A"/>
    <w:rsid w:val="00110478"/>
    <w:rsid w:val="001106DE"/>
    <w:rsid w:val="001107C9"/>
    <w:rsid w:val="00110C86"/>
    <w:rsid w:val="00111A65"/>
    <w:rsid w:val="0011431E"/>
    <w:rsid w:val="001146E8"/>
    <w:rsid w:val="001147C7"/>
    <w:rsid w:val="0011511E"/>
    <w:rsid w:val="001151AB"/>
    <w:rsid w:val="001152BD"/>
    <w:rsid w:val="0011592B"/>
    <w:rsid w:val="00115E32"/>
    <w:rsid w:val="00116167"/>
    <w:rsid w:val="00116402"/>
    <w:rsid w:val="001165A8"/>
    <w:rsid w:val="00116DA4"/>
    <w:rsid w:val="00116F8C"/>
    <w:rsid w:val="00116FA0"/>
    <w:rsid w:val="0011711B"/>
    <w:rsid w:val="0011788B"/>
    <w:rsid w:val="00117A9A"/>
    <w:rsid w:val="00117F8A"/>
    <w:rsid w:val="00120347"/>
    <w:rsid w:val="00120FF1"/>
    <w:rsid w:val="001216D6"/>
    <w:rsid w:val="00121B9B"/>
    <w:rsid w:val="00121DDF"/>
    <w:rsid w:val="0012200C"/>
    <w:rsid w:val="001227F9"/>
    <w:rsid w:val="00122ADC"/>
    <w:rsid w:val="00122C6D"/>
    <w:rsid w:val="00123435"/>
    <w:rsid w:val="00124240"/>
    <w:rsid w:val="00125C41"/>
    <w:rsid w:val="00125DAD"/>
    <w:rsid w:val="00126408"/>
    <w:rsid w:val="00127710"/>
    <w:rsid w:val="001301F5"/>
    <w:rsid w:val="001305E9"/>
    <w:rsid w:val="00130F18"/>
    <w:rsid w:val="00130F59"/>
    <w:rsid w:val="00131AA0"/>
    <w:rsid w:val="001328FF"/>
    <w:rsid w:val="00132D7A"/>
    <w:rsid w:val="0013336E"/>
    <w:rsid w:val="00133451"/>
    <w:rsid w:val="001339D0"/>
    <w:rsid w:val="00133EC0"/>
    <w:rsid w:val="0013521B"/>
    <w:rsid w:val="0013603E"/>
    <w:rsid w:val="0014027C"/>
    <w:rsid w:val="00140B98"/>
    <w:rsid w:val="001413B5"/>
    <w:rsid w:val="001413F2"/>
    <w:rsid w:val="00141CE5"/>
    <w:rsid w:val="0014221C"/>
    <w:rsid w:val="00142F68"/>
    <w:rsid w:val="001439B5"/>
    <w:rsid w:val="00143BAD"/>
    <w:rsid w:val="00144908"/>
    <w:rsid w:val="00145230"/>
    <w:rsid w:val="00145593"/>
    <w:rsid w:val="0014571B"/>
    <w:rsid w:val="00145B21"/>
    <w:rsid w:val="00145CF6"/>
    <w:rsid w:val="00146087"/>
    <w:rsid w:val="001464A5"/>
    <w:rsid w:val="00147453"/>
    <w:rsid w:val="00147D2A"/>
    <w:rsid w:val="00147DFF"/>
    <w:rsid w:val="00147E5D"/>
    <w:rsid w:val="00150B65"/>
    <w:rsid w:val="00151D20"/>
    <w:rsid w:val="0015206A"/>
    <w:rsid w:val="00152610"/>
    <w:rsid w:val="0015278D"/>
    <w:rsid w:val="00152CF0"/>
    <w:rsid w:val="00153D40"/>
    <w:rsid w:val="00154585"/>
    <w:rsid w:val="00154FDD"/>
    <w:rsid w:val="001571C7"/>
    <w:rsid w:val="00160E0B"/>
    <w:rsid w:val="00160F52"/>
    <w:rsid w:val="00161094"/>
    <w:rsid w:val="001627E0"/>
    <w:rsid w:val="00162DAC"/>
    <w:rsid w:val="00164C59"/>
    <w:rsid w:val="00165C3D"/>
    <w:rsid w:val="00166D68"/>
    <w:rsid w:val="00166EC4"/>
    <w:rsid w:val="001677A5"/>
    <w:rsid w:val="00167A53"/>
    <w:rsid w:val="00167FD6"/>
    <w:rsid w:val="0017076D"/>
    <w:rsid w:val="00172A55"/>
    <w:rsid w:val="00172EE1"/>
    <w:rsid w:val="00173860"/>
    <w:rsid w:val="00174649"/>
    <w:rsid w:val="00174A91"/>
    <w:rsid w:val="00174B1E"/>
    <w:rsid w:val="00174BCD"/>
    <w:rsid w:val="00174DE5"/>
    <w:rsid w:val="001758CD"/>
    <w:rsid w:val="00175AD1"/>
    <w:rsid w:val="0017665C"/>
    <w:rsid w:val="00176FEE"/>
    <w:rsid w:val="00177AD2"/>
    <w:rsid w:val="0018046E"/>
    <w:rsid w:val="00181108"/>
    <w:rsid w:val="00181284"/>
    <w:rsid w:val="001815A8"/>
    <w:rsid w:val="00183682"/>
    <w:rsid w:val="001840F6"/>
    <w:rsid w:val="001840FA"/>
    <w:rsid w:val="00184394"/>
    <w:rsid w:val="001848A2"/>
    <w:rsid w:val="00185B0F"/>
    <w:rsid w:val="00186B2F"/>
    <w:rsid w:val="00190079"/>
    <w:rsid w:val="00190FEF"/>
    <w:rsid w:val="00191621"/>
    <w:rsid w:val="00191ABA"/>
    <w:rsid w:val="00191B8B"/>
    <w:rsid w:val="00193A9C"/>
    <w:rsid w:val="00194015"/>
    <w:rsid w:val="001941F9"/>
    <w:rsid w:val="00195150"/>
    <w:rsid w:val="001952D2"/>
    <w:rsid w:val="001953EF"/>
    <w:rsid w:val="0019622E"/>
    <w:rsid w:val="001962E3"/>
    <w:rsid w:val="001966A7"/>
    <w:rsid w:val="00197E6F"/>
    <w:rsid w:val="001A0195"/>
    <w:rsid w:val="001A1E04"/>
    <w:rsid w:val="001A228A"/>
    <w:rsid w:val="001A24D0"/>
    <w:rsid w:val="001A2FB0"/>
    <w:rsid w:val="001A45DE"/>
    <w:rsid w:val="001A4627"/>
    <w:rsid w:val="001A4979"/>
    <w:rsid w:val="001A4B42"/>
    <w:rsid w:val="001A53B5"/>
    <w:rsid w:val="001A750E"/>
    <w:rsid w:val="001A7A3A"/>
    <w:rsid w:val="001B0387"/>
    <w:rsid w:val="001B1251"/>
    <w:rsid w:val="001B12FC"/>
    <w:rsid w:val="001B14FC"/>
    <w:rsid w:val="001B15D3"/>
    <w:rsid w:val="001B3443"/>
    <w:rsid w:val="001B378D"/>
    <w:rsid w:val="001B3836"/>
    <w:rsid w:val="001B3BE7"/>
    <w:rsid w:val="001B3DC5"/>
    <w:rsid w:val="001B3E93"/>
    <w:rsid w:val="001B5CC8"/>
    <w:rsid w:val="001B625C"/>
    <w:rsid w:val="001B69ED"/>
    <w:rsid w:val="001B6A0A"/>
    <w:rsid w:val="001B6CE9"/>
    <w:rsid w:val="001B6E79"/>
    <w:rsid w:val="001B6FC3"/>
    <w:rsid w:val="001B750B"/>
    <w:rsid w:val="001B757F"/>
    <w:rsid w:val="001B7D28"/>
    <w:rsid w:val="001C0326"/>
    <w:rsid w:val="001C0A5D"/>
    <w:rsid w:val="001C0CBE"/>
    <w:rsid w:val="001C192F"/>
    <w:rsid w:val="001C1DDD"/>
    <w:rsid w:val="001C2014"/>
    <w:rsid w:val="001C3264"/>
    <w:rsid w:val="001C3C42"/>
    <w:rsid w:val="001C3DCE"/>
    <w:rsid w:val="001C41B6"/>
    <w:rsid w:val="001C449E"/>
    <w:rsid w:val="001C459E"/>
    <w:rsid w:val="001C51F3"/>
    <w:rsid w:val="001C557D"/>
    <w:rsid w:val="001C5604"/>
    <w:rsid w:val="001C633F"/>
    <w:rsid w:val="001C6669"/>
    <w:rsid w:val="001C69D6"/>
    <w:rsid w:val="001C7810"/>
    <w:rsid w:val="001C7ACD"/>
    <w:rsid w:val="001C7CEC"/>
    <w:rsid w:val="001C7D8B"/>
    <w:rsid w:val="001D080B"/>
    <w:rsid w:val="001D1868"/>
    <w:rsid w:val="001D2297"/>
    <w:rsid w:val="001D29D5"/>
    <w:rsid w:val="001D2BBC"/>
    <w:rsid w:val="001D2C0E"/>
    <w:rsid w:val="001D2D6A"/>
    <w:rsid w:val="001D2EE4"/>
    <w:rsid w:val="001D36C5"/>
    <w:rsid w:val="001D3AE5"/>
    <w:rsid w:val="001D44BF"/>
    <w:rsid w:val="001D4865"/>
    <w:rsid w:val="001D4D73"/>
    <w:rsid w:val="001D59C8"/>
    <w:rsid w:val="001D703F"/>
    <w:rsid w:val="001D732B"/>
    <w:rsid w:val="001D7869"/>
    <w:rsid w:val="001D7D6D"/>
    <w:rsid w:val="001E0C32"/>
    <w:rsid w:val="001E151B"/>
    <w:rsid w:val="001E1A83"/>
    <w:rsid w:val="001E22B9"/>
    <w:rsid w:val="001E3113"/>
    <w:rsid w:val="001E39B8"/>
    <w:rsid w:val="001E3ABE"/>
    <w:rsid w:val="001E4180"/>
    <w:rsid w:val="001E4B94"/>
    <w:rsid w:val="001E55FE"/>
    <w:rsid w:val="001E5A99"/>
    <w:rsid w:val="001E5E08"/>
    <w:rsid w:val="001E67D9"/>
    <w:rsid w:val="001F01D0"/>
    <w:rsid w:val="001F0F4A"/>
    <w:rsid w:val="001F13DF"/>
    <w:rsid w:val="001F1898"/>
    <w:rsid w:val="001F1CC5"/>
    <w:rsid w:val="001F29BA"/>
    <w:rsid w:val="001F2CB2"/>
    <w:rsid w:val="001F2E72"/>
    <w:rsid w:val="001F2F78"/>
    <w:rsid w:val="001F347E"/>
    <w:rsid w:val="001F432C"/>
    <w:rsid w:val="001F478A"/>
    <w:rsid w:val="001F5C18"/>
    <w:rsid w:val="001F5FD3"/>
    <w:rsid w:val="001F6000"/>
    <w:rsid w:val="001F667C"/>
    <w:rsid w:val="001F6956"/>
    <w:rsid w:val="001F6CFF"/>
    <w:rsid w:val="0020040A"/>
    <w:rsid w:val="00200512"/>
    <w:rsid w:val="00200795"/>
    <w:rsid w:val="0020098A"/>
    <w:rsid w:val="002018A2"/>
    <w:rsid w:val="00201CFC"/>
    <w:rsid w:val="00201DD9"/>
    <w:rsid w:val="00202520"/>
    <w:rsid w:val="002026CD"/>
    <w:rsid w:val="00202EEB"/>
    <w:rsid w:val="00203259"/>
    <w:rsid w:val="0020335A"/>
    <w:rsid w:val="002033FC"/>
    <w:rsid w:val="002034DC"/>
    <w:rsid w:val="00203BDA"/>
    <w:rsid w:val="002044BB"/>
    <w:rsid w:val="00204D20"/>
    <w:rsid w:val="00204E0C"/>
    <w:rsid w:val="00205371"/>
    <w:rsid w:val="00205547"/>
    <w:rsid w:val="00205A93"/>
    <w:rsid w:val="00205BF3"/>
    <w:rsid w:val="00206076"/>
    <w:rsid w:val="002061C6"/>
    <w:rsid w:val="00206B73"/>
    <w:rsid w:val="00207053"/>
    <w:rsid w:val="002108AC"/>
    <w:rsid w:val="00210B09"/>
    <w:rsid w:val="00210C9E"/>
    <w:rsid w:val="00210F25"/>
    <w:rsid w:val="002116CC"/>
    <w:rsid w:val="00211732"/>
    <w:rsid w:val="00211840"/>
    <w:rsid w:val="002118A8"/>
    <w:rsid w:val="00211ABD"/>
    <w:rsid w:val="00212310"/>
    <w:rsid w:val="002127E6"/>
    <w:rsid w:val="00212E77"/>
    <w:rsid w:val="00213258"/>
    <w:rsid w:val="002146E8"/>
    <w:rsid w:val="00214AA1"/>
    <w:rsid w:val="00215C39"/>
    <w:rsid w:val="00216114"/>
    <w:rsid w:val="00216275"/>
    <w:rsid w:val="002165E8"/>
    <w:rsid w:val="00220135"/>
    <w:rsid w:val="00220E5F"/>
    <w:rsid w:val="00220F5B"/>
    <w:rsid w:val="002212B5"/>
    <w:rsid w:val="00222566"/>
    <w:rsid w:val="00222DED"/>
    <w:rsid w:val="00222F67"/>
    <w:rsid w:val="0022364F"/>
    <w:rsid w:val="00223816"/>
    <w:rsid w:val="00223BB4"/>
    <w:rsid w:val="002242B0"/>
    <w:rsid w:val="002249D4"/>
    <w:rsid w:val="00226156"/>
    <w:rsid w:val="0022648B"/>
    <w:rsid w:val="00226668"/>
    <w:rsid w:val="0022694E"/>
    <w:rsid w:val="00226D16"/>
    <w:rsid w:val="00227027"/>
    <w:rsid w:val="00227864"/>
    <w:rsid w:val="002312B6"/>
    <w:rsid w:val="00231B59"/>
    <w:rsid w:val="00232428"/>
    <w:rsid w:val="00233540"/>
    <w:rsid w:val="00233809"/>
    <w:rsid w:val="002338F8"/>
    <w:rsid w:val="00233C0B"/>
    <w:rsid w:val="002359C0"/>
    <w:rsid w:val="00235EB9"/>
    <w:rsid w:val="00236066"/>
    <w:rsid w:val="00236073"/>
    <w:rsid w:val="00236327"/>
    <w:rsid w:val="00236887"/>
    <w:rsid w:val="00236D56"/>
    <w:rsid w:val="00237521"/>
    <w:rsid w:val="00240046"/>
    <w:rsid w:val="00240469"/>
    <w:rsid w:val="00240B1D"/>
    <w:rsid w:val="00240F60"/>
    <w:rsid w:val="0024141E"/>
    <w:rsid w:val="00241660"/>
    <w:rsid w:val="00241FFD"/>
    <w:rsid w:val="0024219D"/>
    <w:rsid w:val="00242531"/>
    <w:rsid w:val="00243327"/>
    <w:rsid w:val="00243C2D"/>
    <w:rsid w:val="00243CEA"/>
    <w:rsid w:val="002445F3"/>
    <w:rsid w:val="002448CF"/>
    <w:rsid w:val="00245147"/>
    <w:rsid w:val="00245C55"/>
    <w:rsid w:val="002462DF"/>
    <w:rsid w:val="00247755"/>
    <w:rsid w:val="0024797F"/>
    <w:rsid w:val="002503D3"/>
    <w:rsid w:val="00250430"/>
    <w:rsid w:val="00250536"/>
    <w:rsid w:val="0025119E"/>
    <w:rsid w:val="00251269"/>
    <w:rsid w:val="00251624"/>
    <w:rsid w:val="002526A5"/>
    <w:rsid w:val="002535C0"/>
    <w:rsid w:val="0025368D"/>
    <w:rsid w:val="00253842"/>
    <w:rsid w:val="00255669"/>
    <w:rsid w:val="0025679D"/>
    <w:rsid w:val="00256997"/>
    <w:rsid w:val="002579FE"/>
    <w:rsid w:val="00260368"/>
    <w:rsid w:val="00261217"/>
    <w:rsid w:val="002616AC"/>
    <w:rsid w:val="002630F7"/>
    <w:rsid w:val="0026311C"/>
    <w:rsid w:val="00263513"/>
    <w:rsid w:val="00263A87"/>
    <w:rsid w:val="002647F2"/>
    <w:rsid w:val="002657ED"/>
    <w:rsid w:val="0026665A"/>
    <w:rsid w:val="0026668C"/>
    <w:rsid w:val="00266AC1"/>
    <w:rsid w:val="00266E7E"/>
    <w:rsid w:val="00267018"/>
    <w:rsid w:val="00270D23"/>
    <w:rsid w:val="00270D47"/>
    <w:rsid w:val="002715D7"/>
    <w:rsid w:val="0027178C"/>
    <w:rsid w:val="002719FA"/>
    <w:rsid w:val="00271A87"/>
    <w:rsid w:val="002723CF"/>
    <w:rsid w:val="00272668"/>
    <w:rsid w:val="00272B47"/>
    <w:rsid w:val="0027330B"/>
    <w:rsid w:val="0027445D"/>
    <w:rsid w:val="002752FB"/>
    <w:rsid w:val="00275716"/>
    <w:rsid w:val="0027585E"/>
    <w:rsid w:val="00275C11"/>
    <w:rsid w:val="00276C05"/>
    <w:rsid w:val="002774B3"/>
    <w:rsid w:val="002803AD"/>
    <w:rsid w:val="002804B6"/>
    <w:rsid w:val="00281949"/>
    <w:rsid w:val="00281ADF"/>
    <w:rsid w:val="00281DE1"/>
    <w:rsid w:val="00282052"/>
    <w:rsid w:val="00282492"/>
    <w:rsid w:val="00282DD2"/>
    <w:rsid w:val="00283129"/>
    <w:rsid w:val="0028412F"/>
    <w:rsid w:val="0028519E"/>
    <w:rsid w:val="002856A5"/>
    <w:rsid w:val="0028698C"/>
    <w:rsid w:val="0028699F"/>
    <w:rsid w:val="00286ABD"/>
    <w:rsid w:val="002872ED"/>
    <w:rsid w:val="00287A18"/>
    <w:rsid w:val="00287E19"/>
    <w:rsid w:val="0029008D"/>
    <w:rsid w:val="002905C2"/>
    <w:rsid w:val="00290DDF"/>
    <w:rsid w:val="002912DA"/>
    <w:rsid w:val="00291FA6"/>
    <w:rsid w:val="00292E55"/>
    <w:rsid w:val="002935BF"/>
    <w:rsid w:val="002935E2"/>
    <w:rsid w:val="002936B9"/>
    <w:rsid w:val="00293D95"/>
    <w:rsid w:val="0029424A"/>
    <w:rsid w:val="00294560"/>
    <w:rsid w:val="00294AEA"/>
    <w:rsid w:val="002952F9"/>
    <w:rsid w:val="00295AF2"/>
    <w:rsid w:val="00295C91"/>
    <w:rsid w:val="00295DA8"/>
    <w:rsid w:val="002960CE"/>
    <w:rsid w:val="002962B6"/>
    <w:rsid w:val="00296D48"/>
    <w:rsid w:val="00297151"/>
    <w:rsid w:val="00297683"/>
    <w:rsid w:val="002A0B1E"/>
    <w:rsid w:val="002A0FCE"/>
    <w:rsid w:val="002A1623"/>
    <w:rsid w:val="002A1D30"/>
    <w:rsid w:val="002A1D31"/>
    <w:rsid w:val="002A23FB"/>
    <w:rsid w:val="002A2826"/>
    <w:rsid w:val="002A30F3"/>
    <w:rsid w:val="002A4901"/>
    <w:rsid w:val="002A5612"/>
    <w:rsid w:val="002A6408"/>
    <w:rsid w:val="002A7207"/>
    <w:rsid w:val="002A7CA5"/>
    <w:rsid w:val="002B0812"/>
    <w:rsid w:val="002B0C11"/>
    <w:rsid w:val="002B17F7"/>
    <w:rsid w:val="002B20E6"/>
    <w:rsid w:val="002B22B9"/>
    <w:rsid w:val="002B231B"/>
    <w:rsid w:val="002B27E7"/>
    <w:rsid w:val="002B2871"/>
    <w:rsid w:val="002B2BFD"/>
    <w:rsid w:val="002B3560"/>
    <w:rsid w:val="002B425D"/>
    <w:rsid w:val="002B42A3"/>
    <w:rsid w:val="002B50C2"/>
    <w:rsid w:val="002B5783"/>
    <w:rsid w:val="002B5819"/>
    <w:rsid w:val="002B736F"/>
    <w:rsid w:val="002B740E"/>
    <w:rsid w:val="002C00E4"/>
    <w:rsid w:val="002C0AD9"/>
    <w:rsid w:val="002C0CDD"/>
    <w:rsid w:val="002C1631"/>
    <w:rsid w:val="002C19E2"/>
    <w:rsid w:val="002C253F"/>
    <w:rsid w:val="002C2FBA"/>
    <w:rsid w:val="002C31D5"/>
    <w:rsid w:val="002C353F"/>
    <w:rsid w:val="002C3608"/>
    <w:rsid w:val="002C44E7"/>
    <w:rsid w:val="002C4C13"/>
    <w:rsid w:val="002C510F"/>
    <w:rsid w:val="002C521D"/>
    <w:rsid w:val="002C5D36"/>
    <w:rsid w:val="002C60FC"/>
    <w:rsid w:val="002C6543"/>
    <w:rsid w:val="002C699D"/>
    <w:rsid w:val="002C6EFC"/>
    <w:rsid w:val="002C7AF6"/>
    <w:rsid w:val="002C7EF2"/>
    <w:rsid w:val="002D1066"/>
    <w:rsid w:val="002D25CB"/>
    <w:rsid w:val="002D3C78"/>
    <w:rsid w:val="002D3CAD"/>
    <w:rsid w:val="002D430A"/>
    <w:rsid w:val="002D4788"/>
    <w:rsid w:val="002D521B"/>
    <w:rsid w:val="002D52EA"/>
    <w:rsid w:val="002D6634"/>
    <w:rsid w:val="002D6A83"/>
    <w:rsid w:val="002D723D"/>
    <w:rsid w:val="002D77AD"/>
    <w:rsid w:val="002D77B0"/>
    <w:rsid w:val="002D7F94"/>
    <w:rsid w:val="002E0DB1"/>
    <w:rsid w:val="002E1A1D"/>
    <w:rsid w:val="002E2181"/>
    <w:rsid w:val="002E3C43"/>
    <w:rsid w:val="002E4081"/>
    <w:rsid w:val="002E41EF"/>
    <w:rsid w:val="002E43A1"/>
    <w:rsid w:val="002E45B5"/>
    <w:rsid w:val="002E4836"/>
    <w:rsid w:val="002E4EF3"/>
    <w:rsid w:val="002E5B78"/>
    <w:rsid w:val="002E61C4"/>
    <w:rsid w:val="002E65E7"/>
    <w:rsid w:val="002E6ABE"/>
    <w:rsid w:val="002E7535"/>
    <w:rsid w:val="002F247D"/>
    <w:rsid w:val="002F323A"/>
    <w:rsid w:val="002F3AE3"/>
    <w:rsid w:val="002F46AF"/>
    <w:rsid w:val="002F51AC"/>
    <w:rsid w:val="002F57D7"/>
    <w:rsid w:val="002F5FD2"/>
    <w:rsid w:val="002F7FD4"/>
    <w:rsid w:val="00300D19"/>
    <w:rsid w:val="00303723"/>
    <w:rsid w:val="003038A8"/>
    <w:rsid w:val="00303A9C"/>
    <w:rsid w:val="00303E1E"/>
    <w:rsid w:val="00303F00"/>
    <w:rsid w:val="003044C5"/>
    <w:rsid w:val="0030464B"/>
    <w:rsid w:val="00304D2B"/>
    <w:rsid w:val="00307243"/>
    <w:rsid w:val="003076B4"/>
    <w:rsid w:val="0030786C"/>
    <w:rsid w:val="003101CE"/>
    <w:rsid w:val="003108D6"/>
    <w:rsid w:val="0031114A"/>
    <w:rsid w:val="00311989"/>
    <w:rsid w:val="003119F8"/>
    <w:rsid w:val="00311E28"/>
    <w:rsid w:val="00312059"/>
    <w:rsid w:val="003121F0"/>
    <w:rsid w:val="00312DC2"/>
    <w:rsid w:val="00313E96"/>
    <w:rsid w:val="003141F3"/>
    <w:rsid w:val="00314611"/>
    <w:rsid w:val="0031563B"/>
    <w:rsid w:val="00315952"/>
    <w:rsid w:val="0031697E"/>
    <w:rsid w:val="00316BA9"/>
    <w:rsid w:val="0031718F"/>
    <w:rsid w:val="00317808"/>
    <w:rsid w:val="003179F1"/>
    <w:rsid w:val="00317C3E"/>
    <w:rsid w:val="00317EFD"/>
    <w:rsid w:val="00320BE0"/>
    <w:rsid w:val="00321535"/>
    <w:rsid w:val="00321578"/>
    <w:rsid w:val="00321A87"/>
    <w:rsid w:val="00321CD9"/>
    <w:rsid w:val="00321DEE"/>
    <w:rsid w:val="00322A44"/>
    <w:rsid w:val="00322F8B"/>
    <w:rsid w:val="00323028"/>
    <w:rsid w:val="00323381"/>
    <w:rsid w:val="003233DE"/>
    <w:rsid w:val="00323475"/>
    <w:rsid w:val="0032372A"/>
    <w:rsid w:val="00323E32"/>
    <w:rsid w:val="0032466B"/>
    <w:rsid w:val="003256F5"/>
    <w:rsid w:val="00325702"/>
    <w:rsid w:val="00326698"/>
    <w:rsid w:val="00326D39"/>
    <w:rsid w:val="00327B44"/>
    <w:rsid w:val="00327CBA"/>
    <w:rsid w:val="00327E8F"/>
    <w:rsid w:val="00330083"/>
    <w:rsid w:val="00330B5A"/>
    <w:rsid w:val="00330BC7"/>
    <w:rsid w:val="003310B0"/>
    <w:rsid w:val="00331A80"/>
    <w:rsid w:val="0033209C"/>
    <w:rsid w:val="0033295B"/>
    <w:rsid w:val="003330EB"/>
    <w:rsid w:val="00334D97"/>
    <w:rsid w:val="00335C30"/>
    <w:rsid w:val="003362DA"/>
    <w:rsid w:val="00336418"/>
    <w:rsid w:val="00336605"/>
    <w:rsid w:val="00337652"/>
    <w:rsid w:val="003403F7"/>
    <w:rsid w:val="00340E8D"/>
    <w:rsid w:val="003415FD"/>
    <w:rsid w:val="00341C56"/>
    <w:rsid w:val="003429E9"/>
    <w:rsid w:val="003429F0"/>
    <w:rsid w:val="00342EED"/>
    <w:rsid w:val="00343099"/>
    <w:rsid w:val="003460A1"/>
    <w:rsid w:val="003462F0"/>
    <w:rsid w:val="00346C01"/>
    <w:rsid w:val="0034741F"/>
    <w:rsid w:val="00350010"/>
    <w:rsid w:val="0035097A"/>
    <w:rsid w:val="003510C6"/>
    <w:rsid w:val="00351E74"/>
    <w:rsid w:val="00353305"/>
    <w:rsid w:val="00353F91"/>
    <w:rsid w:val="00353FB5"/>
    <w:rsid w:val="003540A4"/>
    <w:rsid w:val="003558DD"/>
    <w:rsid w:val="00355CDF"/>
    <w:rsid w:val="00355D82"/>
    <w:rsid w:val="00356A85"/>
    <w:rsid w:val="003575A8"/>
    <w:rsid w:val="00357863"/>
    <w:rsid w:val="0035794A"/>
    <w:rsid w:val="00357B1A"/>
    <w:rsid w:val="00357C58"/>
    <w:rsid w:val="003601FF"/>
    <w:rsid w:val="003608BC"/>
    <w:rsid w:val="00360E4E"/>
    <w:rsid w:val="00361A6F"/>
    <w:rsid w:val="00361CBC"/>
    <w:rsid w:val="00361E69"/>
    <w:rsid w:val="00362B92"/>
    <w:rsid w:val="00363324"/>
    <w:rsid w:val="00363491"/>
    <w:rsid w:val="003634BB"/>
    <w:rsid w:val="003634CF"/>
    <w:rsid w:val="00363FA5"/>
    <w:rsid w:val="003642B3"/>
    <w:rsid w:val="00365DF9"/>
    <w:rsid w:val="00367FCF"/>
    <w:rsid w:val="00367FFE"/>
    <w:rsid w:val="0037088F"/>
    <w:rsid w:val="00370AAA"/>
    <w:rsid w:val="00370DFD"/>
    <w:rsid w:val="0037199D"/>
    <w:rsid w:val="00372847"/>
    <w:rsid w:val="003728BC"/>
    <w:rsid w:val="0037299A"/>
    <w:rsid w:val="003759D9"/>
    <w:rsid w:val="00375A4E"/>
    <w:rsid w:val="00375C15"/>
    <w:rsid w:val="00375F77"/>
    <w:rsid w:val="0037738D"/>
    <w:rsid w:val="003779A9"/>
    <w:rsid w:val="00377A78"/>
    <w:rsid w:val="0038018C"/>
    <w:rsid w:val="00381BBE"/>
    <w:rsid w:val="00382098"/>
    <w:rsid w:val="0038241B"/>
    <w:rsid w:val="00382903"/>
    <w:rsid w:val="00383EB0"/>
    <w:rsid w:val="0038432E"/>
    <w:rsid w:val="003846FF"/>
    <w:rsid w:val="00384844"/>
    <w:rsid w:val="00385608"/>
    <w:rsid w:val="00385AD4"/>
    <w:rsid w:val="00386385"/>
    <w:rsid w:val="00387924"/>
    <w:rsid w:val="003904F3"/>
    <w:rsid w:val="00391167"/>
    <w:rsid w:val="00391A01"/>
    <w:rsid w:val="00392DF6"/>
    <w:rsid w:val="00393753"/>
    <w:rsid w:val="0039384D"/>
    <w:rsid w:val="003942C9"/>
    <w:rsid w:val="003943FE"/>
    <w:rsid w:val="00394C0D"/>
    <w:rsid w:val="00394C1A"/>
    <w:rsid w:val="003950A4"/>
    <w:rsid w:val="00395123"/>
    <w:rsid w:val="00395C23"/>
    <w:rsid w:val="00396A56"/>
    <w:rsid w:val="00396E67"/>
    <w:rsid w:val="00396FBD"/>
    <w:rsid w:val="00397195"/>
    <w:rsid w:val="003976E9"/>
    <w:rsid w:val="00397B3C"/>
    <w:rsid w:val="003A13BF"/>
    <w:rsid w:val="003A22F5"/>
    <w:rsid w:val="003A2327"/>
    <w:rsid w:val="003A2E4F"/>
    <w:rsid w:val="003A323D"/>
    <w:rsid w:val="003A4438"/>
    <w:rsid w:val="003A4667"/>
    <w:rsid w:val="003A5013"/>
    <w:rsid w:val="003A5078"/>
    <w:rsid w:val="003A5493"/>
    <w:rsid w:val="003A5DEF"/>
    <w:rsid w:val="003A5F72"/>
    <w:rsid w:val="003A60F8"/>
    <w:rsid w:val="003A62DD"/>
    <w:rsid w:val="003A644B"/>
    <w:rsid w:val="003A76F0"/>
    <w:rsid w:val="003A775A"/>
    <w:rsid w:val="003B032A"/>
    <w:rsid w:val="003B0DAB"/>
    <w:rsid w:val="003B1585"/>
    <w:rsid w:val="003B19D3"/>
    <w:rsid w:val="003B1E69"/>
    <w:rsid w:val="003B213A"/>
    <w:rsid w:val="003B28CE"/>
    <w:rsid w:val="003B3251"/>
    <w:rsid w:val="003B3483"/>
    <w:rsid w:val="003B3B35"/>
    <w:rsid w:val="003B43A9"/>
    <w:rsid w:val="003B43AD"/>
    <w:rsid w:val="003B59CF"/>
    <w:rsid w:val="003B5F0E"/>
    <w:rsid w:val="003B61F5"/>
    <w:rsid w:val="003B635B"/>
    <w:rsid w:val="003B7048"/>
    <w:rsid w:val="003B740F"/>
    <w:rsid w:val="003B781C"/>
    <w:rsid w:val="003B7916"/>
    <w:rsid w:val="003C045B"/>
    <w:rsid w:val="003C07D2"/>
    <w:rsid w:val="003C0900"/>
    <w:rsid w:val="003C0FEC"/>
    <w:rsid w:val="003C15B8"/>
    <w:rsid w:val="003C2226"/>
    <w:rsid w:val="003C2248"/>
    <w:rsid w:val="003C234E"/>
    <w:rsid w:val="003C26E4"/>
    <w:rsid w:val="003C2AC8"/>
    <w:rsid w:val="003C2C5D"/>
    <w:rsid w:val="003C306D"/>
    <w:rsid w:val="003C4644"/>
    <w:rsid w:val="003C72B8"/>
    <w:rsid w:val="003C7689"/>
    <w:rsid w:val="003D0599"/>
    <w:rsid w:val="003D17F9"/>
    <w:rsid w:val="003D1AB8"/>
    <w:rsid w:val="003D26C9"/>
    <w:rsid w:val="003D2704"/>
    <w:rsid w:val="003D2D88"/>
    <w:rsid w:val="003D31D0"/>
    <w:rsid w:val="003D3629"/>
    <w:rsid w:val="003D41EA"/>
    <w:rsid w:val="003D4699"/>
    <w:rsid w:val="003D4850"/>
    <w:rsid w:val="003D535A"/>
    <w:rsid w:val="003D56C2"/>
    <w:rsid w:val="003D5FF4"/>
    <w:rsid w:val="003D7837"/>
    <w:rsid w:val="003D7B5B"/>
    <w:rsid w:val="003D7FEE"/>
    <w:rsid w:val="003E026E"/>
    <w:rsid w:val="003E10B8"/>
    <w:rsid w:val="003E1B13"/>
    <w:rsid w:val="003E462A"/>
    <w:rsid w:val="003E5265"/>
    <w:rsid w:val="003E6C78"/>
    <w:rsid w:val="003E71CA"/>
    <w:rsid w:val="003E7234"/>
    <w:rsid w:val="003F0955"/>
    <w:rsid w:val="003F122B"/>
    <w:rsid w:val="003F13FA"/>
    <w:rsid w:val="003F175D"/>
    <w:rsid w:val="003F2E94"/>
    <w:rsid w:val="003F31AD"/>
    <w:rsid w:val="003F3696"/>
    <w:rsid w:val="003F36A2"/>
    <w:rsid w:val="003F3C68"/>
    <w:rsid w:val="003F3E34"/>
    <w:rsid w:val="003F4871"/>
    <w:rsid w:val="003F5887"/>
    <w:rsid w:val="003F61BB"/>
    <w:rsid w:val="003F6FE1"/>
    <w:rsid w:val="003F77C7"/>
    <w:rsid w:val="004003FA"/>
    <w:rsid w:val="0040046E"/>
    <w:rsid w:val="00400957"/>
    <w:rsid w:val="00400AAD"/>
    <w:rsid w:val="00400D38"/>
    <w:rsid w:val="00400F00"/>
    <w:rsid w:val="004029CB"/>
    <w:rsid w:val="004031C0"/>
    <w:rsid w:val="0040373D"/>
    <w:rsid w:val="0040378A"/>
    <w:rsid w:val="00403F2D"/>
    <w:rsid w:val="0040438C"/>
    <w:rsid w:val="00404B24"/>
    <w:rsid w:val="00404F8B"/>
    <w:rsid w:val="00405256"/>
    <w:rsid w:val="004078EB"/>
    <w:rsid w:val="004079CE"/>
    <w:rsid w:val="00410031"/>
    <w:rsid w:val="00410CD3"/>
    <w:rsid w:val="00410E4D"/>
    <w:rsid w:val="00411249"/>
    <w:rsid w:val="004115A2"/>
    <w:rsid w:val="0041326F"/>
    <w:rsid w:val="0041338A"/>
    <w:rsid w:val="0041464F"/>
    <w:rsid w:val="00414CD0"/>
    <w:rsid w:val="00414D77"/>
    <w:rsid w:val="004155C1"/>
    <w:rsid w:val="004155D2"/>
    <w:rsid w:val="00415763"/>
    <w:rsid w:val="00415880"/>
    <w:rsid w:val="00415C81"/>
    <w:rsid w:val="00416731"/>
    <w:rsid w:val="00416FB7"/>
    <w:rsid w:val="00417BF2"/>
    <w:rsid w:val="00420B55"/>
    <w:rsid w:val="00421220"/>
    <w:rsid w:val="004218C5"/>
    <w:rsid w:val="00421960"/>
    <w:rsid w:val="004230E0"/>
    <w:rsid w:val="00423BD7"/>
    <w:rsid w:val="0042513C"/>
    <w:rsid w:val="00425735"/>
    <w:rsid w:val="00425F27"/>
    <w:rsid w:val="004264AD"/>
    <w:rsid w:val="00426C8D"/>
    <w:rsid w:val="00431652"/>
    <w:rsid w:val="0043174E"/>
    <w:rsid w:val="00431BCE"/>
    <w:rsid w:val="00432351"/>
    <w:rsid w:val="00432378"/>
    <w:rsid w:val="00433169"/>
    <w:rsid w:val="0043349C"/>
    <w:rsid w:val="004341E8"/>
    <w:rsid w:val="004348E9"/>
    <w:rsid w:val="00434B79"/>
    <w:rsid w:val="00434FD3"/>
    <w:rsid w:val="00435663"/>
    <w:rsid w:val="00435851"/>
    <w:rsid w:val="00436177"/>
    <w:rsid w:val="00436909"/>
    <w:rsid w:val="00436EC0"/>
    <w:rsid w:val="00436FE3"/>
    <w:rsid w:val="00437298"/>
    <w:rsid w:val="00437BEB"/>
    <w:rsid w:val="00437DD6"/>
    <w:rsid w:val="00440A81"/>
    <w:rsid w:val="00440D65"/>
    <w:rsid w:val="0044155D"/>
    <w:rsid w:val="00441AF0"/>
    <w:rsid w:val="00443271"/>
    <w:rsid w:val="004435E6"/>
    <w:rsid w:val="00444B8B"/>
    <w:rsid w:val="004454D3"/>
    <w:rsid w:val="00446082"/>
    <w:rsid w:val="00446380"/>
    <w:rsid w:val="004465D7"/>
    <w:rsid w:val="00447E31"/>
    <w:rsid w:val="0045034A"/>
    <w:rsid w:val="00451180"/>
    <w:rsid w:val="004511EB"/>
    <w:rsid w:val="00453923"/>
    <w:rsid w:val="00454025"/>
    <w:rsid w:val="00454441"/>
    <w:rsid w:val="004548AD"/>
    <w:rsid w:val="00454B9B"/>
    <w:rsid w:val="00455093"/>
    <w:rsid w:val="00455CD3"/>
    <w:rsid w:val="0045634F"/>
    <w:rsid w:val="004567E6"/>
    <w:rsid w:val="004574A5"/>
    <w:rsid w:val="004577C7"/>
    <w:rsid w:val="00457858"/>
    <w:rsid w:val="00457A7D"/>
    <w:rsid w:val="00457F4E"/>
    <w:rsid w:val="0046038A"/>
    <w:rsid w:val="00460B0B"/>
    <w:rsid w:val="00460C28"/>
    <w:rsid w:val="00461023"/>
    <w:rsid w:val="00461D60"/>
    <w:rsid w:val="004626BB"/>
    <w:rsid w:val="0046294D"/>
    <w:rsid w:val="00462FAC"/>
    <w:rsid w:val="00463024"/>
    <w:rsid w:val="00464184"/>
    <w:rsid w:val="004643B2"/>
    <w:rsid w:val="004643C8"/>
    <w:rsid w:val="00464631"/>
    <w:rsid w:val="00464B79"/>
    <w:rsid w:val="004656FF"/>
    <w:rsid w:val="004668D7"/>
    <w:rsid w:val="00466CB2"/>
    <w:rsid w:val="004673B7"/>
    <w:rsid w:val="004675CB"/>
    <w:rsid w:val="0046780C"/>
    <w:rsid w:val="004678B7"/>
    <w:rsid w:val="004679AB"/>
    <w:rsid w:val="00467BBF"/>
    <w:rsid w:val="004702BB"/>
    <w:rsid w:val="00470689"/>
    <w:rsid w:val="00470F6F"/>
    <w:rsid w:val="0047102E"/>
    <w:rsid w:val="004722A3"/>
    <w:rsid w:val="0047339E"/>
    <w:rsid w:val="004737EC"/>
    <w:rsid w:val="0047388F"/>
    <w:rsid w:val="00474156"/>
    <w:rsid w:val="00474BD4"/>
    <w:rsid w:val="00476379"/>
    <w:rsid w:val="00476C21"/>
    <w:rsid w:val="00477534"/>
    <w:rsid w:val="0047777E"/>
    <w:rsid w:val="00477A63"/>
    <w:rsid w:val="00477F19"/>
    <w:rsid w:val="0048019C"/>
    <w:rsid w:val="00483D13"/>
    <w:rsid w:val="00483D4B"/>
    <w:rsid w:val="00484D39"/>
    <w:rsid w:val="00484DF3"/>
    <w:rsid w:val="00485413"/>
    <w:rsid w:val="004867E2"/>
    <w:rsid w:val="00486A03"/>
    <w:rsid w:val="0048753B"/>
    <w:rsid w:val="00487D03"/>
    <w:rsid w:val="004904BE"/>
    <w:rsid w:val="004913DB"/>
    <w:rsid w:val="0049189A"/>
    <w:rsid w:val="00491FF9"/>
    <w:rsid w:val="004929A9"/>
    <w:rsid w:val="00492B7C"/>
    <w:rsid w:val="00493530"/>
    <w:rsid w:val="004935A7"/>
    <w:rsid w:val="0049462D"/>
    <w:rsid w:val="0049583F"/>
    <w:rsid w:val="00495D14"/>
    <w:rsid w:val="00495D4B"/>
    <w:rsid w:val="00495F55"/>
    <w:rsid w:val="00496829"/>
    <w:rsid w:val="00497E68"/>
    <w:rsid w:val="004A0248"/>
    <w:rsid w:val="004A0FB3"/>
    <w:rsid w:val="004A13FA"/>
    <w:rsid w:val="004A17FF"/>
    <w:rsid w:val="004A1BA2"/>
    <w:rsid w:val="004A1EC2"/>
    <w:rsid w:val="004A2194"/>
    <w:rsid w:val="004A2B40"/>
    <w:rsid w:val="004A2BE0"/>
    <w:rsid w:val="004A2DE5"/>
    <w:rsid w:val="004A2E9D"/>
    <w:rsid w:val="004A3296"/>
    <w:rsid w:val="004A3371"/>
    <w:rsid w:val="004A39A5"/>
    <w:rsid w:val="004A3EDF"/>
    <w:rsid w:val="004A4584"/>
    <w:rsid w:val="004A5212"/>
    <w:rsid w:val="004A5421"/>
    <w:rsid w:val="004A5855"/>
    <w:rsid w:val="004A5AC3"/>
    <w:rsid w:val="004A695E"/>
    <w:rsid w:val="004B2415"/>
    <w:rsid w:val="004B2669"/>
    <w:rsid w:val="004B292B"/>
    <w:rsid w:val="004B307F"/>
    <w:rsid w:val="004B5F41"/>
    <w:rsid w:val="004B62D6"/>
    <w:rsid w:val="004B76A6"/>
    <w:rsid w:val="004B79F3"/>
    <w:rsid w:val="004C1537"/>
    <w:rsid w:val="004C1915"/>
    <w:rsid w:val="004C1DC0"/>
    <w:rsid w:val="004C23D0"/>
    <w:rsid w:val="004C2BF5"/>
    <w:rsid w:val="004C2FEC"/>
    <w:rsid w:val="004C2FF5"/>
    <w:rsid w:val="004C3F7C"/>
    <w:rsid w:val="004C454A"/>
    <w:rsid w:val="004C4691"/>
    <w:rsid w:val="004C47D7"/>
    <w:rsid w:val="004C5FFD"/>
    <w:rsid w:val="004C627B"/>
    <w:rsid w:val="004C6BCF"/>
    <w:rsid w:val="004C6DFD"/>
    <w:rsid w:val="004C6F84"/>
    <w:rsid w:val="004C7B95"/>
    <w:rsid w:val="004D1A49"/>
    <w:rsid w:val="004D2211"/>
    <w:rsid w:val="004D29ED"/>
    <w:rsid w:val="004D2AE0"/>
    <w:rsid w:val="004D2B4C"/>
    <w:rsid w:val="004D2B7E"/>
    <w:rsid w:val="004D2D55"/>
    <w:rsid w:val="004D2DCA"/>
    <w:rsid w:val="004D30F1"/>
    <w:rsid w:val="004D4AD9"/>
    <w:rsid w:val="004D521D"/>
    <w:rsid w:val="004D5465"/>
    <w:rsid w:val="004D58BF"/>
    <w:rsid w:val="004D59CE"/>
    <w:rsid w:val="004D5E10"/>
    <w:rsid w:val="004D5EA9"/>
    <w:rsid w:val="004D6746"/>
    <w:rsid w:val="004D6CB2"/>
    <w:rsid w:val="004D6FD7"/>
    <w:rsid w:val="004D76AF"/>
    <w:rsid w:val="004D7B9D"/>
    <w:rsid w:val="004E1592"/>
    <w:rsid w:val="004E18CB"/>
    <w:rsid w:val="004E1AF7"/>
    <w:rsid w:val="004E29BA"/>
    <w:rsid w:val="004E4335"/>
    <w:rsid w:val="004E562C"/>
    <w:rsid w:val="004E58ED"/>
    <w:rsid w:val="004E5ACF"/>
    <w:rsid w:val="004E5D0E"/>
    <w:rsid w:val="004E6A46"/>
    <w:rsid w:val="004E73C7"/>
    <w:rsid w:val="004E78BC"/>
    <w:rsid w:val="004F0457"/>
    <w:rsid w:val="004F04FF"/>
    <w:rsid w:val="004F13EE"/>
    <w:rsid w:val="004F1932"/>
    <w:rsid w:val="004F1F1B"/>
    <w:rsid w:val="004F2022"/>
    <w:rsid w:val="004F2670"/>
    <w:rsid w:val="004F267C"/>
    <w:rsid w:val="004F26F7"/>
    <w:rsid w:val="004F2DB1"/>
    <w:rsid w:val="004F4387"/>
    <w:rsid w:val="004F4445"/>
    <w:rsid w:val="004F5CA8"/>
    <w:rsid w:val="004F6915"/>
    <w:rsid w:val="004F6C78"/>
    <w:rsid w:val="004F7C05"/>
    <w:rsid w:val="00500AEA"/>
    <w:rsid w:val="00500C32"/>
    <w:rsid w:val="00501C94"/>
    <w:rsid w:val="00501D59"/>
    <w:rsid w:val="00501EC1"/>
    <w:rsid w:val="005025C2"/>
    <w:rsid w:val="00504B1F"/>
    <w:rsid w:val="00505184"/>
    <w:rsid w:val="00506432"/>
    <w:rsid w:val="005071A0"/>
    <w:rsid w:val="005072E7"/>
    <w:rsid w:val="00510491"/>
    <w:rsid w:val="00511313"/>
    <w:rsid w:val="00511EEA"/>
    <w:rsid w:val="0051242B"/>
    <w:rsid w:val="005128DD"/>
    <w:rsid w:val="00513B7B"/>
    <w:rsid w:val="005140D0"/>
    <w:rsid w:val="00514244"/>
    <w:rsid w:val="005156FA"/>
    <w:rsid w:val="005159B7"/>
    <w:rsid w:val="00516967"/>
    <w:rsid w:val="00516E9F"/>
    <w:rsid w:val="00517163"/>
    <w:rsid w:val="0052051D"/>
    <w:rsid w:val="0052052B"/>
    <w:rsid w:val="00520655"/>
    <w:rsid w:val="005207F6"/>
    <w:rsid w:val="00520F03"/>
    <w:rsid w:val="00521002"/>
    <w:rsid w:val="005212BC"/>
    <w:rsid w:val="005223D1"/>
    <w:rsid w:val="00522423"/>
    <w:rsid w:val="00522E25"/>
    <w:rsid w:val="00522FD2"/>
    <w:rsid w:val="00524590"/>
    <w:rsid w:val="00524C3D"/>
    <w:rsid w:val="00524DF1"/>
    <w:rsid w:val="00525155"/>
    <w:rsid w:val="00525CAD"/>
    <w:rsid w:val="00525EA7"/>
    <w:rsid w:val="00526046"/>
    <w:rsid w:val="005260D8"/>
    <w:rsid w:val="00526641"/>
    <w:rsid w:val="00526D5E"/>
    <w:rsid w:val="00530DB3"/>
    <w:rsid w:val="00531332"/>
    <w:rsid w:val="00531D5C"/>
    <w:rsid w:val="00531D97"/>
    <w:rsid w:val="0053210F"/>
    <w:rsid w:val="00532AE7"/>
    <w:rsid w:val="00532CB1"/>
    <w:rsid w:val="00532FE1"/>
    <w:rsid w:val="0053346A"/>
    <w:rsid w:val="0053372E"/>
    <w:rsid w:val="00534856"/>
    <w:rsid w:val="0053486E"/>
    <w:rsid w:val="00534B1B"/>
    <w:rsid w:val="00535218"/>
    <w:rsid w:val="00535AF3"/>
    <w:rsid w:val="00536058"/>
    <w:rsid w:val="00536557"/>
    <w:rsid w:val="00537085"/>
    <w:rsid w:val="0054003A"/>
    <w:rsid w:val="00540C6D"/>
    <w:rsid w:val="00540D0B"/>
    <w:rsid w:val="00541534"/>
    <w:rsid w:val="00542015"/>
    <w:rsid w:val="005428F1"/>
    <w:rsid w:val="00542BB5"/>
    <w:rsid w:val="00542FE1"/>
    <w:rsid w:val="0054301B"/>
    <w:rsid w:val="00543F48"/>
    <w:rsid w:val="005445D6"/>
    <w:rsid w:val="005446EE"/>
    <w:rsid w:val="00544DF3"/>
    <w:rsid w:val="00545787"/>
    <w:rsid w:val="00545EE6"/>
    <w:rsid w:val="00546C35"/>
    <w:rsid w:val="005475C5"/>
    <w:rsid w:val="00547805"/>
    <w:rsid w:val="00547A20"/>
    <w:rsid w:val="00547C0C"/>
    <w:rsid w:val="005508AD"/>
    <w:rsid w:val="00550F35"/>
    <w:rsid w:val="005518FB"/>
    <w:rsid w:val="00552BF2"/>
    <w:rsid w:val="00552E11"/>
    <w:rsid w:val="005550E7"/>
    <w:rsid w:val="005554AE"/>
    <w:rsid w:val="00555509"/>
    <w:rsid w:val="00555A9C"/>
    <w:rsid w:val="00555AAE"/>
    <w:rsid w:val="00555F44"/>
    <w:rsid w:val="005561A3"/>
    <w:rsid w:val="005564FB"/>
    <w:rsid w:val="005572C7"/>
    <w:rsid w:val="00557A79"/>
    <w:rsid w:val="00557D5A"/>
    <w:rsid w:val="00557E99"/>
    <w:rsid w:val="00560472"/>
    <w:rsid w:val="00560D2D"/>
    <w:rsid w:val="005614FD"/>
    <w:rsid w:val="0056203B"/>
    <w:rsid w:val="005622C5"/>
    <w:rsid w:val="00562308"/>
    <w:rsid w:val="00562377"/>
    <w:rsid w:val="005624BB"/>
    <w:rsid w:val="0056273A"/>
    <w:rsid w:val="0056296A"/>
    <w:rsid w:val="0056436A"/>
    <w:rsid w:val="00564652"/>
    <w:rsid w:val="0056486D"/>
    <w:rsid w:val="00564E15"/>
    <w:rsid w:val="005650ED"/>
    <w:rsid w:val="00565155"/>
    <w:rsid w:val="005652C1"/>
    <w:rsid w:val="00565953"/>
    <w:rsid w:val="00566A63"/>
    <w:rsid w:val="005672EF"/>
    <w:rsid w:val="00567397"/>
    <w:rsid w:val="005678EA"/>
    <w:rsid w:val="00567A88"/>
    <w:rsid w:val="00567BF3"/>
    <w:rsid w:val="00567CA5"/>
    <w:rsid w:val="0057020C"/>
    <w:rsid w:val="005702F3"/>
    <w:rsid w:val="00570A9D"/>
    <w:rsid w:val="00571C21"/>
    <w:rsid w:val="00572C32"/>
    <w:rsid w:val="00573437"/>
    <w:rsid w:val="0057360C"/>
    <w:rsid w:val="00573EB5"/>
    <w:rsid w:val="005741BB"/>
    <w:rsid w:val="00574251"/>
    <w:rsid w:val="00574836"/>
    <w:rsid w:val="00574A0A"/>
    <w:rsid w:val="00575754"/>
    <w:rsid w:val="005761F4"/>
    <w:rsid w:val="00576AF4"/>
    <w:rsid w:val="0058084A"/>
    <w:rsid w:val="00580A25"/>
    <w:rsid w:val="00580DC6"/>
    <w:rsid w:val="005812CD"/>
    <w:rsid w:val="00581330"/>
    <w:rsid w:val="00583FFC"/>
    <w:rsid w:val="0058454D"/>
    <w:rsid w:val="00584836"/>
    <w:rsid w:val="00584B9D"/>
    <w:rsid w:val="00584C85"/>
    <w:rsid w:val="00586A58"/>
    <w:rsid w:val="0058717F"/>
    <w:rsid w:val="00587A77"/>
    <w:rsid w:val="00591E20"/>
    <w:rsid w:val="0059207A"/>
    <w:rsid w:val="005927BB"/>
    <w:rsid w:val="00592B20"/>
    <w:rsid w:val="0059327B"/>
    <w:rsid w:val="00593E56"/>
    <w:rsid w:val="00594348"/>
    <w:rsid w:val="00594632"/>
    <w:rsid w:val="0059482C"/>
    <w:rsid w:val="00594979"/>
    <w:rsid w:val="00595408"/>
    <w:rsid w:val="00595E84"/>
    <w:rsid w:val="005975B8"/>
    <w:rsid w:val="005A0C59"/>
    <w:rsid w:val="005A17F6"/>
    <w:rsid w:val="005A267B"/>
    <w:rsid w:val="005A2B61"/>
    <w:rsid w:val="005A3159"/>
    <w:rsid w:val="005A352C"/>
    <w:rsid w:val="005A3B8C"/>
    <w:rsid w:val="005A3DC9"/>
    <w:rsid w:val="005A48EB"/>
    <w:rsid w:val="005A61FB"/>
    <w:rsid w:val="005A6566"/>
    <w:rsid w:val="005A6A24"/>
    <w:rsid w:val="005A6CDB"/>
    <w:rsid w:val="005A6CFB"/>
    <w:rsid w:val="005A7511"/>
    <w:rsid w:val="005B1842"/>
    <w:rsid w:val="005B219B"/>
    <w:rsid w:val="005B26E6"/>
    <w:rsid w:val="005B2A3B"/>
    <w:rsid w:val="005B3174"/>
    <w:rsid w:val="005B43E9"/>
    <w:rsid w:val="005B4492"/>
    <w:rsid w:val="005B4DFD"/>
    <w:rsid w:val="005B5D07"/>
    <w:rsid w:val="005B6FCC"/>
    <w:rsid w:val="005C0027"/>
    <w:rsid w:val="005C1C51"/>
    <w:rsid w:val="005C25BD"/>
    <w:rsid w:val="005C273B"/>
    <w:rsid w:val="005C273E"/>
    <w:rsid w:val="005C2E56"/>
    <w:rsid w:val="005C31AD"/>
    <w:rsid w:val="005C3C8F"/>
    <w:rsid w:val="005C4E1C"/>
    <w:rsid w:val="005C5AEB"/>
    <w:rsid w:val="005C5CB7"/>
    <w:rsid w:val="005C5D5B"/>
    <w:rsid w:val="005C5F2D"/>
    <w:rsid w:val="005C619A"/>
    <w:rsid w:val="005C7002"/>
    <w:rsid w:val="005D0FBD"/>
    <w:rsid w:val="005D14F6"/>
    <w:rsid w:val="005D15B7"/>
    <w:rsid w:val="005D2469"/>
    <w:rsid w:val="005D264F"/>
    <w:rsid w:val="005D2696"/>
    <w:rsid w:val="005D306D"/>
    <w:rsid w:val="005D395A"/>
    <w:rsid w:val="005D3B6D"/>
    <w:rsid w:val="005D3F2C"/>
    <w:rsid w:val="005D41B5"/>
    <w:rsid w:val="005D4432"/>
    <w:rsid w:val="005D4620"/>
    <w:rsid w:val="005D4D22"/>
    <w:rsid w:val="005D4E5D"/>
    <w:rsid w:val="005D5584"/>
    <w:rsid w:val="005D5758"/>
    <w:rsid w:val="005D5E0C"/>
    <w:rsid w:val="005D61B3"/>
    <w:rsid w:val="005D7091"/>
    <w:rsid w:val="005E09DE"/>
    <w:rsid w:val="005E0A3F"/>
    <w:rsid w:val="005E0AB2"/>
    <w:rsid w:val="005E0B7C"/>
    <w:rsid w:val="005E1A0C"/>
    <w:rsid w:val="005E29D6"/>
    <w:rsid w:val="005E2A1B"/>
    <w:rsid w:val="005E2DDC"/>
    <w:rsid w:val="005E307A"/>
    <w:rsid w:val="005E324F"/>
    <w:rsid w:val="005E3B73"/>
    <w:rsid w:val="005E3BF6"/>
    <w:rsid w:val="005E435C"/>
    <w:rsid w:val="005E49E1"/>
    <w:rsid w:val="005E4C2E"/>
    <w:rsid w:val="005E6883"/>
    <w:rsid w:val="005E68E2"/>
    <w:rsid w:val="005E6CFA"/>
    <w:rsid w:val="005E6E25"/>
    <w:rsid w:val="005E772F"/>
    <w:rsid w:val="005F0415"/>
    <w:rsid w:val="005F1135"/>
    <w:rsid w:val="005F1186"/>
    <w:rsid w:val="005F15F9"/>
    <w:rsid w:val="005F17D6"/>
    <w:rsid w:val="005F1A98"/>
    <w:rsid w:val="005F1AB8"/>
    <w:rsid w:val="005F1B5A"/>
    <w:rsid w:val="005F24FF"/>
    <w:rsid w:val="005F2746"/>
    <w:rsid w:val="005F2844"/>
    <w:rsid w:val="005F2879"/>
    <w:rsid w:val="005F2ACC"/>
    <w:rsid w:val="005F3020"/>
    <w:rsid w:val="005F341C"/>
    <w:rsid w:val="005F3F6C"/>
    <w:rsid w:val="005F42D1"/>
    <w:rsid w:val="005F4CF4"/>
    <w:rsid w:val="005F4ECA"/>
    <w:rsid w:val="005F503E"/>
    <w:rsid w:val="005F51B7"/>
    <w:rsid w:val="005F588D"/>
    <w:rsid w:val="005F5E9C"/>
    <w:rsid w:val="005F60AA"/>
    <w:rsid w:val="005F6127"/>
    <w:rsid w:val="005F77B0"/>
    <w:rsid w:val="00600011"/>
    <w:rsid w:val="0060092C"/>
    <w:rsid w:val="006010E7"/>
    <w:rsid w:val="006016F3"/>
    <w:rsid w:val="00601D61"/>
    <w:rsid w:val="006027AE"/>
    <w:rsid w:val="00603947"/>
    <w:rsid w:val="00603E46"/>
    <w:rsid w:val="006041BE"/>
    <w:rsid w:val="006043C7"/>
    <w:rsid w:val="0060482B"/>
    <w:rsid w:val="00604AD1"/>
    <w:rsid w:val="00604B69"/>
    <w:rsid w:val="00605EEB"/>
    <w:rsid w:val="00605FC0"/>
    <w:rsid w:val="006067EE"/>
    <w:rsid w:val="00606832"/>
    <w:rsid w:val="00606D5E"/>
    <w:rsid w:val="00607356"/>
    <w:rsid w:val="00610316"/>
    <w:rsid w:val="006107D8"/>
    <w:rsid w:val="00611C88"/>
    <w:rsid w:val="00612171"/>
    <w:rsid w:val="00613518"/>
    <w:rsid w:val="006144B7"/>
    <w:rsid w:val="006144DA"/>
    <w:rsid w:val="00614ADB"/>
    <w:rsid w:val="006164F5"/>
    <w:rsid w:val="00616675"/>
    <w:rsid w:val="00616E6B"/>
    <w:rsid w:val="00617625"/>
    <w:rsid w:val="006206F3"/>
    <w:rsid w:val="00620D01"/>
    <w:rsid w:val="00621AFA"/>
    <w:rsid w:val="006236AB"/>
    <w:rsid w:val="0062460F"/>
    <w:rsid w:val="00624B52"/>
    <w:rsid w:val="006252A1"/>
    <w:rsid w:val="006258C5"/>
    <w:rsid w:val="00625C46"/>
    <w:rsid w:val="00625FE3"/>
    <w:rsid w:val="00626142"/>
    <w:rsid w:val="00627134"/>
    <w:rsid w:val="00627770"/>
    <w:rsid w:val="00627DB4"/>
    <w:rsid w:val="006304A2"/>
    <w:rsid w:val="00631DF4"/>
    <w:rsid w:val="00631E73"/>
    <w:rsid w:val="00632F6C"/>
    <w:rsid w:val="00633113"/>
    <w:rsid w:val="006334FB"/>
    <w:rsid w:val="00633B07"/>
    <w:rsid w:val="00633D3B"/>
    <w:rsid w:val="00634072"/>
    <w:rsid w:val="00634080"/>
    <w:rsid w:val="00634175"/>
    <w:rsid w:val="00634D9D"/>
    <w:rsid w:val="006356B2"/>
    <w:rsid w:val="00635961"/>
    <w:rsid w:val="0063632C"/>
    <w:rsid w:val="0064013A"/>
    <w:rsid w:val="00640362"/>
    <w:rsid w:val="006408AC"/>
    <w:rsid w:val="00640A30"/>
    <w:rsid w:val="00641E06"/>
    <w:rsid w:val="00642361"/>
    <w:rsid w:val="006435BE"/>
    <w:rsid w:val="00643869"/>
    <w:rsid w:val="006448A6"/>
    <w:rsid w:val="00644910"/>
    <w:rsid w:val="0064509A"/>
    <w:rsid w:val="00645D0D"/>
    <w:rsid w:val="006473E9"/>
    <w:rsid w:val="006474C1"/>
    <w:rsid w:val="00647AF0"/>
    <w:rsid w:val="006510A1"/>
    <w:rsid w:val="006511B6"/>
    <w:rsid w:val="006511D8"/>
    <w:rsid w:val="00651963"/>
    <w:rsid w:val="00652684"/>
    <w:rsid w:val="00652742"/>
    <w:rsid w:val="00653975"/>
    <w:rsid w:val="0065405E"/>
    <w:rsid w:val="006549A1"/>
    <w:rsid w:val="00654E5D"/>
    <w:rsid w:val="00655BCC"/>
    <w:rsid w:val="00655C9B"/>
    <w:rsid w:val="00655F40"/>
    <w:rsid w:val="00656A1C"/>
    <w:rsid w:val="00657FF8"/>
    <w:rsid w:val="0066095B"/>
    <w:rsid w:val="00661047"/>
    <w:rsid w:val="00661161"/>
    <w:rsid w:val="00662032"/>
    <w:rsid w:val="0066259D"/>
    <w:rsid w:val="0066362E"/>
    <w:rsid w:val="0066387A"/>
    <w:rsid w:val="006645F3"/>
    <w:rsid w:val="006652B0"/>
    <w:rsid w:val="00665E69"/>
    <w:rsid w:val="00666CB8"/>
    <w:rsid w:val="00667625"/>
    <w:rsid w:val="00670474"/>
    <w:rsid w:val="00670D99"/>
    <w:rsid w:val="00670E2B"/>
    <w:rsid w:val="00671889"/>
    <w:rsid w:val="006718C9"/>
    <w:rsid w:val="0067207C"/>
    <w:rsid w:val="0067218D"/>
    <w:rsid w:val="006724B1"/>
    <w:rsid w:val="006734BB"/>
    <w:rsid w:val="00673CD6"/>
    <w:rsid w:val="00673E43"/>
    <w:rsid w:val="006746F3"/>
    <w:rsid w:val="00674D9A"/>
    <w:rsid w:val="00674E58"/>
    <w:rsid w:val="00675440"/>
    <w:rsid w:val="00675681"/>
    <w:rsid w:val="00675D92"/>
    <w:rsid w:val="00676082"/>
    <w:rsid w:val="00676665"/>
    <w:rsid w:val="00676A0B"/>
    <w:rsid w:val="00677938"/>
    <w:rsid w:val="0068039B"/>
    <w:rsid w:val="00680508"/>
    <w:rsid w:val="00680ADF"/>
    <w:rsid w:val="00680EA9"/>
    <w:rsid w:val="00680F69"/>
    <w:rsid w:val="00681046"/>
    <w:rsid w:val="00681A34"/>
    <w:rsid w:val="00681BB7"/>
    <w:rsid w:val="00681C06"/>
    <w:rsid w:val="00681DEE"/>
    <w:rsid w:val="006821EB"/>
    <w:rsid w:val="00682528"/>
    <w:rsid w:val="006837F1"/>
    <w:rsid w:val="00684D9A"/>
    <w:rsid w:val="00684FB2"/>
    <w:rsid w:val="00685D7B"/>
    <w:rsid w:val="006906D7"/>
    <w:rsid w:val="006909B5"/>
    <w:rsid w:val="00691080"/>
    <w:rsid w:val="00691706"/>
    <w:rsid w:val="00691EBC"/>
    <w:rsid w:val="00691F0D"/>
    <w:rsid w:val="006929E1"/>
    <w:rsid w:val="0069380F"/>
    <w:rsid w:val="00695935"/>
    <w:rsid w:val="00696103"/>
    <w:rsid w:val="00696B19"/>
    <w:rsid w:val="00696B8F"/>
    <w:rsid w:val="00696DAF"/>
    <w:rsid w:val="00697A9F"/>
    <w:rsid w:val="006A0797"/>
    <w:rsid w:val="006A0A76"/>
    <w:rsid w:val="006A1719"/>
    <w:rsid w:val="006A2EFC"/>
    <w:rsid w:val="006A3E75"/>
    <w:rsid w:val="006A4214"/>
    <w:rsid w:val="006A4A6E"/>
    <w:rsid w:val="006A69A1"/>
    <w:rsid w:val="006B08B0"/>
    <w:rsid w:val="006B1444"/>
    <w:rsid w:val="006B2286"/>
    <w:rsid w:val="006B2631"/>
    <w:rsid w:val="006B30D5"/>
    <w:rsid w:val="006B326F"/>
    <w:rsid w:val="006B348D"/>
    <w:rsid w:val="006B3FC9"/>
    <w:rsid w:val="006B486B"/>
    <w:rsid w:val="006B56BB"/>
    <w:rsid w:val="006B6624"/>
    <w:rsid w:val="006B67D5"/>
    <w:rsid w:val="006B6E58"/>
    <w:rsid w:val="006B7819"/>
    <w:rsid w:val="006B7D61"/>
    <w:rsid w:val="006C1E77"/>
    <w:rsid w:val="006C2B28"/>
    <w:rsid w:val="006C2BB7"/>
    <w:rsid w:val="006C2C3B"/>
    <w:rsid w:val="006C357B"/>
    <w:rsid w:val="006C3B14"/>
    <w:rsid w:val="006C665C"/>
    <w:rsid w:val="006C667F"/>
    <w:rsid w:val="006C66CC"/>
    <w:rsid w:val="006C69E4"/>
    <w:rsid w:val="006C69F1"/>
    <w:rsid w:val="006C7561"/>
    <w:rsid w:val="006C775F"/>
    <w:rsid w:val="006C77A8"/>
    <w:rsid w:val="006D024C"/>
    <w:rsid w:val="006D12A4"/>
    <w:rsid w:val="006D1811"/>
    <w:rsid w:val="006D1F70"/>
    <w:rsid w:val="006D2267"/>
    <w:rsid w:val="006D4098"/>
    <w:rsid w:val="006D5841"/>
    <w:rsid w:val="006D59C2"/>
    <w:rsid w:val="006D5F9E"/>
    <w:rsid w:val="006D6E70"/>
    <w:rsid w:val="006D7222"/>
    <w:rsid w:val="006D7681"/>
    <w:rsid w:val="006D7A61"/>
    <w:rsid w:val="006D7B2E"/>
    <w:rsid w:val="006D7BEB"/>
    <w:rsid w:val="006E01B7"/>
    <w:rsid w:val="006E02EA"/>
    <w:rsid w:val="006E0968"/>
    <w:rsid w:val="006E0EFB"/>
    <w:rsid w:val="006E1C94"/>
    <w:rsid w:val="006E2AF6"/>
    <w:rsid w:val="006E328A"/>
    <w:rsid w:val="006E46A5"/>
    <w:rsid w:val="006E4717"/>
    <w:rsid w:val="006E5641"/>
    <w:rsid w:val="006E66C6"/>
    <w:rsid w:val="006E6ABD"/>
    <w:rsid w:val="006E73E3"/>
    <w:rsid w:val="006E7AC6"/>
    <w:rsid w:val="006E7ADC"/>
    <w:rsid w:val="006F0841"/>
    <w:rsid w:val="006F1EF5"/>
    <w:rsid w:val="006F2182"/>
    <w:rsid w:val="006F2471"/>
    <w:rsid w:val="006F291C"/>
    <w:rsid w:val="006F2D3C"/>
    <w:rsid w:val="006F3574"/>
    <w:rsid w:val="006F369E"/>
    <w:rsid w:val="006F3C87"/>
    <w:rsid w:val="006F4028"/>
    <w:rsid w:val="006F5B81"/>
    <w:rsid w:val="006F6617"/>
    <w:rsid w:val="006F6D2E"/>
    <w:rsid w:val="006F7391"/>
    <w:rsid w:val="006F7B79"/>
    <w:rsid w:val="007003FC"/>
    <w:rsid w:val="00700F4D"/>
    <w:rsid w:val="007010E4"/>
    <w:rsid w:val="00701275"/>
    <w:rsid w:val="0070144E"/>
    <w:rsid w:val="00701DEA"/>
    <w:rsid w:val="00701FBA"/>
    <w:rsid w:val="00704084"/>
    <w:rsid w:val="00704C25"/>
    <w:rsid w:val="00704F5E"/>
    <w:rsid w:val="007056CD"/>
    <w:rsid w:val="00705BEE"/>
    <w:rsid w:val="00705D76"/>
    <w:rsid w:val="0070622B"/>
    <w:rsid w:val="00706F7F"/>
    <w:rsid w:val="007071E6"/>
    <w:rsid w:val="007075DB"/>
    <w:rsid w:val="00707E19"/>
    <w:rsid w:val="00707F56"/>
    <w:rsid w:val="00710B5C"/>
    <w:rsid w:val="00710C04"/>
    <w:rsid w:val="00711373"/>
    <w:rsid w:val="007116B6"/>
    <w:rsid w:val="00711D40"/>
    <w:rsid w:val="00711E4E"/>
    <w:rsid w:val="007126D8"/>
    <w:rsid w:val="00712A5E"/>
    <w:rsid w:val="00713558"/>
    <w:rsid w:val="0071374C"/>
    <w:rsid w:val="007147B4"/>
    <w:rsid w:val="00715577"/>
    <w:rsid w:val="00715F8F"/>
    <w:rsid w:val="00716141"/>
    <w:rsid w:val="00716A3A"/>
    <w:rsid w:val="00716C65"/>
    <w:rsid w:val="007203CF"/>
    <w:rsid w:val="00720D08"/>
    <w:rsid w:val="00720F21"/>
    <w:rsid w:val="0072160A"/>
    <w:rsid w:val="00721969"/>
    <w:rsid w:val="00721FAD"/>
    <w:rsid w:val="00722CBD"/>
    <w:rsid w:val="0072509B"/>
    <w:rsid w:val="007261C0"/>
    <w:rsid w:val="007263B9"/>
    <w:rsid w:val="00726E8C"/>
    <w:rsid w:val="00726F42"/>
    <w:rsid w:val="007271D1"/>
    <w:rsid w:val="0072764A"/>
    <w:rsid w:val="00727CE6"/>
    <w:rsid w:val="00730E3F"/>
    <w:rsid w:val="007313B0"/>
    <w:rsid w:val="00732312"/>
    <w:rsid w:val="0073243C"/>
    <w:rsid w:val="00732C29"/>
    <w:rsid w:val="00733399"/>
    <w:rsid w:val="007334F8"/>
    <w:rsid w:val="007339CD"/>
    <w:rsid w:val="007339ED"/>
    <w:rsid w:val="00733CE3"/>
    <w:rsid w:val="00733E6C"/>
    <w:rsid w:val="0073430C"/>
    <w:rsid w:val="00734525"/>
    <w:rsid w:val="007348B7"/>
    <w:rsid w:val="00734A9F"/>
    <w:rsid w:val="007359D8"/>
    <w:rsid w:val="007361B7"/>
    <w:rsid w:val="007362C8"/>
    <w:rsid w:val="007362D4"/>
    <w:rsid w:val="0073780A"/>
    <w:rsid w:val="00740BE9"/>
    <w:rsid w:val="0074104F"/>
    <w:rsid w:val="0074111D"/>
    <w:rsid w:val="00741649"/>
    <w:rsid w:val="00741776"/>
    <w:rsid w:val="00741B06"/>
    <w:rsid w:val="0074208B"/>
    <w:rsid w:val="007421B4"/>
    <w:rsid w:val="00742B29"/>
    <w:rsid w:val="00743944"/>
    <w:rsid w:val="00743A99"/>
    <w:rsid w:val="007444FE"/>
    <w:rsid w:val="00744CB4"/>
    <w:rsid w:val="00745447"/>
    <w:rsid w:val="00745D11"/>
    <w:rsid w:val="00746F0C"/>
    <w:rsid w:val="007473A5"/>
    <w:rsid w:val="0074757A"/>
    <w:rsid w:val="00751579"/>
    <w:rsid w:val="00751A23"/>
    <w:rsid w:val="00752247"/>
    <w:rsid w:val="007523B2"/>
    <w:rsid w:val="007525CE"/>
    <w:rsid w:val="0075351B"/>
    <w:rsid w:val="00754D79"/>
    <w:rsid w:val="00755604"/>
    <w:rsid w:val="00755802"/>
    <w:rsid w:val="00755B0C"/>
    <w:rsid w:val="007560FE"/>
    <w:rsid w:val="0075611F"/>
    <w:rsid w:val="007563C1"/>
    <w:rsid w:val="007605F7"/>
    <w:rsid w:val="007608FB"/>
    <w:rsid w:val="00761573"/>
    <w:rsid w:val="00761AD0"/>
    <w:rsid w:val="00761C82"/>
    <w:rsid w:val="00761D16"/>
    <w:rsid w:val="0076236D"/>
    <w:rsid w:val="00762F95"/>
    <w:rsid w:val="00765449"/>
    <w:rsid w:val="00765892"/>
    <w:rsid w:val="0076672A"/>
    <w:rsid w:val="007667B9"/>
    <w:rsid w:val="00766DC6"/>
    <w:rsid w:val="007676BA"/>
    <w:rsid w:val="00767BE0"/>
    <w:rsid w:val="00767CB9"/>
    <w:rsid w:val="00767E4C"/>
    <w:rsid w:val="007700DF"/>
    <w:rsid w:val="0077027C"/>
    <w:rsid w:val="00770514"/>
    <w:rsid w:val="007706BB"/>
    <w:rsid w:val="00770C6C"/>
    <w:rsid w:val="00770F3A"/>
    <w:rsid w:val="00771600"/>
    <w:rsid w:val="007716B6"/>
    <w:rsid w:val="00771EBB"/>
    <w:rsid w:val="00771F51"/>
    <w:rsid w:val="00772C44"/>
    <w:rsid w:val="00773258"/>
    <w:rsid w:val="007732DF"/>
    <w:rsid w:val="007739C3"/>
    <w:rsid w:val="00773B21"/>
    <w:rsid w:val="007744F4"/>
    <w:rsid w:val="00774862"/>
    <w:rsid w:val="00774982"/>
    <w:rsid w:val="00774E78"/>
    <w:rsid w:val="00775038"/>
    <w:rsid w:val="00775E45"/>
    <w:rsid w:val="007762E0"/>
    <w:rsid w:val="00776E74"/>
    <w:rsid w:val="007771FC"/>
    <w:rsid w:val="007778F0"/>
    <w:rsid w:val="0078005F"/>
    <w:rsid w:val="007809AB"/>
    <w:rsid w:val="007823FE"/>
    <w:rsid w:val="007828F1"/>
    <w:rsid w:val="0078374F"/>
    <w:rsid w:val="007844C7"/>
    <w:rsid w:val="00784579"/>
    <w:rsid w:val="0078494E"/>
    <w:rsid w:val="00785169"/>
    <w:rsid w:val="00785713"/>
    <w:rsid w:val="00786AE3"/>
    <w:rsid w:val="00786DA2"/>
    <w:rsid w:val="00787802"/>
    <w:rsid w:val="007878FC"/>
    <w:rsid w:val="00787B1C"/>
    <w:rsid w:val="00787C99"/>
    <w:rsid w:val="007907FB"/>
    <w:rsid w:val="00791F2D"/>
    <w:rsid w:val="0079228B"/>
    <w:rsid w:val="00792999"/>
    <w:rsid w:val="00792D05"/>
    <w:rsid w:val="0079324A"/>
    <w:rsid w:val="00793D0D"/>
    <w:rsid w:val="00794DEF"/>
    <w:rsid w:val="007954AB"/>
    <w:rsid w:val="00795A17"/>
    <w:rsid w:val="00795D03"/>
    <w:rsid w:val="00795D33"/>
    <w:rsid w:val="00795DD0"/>
    <w:rsid w:val="00796067"/>
    <w:rsid w:val="007963E8"/>
    <w:rsid w:val="007965B3"/>
    <w:rsid w:val="007967FA"/>
    <w:rsid w:val="007972CF"/>
    <w:rsid w:val="007A017C"/>
    <w:rsid w:val="007A1470"/>
    <w:rsid w:val="007A14C5"/>
    <w:rsid w:val="007A27A5"/>
    <w:rsid w:val="007A2BB5"/>
    <w:rsid w:val="007A3BA1"/>
    <w:rsid w:val="007A3E38"/>
    <w:rsid w:val="007A45B6"/>
    <w:rsid w:val="007A4A10"/>
    <w:rsid w:val="007A4C9F"/>
    <w:rsid w:val="007A5054"/>
    <w:rsid w:val="007A5577"/>
    <w:rsid w:val="007A5DBC"/>
    <w:rsid w:val="007A68E3"/>
    <w:rsid w:val="007A72A7"/>
    <w:rsid w:val="007A75E3"/>
    <w:rsid w:val="007A7843"/>
    <w:rsid w:val="007A7A1A"/>
    <w:rsid w:val="007B0EE9"/>
    <w:rsid w:val="007B0FF7"/>
    <w:rsid w:val="007B12DC"/>
    <w:rsid w:val="007B169A"/>
    <w:rsid w:val="007B1760"/>
    <w:rsid w:val="007B21E1"/>
    <w:rsid w:val="007B27E6"/>
    <w:rsid w:val="007B3B80"/>
    <w:rsid w:val="007B4658"/>
    <w:rsid w:val="007B49F6"/>
    <w:rsid w:val="007B5889"/>
    <w:rsid w:val="007B5B68"/>
    <w:rsid w:val="007B5C97"/>
    <w:rsid w:val="007B76D4"/>
    <w:rsid w:val="007B78FC"/>
    <w:rsid w:val="007C0DD9"/>
    <w:rsid w:val="007C0E32"/>
    <w:rsid w:val="007C2F39"/>
    <w:rsid w:val="007C32AC"/>
    <w:rsid w:val="007C3A97"/>
    <w:rsid w:val="007C3E6C"/>
    <w:rsid w:val="007C4D9C"/>
    <w:rsid w:val="007C5EE0"/>
    <w:rsid w:val="007C6D9C"/>
    <w:rsid w:val="007C778A"/>
    <w:rsid w:val="007C7DDB"/>
    <w:rsid w:val="007D0B38"/>
    <w:rsid w:val="007D0FCD"/>
    <w:rsid w:val="007D25E6"/>
    <w:rsid w:val="007D2B7A"/>
    <w:rsid w:val="007D2BDB"/>
    <w:rsid w:val="007D2CC7"/>
    <w:rsid w:val="007D489E"/>
    <w:rsid w:val="007D4C81"/>
    <w:rsid w:val="007D4F1F"/>
    <w:rsid w:val="007D4F67"/>
    <w:rsid w:val="007D547A"/>
    <w:rsid w:val="007D673D"/>
    <w:rsid w:val="007D6F85"/>
    <w:rsid w:val="007D7759"/>
    <w:rsid w:val="007D7D39"/>
    <w:rsid w:val="007E0247"/>
    <w:rsid w:val="007E0952"/>
    <w:rsid w:val="007E17FD"/>
    <w:rsid w:val="007E1BE3"/>
    <w:rsid w:val="007E21B4"/>
    <w:rsid w:val="007E355A"/>
    <w:rsid w:val="007E4228"/>
    <w:rsid w:val="007E4ACC"/>
    <w:rsid w:val="007E5639"/>
    <w:rsid w:val="007E5994"/>
    <w:rsid w:val="007E5D55"/>
    <w:rsid w:val="007E6E37"/>
    <w:rsid w:val="007E6E8D"/>
    <w:rsid w:val="007E783B"/>
    <w:rsid w:val="007E7D93"/>
    <w:rsid w:val="007F013D"/>
    <w:rsid w:val="007F1100"/>
    <w:rsid w:val="007F12C0"/>
    <w:rsid w:val="007F130A"/>
    <w:rsid w:val="007F140F"/>
    <w:rsid w:val="007F2220"/>
    <w:rsid w:val="007F333F"/>
    <w:rsid w:val="007F35CE"/>
    <w:rsid w:val="007F4B3E"/>
    <w:rsid w:val="007F559B"/>
    <w:rsid w:val="007F588A"/>
    <w:rsid w:val="007F6D64"/>
    <w:rsid w:val="007F7573"/>
    <w:rsid w:val="007F761F"/>
    <w:rsid w:val="00800446"/>
    <w:rsid w:val="0080103E"/>
    <w:rsid w:val="008010CC"/>
    <w:rsid w:val="00801BBC"/>
    <w:rsid w:val="00802760"/>
    <w:rsid w:val="00802BD2"/>
    <w:rsid w:val="00802F45"/>
    <w:rsid w:val="00802FE8"/>
    <w:rsid w:val="00803434"/>
    <w:rsid w:val="00803D9E"/>
    <w:rsid w:val="00805225"/>
    <w:rsid w:val="0080592C"/>
    <w:rsid w:val="00805E44"/>
    <w:rsid w:val="008067BB"/>
    <w:rsid w:val="00806857"/>
    <w:rsid w:val="0080686B"/>
    <w:rsid w:val="00806A4D"/>
    <w:rsid w:val="00807C3E"/>
    <w:rsid w:val="00807CA6"/>
    <w:rsid w:val="00807E49"/>
    <w:rsid w:val="00810137"/>
    <w:rsid w:val="00810564"/>
    <w:rsid w:val="008106EB"/>
    <w:rsid w:val="0081076D"/>
    <w:rsid w:val="00810BE5"/>
    <w:rsid w:val="00810CA4"/>
    <w:rsid w:val="008110EC"/>
    <w:rsid w:val="008115B4"/>
    <w:rsid w:val="00811A18"/>
    <w:rsid w:val="008122F6"/>
    <w:rsid w:val="008126E2"/>
    <w:rsid w:val="008127AF"/>
    <w:rsid w:val="00812B46"/>
    <w:rsid w:val="00813D67"/>
    <w:rsid w:val="008154A1"/>
    <w:rsid w:val="008155F8"/>
    <w:rsid w:val="00815700"/>
    <w:rsid w:val="00815AF9"/>
    <w:rsid w:val="00815FEB"/>
    <w:rsid w:val="0081625C"/>
    <w:rsid w:val="0081660B"/>
    <w:rsid w:val="00817112"/>
    <w:rsid w:val="00817A59"/>
    <w:rsid w:val="00817B23"/>
    <w:rsid w:val="00817B70"/>
    <w:rsid w:val="008207A2"/>
    <w:rsid w:val="00820C4B"/>
    <w:rsid w:val="00820FCE"/>
    <w:rsid w:val="008210E4"/>
    <w:rsid w:val="00821B9C"/>
    <w:rsid w:val="00822C5D"/>
    <w:rsid w:val="00823965"/>
    <w:rsid w:val="00823C67"/>
    <w:rsid w:val="008247F2"/>
    <w:rsid w:val="0082531D"/>
    <w:rsid w:val="0082570C"/>
    <w:rsid w:val="00825E62"/>
    <w:rsid w:val="008264EB"/>
    <w:rsid w:val="00826510"/>
    <w:rsid w:val="0082679D"/>
    <w:rsid w:val="00826B3C"/>
    <w:rsid w:val="00826B8F"/>
    <w:rsid w:val="008273F5"/>
    <w:rsid w:val="00827D7D"/>
    <w:rsid w:val="008312D1"/>
    <w:rsid w:val="00831A6E"/>
    <w:rsid w:val="00831DA6"/>
    <w:rsid w:val="00831E8A"/>
    <w:rsid w:val="008320D2"/>
    <w:rsid w:val="00832DFE"/>
    <w:rsid w:val="00833059"/>
    <w:rsid w:val="00833417"/>
    <w:rsid w:val="00833785"/>
    <w:rsid w:val="008352E7"/>
    <w:rsid w:val="00835C76"/>
    <w:rsid w:val="00836A3A"/>
    <w:rsid w:val="00836DAE"/>
    <w:rsid w:val="008371FA"/>
    <w:rsid w:val="00837EBF"/>
    <w:rsid w:val="00841111"/>
    <w:rsid w:val="00841A70"/>
    <w:rsid w:val="00842A25"/>
    <w:rsid w:val="0084300E"/>
    <w:rsid w:val="00843049"/>
    <w:rsid w:val="00843D6C"/>
    <w:rsid w:val="008452A6"/>
    <w:rsid w:val="008452D6"/>
    <w:rsid w:val="00845D0E"/>
    <w:rsid w:val="008461BB"/>
    <w:rsid w:val="00847155"/>
    <w:rsid w:val="00847869"/>
    <w:rsid w:val="00847D33"/>
    <w:rsid w:val="00847F27"/>
    <w:rsid w:val="0085112B"/>
    <w:rsid w:val="00851A3D"/>
    <w:rsid w:val="0085209B"/>
    <w:rsid w:val="008521FA"/>
    <w:rsid w:val="00852A58"/>
    <w:rsid w:val="00853B71"/>
    <w:rsid w:val="00854136"/>
    <w:rsid w:val="00856B66"/>
    <w:rsid w:val="0085709F"/>
    <w:rsid w:val="0085720B"/>
    <w:rsid w:val="0085790C"/>
    <w:rsid w:val="00857D13"/>
    <w:rsid w:val="00860E0F"/>
    <w:rsid w:val="0086121C"/>
    <w:rsid w:val="008616C0"/>
    <w:rsid w:val="00861A5F"/>
    <w:rsid w:val="00861CA1"/>
    <w:rsid w:val="008622C5"/>
    <w:rsid w:val="00863150"/>
    <w:rsid w:val="0086363D"/>
    <w:rsid w:val="008643F2"/>
    <w:rsid w:val="008644AD"/>
    <w:rsid w:val="00864716"/>
    <w:rsid w:val="00864F8C"/>
    <w:rsid w:val="008651E7"/>
    <w:rsid w:val="00865485"/>
    <w:rsid w:val="00865735"/>
    <w:rsid w:val="00865DDB"/>
    <w:rsid w:val="0086706E"/>
    <w:rsid w:val="00867538"/>
    <w:rsid w:val="0086754E"/>
    <w:rsid w:val="00867613"/>
    <w:rsid w:val="00871070"/>
    <w:rsid w:val="00871595"/>
    <w:rsid w:val="00871888"/>
    <w:rsid w:val="00871DF3"/>
    <w:rsid w:val="00873184"/>
    <w:rsid w:val="008733B1"/>
    <w:rsid w:val="008736D5"/>
    <w:rsid w:val="00873D90"/>
    <w:rsid w:val="00873FC8"/>
    <w:rsid w:val="008763B1"/>
    <w:rsid w:val="00876BF0"/>
    <w:rsid w:val="00876E95"/>
    <w:rsid w:val="008777E2"/>
    <w:rsid w:val="008777F1"/>
    <w:rsid w:val="0087795A"/>
    <w:rsid w:val="00877E70"/>
    <w:rsid w:val="00882043"/>
    <w:rsid w:val="008821D6"/>
    <w:rsid w:val="0088253F"/>
    <w:rsid w:val="00882A56"/>
    <w:rsid w:val="00882C60"/>
    <w:rsid w:val="00883577"/>
    <w:rsid w:val="0088411A"/>
    <w:rsid w:val="00884A30"/>
    <w:rsid w:val="00884C63"/>
    <w:rsid w:val="00885454"/>
    <w:rsid w:val="0088555A"/>
    <w:rsid w:val="00885908"/>
    <w:rsid w:val="00885BF6"/>
    <w:rsid w:val="008864B7"/>
    <w:rsid w:val="0089019A"/>
    <w:rsid w:val="00891013"/>
    <w:rsid w:val="00891A64"/>
    <w:rsid w:val="008924D6"/>
    <w:rsid w:val="008938B2"/>
    <w:rsid w:val="008942BA"/>
    <w:rsid w:val="00894313"/>
    <w:rsid w:val="00894B0B"/>
    <w:rsid w:val="00894BF8"/>
    <w:rsid w:val="00896445"/>
    <w:rsid w:val="0089677E"/>
    <w:rsid w:val="00896E8C"/>
    <w:rsid w:val="00897A60"/>
    <w:rsid w:val="008A05EE"/>
    <w:rsid w:val="008A4B1D"/>
    <w:rsid w:val="008A6837"/>
    <w:rsid w:val="008A6C50"/>
    <w:rsid w:val="008A71A8"/>
    <w:rsid w:val="008A7438"/>
    <w:rsid w:val="008A79A4"/>
    <w:rsid w:val="008B1334"/>
    <w:rsid w:val="008B21EC"/>
    <w:rsid w:val="008B2612"/>
    <w:rsid w:val="008B2783"/>
    <w:rsid w:val="008B27FB"/>
    <w:rsid w:val="008B46DC"/>
    <w:rsid w:val="008B5329"/>
    <w:rsid w:val="008B5638"/>
    <w:rsid w:val="008B5783"/>
    <w:rsid w:val="008B6623"/>
    <w:rsid w:val="008B73DC"/>
    <w:rsid w:val="008B76B4"/>
    <w:rsid w:val="008B78B3"/>
    <w:rsid w:val="008B7F77"/>
    <w:rsid w:val="008C0278"/>
    <w:rsid w:val="008C06C0"/>
    <w:rsid w:val="008C0748"/>
    <w:rsid w:val="008C0752"/>
    <w:rsid w:val="008C0B38"/>
    <w:rsid w:val="008C0C07"/>
    <w:rsid w:val="008C0CB2"/>
    <w:rsid w:val="008C13AE"/>
    <w:rsid w:val="008C24E9"/>
    <w:rsid w:val="008C2E42"/>
    <w:rsid w:val="008C3D65"/>
    <w:rsid w:val="008C45B3"/>
    <w:rsid w:val="008C4608"/>
    <w:rsid w:val="008C4A04"/>
    <w:rsid w:val="008C4F98"/>
    <w:rsid w:val="008C58FA"/>
    <w:rsid w:val="008C6715"/>
    <w:rsid w:val="008C6784"/>
    <w:rsid w:val="008D0533"/>
    <w:rsid w:val="008D0938"/>
    <w:rsid w:val="008D0AFB"/>
    <w:rsid w:val="008D13EB"/>
    <w:rsid w:val="008D26E8"/>
    <w:rsid w:val="008D2C14"/>
    <w:rsid w:val="008D2C92"/>
    <w:rsid w:val="008D34E3"/>
    <w:rsid w:val="008D3802"/>
    <w:rsid w:val="008D3DE7"/>
    <w:rsid w:val="008D42CB"/>
    <w:rsid w:val="008D48C9"/>
    <w:rsid w:val="008D4BEA"/>
    <w:rsid w:val="008D5B79"/>
    <w:rsid w:val="008D6381"/>
    <w:rsid w:val="008D69AC"/>
    <w:rsid w:val="008D78C8"/>
    <w:rsid w:val="008E0C77"/>
    <w:rsid w:val="008E166E"/>
    <w:rsid w:val="008E289F"/>
    <w:rsid w:val="008E2BC8"/>
    <w:rsid w:val="008E45FE"/>
    <w:rsid w:val="008E5268"/>
    <w:rsid w:val="008E54FB"/>
    <w:rsid w:val="008E55ED"/>
    <w:rsid w:val="008E5994"/>
    <w:rsid w:val="008E5BB7"/>
    <w:rsid w:val="008E625F"/>
    <w:rsid w:val="008E689B"/>
    <w:rsid w:val="008E6BC4"/>
    <w:rsid w:val="008E713D"/>
    <w:rsid w:val="008E71D1"/>
    <w:rsid w:val="008E77E8"/>
    <w:rsid w:val="008F0502"/>
    <w:rsid w:val="008F0DE6"/>
    <w:rsid w:val="008F20C8"/>
    <w:rsid w:val="008F264D"/>
    <w:rsid w:val="008F42B2"/>
    <w:rsid w:val="008F530E"/>
    <w:rsid w:val="008F53E6"/>
    <w:rsid w:val="008F5A7D"/>
    <w:rsid w:val="008F729B"/>
    <w:rsid w:val="008F7545"/>
    <w:rsid w:val="00900216"/>
    <w:rsid w:val="00900425"/>
    <w:rsid w:val="0090097C"/>
    <w:rsid w:val="00902AB2"/>
    <w:rsid w:val="00905805"/>
    <w:rsid w:val="00905DCF"/>
    <w:rsid w:val="0090610F"/>
    <w:rsid w:val="00906393"/>
    <w:rsid w:val="0090646E"/>
    <w:rsid w:val="00906552"/>
    <w:rsid w:val="00906F81"/>
    <w:rsid w:val="009074E1"/>
    <w:rsid w:val="009104B3"/>
    <w:rsid w:val="00910F2F"/>
    <w:rsid w:val="0091123E"/>
    <w:rsid w:val="009112F7"/>
    <w:rsid w:val="00911341"/>
    <w:rsid w:val="0091162F"/>
    <w:rsid w:val="009122AF"/>
    <w:rsid w:val="009127BC"/>
    <w:rsid w:val="00912D54"/>
    <w:rsid w:val="0091354D"/>
    <w:rsid w:val="0091374D"/>
    <w:rsid w:val="0091389F"/>
    <w:rsid w:val="00914432"/>
    <w:rsid w:val="009145C4"/>
    <w:rsid w:val="0091478B"/>
    <w:rsid w:val="009177DA"/>
    <w:rsid w:val="009208F7"/>
    <w:rsid w:val="00921424"/>
    <w:rsid w:val="00921E93"/>
    <w:rsid w:val="00922517"/>
    <w:rsid w:val="00922722"/>
    <w:rsid w:val="0092272D"/>
    <w:rsid w:val="009227C0"/>
    <w:rsid w:val="00923BE0"/>
    <w:rsid w:val="00924540"/>
    <w:rsid w:val="00924562"/>
    <w:rsid w:val="00924C0A"/>
    <w:rsid w:val="009250B1"/>
    <w:rsid w:val="009261E6"/>
    <w:rsid w:val="009268E1"/>
    <w:rsid w:val="00927A66"/>
    <w:rsid w:val="00930156"/>
    <w:rsid w:val="00930A05"/>
    <w:rsid w:val="009315E1"/>
    <w:rsid w:val="0093215A"/>
    <w:rsid w:val="00932520"/>
    <w:rsid w:val="00933521"/>
    <w:rsid w:val="00933696"/>
    <w:rsid w:val="00933911"/>
    <w:rsid w:val="0093512C"/>
    <w:rsid w:val="00935E73"/>
    <w:rsid w:val="00940511"/>
    <w:rsid w:val="009409B2"/>
    <w:rsid w:val="00940AC8"/>
    <w:rsid w:val="009410A7"/>
    <w:rsid w:val="00941529"/>
    <w:rsid w:val="0094175D"/>
    <w:rsid w:val="00941AAC"/>
    <w:rsid w:val="0094232B"/>
    <w:rsid w:val="00943D03"/>
    <w:rsid w:val="00943FEA"/>
    <w:rsid w:val="00944AC2"/>
    <w:rsid w:val="00944B11"/>
    <w:rsid w:val="00944CF1"/>
    <w:rsid w:val="00945025"/>
    <w:rsid w:val="009452FF"/>
    <w:rsid w:val="00945E7F"/>
    <w:rsid w:val="0094645E"/>
    <w:rsid w:val="00947038"/>
    <w:rsid w:val="00947298"/>
    <w:rsid w:val="0094747E"/>
    <w:rsid w:val="00947CF4"/>
    <w:rsid w:val="00950532"/>
    <w:rsid w:val="00950612"/>
    <w:rsid w:val="00951E93"/>
    <w:rsid w:val="00951EC1"/>
    <w:rsid w:val="009527D1"/>
    <w:rsid w:val="00953E43"/>
    <w:rsid w:val="009542C2"/>
    <w:rsid w:val="009546CF"/>
    <w:rsid w:val="009557C1"/>
    <w:rsid w:val="00955E6E"/>
    <w:rsid w:val="009567BB"/>
    <w:rsid w:val="00956B1B"/>
    <w:rsid w:val="00956F02"/>
    <w:rsid w:val="0095754F"/>
    <w:rsid w:val="00957D28"/>
    <w:rsid w:val="00960D6E"/>
    <w:rsid w:val="00961683"/>
    <w:rsid w:val="009621E9"/>
    <w:rsid w:val="00963D2C"/>
    <w:rsid w:val="009643B4"/>
    <w:rsid w:val="00964788"/>
    <w:rsid w:val="00964CB0"/>
    <w:rsid w:val="009661C7"/>
    <w:rsid w:val="00966441"/>
    <w:rsid w:val="00966689"/>
    <w:rsid w:val="0096748D"/>
    <w:rsid w:val="009678B8"/>
    <w:rsid w:val="00967BBD"/>
    <w:rsid w:val="009701DB"/>
    <w:rsid w:val="00970DF1"/>
    <w:rsid w:val="00970F19"/>
    <w:rsid w:val="00970FD5"/>
    <w:rsid w:val="009713C1"/>
    <w:rsid w:val="00971666"/>
    <w:rsid w:val="00972419"/>
    <w:rsid w:val="00972B5D"/>
    <w:rsid w:val="00972BBB"/>
    <w:rsid w:val="00972BC1"/>
    <w:rsid w:val="00972FAA"/>
    <w:rsid w:val="0097320A"/>
    <w:rsid w:val="00973730"/>
    <w:rsid w:val="009748E8"/>
    <w:rsid w:val="00974B59"/>
    <w:rsid w:val="00975DE3"/>
    <w:rsid w:val="00976910"/>
    <w:rsid w:val="009802B8"/>
    <w:rsid w:val="00981248"/>
    <w:rsid w:val="0098135A"/>
    <w:rsid w:val="00981624"/>
    <w:rsid w:val="00981743"/>
    <w:rsid w:val="00981D4C"/>
    <w:rsid w:val="0098227F"/>
    <w:rsid w:val="009822FB"/>
    <w:rsid w:val="00982D83"/>
    <w:rsid w:val="0098340B"/>
    <w:rsid w:val="00983637"/>
    <w:rsid w:val="00983881"/>
    <w:rsid w:val="00983DF9"/>
    <w:rsid w:val="00984212"/>
    <w:rsid w:val="009843B4"/>
    <w:rsid w:val="009859BB"/>
    <w:rsid w:val="00985D2E"/>
    <w:rsid w:val="00986830"/>
    <w:rsid w:val="00987920"/>
    <w:rsid w:val="00987CEB"/>
    <w:rsid w:val="00987D58"/>
    <w:rsid w:val="00992457"/>
    <w:rsid w:val="009924C3"/>
    <w:rsid w:val="00993102"/>
    <w:rsid w:val="00993542"/>
    <w:rsid w:val="00993AE8"/>
    <w:rsid w:val="009944C4"/>
    <w:rsid w:val="0099501B"/>
    <w:rsid w:val="00995623"/>
    <w:rsid w:val="009969B5"/>
    <w:rsid w:val="00997701"/>
    <w:rsid w:val="009978D5"/>
    <w:rsid w:val="00997A8A"/>
    <w:rsid w:val="009A0922"/>
    <w:rsid w:val="009A20AB"/>
    <w:rsid w:val="009A3009"/>
    <w:rsid w:val="009A346B"/>
    <w:rsid w:val="009A3966"/>
    <w:rsid w:val="009A3EA9"/>
    <w:rsid w:val="009A40DD"/>
    <w:rsid w:val="009A4DC2"/>
    <w:rsid w:val="009A51AF"/>
    <w:rsid w:val="009A5BAC"/>
    <w:rsid w:val="009A5E84"/>
    <w:rsid w:val="009A6804"/>
    <w:rsid w:val="009B00B1"/>
    <w:rsid w:val="009B077E"/>
    <w:rsid w:val="009B0F94"/>
    <w:rsid w:val="009B2543"/>
    <w:rsid w:val="009B2B49"/>
    <w:rsid w:val="009B3C1A"/>
    <w:rsid w:val="009B3F5A"/>
    <w:rsid w:val="009B5160"/>
    <w:rsid w:val="009B51D2"/>
    <w:rsid w:val="009B5AF8"/>
    <w:rsid w:val="009B5DEA"/>
    <w:rsid w:val="009B673A"/>
    <w:rsid w:val="009B6BD7"/>
    <w:rsid w:val="009B7846"/>
    <w:rsid w:val="009B7A5E"/>
    <w:rsid w:val="009B7C32"/>
    <w:rsid w:val="009C0AEE"/>
    <w:rsid w:val="009C1035"/>
    <w:rsid w:val="009C1A38"/>
    <w:rsid w:val="009C26A4"/>
    <w:rsid w:val="009C2E80"/>
    <w:rsid w:val="009C4A39"/>
    <w:rsid w:val="009C6E22"/>
    <w:rsid w:val="009C6F10"/>
    <w:rsid w:val="009C7696"/>
    <w:rsid w:val="009C7731"/>
    <w:rsid w:val="009C7980"/>
    <w:rsid w:val="009C7C82"/>
    <w:rsid w:val="009D0536"/>
    <w:rsid w:val="009D077F"/>
    <w:rsid w:val="009D0781"/>
    <w:rsid w:val="009D148F"/>
    <w:rsid w:val="009D16A1"/>
    <w:rsid w:val="009D1E66"/>
    <w:rsid w:val="009D2D9D"/>
    <w:rsid w:val="009D2F31"/>
    <w:rsid w:val="009D3169"/>
    <w:rsid w:val="009D3A41"/>
    <w:rsid w:val="009D3D70"/>
    <w:rsid w:val="009D65C1"/>
    <w:rsid w:val="009E0E34"/>
    <w:rsid w:val="009E0F94"/>
    <w:rsid w:val="009E112E"/>
    <w:rsid w:val="009E1CE1"/>
    <w:rsid w:val="009E222E"/>
    <w:rsid w:val="009E3262"/>
    <w:rsid w:val="009E3B69"/>
    <w:rsid w:val="009E431E"/>
    <w:rsid w:val="009E53A7"/>
    <w:rsid w:val="009E5A2D"/>
    <w:rsid w:val="009E675C"/>
    <w:rsid w:val="009E6F7E"/>
    <w:rsid w:val="009E7A57"/>
    <w:rsid w:val="009F0EBB"/>
    <w:rsid w:val="009F173A"/>
    <w:rsid w:val="009F3512"/>
    <w:rsid w:val="009F44D6"/>
    <w:rsid w:val="009F4F6A"/>
    <w:rsid w:val="009F4FD2"/>
    <w:rsid w:val="009F7341"/>
    <w:rsid w:val="009F786D"/>
    <w:rsid w:val="009F795A"/>
    <w:rsid w:val="009F7C20"/>
    <w:rsid w:val="00A00AD2"/>
    <w:rsid w:val="00A00D4E"/>
    <w:rsid w:val="00A04084"/>
    <w:rsid w:val="00A04998"/>
    <w:rsid w:val="00A049EE"/>
    <w:rsid w:val="00A058E0"/>
    <w:rsid w:val="00A07AC1"/>
    <w:rsid w:val="00A07BA5"/>
    <w:rsid w:val="00A100EF"/>
    <w:rsid w:val="00A101A5"/>
    <w:rsid w:val="00A10733"/>
    <w:rsid w:val="00A1077C"/>
    <w:rsid w:val="00A11323"/>
    <w:rsid w:val="00A11E00"/>
    <w:rsid w:val="00A11E9C"/>
    <w:rsid w:val="00A12C5A"/>
    <w:rsid w:val="00A142E7"/>
    <w:rsid w:val="00A1458F"/>
    <w:rsid w:val="00A14782"/>
    <w:rsid w:val="00A1483B"/>
    <w:rsid w:val="00A14E22"/>
    <w:rsid w:val="00A15524"/>
    <w:rsid w:val="00A15DA7"/>
    <w:rsid w:val="00A16E36"/>
    <w:rsid w:val="00A17A54"/>
    <w:rsid w:val="00A20D2B"/>
    <w:rsid w:val="00A216E1"/>
    <w:rsid w:val="00A21CBB"/>
    <w:rsid w:val="00A225CF"/>
    <w:rsid w:val="00A227E1"/>
    <w:rsid w:val="00A238BC"/>
    <w:rsid w:val="00A2396E"/>
    <w:rsid w:val="00A23B2C"/>
    <w:rsid w:val="00A2475D"/>
    <w:rsid w:val="00A24961"/>
    <w:rsid w:val="00A24B10"/>
    <w:rsid w:val="00A24BAB"/>
    <w:rsid w:val="00A25D08"/>
    <w:rsid w:val="00A2674C"/>
    <w:rsid w:val="00A26F1F"/>
    <w:rsid w:val="00A2733C"/>
    <w:rsid w:val="00A30183"/>
    <w:rsid w:val="00A30E9B"/>
    <w:rsid w:val="00A30F11"/>
    <w:rsid w:val="00A31CF2"/>
    <w:rsid w:val="00A31D51"/>
    <w:rsid w:val="00A32118"/>
    <w:rsid w:val="00A32CD0"/>
    <w:rsid w:val="00A32E1F"/>
    <w:rsid w:val="00A33B29"/>
    <w:rsid w:val="00A34C14"/>
    <w:rsid w:val="00A34C5B"/>
    <w:rsid w:val="00A350D4"/>
    <w:rsid w:val="00A3540A"/>
    <w:rsid w:val="00A35980"/>
    <w:rsid w:val="00A36033"/>
    <w:rsid w:val="00A360BD"/>
    <w:rsid w:val="00A36EB8"/>
    <w:rsid w:val="00A36F7E"/>
    <w:rsid w:val="00A37013"/>
    <w:rsid w:val="00A373AA"/>
    <w:rsid w:val="00A374BD"/>
    <w:rsid w:val="00A37834"/>
    <w:rsid w:val="00A4060D"/>
    <w:rsid w:val="00A4073F"/>
    <w:rsid w:val="00A40C57"/>
    <w:rsid w:val="00A423FC"/>
    <w:rsid w:val="00A43473"/>
    <w:rsid w:val="00A445D2"/>
    <w:rsid w:val="00A4512D"/>
    <w:rsid w:val="00A4590F"/>
    <w:rsid w:val="00A4612C"/>
    <w:rsid w:val="00A465BB"/>
    <w:rsid w:val="00A50244"/>
    <w:rsid w:val="00A50399"/>
    <w:rsid w:val="00A5055A"/>
    <w:rsid w:val="00A50CBA"/>
    <w:rsid w:val="00A512D7"/>
    <w:rsid w:val="00A514DE"/>
    <w:rsid w:val="00A5252E"/>
    <w:rsid w:val="00A52817"/>
    <w:rsid w:val="00A528B5"/>
    <w:rsid w:val="00A52AA8"/>
    <w:rsid w:val="00A52DF7"/>
    <w:rsid w:val="00A536C2"/>
    <w:rsid w:val="00A540AB"/>
    <w:rsid w:val="00A541ED"/>
    <w:rsid w:val="00A54DFD"/>
    <w:rsid w:val="00A5505C"/>
    <w:rsid w:val="00A55DA9"/>
    <w:rsid w:val="00A56A19"/>
    <w:rsid w:val="00A56F17"/>
    <w:rsid w:val="00A57B49"/>
    <w:rsid w:val="00A61442"/>
    <w:rsid w:val="00A61A9C"/>
    <w:rsid w:val="00A627D7"/>
    <w:rsid w:val="00A637BF"/>
    <w:rsid w:val="00A64537"/>
    <w:rsid w:val="00A6496B"/>
    <w:rsid w:val="00A654D8"/>
    <w:rsid w:val="00A656C7"/>
    <w:rsid w:val="00A67DB8"/>
    <w:rsid w:val="00A703A5"/>
    <w:rsid w:val="00A705AF"/>
    <w:rsid w:val="00A71113"/>
    <w:rsid w:val="00A71518"/>
    <w:rsid w:val="00A72454"/>
    <w:rsid w:val="00A72818"/>
    <w:rsid w:val="00A7347E"/>
    <w:rsid w:val="00A7438C"/>
    <w:rsid w:val="00A75212"/>
    <w:rsid w:val="00A76100"/>
    <w:rsid w:val="00A76887"/>
    <w:rsid w:val="00A76897"/>
    <w:rsid w:val="00A76C69"/>
    <w:rsid w:val="00A77696"/>
    <w:rsid w:val="00A80557"/>
    <w:rsid w:val="00A81B5C"/>
    <w:rsid w:val="00A81D23"/>
    <w:rsid w:val="00A81D33"/>
    <w:rsid w:val="00A82921"/>
    <w:rsid w:val="00A834B6"/>
    <w:rsid w:val="00A848D8"/>
    <w:rsid w:val="00A84ABE"/>
    <w:rsid w:val="00A8577F"/>
    <w:rsid w:val="00A86B0E"/>
    <w:rsid w:val="00A86DEE"/>
    <w:rsid w:val="00A86F4D"/>
    <w:rsid w:val="00A87B32"/>
    <w:rsid w:val="00A90B2A"/>
    <w:rsid w:val="00A90DE0"/>
    <w:rsid w:val="00A92401"/>
    <w:rsid w:val="00A9297C"/>
    <w:rsid w:val="00A930AE"/>
    <w:rsid w:val="00A9389E"/>
    <w:rsid w:val="00A943FA"/>
    <w:rsid w:val="00A948E5"/>
    <w:rsid w:val="00A949C3"/>
    <w:rsid w:val="00A957AB"/>
    <w:rsid w:val="00A9616A"/>
    <w:rsid w:val="00A974B6"/>
    <w:rsid w:val="00A979FB"/>
    <w:rsid w:val="00A97B14"/>
    <w:rsid w:val="00AA0EE7"/>
    <w:rsid w:val="00AA155A"/>
    <w:rsid w:val="00AA1A95"/>
    <w:rsid w:val="00AA260F"/>
    <w:rsid w:val="00AA3593"/>
    <w:rsid w:val="00AA3722"/>
    <w:rsid w:val="00AA37AF"/>
    <w:rsid w:val="00AA3B75"/>
    <w:rsid w:val="00AA3C3B"/>
    <w:rsid w:val="00AA4752"/>
    <w:rsid w:val="00AA5705"/>
    <w:rsid w:val="00AA596B"/>
    <w:rsid w:val="00AA740D"/>
    <w:rsid w:val="00AB0864"/>
    <w:rsid w:val="00AB0CEB"/>
    <w:rsid w:val="00AB1BE0"/>
    <w:rsid w:val="00AB1EE7"/>
    <w:rsid w:val="00AB1F81"/>
    <w:rsid w:val="00AB2A26"/>
    <w:rsid w:val="00AB2F4A"/>
    <w:rsid w:val="00AB2FA3"/>
    <w:rsid w:val="00AB3DB0"/>
    <w:rsid w:val="00AB421A"/>
    <w:rsid w:val="00AB4AA9"/>
    <w:rsid w:val="00AB4B37"/>
    <w:rsid w:val="00AB5762"/>
    <w:rsid w:val="00AB5E81"/>
    <w:rsid w:val="00AB5FB3"/>
    <w:rsid w:val="00AB6149"/>
    <w:rsid w:val="00AB6D49"/>
    <w:rsid w:val="00AB6E65"/>
    <w:rsid w:val="00AB705C"/>
    <w:rsid w:val="00AB7554"/>
    <w:rsid w:val="00AB7EB9"/>
    <w:rsid w:val="00AC0093"/>
    <w:rsid w:val="00AC0C70"/>
    <w:rsid w:val="00AC0E28"/>
    <w:rsid w:val="00AC1187"/>
    <w:rsid w:val="00AC1485"/>
    <w:rsid w:val="00AC2679"/>
    <w:rsid w:val="00AC3236"/>
    <w:rsid w:val="00AC46F4"/>
    <w:rsid w:val="00AC4BE4"/>
    <w:rsid w:val="00AC503E"/>
    <w:rsid w:val="00AC51F7"/>
    <w:rsid w:val="00AC5376"/>
    <w:rsid w:val="00AC58DC"/>
    <w:rsid w:val="00AC5ACA"/>
    <w:rsid w:val="00AC5C94"/>
    <w:rsid w:val="00AC5F4C"/>
    <w:rsid w:val="00AC633E"/>
    <w:rsid w:val="00AC6576"/>
    <w:rsid w:val="00AC65A5"/>
    <w:rsid w:val="00AC6BF9"/>
    <w:rsid w:val="00AC708A"/>
    <w:rsid w:val="00AC74E1"/>
    <w:rsid w:val="00AD05E6"/>
    <w:rsid w:val="00AD0697"/>
    <w:rsid w:val="00AD0C0E"/>
    <w:rsid w:val="00AD0D3F"/>
    <w:rsid w:val="00AD2CBF"/>
    <w:rsid w:val="00AD312F"/>
    <w:rsid w:val="00AD3166"/>
    <w:rsid w:val="00AD3179"/>
    <w:rsid w:val="00AD356E"/>
    <w:rsid w:val="00AD3E35"/>
    <w:rsid w:val="00AD400D"/>
    <w:rsid w:val="00AD43AD"/>
    <w:rsid w:val="00AD4681"/>
    <w:rsid w:val="00AD47BA"/>
    <w:rsid w:val="00AD492C"/>
    <w:rsid w:val="00AD5B95"/>
    <w:rsid w:val="00AD7182"/>
    <w:rsid w:val="00AD7ECF"/>
    <w:rsid w:val="00AE01FD"/>
    <w:rsid w:val="00AE1A80"/>
    <w:rsid w:val="00AE1D7D"/>
    <w:rsid w:val="00AE23AA"/>
    <w:rsid w:val="00AE2952"/>
    <w:rsid w:val="00AE2A8B"/>
    <w:rsid w:val="00AE2C2F"/>
    <w:rsid w:val="00AE3273"/>
    <w:rsid w:val="00AE3F64"/>
    <w:rsid w:val="00AE46E2"/>
    <w:rsid w:val="00AE4763"/>
    <w:rsid w:val="00AE66A0"/>
    <w:rsid w:val="00AE68A6"/>
    <w:rsid w:val="00AE6D6A"/>
    <w:rsid w:val="00AE7863"/>
    <w:rsid w:val="00AE79E7"/>
    <w:rsid w:val="00AE7C4C"/>
    <w:rsid w:val="00AE7F04"/>
    <w:rsid w:val="00AF2FD2"/>
    <w:rsid w:val="00AF3788"/>
    <w:rsid w:val="00AF3CD4"/>
    <w:rsid w:val="00AF47AE"/>
    <w:rsid w:val="00AF4978"/>
    <w:rsid w:val="00AF4CFC"/>
    <w:rsid w:val="00AF5811"/>
    <w:rsid w:val="00AF5B58"/>
    <w:rsid w:val="00AF6148"/>
    <w:rsid w:val="00AF69B3"/>
    <w:rsid w:val="00AF7386"/>
    <w:rsid w:val="00AF7934"/>
    <w:rsid w:val="00B00B81"/>
    <w:rsid w:val="00B011F0"/>
    <w:rsid w:val="00B01455"/>
    <w:rsid w:val="00B014C6"/>
    <w:rsid w:val="00B01699"/>
    <w:rsid w:val="00B02A41"/>
    <w:rsid w:val="00B02BAA"/>
    <w:rsid w:val="00B03AF0"/>
    <w:rsid w:val="00B04192"/>
    <w:rsid w:val="00B04580"/>
    <w:rsid w:val="00B04B09"/>
    <w:rsid w:val="00B054CA"/>
    <w:rsid w:val="00B05757"/>
    <w:rsid w:val="00B05E38"/>
    <w:rsid w:val="00B05FD8"/>
    <w:rsid w:val="00B0648A"/>
    <w:rsid w:val="00B067C9"/>
    <w:rsid w:val="00B0737D"/>
    <w:rsid w:val="00B077CB"/>
    <w:rsid w:val="00B10565"/>
    <w:rsid w:val="00B1068C"/>
    <w:rsid w:val="00B10CAF"/>
    <w:rsid w:val="00B11C35"/>
    <w:rsid w:val="00B12760"/>
    <w:rsid w:val="00B12906"/>
    <w:rsid w:val="00B1493F"/>
    <w:rsid w:val="00B14975"/>
    <w:rsid w:val="00B14B34"/>
    <w:rsid w:val="00B14C97"/>
    <w:rsid w:val="00B14F62"/>
    <w:rsid w:val="00B15467"/>
    <w:rsid w:val="00B163E7"/>
    <w:rsid w:val="00B16A51"/>
    <w:rsid w:val="00B16F57"/>
    <w:rsid w:val="00B17B18"/>
    <w:rsid w:val="00B20309"/>
    <w:rsid w:val="00B20627"/>
    <w:rsid w:val="00B20777"/>
    <w:rsid w:val="00B20E23"/>
    <w:rsid w:val="00B21D59"/>
    <w:rsid w:val="00B232B4"/>
    <w:rsid w:val="00B23663"/>
    <w:rsid w:val="00B24555"/>
    <w:rsid w:val="00B25440"/>
    <w:rsid w:val="00B25A1E"/>
    <w:rsid w:val="00B25D72"/>
    <w:rsid w:val="00B26709"/>
    <w:rsid w:val="00B27FA5"/>
    <w:rsid w:val="00B301CD"/>
    <w:rsid w:val="00B309D7"/>
    <w:rsid w:val="00B32222"/>
    <w:rsid w:val="00B33F80"/>
    <w:rsid w:val="00B357D2"/>
    <w:rsid w:val="00B35809"/>
    <w:rsid w:val="00B35C28"/>
    <w:rsid w:val="00B3618D"/>
    <w:rsid w:val="00B36233"/>
    <w:rsid w:val="00B36D67"/>
    <w:rsid w:val="00B376AA"/>
    <w:rsid w:val="00B401F2"/>
    <w:rsid w:val="00B40607"/>
    <w:rsid w:val="00B41509"/>
    <w:rsid w:val="00B42851"/>
    <w:rsid w:val="00B42A4B"/>
    <w:rsid w:val="00B445DD"/>
    <w:rsid w:val="00B44E73"/>
    <w:rsid w:val="00B44EED"/>
    <w:rsid w:val="00B45AC7"/>
    <w:rsid w:val="00B47001"/>
    <w:rsid w:val="00B472BE"/>
    <w:rsid w:val="00B506CD"/>
    <w:rsid w:val="00B512C4"/>
    <w:rsid w:val="00B517A3"/>
    <w:rsid w:val="00B51AD7"/>
    <w:rsid w:val="00B52CCB"/>
    <w:rsid w:val="00B53147"/>
    <w:rsid w:val="00B53339"/>
    <w:rsid w:val="00B5372F"/>
    <w:rsid w:val="00B54000"/>
    <w:rsid w:val="00B554F7"/>
    <w:rsid w:val="00B56BE0"/>
    <w:rsid w:val="00B57055"/>
    <w:rsid w:val="00B57F6D"/>
    <w:rsid w:val="00B603FB"/>
    <w:rsid w:val="00B60A7B"/>
    <w:rsid w:val="00B60ADF"/>
    <w:rsid w:val="00B60BEB"/>
    <w:rsid w:val="00B60F6B"/>
    <w:rsid w:val="00B61046"/>
    <w:rsid w:val="00B61116"/>
    <w:rsid w:val="00B61129"/>
    <w:rsid w:val="00B6197E"/>
    <w:rsid w:val="00B6213C"/>
    <w:rsid w:val="00B62A6D"/>
    <w:rsid w:val="00B62AB8"/>
    <w:rsid w:val="00B63C0E"/>
    <w:rsid w:val="00B64324"/>
    <w:rsid w:val="00B64B5F"/>
    <w:rsid w:val="00B65390"/>
    <w:rsid w:val="00B659AB"/>
    <w:rsid w:val="00B65A46"/>
    <w:rsid w:val="00B66B07"/>
    <w:rsid w:val="00B677F9"/>
    <w:rsid w:val="00B67C28"/>
    <w:rsid w:val="00B67E7F"/>
    <w:rsid w:val="00B7114E"/>
    <w:rsid w:val="00B712EE"/>
    <w:rsid w:val="00B73C60"/>
    <w:rsid w:val="00B747D3"/>
    <w:rsid w:val="00B74E34"/>
    <w:rsid w:val="00B75455"/>
    <w:rsid w:val="00B75907"/>
    <w:rsid w:val="00B759FB"/>
    <w:rsid w:val="00B75A04"/>
    <w:rsid w:val="00B76810"/>
    <w:rsid w:val="00B7731E"/>
    <w:rsid w:val="00B77BE5"/>
    <w:rsid w:val="00B80722"/>
    <w:rsid w:val="00B826DB"/>
    <w:rsid w:val="00B839B2"/>
    <w:rsid w:val="00B83BEF"/>
    <w:rsid w:val="00B83F50"/>
    <w:rsid w:val="00B84F10"/>
    <w:rsid w:val="00B8649A"/>
    <w:rsid w:val="00B86D16"/>
    <w:rsid w:val="00B86DCB"/>
    <w:rsid w:val="00B87671"/>
    <w:rsid w:val="00B87837"/>
    <w:rsid w:val="00B87D0D"/>
    <w:rsid w:val="00B90075"/>
    <w:rsid w:val="00B90AA9"/>
    <w:rsid w:val="00B916B9"/>
    <w:rsid w:val="00B91915"/>
    <w:rsid w:val="00B927F8"/>
    <w:rsid w:val="00B93588"/>
    <w:rsid w:val="00B93D26"/>
    <w:rsid w:val="00B941F2"/>
    <w:rsid w:val="00B94252"/>
    <w:rsid w:val="00B947AE"/>
    <w:rsid w:val="00B94828"/>
    <w:rsid w:val="00B94CB6"/>
    <w:rsid w:val="00B94D9C"/>
    <w:rsid w:val="00B95348"/>
    <w:rsid w:val="00B96D5D"/>
    <w:rsid w:val="00B9715A"/>
    <w:rsid w:val="00B97B7E"/>
    <w:rsid w:val="00BA01E6"/>
    <w:rsid w:val="00BA14BE"/>
    <w:rsid w:val="00BA1E48"/>
    <w:rsid w:val="00BA1E5F"/>
    <w:rsid w:val="00BA2732"/>
    <w:rsid w:val="00BA293D"/>
    <w:rsid w:val="00BA2E46"/>
    <w:rsid w:val="00BA3790"/>
    <w:rsid w:val="00BA3F16"/>
    <w:rsid w:val="00BA49BC"/>
    <w:rsid w:val="00BA56B7"/>
    <w:rsid w:val="00BA590B"/>
    <w:rsid w:val="00BA59F4"/>
    <w:rsid w:val="00BA62E5"/>
    <w:rsid w:val="00BA660D"/>
    <w:rsid w:val="00BA713B"/>
    <w:rsid w:val="00BA793B"/>
    <w:rsid w:val="00BA7A1E"/>
    <w:rsid w:val="00BA7CA9"/>
    <w:rsid w:val="00BA7E5E"/>
    <w:rsid w:val="00BB068D"/>
    <w:rsid w:val="00BB07CA"/>
    <w:rsid w:val="00BB1349"/>
    <w:rsid w:val="00BB14FE"/>
    <w:rsid w:val="00BB1A64"/>
    <w:rsid w:val="00BB217F"/>
    <w:rsid w:val="00BB266B"/>
    <w:rsid w:val="00BB2F6C"/>
    <w:rsid w:val="00BB2FBA"/>
    <w:rsid w:val="00BB3875"/>
    <w:rsid w:val="00BB5860"/>
    <w:rsid w:val="00BB5A89"/>
    <w:rsid w:val="00BB606D"/>
    <w:rsid w:val="00BB618D"/>
    <w:rsid w:val="00BB6478"/>
    <w:rsid w:val="00BB6AAD"/>
    <w:rsid w:val="00BB6C10"/>
    <w:rsid w:val="00BC04A3"/>
    <w:rsid w:val="00BC0BFB"/>
    <w:rsid w:val="00BC1018"/>
    <w:rsid w:val="00BC2FC6"/>
    <w:rsid w:val="00BC33F8"/>
    <w:rsid w:val="00BC343E"/>
    <w:rsid w:val="00BC3871"/>
    <w:rsid w:val="00BC3BEF"/>
    <w:rsid w:val="00BC3E10"/>
    <w:rsid w:val="00BC4A19"/>
    <w:rsid w:val="00BC4E6D"/>
    <w:rsid w:val="00BC68FB"/>
    <w:rsid w:val="00BC6D45"/>
    <w:rsid w:val="00BC72BC"/>
    <w:rsid w:val="00BC72E8"/>
    <w:rsid w:val="00BC78F2"/>
    <w:rsid w:val="00BD0543"/>
    <w:rsid w:val="00BD05AC"/>
    <w:rsid w:val="00BD0617"/>
    <w:rsid w:val="00BD09C5"/>
    <w:rsid w:val="00BD11C4"/>
    <w:rsid w:val="00BD1273"/>
    <w:rsid w:val="00BD2E9B"/>
    <w:rsid w:val="00BD3857"/>
    <w:rsid w:val="00BD3FA4"/>
    <w:rsid w:val="00BD5A06"/>
    <w:rsid w:val="00BD6B7D"/>
    <w:rsid w:val="00BD6C05"/>
    <w:rsid w:val="00BD6DC4"/>
    <w:rsid w:val="00BE003D"/>
    <w:rsid w:val="00BE01CD"/>
    <w:rsid w:val="00BE0248"/>
    <w:rsid w:val="00BE0FD3"/>
    <w:rsid w:val="00BE164F"/>
    <w:rsid w:val="00BE23E2"/>
    <w:rsid w:val="00BE249B"/>
    <w:rsid w:val="00BE25EC"/>
    <w:rsid w:val="00BE287E"/>
    <w:rsid w:val="00BE2D58"/>
    <w:rsid w:val="00BE36A4"/>
    <w:rsid w:val="00BE536C"/>
    <w:rsid w:val="00BE57D1"/>
    <w:rsid w:val="00BE626C"/>
    <w:rsid w:val="00BE6C90"/>
    <w:rsid w:val="00BE7838"/>
    <w:rsid w:val="00BE7984"/>
    <w:rsid w:val="00BF1C55"/>
    <w:rsid w:val="00BF2796"/>
    <w:rsid w:val="00BF2871"/>
    <w:rsid w:val="00BF2898"/>
    <w:rsid w:val="00BF2C5A"/>
    <w:rsid w:val="00BF2F78"/>
    <w:rsid w:val="00BF3C0B"/>
    <w:rsid w:val="00BF5D11"/>
    <w:rsid w:val="00BF659F"/>
    <w:rsid w:val="00BF688F"/>
    <w:rsid w:val="00C00930"/>
    <w:rsid w:val="00C0148E"/>
    <w:rsid w:val="00C01C8D"/>
    <w:rsid w:val="00C02C9D"/>
    <w:rsid w:val="00C035C1"/>
    <w:rsid w:val="00C04098"/>
    <w:rsid w:val="00C044F0"/>
    <w:rsid w:val="00C0459A"/>
    <w:rsid w:val="00C0556F"/>
    <w:rsid w:val="00C0604C"/>
    <w:rsid w:val="00C060AD"/>
    <w:rsid w:val="00C0652B"/>
    <w:rsid w:val="00C0670D"/>
    <w:rsid w:val="00C0707B"/>
    <w:rsid w:val="00C07248"/>
    <w:rsid w:val="00C0771F"/>
    <w:rsid w:val="00C07E0F"/>
    <w:rsid w:val="00C07ED6"/>
    <w:rsid w:val="00C113BF"/>
    <w:rsid w:val="00C11D09"/>
    <w:rsid w:val="00C12394"/>
    <w:rsid w:val="00C126EB"/>
    <w:rsid w:val="00C12B07"/>
    <w:rsid w:val="00C12F4D"/>
    <w:rsid w:val="00C13EF8"/>
    <w:rsid w:val="00C142E7"/>
    <w:rsid w:val="00C14C89"/>
    <w:rsid w:val="00C1554B"/>
    <w:rsid w:val="00C16999"/>
    <w:rsid w:val="00C16F74"/>
    <w:rsid w:val="00C214C8"/>
    <w:rsid w:val="00C2176E"/>
    <w:rsid w:val="00C21DF5"/>
    <w:rsid w:val="00C2284A"/>
    <w:rsid w:val="00C22B2E"/>
    <w:rsid w:val="00C23430"/>
    <w:rsid w:val="00C239B4"/>
    <w:rsid w:val="00C23ADD"/>
    <w:rsid w:val="00C23F5E"/>
    <w:rsid w:val="00C24D5E"/>
    <w:rsid w:val="00C257EE"/>
    <w:rsid w:val="00C257FF"/>
    <w:rsid w:val="00C25A21"/>
    <w:rsid w:val="00C26317"/>
    <w:rsid w:val="00C26370"/>
    <w:rsid w:val="00C26376"/>
    <w:rsid w:val="00C26413"/>
    <w:rsid w:val="00C2681E"/>
    <w:rsid w:val="00C272CE"/>
    <w:rsid w:val="00C27AA1"/>
    <w:rsid w:val="00C27BBA"/>
    <w:rsid w:val="00C27D67"/>
    <w:rsid w:val="00C27F05"/>
    <w:rsid w:val="00C30035"/>
    <w:rsid w:val="00C315D5"/>
    <w:rsid w:val="00C3165B"/>
    <w:rsid w:val="00C33A0E"/>
    <w:rsid w:val="00C33E6A"/>
    <w:rsid w:val="00C34D66"/>
    <w:rsid w:val="00C36622"/>
    <w:rsid w:val="00C367DA"/>
    <w:rsid w:val="00C36814"/>
    <w:rsid w:val="00C36883"/>
    <w:rsid w:val="00C374EE"/>
    <w:rsid w:val="00C37CA4"/>
    <w:rsid w:val="00C401E3"/>
    <w:rsid w:val="00C402A2"/>
    <w:rsid w:val="00C411BC"/>
    <w:rsid w:val="00C41271"/>
    <w:rsid w:val="00C4185E"/>
    <w:rsid w:val="00C41B4B"/>
    <w:rsid w:val="00C41F9E"/>
    <w:rsid w:val="00C42AA1"/>
    <w:rsid w:val="00C42C55"/>
    <w:rsid w:val="00C4305C"/>
    <w:rsid w:val="00C4386E"/>
    <w:rsid w:val="00C45534"/>
    <w:rsid w:val="00C460F8"/>
    <w:rsid w:val="00C4631F"/>
    <w:rsid w:val="00C46491"/>
    <w:rsid w:val="00C475D3"/>
    <w:rsid w:val="00C47AE9"/>
    <w:rsid w:val="00C503AF"/>
    <w:rsid w:val="00C50E16"/>
    <w:rsid w:val="00C516A2"/>
    <w:rsid w:val="00C51992"/>
    <w:rsid w:val="00C526B8"/>
    <w:rsid w:val="00C538E3"/>
    <w:rsid w:val="00C53EF7"/>
    <w:rsid w:val="00C53F68"/>
    <w:rsid w:val="00C543C8"/>
    <w:rsid w:val="00C54B5C"/>
    <w:rsid w:val="00C55258"/>
    <w:rsid w:val="00C552DE"/>
    <w:rsid w:val="00C55340"/>
    <w:rsid w:val="00C553A7"/>
    <w:rsid w:val="00C5715B"/>
    <w:rsid w:val="00C574F8"/>
    <w:rsid w:val="00C609B3"/>
    <w:rsid w:val="00C60EEC"/>
    <w:rsid w:val="00C610DE"/>
    <w:rsid w:val="00C617CB"/>
    <w:rsid w:val="00C62721"/>
    <w:rsid w:val="00C648D2"/>
    <w:rsid w:val="00C653F8"/>
    <w:rsid w:val="00C65F52"/>
    <w:rsid w:val="00C660AE"/>
    <w:rsid w:val="00C660EF"/>
    <w:rsid w:val="00C661CF"/>
    <w:rsid w:val="00C6705E"/>
    <w:rsid w:val="00C72180"/>
    <w:rsid w:val="00C727D4"/>
    <w:rsid w:val="00C73081"/>
    <w:rsid w:val="00C74160"/>
    <w:rsid w:val="00C747BC"/>
    <w:rsid w:val="00C748BC"/>
    <w:rsid w:val="00C748C3"/>
    <w:rsid w:val="00C7548A"/>
    <w:rsid w:val="00C75763"/>
    <w:rsid w:val="00C75981"/>
    <w:rsid w:val="00C75A06"/>
    <w:rsid w:val="00C77294"/>
    <w:rsid w:val="00C77829"/>
    <w:rsid w:val="00C77904"/>
    <w:rsid w:val="00C77AE6"/>
    <w:rsid w:val="00C80FDE"/>
    <w:rsid w:val="00C81131"/>
    <w:rsid w:val="00C81AE5"/>
    <w:rsid w:val="00C82EEB"/>
    <w:rsid w:val="00C83136"/>
    <w:rsid w:val="00C83817"/>
    <w:rsid w:val="00C83F49"/>
    <w:rsid w:val="00C843EB"/>
    <w:rsid w:val="00C85839"/>
    <w:rsid w:val="00C85ADB"/>
    <w:rsid w:val="00C85AF4"/>
    <w:rsid w:val="00C86148"/>
    <w:rsid w:val="00C86CD9"/>
    <w:rsid w:val="00C86D2E"/>
    <w:rsid w:val="00C87A9B"/>
    <w:rsid w:val="00C87E49"/>
    <w:rsid w:val="00C906C4"/>
    <w:rsid w:val="00C90EFE"/>
    <w:rsid w:val="00C912E5"/>
    <w:rsid w:val="00C91495"/>
    <w:rsid w:val="00C91A52"/>
    <w:rsid w:val="00C91ABC"/>
    <w:rsid w:val="00C91CB4"/>
    <w:rsid w:val="00C9262B"/>
    <w:rsid w:val="00C92D03"/>
    <w:rsid w:val="00C935A7"/>
    <w:rsid w:val="00C936D4"/>
    <w:rsid w:val="00C93FDA"/>
    <w:rsid w:val="00C94362"/>
    <w:rsid w:val="00C95103"/>
    <w:rsid w:val="00C95545"/>
    <w:rsid w:val="00C95E86"/>
    <w:rsid w:val="00C971DC"/>
    <w:rsid w:val="00C972D2"/>
    <w:rsid w:val="00CA16B7"/>
    <w:rsid w:val="00CA1B3F"/>
    <w:rsid w:val="00CA25EF"/>
    <w:rsid w:val="00CA27C0"/>
    <w:rsid w:val="00CA34B1"/>
    <w:rsid w:val="00CA3B3F"/>
    <w:rsid w:val="00CA477D"/>
    <w:rsid w:val="00CA4BE3"/>
    <w:rsid w:val="00CA4E4F"/>
    <w:rsid w:val="00CA5332"/>
    <w:rsid w:val="00CA5BA0"/>
    <w:rsid w:val="00CA625E"/>
    <w:rsid w:val="00CA62AE"/>
    <w:rsid w:val="00CA63DA"/>
    <w:rsid w:val="00CA64DC"/>
    <w:rsid w:val="00CA79CF"/>
    <w:rsid w:val="00CA7DD7"/>
    <w:rsid w:val="00CB027E"/>
    <w:rsid w:val="00CB0678"/>
    <w:rsid w:val="00CB0750"/>
    <w:rsid w:val="00CB08E9"/>
    <w:rsid w:val="00CB10E3"/>
    <w:rsid w:val="00CB1439"/>
    <w:rsid w:val="00CB1B20"/>
    <w:rsid w:val="00CB2278"/>
    <w:rsid w:val="00CB29E2"/>
    <w:rsid w:val="00CB2E95"/>
    <w:rsid w:val="00CB2FC3"/>
    <w:rsid w:val="00CB4E5C"/>
    <w:rsid w:val="00CB5141"/>
    <w:rsid w:val="00CB5261"/>
    <w:rsid w:val="00CB54EE"/>
    <w:rsid w:val="00CB5B1A"/>
    <w:rsid w:val="00CB66C6"/>
    <w:rsid w:val="00CB7E5C"/>
    <w:rsid w:val="00CC0043"/>
    <w:rsid w:val="00CC00E5"/>
    <w:rsid w:val="00CC030A"/>
    <w:rsid w:val="00CC0A41"/>
    <w:rsid w:val="00CC0A8D"/>
    <w:rsid w:val="00CC220B"/>
    <w:rsid w:val="00CC298E"/>
    <w:rsid w:val="00CC3C76"/>
    <w:rsid w:val="00CC4E6A"/>
    <w:rsid w:val="00CC5C43"/>
    <w:rsid w:val="00CC62C3"/>
    <w:rsid w:val="00CC63CA"/>
    <w:rsid w:val="00CC6F80"/>
    <w:rsid w:val="00CC73A9"/>
    <w:rsid w:val="00CD02AE"/>
    <w:rsid w:val="00CD2A4F"/>
    <w:rsid w:val="00CD3A87"/>
    <w:rsid w:val="00CD457E"/>
    <w:rsid w:val="00CD4B08"/>
    <w:rsid w:val="00CD520B"/>
    <w:rsid w:val="00CD576E"/>
    <w:rsid w:val="00CD59E2"/>
    <w:rsid w:val="00CD60E2"/>
    <w:rsid w:val="00CD6C3F"/>
    <w:rsid w:val="00CD6E50"/>
    <w:rsid w:val="00CD7C27"/>
    <w:rsid w:val="00CD7F33"/>
    <w:rsid w:val="00CE02FC"/>
    <w:rsid w:val="00CE03CA"/>
    <w:rsid w:val="00CE0459"/>
    <w:rsid w:val="00CE0E80"/>
    <w:rsid w:val="00CE1D29"/>
    <w:rsid w:val="00CE201D"/>
    <w:rsid w:val="00CE2152"/>
    <w:rsid w:val="00CE22F1"/>
    <w:rsid w:val="00CE273D"/>
    <w:rsid w:val="00CE2F8B"/>
    <w:rsid w:val="00CE3E77"/>
    <w:rsid w:val="00CE3F97"/>
    <w:rsid w:val="00CE4084"/>
    <w:rsid w:val="00CE48DC"/>
    <w:rsid w:val="00CE50F2"/>
    <w:rsid w:val="00CE547A"/>
    <w:rsid w:val="00CE556A"/>
    <w:rsid w:val="00CE56D0"/>
    <w:rsid w:val="00CE57CA"/>
    <w:rsid w:val="00CE6502"/>
    <w:rsid w:val="00CE67FF"/>
    <w:rsid w:val="00CE682C"/>
    <w:rsid w:val="00CE6D95"/>
    <w:rsid w:val="00CE7021"/>
    <w:rsid w:val="00CE7A00"/>
    <w:rsid w:val="00CE7D9D"/>
    <w:rsid w:val="00CF0987"/>
    <w:rsid w:val="00CF14A6"/>
    <w:rsid w:val="00CF1895"/>
    <w:rsid w:val="00CF1938"/>
    <w:rsid w:val="00CF1B95"/>
    <w:rsid w:val="00CF231B"/>
    <w:rsid w:val="00CF2BA9"/>
    <w:rsid w:val="00CF2E41"/>
    <w:rsid w:val="00CF2EFB"/>
    <w:rsid w:val="00CF3E1C"/>
    <w:rsid w:val="00CF3E6D"/>
    <w:rsid w:val="00CF5FB3"/>
    <w:rsid w:val="00CF607F"/>
    <w:rsid w:val="00CF7A9C"/>
    <w:rsid w:val="00CF7B6A"/>
    <w:rsid w:val="00CF7D3C"/>
    <w:rsid w:val="00D0026E"/>
    <w:rsid w:val="00D00632"/>
    <w:rsid w:val="00D006AE"/>
    <w:rsid w:val="00D00921"/>
    <w:rsid w:val="00D01273"/>
    <w:rsid w:val="00D02366"/>
    <w:rsid w:val="00D028E5"/>
    <w:rsid w:val="00D03282"/>
    <w:rsid w:val="00D033CD"/>
    <w:rsid w:val="00D03E05"/>
    <w:rsid w:val="00D03E60"/>
    <w:rsid w:val="00D04CD0"/>
    <w:rsid w:val="00D0520D"/>
    <w:rsid w:val="00D06282"/>
    <w:rsid w:val="00D069D3"/>
    <w:rsid w:val="00D07FC9"/>
    <w:rsid w:val="00D103B1"/>
    <w:rsid w:val="00D10606"/>
    <w:rsid w:val="00D107E4"/>
    <w:rsid w:val="00D118FC"/>
    <w:rsid w:val="00D12859"/>
    <w:rsid w:val="00D13CDE"/>
    <w:rsid w:val="00D1464B"/>
    <w:rsid w:val="00D147EB"/>
    <w:rsid w:val="00D1533E"/>
    <w:rsid w:val="00D16048"/>
    <w:rsid w:val="00D1678C"/>
    <w:rsid w:val="00D168DD"/>
    <w:rsid w:val="00D16D7C"/>
    <w:rsid w:val="00D17460"/>
    <w:rsid w:val="00D176D1"/>
    <w:rsid w:val="00D20097"/>
    <w:rsid w:val="00D2042D"/>
    <w:rsid w:val="00D211DA"/>
    <w:rsid w:val="00D21203"/>
    <w:rsid w:val="00D2301A"/>
    <w:rsid w:val="00D233A8"/>
    <w:rsid w:val="00D2351A"/>
    <w:rsid w:val="00D23FD0"/>
    <w:rsid w:val="00D245FB"/>
    <w:rsid w:val="00D246F4"/>
    <w:rsid w:val="00D25289"/>
    <w:rsid w:val="00D253AA"/>
    <w:rsid w:val="00D26233"/>
    <w:rsid w:val="00D262DE"/>
    <w:rsid w:val="00D26FE0"/>
    <w:rsid w:val="00D27CAE"/>
    <w:rsid w:val="00D27EC0"/>
    <w:rsid w:val="00D315B1"/>
    <w:rsid w:val="00D31EDA"/>
    <w:rsid w:val="00D32350"/>
    <w:rsid w:val="00D32F3B"/>
    <w:rsid w:val="00D330E5"/>
    <w:rsid w:val="00D3349B"/>
    <w:rsid w:val="00D342A5"/>
    <w:rsid w:val="00D34667"/>
    <w:rsid w:val="00D347C0"/>
    <w:rsid w:val="00D349CD"/>
    <w:rsid w:val="00D349FC"/>
    <w:rsid w:val="00D35613"/>
    <w:rsid w:val="00D369F3"/>
    <w:rsid w:val="00D36B44"/>
    <w:rsid w:val="00D401E1"/>
    <w:rsid w:val="00D408B4"/>
    <w:rsid w:val="00D427BB"/>
    <w:rsid w:val="00D42B69"/>
    <w:rsid w:val="00D433CF"/>
    <w:rsid w:val="00D450E5"/>
    <w:rsid w:val="00D4524B"/>
    <w:rsid w:val="00D45C15"/>
    <w:rsid w:val="00D45D94"/>
    <w:rsid w:val="00D45F25"/>
    <w:rsid w:val="00D45F2A"/>
    <w:rsid w:val="00D4647B"/>
    <w:rsid w:val="00D46502"/>
    <w:rsid w:val="00D4659E"/>
    <w:rsid w:val="00D465DE"/>
    <w:rsid w:val="00D47A30"/>
    <w:rsid w:val="00D47D98"/>
    <w:rsid w:val="00D501C1"/>
    <w:rsid w:val="00D50715"/>
    <w:rsid w:val="00D5113C"/>
    <w:rsid w:val="00D524C8"/>
    <w:rsid w:val="00D533DA"/>
    <w:rsid w:val="00D538A7"/>
    <w:rsid w:val="00D53B8A"/>
    <w:rsid w:val="00D54260"/>
    <w:rsid w:val="00D54FF9"/>
    <w:rsid w:val="00D55C51"/>
    <w:rsid w:val="00D55E18"/>
    <w:rsid w:val="00D55E84"/>
    <w:rsid w:val="00D56C21"/>
    <w:rsid w:val="00D575B4"/>
    <w:rsid w:val="00D5779A"/>
    <w:rsid w:val="00D57C00"/>
    <w:rsid w:val="00D6073C"/>
    <w:rsid w:val="00D609D5"/>
    <w:rsid w:val="00D60E25"/>
    <w:rsid w:val="00D617DE"/>
    <w:rsid w:val="00D61B3D"/>
    <w:rsid w:val="00D61E0F"/>
    <w:rsid w:val="00D621D2"/>
    <w:rsid w:val="00D6226B"/>
    <w:rsid w:val="00D626F5"/>
    <w:rsid w:val="00D63435"/>
    <w:rsid w:val="00D64DDE"/>
    <w:rsid w:val="00D6536A"/>
    <w:rsid w:val="00D65DD4"/>
    <w:rsid w:val="00D66036"/>
    <w:rsid w:val="00D66791"/>
    <w:rsid w:val="00D6714D"/>
    <w:rsid w:val="00D67852"/>
    <w:rsid w:val="00D67E04"/>
    <w:rsid w:val="00D70A14"/>
    <w:rsid w:val="00D70E24"/>
    <w:rsid w:val="00D716B3"/>
    <w:rsid w:val="00D71A6A"/>
    <w:rsid w:val="00D72B61"/>
    <w:rsid w:val="00D72C8E"/>
    <w:rsid w:val="00D73CF6"/>
    <w:rsid w:val="00D75CEE"/>
    <w:rsid w:val="00D777CF"/>
    <w:rsid w:val="00D77C5F"/>
    <w:rsid w:val="00D80198"/>
    <w:rsid w:val="00D8030C"/>
    <w:rsid w:val="00D809D0"/>
    <w:rsid w:val="00D80CE7"/>
    <w:rsid w:val="00D81B2A"/>
    <w:rsid w:val="00D82C40"/>
    <w:rsid w:val="00D834F4"/>
    <w:rsid w:val="00D8359A"/>
    <w:rsid w:val="00D8373A"/>
    <w:rsid w:val="00D83D73"/>
    <w:rsid w:val="00D851EE"/>
    <w:rsid w:val="00D8586E"/>
    <w:rsid w:val="00D85B91"/>
    <w:rsid w:val="00D85F07"/>
    <w:rsid w:val="00D86B28"/>
    <w:rsid w:val="00D86FB9"/>
    <w:rsid w:val="00D87224"/>
    <w:rsid w:val="00D87298"/>
    <w:rsid w:val="00D9111A"/>
    <w:rsid w:val="00D91524"/>
    <w:rsid w:val="00D9239B"/>
    <w:rsid w:val="00D930D1"/>
    <w:rsid w:val="00D9310C"/>
    <w:rsid w:val="00D935B4"/>
    <w:rsid w:val="00D970DA"/>
    <w:rsid w:val="00D972CD"/>
    <w:rsid w:val="00DA08D8"/>
    <w:rsid w:val="00DA2487"/>
    <w:rsid w:val="00DA292D"/>
    <w:rsid w:val="00DA389D"/>
    <w:rsid w:val="00DA3D1D"/>
    <w:rsid w:val="00DA48A9"/>
    <w:rsid w:val="00DA507A"/>
    <w:rsid w:val="00DA5345"/>
    <w:rsid w:val="00DA5589"/>
    <w:rsid w:val="00DA67A0"/>
    <w:rsid w:val="00DA6F4D"/>
    <w:rsid w:val="00DA6F56"/>
    <w:rsid w:val="00DA758B"/>
    <w:rsid w:val="00DA77EA"/>
    <w:rsid w:val="00DA78F5"/>
    <w:rsid w:val="00DA7921"/>
    <w:rsid w:val="00DA7B85"/>
    <w:rsid w:val="00DA7FCB"/>
    <w:rsid w:val="00DB0113"/>
    <w:rsid w:val="00DB0138"/>
    <w:rsid w:val="00DB099F"/>
    <w:rsid w:val="00DB0D34"/>
    <w:rsid w:val="00DB1B2B"/>
    <w:rsid w:val="00DB28FE"/>
    <w:rsid w:val="00DB2AB0"/>
    <w:rsid w:val="00DB2FA2"/>
    <w:rsid w:val="00DB51FC"/>
    <w:rsid w:val="00DB6015"/>
    <w:rsid w:val="00DB6286"/>
    <w:rsid w:val="00DB645F"/>
    <w:rsid w:val="00DB6845"/>
    <w:rsid w:val="00DB692D"/>
    <w:rsid w:val="00DB76E9"/>
    <w:rsid w:val="00DB7A85"/>
    <w:rsid w:val="00DC0582"/>
    <w:rsid w:val="00DC095E"/>
    <w:rsid w:val="00DC09D4"/>
    <w:rsid w:val="00DC0A67"/>
    <w:rsid w:val="00DC12B9"/>
    <w:rsid w:val="00DC1D5E"/>
    <w:rsid w:val="00DC2313"/>
    <w:rsid w:val="00DC2F1F"/>
    <w:rsid w:val="00DC30A7"/>
    <w:rsid w:val="00DC3A07"/>
    <w:rsid w:val="00DC3B1D"/>
    <w:rsid w:val="00DC48B7"/>
    <w:rsid w:val="00DC5109"/>
    <w:rsid w:val="00DC5220"/>
    <w:rsid w:val="00DC5B04"/>
    <w:rsid w:val="00DC5B33"/>
    <w:rsid w:val="00DC5D68"/>
    <w:rsid w:val="00DC704D"/>
    <w:rsid w:val="00DC72C5"/>
    <w:rsid w:val="00DC7509"/>
    <w:rsid w:val="00DC7558"/>
    <w:rsid w:val="00DC76A1"/>
    <w:rsid w:val="00DC7910"/>
    <w:rsid w:val="00DD0045"/>
    <w:rsid w:val="00DD0260"/>
    <w:rsid w:val="00DD05F9"/>
    <w:rsid w:val="00DD0AA4"/>
    <w:rsid w:val="00DD1436"/>
    <w:rsid w:val="00DD1C6F"/>
    <w:rsid w:val="00DD2061"/>
    <w:rsid w:val="00DD3129"/>
    <w:rsid w:val="00DD3270"/>
    <w:rsid w:val="00DD3896"/>
    <w:rsid w:val="00DD38E2"/>
    <w:rsid w:val="00DD518E"/>
    <w:rsid w:val="00DD5A1D"/>
    <w:rsid w:val="00DD5A84"/>
    <w:rsid w:val="00DD5EC9"/>
    <w:rsid w:val="00DD6121"/>
    <w:rsid w:val="00DD6122"/>
    <w:rsid w:val="00DD61F2"/>
    <w:rsid w:val="00DD6E39"/>
    <w:rsid w:val="00DD6F15"/>
    <w:rsid w:val="00DD7DAB"/>
    <w:rsid w:val="00DE063D"/>
    <w:rsid w:val="00DE06B3"/>
    <w:rsid w:val="00DE0A89"/>
    <w:rsid w:val="00DE0A9E"/>
    <w:rsid w:val="00DE0DA7"/>
    <w:rsid w:val="00DE146C"/>
    <w:rsid w:val="00DE1537"/>
    <w:rsid w:val="00DE1850"/>
    <w:rsid w:val="00DE21E7"/>
    <w:rsid w:val="00DE25A7"/>
    <w:rsid w:val="00DE2DB4"/>
    <w:rsid w:val="00DE3355"/>
    <w:rsid w:val="00DE36E9"/>
    <w:rsid w:val="00DE3A48"/>
    <w:rsid w:val="00DE3B39"/>
    <w:rsid w:val="00DE5101"/>
    <w:rsid w:val="00DE5BE7"/>
    <w:rsid w:val="00DE615D"/>
    <w:rsid w:val="00DE6E92"/>
    <w:rsid w:val="00DF0093"/>
    <w:rsid w:val="00DF0694"/>
    <w:rsid w:val="00DF0B25"/>
    <w:rsid w:val="00DF0D61"/>
    <w:rsid w:val="00DF1AFA"/>
    <w:rsid w:val="00DF2CE2"/>
    <w:rsid w:val="00DF32E8"/>
    <w:rsid w:val="00DF3658"/>
    <w:rsid w:val="00DF3B45"/>
    <w:rsid w:val="00DF4588"/>
    <w:rsid w:val="00DF4590"/>
    <w:rsid w:val="00DF486F"/>
    <w:rsid w:val="00DF4CCF"/>
    <w:rsid w:val="00DF5B5B"/>
    <w:rsid w:val="00DF6F1A"/>
    <w:rsid w:val="00DF6F97"/>
    <w:rsid w:val="00DF7619"/>
    <w:rsid w:val="00DF7A1A"/>
    <w:rsid w:val="00DF7B41"/>
    <w:rsid w:val="00E00B21"/>
    <w:rsid w:val="00E00BBE"/>
    <w:rsid w:val="00E034D9"/>
    <w:rsid w:val="00E03B23"/>
    <w:rsid w:val="00E041D5"/>
    <w:rsid w:val="00E042D8"/>
    <w:rsid w:val="00E0511A"/>
    <w:rsid w:val="00E05747"/>
    <w:rsid w:val="00E05814"/>
    <w:rsid w:val="00E06FF4"/>
    <w:rsid w:val="00E070CD"/>
    <w:rsid w:val="00E07603"/>
    <w:rsid w:val="00E07EE7"/>
    <w:rsid w:val="00E1103B"/>
    <w:rsid w:val="00E11295"/>
    <w:rsid w:val="00E115BF"/>
    <w:rsid w:val="00E129F5"/>
    <w:rsid w:val="00E130D8"/>
    <w:rsid w:val="00E1352B"/>
    <w:rsid w:val="00E1354A"/>
    <w:rsid w:val="00E13F4C"/>
    <w:rsid w:val="00E14E31"/>
    <w:rsid w:val="00E150DF"/>
    <w:rsid w:val="00E17B44"/>
    <w:rsid w:val="00E17E32"/>
    <w:rsid w:val="00E17F4B"/>
    <w:rsid w:val="00E20A6A"/>
    <w:rsid w:val="00E21513"/>
    <w:rsid w:val="00E218C8"/>
    <w:rsid w:val="00E219D6"/>
    <w:rsid w:val="00E21F9F"/>
    <w:rsid w:val="00E22235"/>
    <w:rsid w:val="00E22742"/>
    <w:rsid w:val="00E22C32"/>
    <w:rsid w:val="00E23333"/>
    <w:rsid w:val="00E2721F"/>
    <w:rsid w:val="00E27651"/>
    <w:rsid w:val="00E27A40"/>
    <w:rsid w:val="00E27FEA"/>
    <w:rsid w:val="00E3121C"/>
    <w:rsid w:val="00E31306"/>
    <w:rsid w:val="00E31474"/>
    <w:rsid w:val="00E316A9"/>
    <w:rsid w:val="00E3187A"/>
    <w:rsid w:val="00E322CD"/>
    <w:rsid w:val="00E322E8"/>
    <w:rsid w:val="00E337CA"/>
    <w:rsid w:val="00E33DD8"/>
    <w:rsid w:val="00E35231"/>
    <w:rsid w:val="00E3608F"/>
    <w:rsid w:val="00E37830"/>
    <w:rsid w:val="00E37934"/>
    <w:rsid w:val="00E40322"/>
    <w:rsid w:val="00E4086F"/>
    <w:rsid w:val="00E4102D"/>
    <w:rsid w:val="00E41B13"/>
    <w:rsid w:val="00E41C09"/>
    <w:rsid w:val="00E424BA"/>
    <w:rsid w:val="00E42BE1"/>
    <w:rsid w:val="00E437ED"/>
    <w:rsid w:val="00E43B3C"/>
    <w:rsid w:val="00E44411"/>
    <w:rsid w:val="00E447BA"/>
    <w:rsid w:val="00E44E3B"/>
    <w:rsid w:val="00E45166"/>
    <w:rsid w:val="00E4565F"/>
    <w:rsid w:val="00E45A0E"/>
    <w:rsid w:val="00E45F45"/>
    <w:rsid w:val="00E46A8F"/>
    <w:rsid w:val="00E474E4"/>
    <w:rsid w:val="00E47892"/>
    <w:rsid w:val="00E4789B"/>
    <w:rsid w:val="00E479AC"/>
    <w:rsid w:val="00E50188"/>
    <w:rsid w:val="00E50322"/>
    <w:rsid w:val="00E507A9"/>
    <w:rsid w:val="00E50A28"/>
    <w:rsid w:val="00E50BE3"/>
    <w:rsid w:val="00E50EE5"/>
    <w:rsid w:val="00E515CB"/>
    <w:rsid w:val="00E51901"/>
    <w:rsid w:val="00E51C43"/>
    <w:rsid w:val="00E51C62"/>
    <w:rsid w:val="00E51D14"/>
    <w:rsid w:val="00E52260"/>
    <w:rsid w:val="00E52538"/>
    <w:rsid w:val="00E52925"/>
    <w:rsid w:val="00E53C93"/>
    <w:rsid w:val="00E53E6E"/>
    <w:rsid w:val="00E5487F"/>
    <w:rsid w:val="00E549C0"/>
    <w:rsid w:val="00E55215"/>
    <w:rsid w:val="00E560A5"/>
    <w:rsid w:val="00E56A6E"/>
    <w:rsid w:val="00E5725C"/>
    <w:rsid w:val="00E57920"/>
    <w:rsid w:val="00E57B59"/>
    <w:rsid w:val="00E602DF"/>
    <w:rsid w:val="00E61170"/>
    <w:rsid w:val="00E61C8D"/>
    <w:rsid w:val="00E61F18"/>
    <w:rsid w:val="00E62197"/>
    <w:rsid w:val="00E6249B"/>
    <w:rsid w:val="00E6260F"/>
    <w:rsid w:val="00E62650"/>
    <w:rsid w:val="00E6352B"/>
    <w:rsid w:val="00E639B6"/>
    <w:rsid w:val="00E6434B"/>
    <w:rsid w:val="00E6463D"/>
    <w:rsid w:val="00E64DE6"/>
    <w:rsid w:val="00E6529E"/>
    <w:rsid w:val="00E6572A"/>
    <w:rsid w:val="00E65795"/>
    <w:rsid w:val="00E661AA"/>
    <w:rsid w:val="00E6756B"/>
    <w:rsid w:val="00E67836"/>
    <w:rsid w:val="00E678FB"/>
    <w:rsid w:val="00E7046F"/>
    <w:rsid w:val="00E70A5C"/>
    <w:rsid w:val="00E70C0F"/>
    <w:rsid w:val="00E7114A"/>
    <w:rsid w:val="00E71432"/>
    <w:rsid w:val="00E716A7"/>
    <w:rsid w:val="00E71CF5"/>
    <w:rsid w:val="00E72912"/>
    <w:rsid w:val="00E72E57"/>
    <w:rsid w:val="00E72E9B"/>
    <w:rsid w:val="00E733A0"/>
    <w:rsid w:val="00E740D3"/>
    <w:rsid w:val="00E74164"/>
    <w:rsid w:val="00E74680"/>
    <w:rsid w:val="00E74FA0"/>
    <w:rsid w:val="00E75A4E"/>
    <w:rsid w:val="00E77590"/>
    <w:rsid w:val="00E77E8D"/>
    <w:rsid w:val="00E80000"/>
    <w:rsid w:val="00E80CE2"/>
    <w:rsid w:val="00E820EC"/>
    <w:rsid w:val="00E822D6"/>
    <w:rsid w:val="00E82C41"/>
    <w:rsid w:val="00E83CF9"/>
    <w:rsid w:val="00E83E99"/>
    <w:rsid w:val="00E83F77"/>
    <w:rsid w:val="00E849DA"/>
    <w:rsid w:val="00E855B1"/>
    <w:rsid w:val="00E86361"/>
    <w:rsid w:val="00E87BDB"/>
    <w:rsid w:val="00E87FC8"/>
    <w:rsid w:val="00E8F0E9"/>
    <w:rsid w:val="00E90278"/>
    <w:rsid w:val="00E90F8F"/>
    <w:rsid w:val="00E911F2"/>
    <w:rsid w:val="00E915D4"/>
    <w:rsid w:val="00E915D6"/>
    <w:rsid w:val="00E91CFC"/>
    <w:rsid w:val="00E93137"/>
    <w:rsid w:val="00E934F6"/>
    <w:rsid w:val="00E938EC"/>
    <w:rsid w:val="00E93D75"/>
    <w:rsid w:val="00E9462E"/>
    <w:rsid w:val="00E9499B"/>
    <w:rsid w:val="00E949BF"/>
    <w:rsid w:val="00E962E2"/>
    <w:rsid w:val="00E9673B"/>
    <w:rsid w:val="00E96FF1"/>
    <w:rsid w:val="00E97ADC"/>
    <w:rsid w:val="00EA0E34"/>
    <w:rsid w:val="00EA0FDD"/>
    <w:rsid w:val="00EA1467"/>
    <w:rsid w:val="00EA1C27"/>
    <w:rsid w:val="00EA25FA"/>
    <w:rsid w:val="00EA2B46"/>
    <w:rsid w:val="00EA3F3A"/>
    <w:rsid w:val="00EA470E"/>
    <w:rsid w:val="00EA47A7"/>
    <w:rsid w:val="00EA55FE"/>
    <w:rsid w:val="00EA57EB"/>
    <w:rsid w:val="00EA6D49"/>
    <w:rsid w:val="00EA7D16"/>
    <w:rsid w:val="00EB2039"/>
    <w:rsid w:val="00EB2127"/>
    <w:rsid w:val="00EB2D1F"/>
    <w:rsid w:val="00EB2F6B"/>
    <w:rsid w:val="00EB3107"/>
    <w:rsid w:val="00EB3226"/>
    <w:rsid w:val="00EB3908"/>
    <w:rsid w:val="00EB45C0"/>
    <w:rsid w:val="00EB4AAE"/>
    <w:rsid w:val="00EB4C47"/>
    <w:rsid w:val="00EB53E1"/>
    <w:rsid w:val="00EB7D74"/>
    <w:rsid w:val="00EC213A"/>
    <w:rsid w:val="00EC2DCB"/>
    <w:rsid w:val="00EC4C1B"/>
    <w:rsid w:val="00EC4FC7"/>
    <w:rsid w:val="00EC505F"/>
    <w:rsid w:val="00EC5D53"/>
    <w:rsid w:val="00EC5F7E"/>
    <w:rsid w:val="00EC6603"/>
    <w:rsid w:val="00EC76F9"/>
    <w:rsid w:val="00EC7744"/>
    <w:rsid w:val="00EC7956"/>
    <w:rsid w:val="00EC7CFF"/>
    <w:rsid w:val="00EC7D76"/>
    <w:rsid w:val="00ED0DAD"/>
    <w:rsid w:val="00ED0F46"/>
    <w:rsid w:val="00ED1096"/>
    <w:rsid w:val="00ED1449"/>
    <w:rsid w:val="00ED2356"/>
    <w:rsid w:val="00ED2373"/>
    <w:rsid w:val="00ED267F"/>
    <w:rsid w:val="00ED29AB"/>
    <w:rsid w:val="00ED3149"/>
    <w:rsid w:val="00ED32D1"/>
    <w:rsid w:val="00ED37FF"/>
    <w:rsid w:val="00ED3933"/>
    <w:rsid w:val="00ED3AEC"/>
    <w:rsid w:val="00ED5186"/>
    <w:rsid w:val="00ED52B8"/>
    <w:rsid w:val="00ED5B97"/>
    <w:rsid w:val="00ED60D3"/>
    <w:rsid w:val="00ED6C1A"/>
    <w:rsid w:val="00ED719F"/>
    <w:rsid w:val="00ED76B6"/>
    <w:rsid w:val="00ED7B4E"/>
    <w:rsid w:val="00EE010D"/>
    <w:rsid w:val="00EE1171"/>
    <w:rsid w:val="00EE2CB3"/>
    <w:rsid w:val="00EE3E8A"/>
    <w:rsid w:val="00EE401F"/>
    <w:rsid w:val="00EE5133"/>
    <w:rsid w:val="00EE62BC"/>
    <w:rsid w:val="00EE6743"/>
    <w:rsid w:val="00EE6CC9"/>
    <w:rsid w:val="00EE733B"/>
    <w:rsid w:val="00EE763D"/>
    <w:rsid w:val="00EE7AA4"/>
    <w:rsid w:val="00EE7CD5"/>
    <w:rsid w:val="00EF1FB1"/>
    <w:rsid w:val="00EF2147"/>
    <w:rsid w:val="00EF4E6F"/>
    <w:rsid w:val="00EF5402"/>
    <w:rsid w:val="00EF550D"/>
    <w:rsid w:val="00EF5980"/>
    <w:rsid w:val="00EF5BC8"/>
    <w:rsid w:val="00EF5D3C"/>
    <w:rsid w:val="00EF5FE9"/>
    <w:rsid w:val="00EF638F"/>
    <w:rsid w:val="00EF6ECA"/>
    <w:rsid w:val="00EF7A5A"/>
    <w:rsid w:val="00EF7CE5"/>
    <w:rsid w:val="00EF7E0F"/>
    <w:rsid w:val="00F00106"/>
    <w:rsid w:val="00F0074F"/>
    <w:rsid w:val="00F008D5"/>
    <w:rsid w:val="00F01FA1"/>
    <w:rsid w:val="00F023FA"/>
    <w:rsid w:val="00F024E1"/>
    <w:rsid w:val="00F04E23"/>
    <w:rsid w:val="00F05816"/>
    <w:rsid w:val="00F05C70"/>
    <w:rsid w:val="00F06157"/>
    <w:rsid w:val="00F06897"/>
    <w:rsid w:val="00F06C10"/>
    <w:rsid w:val="00F07485"/>
    <w:rsid w:val="00F07A16"/>
    <w:rsid w:val="00F1096F"/>
    <w:rsid w:val="00F11027"/>
    <w:rsid w:val="00F110CA"/>
    <w:rsid w:val="00F11364"/>
    <w:rsid w:val="00F11E7F"/>
    <w:rsid w:val="00F11F1E"/>
    <w:rsid w:val="00F121D1"/>
    <w:rsid w:val="00F12589"/>
    <w:rsid w:val="00F12595"/>
    <w:rsid w:val="00F12F7E"/>
    <w:rsid w:val="00F134D9"/>
    <w:rsid w:val="00F13EAB"/>
    <w:rsid w:val="00F1403D"/>
    <w:rsid w:val="00F14269"/>
    <w:rsid w:val="00F1463F"/>
    <w:rsid w:val="00F153D2"/>
    <w:rsid w:val="00F2069B"/>
    <w:rsid w:val="00F20B6B"/>
    <w:rsid w:val="00F21302"/>
    <w:rsid w:val="00F23DF6"/>
    <w:rsid w:val="00F24995"/>
    <w:rsid w:val="00F25195"/>
    <w:rsid w:val="00F25CE2"/>
    <w:rsid w:val="00F30F40"/>
    <w:rsid w:val="00F31DDB"/>
    <w:rsid w:val="00F321DE"/>
    <w:rsid w:val="00F32336"/>
    <w:rsid w:val="00F32DED"/>
    <w:rsid w:val="00F33201"/>
    <w:rsid w:val="00F33383"/>
    <w:rsid w:val="00F334FB"/>
    <w:rsid w:val="00F33777"/>
    <w:rsid w:val="00F3626D"/>
    <w:rsid w:val="00F40648"/>
    <w:rsid w:val="00F40C27"/>
    <w:rsid w:val="00F41380"/>
    <w:rsid w:val="00F41E0B"/>
    <w:rsid w:val="00F43004"/>
    <w:rsid w:val="00F43E1D"/>
    <w:rsid w:val="00F44554"/>
    <w:rsid w:val="00F44F0B"/>
    <w:rsid w:val="00F45527"/>
    <w:rsid w:val="00F455C9"/>
    <w:rsid w:val="00F456B5"/>
    <w:rsid w:val="00F4606C"/>
    <w:rsid w:val="00F47C31"/>
    <w:rsid w:val="00F47DA2"/>
    <w:rsid w:val="00F5034F"/>
    <w:rsid w:val="00F503A4"/>
    <w:rsid w:val="00F505C6"/>
    <w:rsid w:val="00F50D0F"/>
    <w:rsid w:val="00F50D54"/>
    <w:rsid w:val="00F511BA"/>
    <w:rsid w:val="00F5153F"/>
    <w:rsid w:val="00F519FC"/>
    <w:rsid w:val="00F51B78"/>
    <w:rsid w:val="00F5206C"/>
    <w:rsid w:val="00F52FFE"/>
    <w:rsid w:val="00F53464"/>
    <w:rsid w:val="00F547FC"/>
    <w:rsid w:val="00F54930"/>
    <w:rsid w:val="00F54C92"/>
    <w:rsid w:val="00F56322"/>
    <w:rsid w:val="00F56649"/>
    <w:rsid w:val="00F56A96"/>
    <w:rsid w:val="00F56DA8"/>
    <w:rsid w:val="00F57593"/>
    <w:rsid w:val="00F57B1C"/>
    <w:rsid w:val="00F6015F"/>
    <w:rsid w:val="00F601EB"/>
    <w:rsid w:val="00F604B8"/>
    <w:rsid w:val="00F608D9"/>
    <w:rsid w:val="00F609A0"/>
    <w:rsid w:val="00F60F32"/>
    <w:rsid w:val="00F61DDC"/>
    <w:rsid w:val="00F6239D"/>
    <w:rsid w:val="00F6263E"/>
    <w:rsid w:val="00F62BC0"/>
    <w:rsid w:val="00F65542"/>
    <w:rsid w:val="00F65837"/>
    <w:rsid w:val="00F660E6"/>
    <w:rsid w:val="00F6621E"/>
    <w:rsid w:val="00F66382"/>
    <w:rsid w:val="00F668AE"/>
    <w:rsid w:val="00F66D77"/>
    <w:rsid w:val="00F66E24"/>
    <w:rsid w:val="00F67409"/>
    <w:rsid w:val="00F715D2"/>
    <w:rsid w:val="00F71BDA"/>
    <w:rsid w:val="00F7274F"/>
    <w:rsid w:val="00F72BA6"/>
    <w:rsid w:val="00F72CB8"/>
    <w:rsid w:val="00F73332"/>
    <w:rsid w:val="00F73940"/>
    <w:rsid w:val="00F73B26"/>
    <w:rsid w:val="00F73E55"/>
    <w:rsid w:val="00F73F1E"/>
    <w:rsid w:val="00F73F20"/>
    <w:rsid w:val="00F75A69"/>
    <w:rsid w:val="00F76329"/>
    <w:rsid w:val="00F76DAE"/>
    <w:rsid w:val="00F76FA8"/>
    <w:rsid w:val="00F773EC"/>
    <w:rsid w:val="00F7767F"/>
    <w:rsid w:val="00F777DF"/>
    <w:rsid w:val="00F8024E"/>
    <w:rsid w:val="00F81E10"/>
    <w:rsid w:val="00F82548"/>
    <w:rsid w:val="00F8352A"/>
    <w:rsid w:val="00F85205"/>
    <w:rsid w:val="00F85DC7"/>
    <w:rsid w:val="00F8625C"/>
    <w:rsid w:val="00F86E90"/>
    <w:rsid w:val="00F8701D"/>
    <w:rsid w:val="00F871D3"/>
    <w:rsid w:val="00F90CC3"/>
    <w:rsid w:val="00F9103C"/>
    <w:rsid w:val="00F91A2B"/>
    <w:rsid w:val="00F91BAC"/>
    <w:rsid w:val="00F91C7E"/>
    <w:rsid w:val="00F92377"/>
    <w:rsid w:val="00F92F95"/>
    <w:rsid w:val="00F93642"/>
    <w:rsid w:val="00F93979"/>
    <w:rsid w:val="00F93F08"/>
    <w:rsid w:val="00F93FB4"/>
    <w:rsid w:val="00F9437F"/>
    <w:rsid w:val="00F94CED"/>
    <w:rsid w:val="00F94F00"/>
    <w:rsid w:val="00F95510"/>
    <w:rsid w:val="00F95627"/>
    <w:rsid w:val="00F97D06"/>
    <w:rsid w:val="00FA0136"/>
    <w:rsid w:val="00FA1028"/>
    <w:rsid w:val="00FA1262"/>
    <w:rsid w:val="00FA15BE"/>
    <w:rsid w:val="00FA2CEE"/>
    <w:rsid w:val="00FA318C"/>
    <w:rsid w:val="00FA3B19"/>
    <w:rsid w:val="00FA3B7C"/>
    <w:rsid w:val="00FA753B"/>
    <w:rsid w:val="00FA7805"/>
    <w:rsid w:val="00FB0513"/>
    <w:rsid w:val="00FB11CD"/>
    <w:rsid w:val="00FB1217"/>
    <w:rsid w:val="00FB1347"/>
    <w:rsid w:val="00FB18D7"/>
    <w:rsid w:val="00FB22DE"/>
    <w:rsid w:val="00FB288A"/>
    <w:rsid w:val="00FB2DD6"/>
    <w:rsid w:val="00FB317B"/>
    <w:rsid w:val="00FB3A8E"/>
    <w:rsid w:val="00FB44F4"/>
    <w:rsid w:val="00FB4578"/>
    <w:rsid w:val="00FB4821"/>
    <w:rsid w:val="00FB4BA8"/>
    <w:rsid w:val="00FB560D"/>
    <w:rsid w:val="00FB5A5F"/>
    <w:rsid w:val="00FB608E"/>
    <w:rsid w:val="00FB6782"/>
    <w:rsid w:val="00FB6F92"/>
    <w:rsid w:val="00FB7776"/>
    <w:rsid w:val="00FB7E42"/>
    <w:rsid w:val="00FC026E"/>
    <w:rsid w:val="00FC0FB5"/>
    <w:rsid w:val="00FC12D2"/>
    <w:rsid w:val="00FC1C66"/>
    <w:rsid w:val="00FC2568"/>
    <w:rsid w:val="00FC26F0"/>
    <w:rsid w:val="00FC2945"/>
    <w:rsid w:val="00FC3548"/>
    <w:rsid w:val="00FC46C8"/>
    <w:rsid w:val="00FC5124"/>
    <w:rsid w:val="00FC5B7E"/>
    <w:rsid w:val="00FC68CE"/>
    <w:rsid w:val="00FC7FEE"/>
    <w:rsid w:val="00FD0780"/>
    <w:rsid w:val="00FD0FF9"/>
    <w:rsid w:val="00FD195F"/>
    <w:rsid w:val="00FD1DEA"/>
    <w:rsid w:val="00FD288E"/>
    <w:rsid w:val="00FD36AD"/>
    <w:rsid w:val="00FD39C6"/>
    <w:rsid w:val="00FD3E5A"/>
    <w:rsid w:val="00FD3EEC"/>
    <w:rsid w:val="00FD4731"/>
    <w:rsid w:val="00FD4DDB"/>
    <w:rsid w:val="00FD54C1"/>
    <w:rsid w:val="00FD5C21"/>
    <w:rsid w:val="00FD5C91"/>
    <w:rsid w:val="00FD5E27"/>
    <w:rsid w:val="00FD6AAE"/>
    <w:rsid w:val="00FD7BF5"/>
    <w:rsid w:val="00FE14CB"/>
    <w:rsid w:val="00FE29F4"/>
    <w:rsid w:val="00FE469C"/>
    <w:rsid w:val="00FE61E4"/>
    <w:rsid w:val="00FE6442"/>
    <w:rsid w:val="00FE6612"/>
    <w:rsid w:val="00FE740A"/>
    <w:rsid w:val="00FE7BC7"/>
    <w:rsid w:val="00FF0AB0"/>
    <w:rsid w:val="00FF1929"/>
    <w:rsid w:val="00FF28AC"/>
    <w:rsid w:val="00FF3578"/>
    <w:rsid w:val="00FF3B69"/>
    <w:rsid w:val="00FF4394"/>
    <w:rsid w:val="00FF43B9"/>
    <w:rsid w:val="00FF4922"/>
    <w:rsid w:val="00FF4D25"/>
    <w:rsid w:val="00FF5A0E"/>
    <w:rsid w:val="00FF5FD8"/>
    <w:rsid w:val="00FF71B3"/>
    <w:rsid w:val="00FF7F62"/>
    <w:rsid w:val="010F4C63"/>
    <w:rsid w:val="017D9F44"/>
    <w:rsid w:val="03A12DA3"/>
    <w:rsid w:val="040017E1"/>
    <w:rsid w:val="042D5460"/>
    <w:rsid w:val="046FB7C3"/>
    <w:rsid w:val="04EC5248"/>
    <w:rsid w:val="0545DC50"/>
    <w:rsid w:val="05573AD1"/>
    <w:rsid w:val="05FC2B56"/>
    <w:rsid w:val="0619CDD2"/>
    <w:rsid w:val="064C3195"/>
    <w:rsid w:val="07309324"/>
    <w:rsid w:val="074ED60E"/>
    <w:rsid w:val="07B81E96"/>
    <w:rsid w:val="07FE905D"/>
    <w:rsid w:val="082CDA1A"/>
    <w:rsid w:val="084035D9"/>
    <w:rsid w:val="08A15E41"/>
    <w:rsid w:val="09646823"/>
    <w:rsid w:val="0A248685"/>
    <w:rsid w:val="0AEE1D5D"/>
    <w:rsid w:val="0C03728C"/>
    <w:rsid w:val="0C655559"/>
    <w:rsid w:val="0C74985B"/>
    <w:rsid w:val="0D4BBB7D"/>
    <w:rsid w:val="0D920AA9"/>
    <w:rsid w:val="0E866C6B"/>
    <w:rsid w:val="0EF6A45D"/>
    <w:rsid w:val="0F21A015"/>
    <w:rsid w:val="0FDE3400"/>
    <w:rsid w:val="10AD1E53"/>
    <w:rsid w:val="10B690AE"/>
    <w:rsid w:val="1171ED10"/>
    <w:rsid w:val="11FBE060"/>
    <w:rsid w:val="1263F50B"/>
    <w:rsid w:val="13754F38"/>
    <w:rsid w:val="13828E00"/>
    <w:rsid w:val="14F06446"/>
    <w:rsid w:val="1551AC96"/>
    <w:rsid w:val="15945FCB"/>
    <w:rsid w:val="1698CBE2"/>
    <w:rsid w:val="173608F7"/>
    <w:rsid w:val="175936E0"/>
    <w:rsid w:val="17B8AC0B"/>
    <w:rsid w:val="18F3C2A0"/>
    <w:rsid w:val="19703A7E"/>
    <w:rsid w:val="19F0A5F3"/>
    <w:rsid w:val="19FA28B1"/>
    <w:rsid w:val="1A0D922F"/>
    <w:rsid w:val="1A834B43"/>
    <w:rsid w:val="1B63E714"/>
    <w:rsid w:val="1B6AA2FA"/>
    <w:rsid w:val="1CE5D4A6"/>
    <w:rsid w:val="1D239EB5"/>
    <w:rsid w:val="1E2243BC"/>
    <w:rsid w:val="1E58D86F"/>
    <w:rsid w:val="1E79808C"/>
    <w:rsid w:val="1E7D2BE1"/>
    <w:rsid w:val="1F946BAD"/>
    <w:rsid w:val="20A328CA"/>
    <w:rsid w:val="211D2767"/>
    <w:rsid w:val="21B12470"/>
    <w:rsid w:val="2319621E"/>
    <w:rsid w:val="2374DD03"/>
    <w:rsid w:val="24F9436C"/>
    <w:rsid w:val="2502A5C6"/>
    <w:rsid w:val="25104615"/>
    <w:rsid w:val="2624511C"/>
    <w:rsid w:val="26641FBB"/>
    <w:rsid w:val="26DE2383"/>
    <w:rsid w:val="26E54DAF"/>
    <w:rsid w:val="27857784"/>
    <w:rsid w:val="27D065C1"/>
    <w:rsid w:val="28B5BB7A"/>
    <w:rsid w:val="295B3CF6"/>
    <w:rsid w:val="2B030D4C"/>
    <w:rsid w:val="2B881F30"/>
    <w:rsid w:val="2C020CB6"/>
    <w:rsid w:val="2CC33BAF"/>
    <w:rsid w:val="312463FB"/>
    <w:rsid w:val="31D4F746"/>
    <w:rsid w:val="31E9DC82"/>
    <w:rsid w:val="324C1E20"/>
    <w:rsid w:val="32DAA6A5"/>
    <w:rsid w:val="3320A96C"/>
    <w:rsid w:val="33384615"/>
    <w:rsid w:val="33A46E83"/>
    <w:rsid w:val="33A4D96F"/>
    <w:rsid w:val="33AA974A"/>
    <w:rsid w:val="356D85CA"/>
    <w:rsid w:val="38C951AD"/>
    <w:rsid w:val="38E3423B"/>
    <w:rsid w:val="38F6B3BE"/>
    <w:rsid w:val="396A6EAD"/>
    <w:rsid w:val="39F3B3E4"/>
    <w:rsid w:val="3A6B7E0E"/>
    <w:rsid w:val="3AB82F42"/>
    <w:rsid w:val="3B0E4137"/>
    <w:rsid w:val="3C2DF267"/>
    <w:rsid w:val="3DB3F0AE"/>
    <w:rsid w:val="3E7522A8"/>
    <w:rsid w:val="3EE0E3E1"/>
    <w:rsid w:val="3EED107B"/>
    <w:rsid w:val="3EFDBF91"/>
    <w:rsid w:val="3F032027"/>
    <w:rsid w:val="3F9494DA"/>
    <w:rsid w:val="4031AF89"/>
    <w:rsid w:val="41822E5F"/>
    <w:rsid w:val="41CE2164"/>
    <w:rsid w:val="42FBC849"/>
    <w:rsid w:val="433847F2"/>
    <w:rsid w:val="43643E37"/>
    <w:rsid w:val="43CF790A"/>
    <w:rsid w:val="43DDD823"/>
    <w:rsid w:val="447B57DE"/>
    <w:rsid w:val="44F84B42"/>
    <w:rsid w:val="46579AF5"/>
    <w:rsid w:val="47B27DF0"/>
    <w:rsid w:val="47C292C4"/>
    <w:rsid w:val="49118619"/>
    <w:rsid w:val="49742C7B"/>
    <w:rsid w:val="4A08E645"/>
    <w:rsid w:val="4A391343"/>
    <w:rsid w:val="4AF88EC0"/>
    <w:rsid w:val="4BBC643D"/>
    <w:rsid w:val="4BDC2ADA"/>
    <w:rsid w:val="4C03FB8C"/>
    <w:rsid w:val="4CA28B31"/>
    <w:rsid w:val="4D300BC3"/>
    <w:rsid w:val="4DC250D6"/>
    <w:rsid w:val="4E0649B0"/>
    <w:rsid w:val="4E15A9FF"/>
    <w:rsid w:val="4E688DCA"/>
    <w:rsid w:val="4FE359E3"/>
    <w:rsid w:val="4FE73EA6"/>
    <w:rsid w:val="4FEE8055"/>
    <w:rsid w:val="5096AA50"/>
    <w:rsid w:val="509E46DA"/>
    <w:rsid w:val="51517B4B"/>
    <w:rsid w:val="52CE03D9"/>
    <w:rsid w:val="5356A392"/>
    <w:rsid w:val="537D310B"/>
    <w:rsid w:val="53E70867"/>
    <w:rsid w:val="550B1C4C"/>
    <w:rsid w:val="5593FC4A"/>
    <w:rsid w:val="55BC68C0"/>
    <w:rsid w:val="56717C4A"/>
    <w:rsid w:val="56773442"/>
    <w:rsid w:val="56F8BBF5"/>
    <w:rsid w:val="57018755"/>
    <w:rsid w:val="5775E1F0"/>
    <w:rsid w:val="57B27A4C"/>
    <w:rsid w:val="57B3B3AE"/>
    <w:rsid w:val="57D109F0"/>
    <w:rsid w:val="5945B21F"/>
    <w:rsid w:val="59744C42"/>
    <w:rsid w:val="5A6A00C0"/>
    <w:rsid w:val="5B364FE0"/>
    <w:rsid w:val="5B77614A"/>
    <w:rsid w:val="5BA96572"/>
    <w:rsid w:val="5BB358B7"/>
    <w:rsid w:val="5BDF7C0A"/>
    <w:rsid w:val="5C54DD17"/>
    <w:rsid w:val="5C816D1B"/>
    <w:rsid w:val="5D73CD91"/>
    <w:rsid w:val="5D882214"/>
    <w:rsid w:val="5E1E2322"/>
    <w:rsid w:val="5FF37945"/>
    <w:rsid w:val="60CBD1DD"/>
    <w:rsid w:val="624E1728"/>
    <w:rsid w:val="62CF0311"/>
    <w:rsid w:val="6317FA21"/>
    <w:rsid w:val="6327227D"/>
    <w:rsid w:val="634A9B8A"/>
    <w:rsid w:val="63D3F548"/>
    <w:rsid w:val="641637CA"/>
    <w:rsid w:val="65510C13"/>
    <w:rsid w:val="6571A918"/>
    <w:rsid w:val="6597D0A9"/>
    <w:rsid w:val="65EA87EF"/>
    <w:rsid w:val="6662B37F"/>
    <w:rsid w:val="6669ED2F"/>
    <w:rsid w:val="679C58A9"/>
    <w:rsid w:val="67DC7D00"/>
    <w:rsid w:val="68B7B28A"/>
    <w:rsid w:val="6957615F"/>
    <w:rsid w:val="69667CBA"/>
    <w:rsid w:val="696CD882"/>
    <w:rsid w:val="69865343"/>
    <w:rsid w:val="699154B3"/>
    <w:rsid w:val="69E50DBF"/>
    <w:rsid w:val="6AE74BF9"/>
    <w:rsid w:val="6B135E66"/>
    <w:rsid w:val="6BADF79B"/>
    <w:rsid w:val="6BD81CCD"/>
    <w:rsid w:val="6BE6DBD0"/>
    <w:rsid w:val="6D1981D9"/>
    <w:rsid w:val="6D19FB02"/>
    <w:rsid w:val="6D3C3765"/>
    <w:rsid w:val="6DAD291C"/>
    <w:rsid w:val="6DD5DF24"/>
    <w:rsid w:val="6E06DB71"/>
    <w:rsid w:val="6E189B8C"/>
    <w:rsid w:val="6EB024DF"/>
    <w:rsid w:val="6EC792DC"/>
    <w:rsid w:val="6F046E21"/>
    <w:rsid w:val="6F646885"/>
    <w:rsid w:val="6FE5D7DD"/>
    <w:rsid w:val="7028A36D"/>
    <w:rsid w:val="7066A720"/>
    <w:rsid w:val="70F1BA1C"/>
    <w:rsid w:val="71BFFBFF"/>
    <w:rsid w:val="7287F197"/>
    <w:rsid w:val="728F9832"/>
    <w:rsid w:val="72944281"/>
    <w:rsid w:val="7307A1C3"/>
    <w:rsid w:val="736598FA"/>
    <w:rsid w:val="7383E5FD"/>
    <w:rsid w:val="7385081A"/>
    <w:rsid w:val="73C2C161"/>
    <w:rsid w:val="74B475EB"/>
    <w:rsid w:val="754D4F0A"/>
    <w:rsid w:val="754E54B3"/>
    <w:rsid w:val="75B51F1B"/>
    <w:rsid w:val="76560702"/>
    <w:rsid w:val="76839CC2"/>
    <w:rsid w:val="76BB9FCC"/>
    <w:rsid w:val="778790B3"/>
    <w:rsid w:val="78575E02"/>
    <w:rsid w:val="7876FA11"/>
    <w:rsid w:val="792EDEDD"/>
    <w:rsid w:val="79E9B4EC"/>
    <w:rsid w:val="79F24C0F"/>
    <w:rsid w:val="7AB5814B"/>
    <w:rsid w:val="7B71B79F"/>
    <w:rsid w:val="7BBBDB4D"/>
    <w:rsid w:val="7C3D4FA3"/>
    <w:rsid w:val="7C6A5CC1"/>
    <w:rsid w:val="7CE54F7C"/>
    <w:rsid w:val="7CF88909"/>
    <w:rsid w:val="7D0E5FC9"/>
    <w:rsid w:val="7F0B5562"/>
    <w:rsid w:val="7FDB4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4DFE"/>
  <w15:docId w15:val="{0043923E-3434-4100-8AE5-47ECF96F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5E6E"/>
    <w:pPr>
      <w:spacing w:before="120" w:after="120"/>
    </w:pPr>
    <w:rPr>
      <w:rFonts w:ascii="Arial" w:hAnsi="Arial"/>
      <w:sz w:val="21"/>
      <w:szCs w:val="24"/>
      <w:lang w:eastAsia="en-US"/>
    </w:rPr>
  </w:style>
  <w:style w:type="paragraph" w:styleId="Heading1">
    <w:name w:val="heading 1"/>
    <w:basedOn w:val="Normal"/>
    <w:next w:val="Paragraphtext"/>
    <w:qFormat/>
    <w:rsid w:val="00CE3E77"/>
    <w:pPr>
      <w:keepNext/>
      <w:outlineLvl w:val="0"/>
    </w:pPr>
    <w:rPr>
      <w:rFonts w:cs="Arial"/>
      <w:b/>
      <w:bCs/>
      <w:color w:val="18233B"/>
      <w:kern w:val="28"/>
      <w:sz w:val="28"/>
      <w:szCs w:val="28"/>
    </w:rPr>
  </w:style>
  <w:style w:type="paragraph" w:styleId="Heading2">
    <w:name w:val="heading 2"/>
    <w:next w:val="Paragraphtext"/>
    <w:qFormat/>
    <w:rsid w:val="00955E6E"/>
    <w:pPr>
      <w:keepNext/>
      <w:spacing w:before="240" w:after="240"/>
      <w:outlineLvl w:val="1"/>
    </w:pPr>
    <w:rPr>
      <w:rFonts w:ascii="Arial" w:hAnsi="Arial" w:cs="Arial"/>
      <w:b/>
      <w:bCs/>
      <w:iCs/>
      <w:color w:val="48607B"/>
      <w:sz w:val="24"/>
      <w:szCs w:val="28"/>
      <w:lang w:eastAsia="en-US"/>
    </w:rPr>
  </w:style>
  <w:style w:type="paragraph" w:styleId="Heading3">
    <w:name w:val="heading 3"/>
    <w:next w:val="Normal"/>
    <w:qFormat/>
    <w:rsid w:val="00AC1485"/>
    <w:pPr>
      <w:keepNext/>
      <w:spacing w:before="180" w:after="60"/>
      <w:outlineLvl w:val="2"/>
    </w:pPr>
    <w:rPr>
      <w:rFonts w:ascii="Arial" w:hAnsi="Arial" w:cs="Arial"/>
      <w:bCs/>
      <w:color w:val="1F497D" w:themeColor="text2"/>
      <w:sz w:val="28"/>
      <w:szCs w:val="26"/>
      <w:lang w:eastAsia="en-US"/>
    </w:rPr>
  </w:style>
  <w:style w:type="paragraph" w:styleId="Heading4">
    <w:name w:val="heading 4"/>
    <w:basedOn w:val="Normal"/>
    <w:next w:val="Normal"/>
    <w:qFormat/>
    <w:rsid w:val="00027071"/>
    <w:pPr>
      <w:keepNext/>
      <w:spacing w:before="240"/>
      <w:outlineLvl w:val="3"/>
    </w:pPr>
    <w:rPr>
      <w:b/>
      <w:bCs/>
      <w:i/>
      <w:color w:val="41414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CD59E2"/>
    <w:pPr>
      <w:jc w:val="center"/>
    </w:p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Paragraphtext"/>
    <w:next w:val="Normal"/>
    <w:link w:val="SubtitleChar"/>
    <w:qFormat/>
    <w:rsid w:val="00045E79"/>
    <w:pPr>
      <w:spacing w:before="240"/>
      <w:ind w:left="624"/>
    </w:pPr>
    <w:rPr>
      <w:color w:val="1F497D" w:themeColor="text2"/>
      <w:sz w:val="44"/>
      <w:szCs w:val="44"/>
      <w:lang w:eastAsia="en-AU"/>
    </w:rPr>
  </w:style>
  <w:style w:type="character" w:customStyle="1" w:styleId="SubtitleChar">
    <w:name w:val="Subtitle Char"/>
    <w:basedOn w:val="DefaultParagraphFont"/>
    <w:link w:val="Subtitle"/>
    <w:rsid w:val="00045E79"/>
    <w:rPr>
      <w:rFonts w:ascii="Arial" w:hAnsi="Arial"/>
      <w:color w:val="1F497D" w:themeColor="text2"/>
      <w:sz w:val="44"/>
      <w:szCs w:val="44"/>
    </w:rPr>
  </w:style>
  <w:style w:type="paragraph" w:styleId="Title">
    <w:name w:val="Title"/>
    <w:basedOn w:val="Normal"/>
    <w:next w:val="Paragraphtext"/>
    <w:link w:val="TitleChar"/>
    <w:qFormat/>
    <w:rsid w:val="00045E79"/>
    <w:pPr>
      <w:spacing w:before="2760"/>
      <w:ind w:left="624"/>
      <w:contextualSpacing/>
    </w:pPr>
    <w:rPr>
      <w:rFonts w:eastAsiaTheme="majorEastAsia" w:cstheme="majorBidi"/>
      <w:b/>
      <w:noProof/>
      <w:color w:val="1F497D" w:themeColor="text2"/>
      <w:kern w:val="28"/>
      <w:sz w:val="54"/>
      <w:szCs w:val="54"/>
      <w:lang w:eastAsia="en-AU"/>
    </w:rPr>
  </w:style>
  <w:style w:type="character" w:customStyle="1" w:styleId="TitleChar">
    <w:name w:val="Title Char"/>
    <w:basedOn w:val="DefaultParagraphFont"/>
    <w:link w:val="Title"/>
    <w:rsid w:val="00045E79"/>
    <w:rPr>
      <w:rFonts w:ascii="Arial" w:eastAsiaTheme="majorEastAsia" w:hAnsi="Arial" w:cstheme="majorBidi"/>
      <w:b/>
      <w:noProof/>
      <w:color w:val="1F497D" w:themeColor="text2"/>
      <w:kern w:val="28"/>
      <w:sz w:val="54"/>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955E6E"/>
    <w:pPr>
      <w:numPr>
        <w:numId w:val="0"/>
      </w:numPr>
    </w:pPr>
    <w:rPr>
      <w:sz w:val="18"/>
    </w:rPr>
  </w:style>
  <w:style w:type="paragraph" w:styleId="ListBullet">
    <w:name w:val="List Bullet"/>
    <w:qFormat/>
    <w:rsid w:val="00361E69"/>
    <w:pPr>
      <w:numPr>
        <w:numId w:val="5"/>
      </w:numPr>
      <w:spacing w:after="120"/>
      <w:ind w:left="527" w:hanging="357"/>
    </w:pPr>
    <w:rPr>
      <w:rFonts w:ascii="Arial" w:hAnsi="Arial"/>
      <w:color w:val="000000" w:themeColor="text1"/>
      <w:sz w:val="21"/>
      <w:szCs w:val="24"/>
      <w:lang w:eastAsia="en-US"/>
    </w:rPr>
  </w:style>
  <w:style w:type="paragraph" w:customStyle="1" w:styleId="StyleTableHeaderWhite">
    <w:name w:val="Style Table Header White +"/>
    <w:basedOn w:val="TableHeaderWhite"/>
    <w:rsid w:val="00955E6E"/>
    <w:rPr>
      <w:bC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361E69"/>
    <w:pPr>
      <w:tabs>
        <w:tab w:val="left" w:pos="990"/>
      </w:tabs>
      <w:contextualSpacing/>
    </w:pPr>
    <w:rPr>
      <w:rFonts w:ascii="Arial" w:hAnsi="Arial" w:cs="Arial"/>
      <w:iCs/>
      <w:color w:val="000000" w:themeColor="text1"/>
      <w:sz w:val="18"/>
      <w:szCs w:val="1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4F81BD"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next w:val="Tabletextleft"/>
    <w:qFormat/>
    <w:rsid w:val="00D10606"/>
    <w:pPr>
      <w:spacing w:before="100" w:beforeAutospacing="1" w:after="100" w:afterAutospacing="1"/>
      <w:jc w:val="center"/>
    </w:pPr>
    <w:rPr>
      <w:rFonts w:ascii="Arial" w:eastAsia="Cambria" w:hAnsi="Arial"/>
      <w:b/>
      <w:color w:val="FFFFFF" w:themeColor="background1"/>
      <w:sz w:val="18"/>
      <w:szCs w:val="22"/>
      <w:lang w:val="en-US"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E915D6"/>
    <w:pPr>
      <w:spacing w:before="80" w:after="80"/>
    </w:pPr>
    <w:rPr>
      <w:rFonts w:eastAsia="Cambria"/>
      <w:b/>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link w:val="FootnoteTextChar"/>
    <w:rsid w:val="00D10606"/>
    <w:pPr>
      <w:spacing w:before="120" w:after="60"/>
    </w:pPr>
    <w:rPr>
      <w:rFonts w:ascii="Arial" w:hAnsi="Arial"/>
      <w:sz w:val="18"/>
      <w:lang w:eastAsia="en-US"/>
    </w:rPr>
  </w:style>
  <w:style w:type="character" w:customStyle="1" w:styleId="FootnoteTextChar">
    <w:name w:val="Footnote Text Char"/>
    <w:basedOn w:val="DefaultParagraphFont"/>
    <w:link w:val="FootnoteText"/>
    <w:rsid w:val="00D10606"/>
    <w:rPr>
      <w:rFonts w:ascii="Arial" w:hAnsi="Arial"/>
      <w:sz w:val="18"/>
      <w:lang w:eastAsia="en-US"/>
    </w:rPr>
  </w:style>
  <w:style w:type="paragraph" w:styleId="Caption">
    <w:name w:val="caption"/>
    <w:basedOn w:val="Normal"/>
    <w:next w:val="Normal"/>
    <w:unhideWhenUsed/>
    <w:rsid w:val="002912DA"/>
    <w:pPr>
      <w:keepNext/>
      <w:spacing w:after="60"/>
    </w:pPr>
    <w:rPr>
      <w:b/>
      <w:bCs/>
      <w:sz w:val="18"/>
      <w:szCs w:val="18"/>
    </w:rPr>
  </w:style>
  <w:style w:type="paragraph" w:customStyle="1" w:styleId="VisionBox">
    <w:name w:val="VisionBox"/>
    <w:basedOn w:val="Normal"/>
    <w:qFormat/>
    <w:rsid w:val="00AC1485"/>
    <w:pPr>
      <w:pBdr>
        <w:top w:val="single" w:sz="4" w:space="15" w:color="C0504D" w:themeColor="accent2"/>
        <w:bottom w:val="single" w:sz="4" w:space="10" w:color="C0504D" w:themeColor="accent2"/>
      </w:pBdr>
      <w:spacing w:before="240" w:after="240" w:line="340" w:lineRule="exact"/>
    </w:pPr>
    <w:rPr>
      <w:rFonts w:eastAsiaTheme="minorHAnsi"/>
      <w:color w:val="C0504D" w:themeColor="accent2"/>
    </w:rPr>
  </w:style>
  <w:style w:type="paragraph" w:customStyle="1" w:styleId="Style1">
    <w:name w:val="Style1"/>
    <w:next w:val="Normal"/>
    <w:rsid w:val="00AC1485"/>
    <w:pPr>
      <w:pBdr>
        <w:top w:val="single" w:sz="6" w:space="20" w:color="C0504D" w:themeColor="accent2"/>
        <w:left w:val="single" w:sz="6" w:space="10" w:color="C0504D" w:themeColor="accent2"/>
        <w:bottom w:val="single" w:sz="6" w:space="10" w:color="C0504D" w:themeColor="accent2"/>
        <w:right w:val="single" w:sz="6" w:space="10" w:color="C0504D"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10606"/>
    <w:pPr>
      <w:contextualSpacing/>
    </w:pPr>
    <w:rPr>
      <w:rFonts w:asciiTheme="minorHAnsi" w:hAnsiTheme="minorHAnsi"/>
      <w:color w:val="000000" w:themeColor="text1"/>
      <w:sz w:val="16"/>
    </w:rPr>
    <w:tblPr>
      <w:tblStyleRowBandSize w:val="1"/>
      <w:tblBorders>
        <w:top w:val="single" w:sz="6" w:space="0" w:color="4F81BD" w:themeColor="accent1"/>
        <w:bottom w:val="single" w:sz="6" w:space="0" w:color="4F81BD" w:themeColor="accent1"/>
        <w:insideH w:val="single" w:sz="6" w:space="0" w:color="4F81BD" w:themeColor="accent1"/>
      </w:tblBorders>
      <w:tblCellMar>
        <w:top w:w="57" w:type="dxa"/>
        <w:left w:w="85" w:type="dxa"/>
        <w:bottom w:w="57" w:type="dxa"/>
        <w:right w:w="57" w:type="dxa"/>
      </w:tblCellMar>
    </w:tblPr>
    <w:tcPr>
      <w:shd w:val="clear" w:color="auto" w:fill="FFFFFF" w:themeFill="background1"/>
    </w:tcPr>
    <w:tblStylePr w:type="firstRow">
      <w:pPr>
        <w:jc w:val="left"/>
      </w:pPr>
      <w:rPr>
        <w:rFonts w:ascii="Arial" w:hAnsi="Arial"/>
        <w:b w:val="0"/>
        <w:color w:val="FFFFFF" w:themeColor="background1"/>
        <w:sz w:val="18"/>
      </w:rPr>
      <w:tblPr/>
      <w:tcPr>
        <w:tcBorders>
          <w:top w:val="nil"/>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cBorders>
        <w:shd w:val="clear" w:color="auto" w:fill="1F497D" w:themeFill="text2"/>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4F81BD" w:themeColor="accent1"/>
      <w:sz w:val="22"/>
      <w:szCs w:val="24"/>
      <w:lang w:val="en-US" w:eastAsia="en-US"/>
    </w:rPr>
  </w:style>
  <w:style w:type="paragraph" w:customStyle="1" w:styleId="IntroPara">
    <w:name w:val="Intro Para"/>
    <w:basedOn w:val="Paragraphtext"/>
    <w:next w:val="Paragraphtext"/>
    <w:qFormat/>
    <w:rsid w:val="00AC1485"/>
    <w:pPr>
      <w:spacing w:before="480" w:line="400" w:lineRule="exact"/>
    </w:pPr>
    <w:rPr>
      <w:color w:val="C0504D" w:themeColor="accent2"/>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375C15"/>
    <w:pPr>
      <w:jc w:val="center"/>
    </w:pPr>
  </w:style>
  <w:style w:type="paragraph" w:customStyle="1" w:styleId="Boxheading">
    <w:name w:val="Box heading"/>
    <w:basedOn w:val="Boxtype"/>
    <w:qFormat/>
    <w:rsid w:val="00AC1485"/>
    <w:pPr>
      <w:spacing w:before="240"/>
    </w:pPr>
    <w:rPr>
      <w:rFonts w:cs="Times New Roman"/>
      <w:b/>
      <w:bCs/>
      <w:caps/>
      <w:color w:val="C0504D" w:themeColor="accent2"/>
      <w:szCs w:val="20"/>
    </w:rPr>
  </w:style>
  <w:style w:type="paragraph" w:customStyle="1" w:styleId="Boxtype">
    <w:name w:val="Box type"/>
    <w:next w:val="Normal"/>
    <w:qFormat/>
    <w:rsid w:val="00AC1485"/>
    <w:pPr>
      <w:pBdr>
        <w:top w:val="single" w:sz="6" w:space="20" w:color="C0504D" w:themeColor="accent2"/>
        <w:left w:val="single" w:sz="6" w:space="10" w:color="C0504D" w:themeColor="accent2"/>
        <w:bottom w:val="single" w:sz="6" w:space="10" w:color="C0504D" w:themeColor="accent2"/>
        <w:right w:val="single" w:sz="6" w:space="10" w:color="C0504D"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4F81BD" w:themeColor="accent1"/>
        <w:insideH w:val="single" w:sz="6" w:space="0" w:color="4F81BD"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4F81BD" w:themeFill="accent1"/>
      </w:tcPr>
    </w:tblStylePr>
  </w:style>
  <w:style w:type="paragraph" w:styleId="TOCHeading">
    <w:name w:val="TOC Heading"/>
    <w:basedOn w:val="Heading1"/>
    <w:next w:val="Normal"/>
    <w:uiPriority w:val="39"/>
    <w:unhideWhenUsed/>
    <w:qFormat/>
    <w:rsid w:val="00CD59E2"/>
    <w:pPr>
      <w:keepLines/>
      <w:spacing w:line="259" w:lineRule="auto"/>
      <w:outlineLvl w:val="9"/>
    </w:pPr>
    <w:rPr>
      <w:rFonts w:eastAsiaTheme="majorEastAsia" w:cstheme="majorBidi"/>
      <w:b w:val="0"/>
      <w:bCs w:val="0"/>
      <w:color w:val="365F91" w:themeColor="accent1" w:themeShade="BF"/>
      <w:kern w:val="0"/>
      <w:sz w:val="32"/>
      <w:szCs w:val="32"/>
      <w:lang w:val="en-US"/>
    </w:rPr>
  </w:style>
  <w:style w:type="paragraph" w:styleId="TOC1">
    <w:name w:val="toc 1"/>
    <w:basedOn w:val="Normal"/>
    <w:next w:val="Normal"/>
    <w:autoRedefine/>
    <w:uiPriority w:val="39"/>
    <w:unhideWhenUsed/>
    <w:rsid w:val="00151D20"/>
    <w:pPr>
      <w:tabs>
        <w:tab w:val="right" w:leader="dot" w:pos="9060"/>
      </w:tabs>
      <w:spacing w:after="100"/>
    </w:pPr>
  </w:style>
  <w:style w:type="character" w:styleId="CommentReference">
    <w:name w:val="annotation reference"/>
    <w:basedOn w:val="DefaultParagraphFont"/>
    <w:semiHidden/>
    <w:unhideWhenUsed/>
    <w:rsid w:val="00D8373A"/>
    <w:rPr>
      <w:sz w:val="16"/>
      <w:szCs w:val="16"/>
    </w:rPr>
  </w:style>
  <w:style w:type="paragraph" w:styleId="CommentText">
    <w:name w:val="annotation text"/>
    <w:basedOn w:val="Normal"/>
    <w:link w:val="CommentTextChar"/>
    <w:unhideWhenUsed/>
    <w:rsid w:val="00D8373A"/>
    <w:rPr>
      <w:sz w:val="20"/>
      <w:szCs w:val="20"/>
    </w:rPr>
  </w:style>
  <w:style w:type="character" w:customStyle="1" w:styleId="CommentTextChar">
    <w:name w:val="Comment Text Char"/>
    <w:basedOn w:val="DefaultParagraphFont"/>
    <w:link w:val="CommentText"/>
    <w:rsid w:val="00D8373A"/>
    <w:rPr>
      <w:rFonts w:ascii="Arial" w:hAnsi="Arial"/>
      <w:lang w:eastAsia="en-US"/>
    </w:rPr>
  </w:style>
  <w:style w:type="paragraph" w:styleId="CommentSubject">
    <w:name w:val="annotation subject"/>
    <w:basedOn w:val="CommentText"/>
    <w:next w:val="CommentText"/>
    <w:link w:val="CommentSubjectChar"/>
    <w:semiHidden/>
    <w:unhideWhenUsed/>
    <w:rsid w:val="00D8373A"/>
    <w:rPr>
      <w:b/>
      <w:bCs/>
    </w:rPr>
  </w:style>
  <w:style w:type="character" w:customStyle="1" w:styleId="CommentSubjectChar">
    <w:name w:val="Comment Subject Char"/>
    <w:basedOn w:val="CommentTextChar"/>
    <w:link w:val="CommentSubject"/>
    <w:semiHidden/>
    <w:rsid w:val="00D8373A"/>
    <w:rPr>
      <w:rFonts w:ascii="Arial" w:hAnsi="Arial"/>
      <w:b/>
      <w:bCs/>
      <w:lang w:eastAsia="en-US"/>
    </w:rPr>
  </w:style>
  <w:style w:type="character" w:styleId="UnresolvedMention">
    <w:name w:val="Unresolved Mention"/>
    <w:basedOn w:val="DefaultParagraphFont"/>
    <w:uiPriority w:val="99"/>
    <w:semiHidden/>
    <w:unhideWhenUsed/>
    <w:rsid w:val="00D8373A"/>
    <w:rPr>
      <w:color w:val="605E5C"/>
      <w:shd w:val="clear" w:color="auto" w:fill="E1DFDD"/>
    </w:rPr>
  </w:style>
  <w:style w:type="paragraph" w:styleId="TOC2">
    <w:name w:val="toc 2"/>
    <w:basedOn w:val="Normal"/>
    <w:next w:val="Normal"/>
    <w:autoRedefine/>
    <w:uiPriority w:val="39"/>
    <w:unhideWhenUsed/>
    <w:rsid w:val="002F323A"/>
    <w:pPr>
      <w:spacing w:after="100"/>
      <w:ind w:left="210"/>
    </w:pPr>
  </w:style>
  <w:style w:type="paragraph" w:styleId="TOC3">
    <w:name w:val="toc 3"/>
    <w:basedOn w:val="Normal"/>
    <w:next w:val="Normal"/>
    <w:autoRedefine/>
    <w:uiPriority w:val="39"/>
    <w:unhideWhenUsed/>
    <w:rsid w:val="002F323A"/>
    <w:pPr>
      <w:spacing w:after="100"/>
      <w:ind w:left="420"/>
    </w:pPr>
  </w:style>
  <w:style w:type="paragraph" w:customStyle="1" w:styleId="Default">
    <w:name w:val="Default"/>
    <w:link w:val="DefaultChar"/>
    <w:rsid w:val="00E45166"/>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D45F2A"/>
    <w:rPr>
      <w:rFonts w:ascii="Arial" w:hAnsi="Arial"/>
      <w:sz w:val="21"/>
      <w:szCs w:val="24"/>
      <w:lang w:eastAsia="en-US"/>
    </w:rPr>
  </w:style>
  <w:style w:type="character" w:styleId="FollowedHyperlink">
    <w:name w:val="FollowedHyperlink"/>
    <w:basedOn w:val="DefaultParagraphFont"/>
    <w:semiHidden/>
    <w:unhideWhenUsed/>
    <w:rsid w:val="0070144E"/>
    <w:rPr>
      <w:color w:val="800080" w:themeColor="followedHyperlink"/>
      <w:u w:val="single"/>
    </w:rPr>
  </w:style>
  <w:style w:type="character" w:styleId="FootnoteReference">
    <w:name w:val="footnote reference"/>
    <w:basedOn w:val="DefaultParagraphFont"/>
    <w:unhideWhenUsed/>
    <w:rsid w:val="00361E69"/>
    <w:rPr>
      <w:rFonts w:ascii="Arial" w:hAnsi="Arial"/>
      <w:sz w:val="20"/>
      <w:vertAlign w:val="superscript"/>
    </w:rPr>
  </w:style>
  <w:style w:type="table" w:styleId="TableGridLight">
    <w:name w:val="Grid Table Light"/>
    <w:basedOn w:val="TableNormal"/>
    <w:uiPriority w:val="40"/>
    <w:rsid w:val="00340E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1625C"/>
  </w:style>
  <w:style w:type="character" w:customStyle="1" w:styleId="DefaultChar">
    <w:name w:val="Default Char"/>
    <w:basedOn w:val="DefaultParagraphFont"/>
    <w:link w:val="Default"/>
    <w:locked/>
    <w:rsid w:val="000E54E6"/>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74">
      <w:bodyDiv w:val="1"/>
      <w:marLeft w:val="0"/>
      <w:marRight w:val="0"/>
      <w:marTop w:val="0"/>
      <w:marBottom w:val="0"/>
      <w:divBdr>
        <w:top w:val="none" w:sz="0" w:space="0" w:color="auto"/>
        <w:left w:val="none" w:sz="0" w:space="0" w:color="auto"/>
        <w:bottom w:val="none" w:sz="0" w:space="0" w:color="auto"/>
        <w:right w:val="none" w:sz="0" w:space="0" w:color="auto"/>
      </w:divBdr>
    </w:div>
    <w:div w:id="37553331">
      <w:bodyDiv w:val="1"/>
      <w:marLeft w:val="0"/>
      <w:marRight w:val="0"/>
      <w:marTop w:val="0"/>
      <w:marBottom w:val="0"/>
      <w:divBdr>
        <w:top w:val="none" w:sz="0" w:space="0" w:color="auto"/>
        <w:left w:val="none" w:sz="0" w:space="0" w:color="auto"/>
        <w:bottom w:val="none" w:sz="0" w:space="0" w:color="auto"/>
        <w:right w:val="none" w:sz="0" w:space="0" w:color="auto"/>
      </w:divBdr>
    </w:div>
    <w:div w:id="45836068">
      <w:bodyDiv w:val="1"/>
      <w:marLeft w:val="0"/>
      <w:marRight w:val="0"/>
      <w:marTop w:val="0"/>
      <w:marBottom w:val="0"/>
      <w:divBdr>
        <w:top w:val="none" w:sz="0" w:space="0" w:color="auto"/>
        <w:left w:val="none" w:sz="0" w:space="0" w:color="auto"/>
        <w:bottom w:val="none" w:sz="0" w:space="0" w:color="auto"/>
        <w:right w:val="none" w:sz="0" w:space="0" w:color="auto"/>
      </w:divBdr>
    </w:div>
    <w:div w:id="67728483">
      <w:bodyDiv w:val="1"/>
      <w:marLeft w:val="0"/>
      <w:marRight w:val="0"/>
      <w:marTop w:val="0"/>
      <w:marBottom w:val="0"/>
      <w:divBdr>
        <w:top w:val="none" w:sz="0" w:space="0" w:color="auto"/>
        <w:left w:val="none" w:sz="0" w:space="0" w:color="auto"/>
        <w:bottom w:val="none" w:sz="0" w:space="0" w:color="auto"/>
        <w:right w:val="none" w:sz="0" w:space="0" w:color="auto"/>
      </w:divBdr>
    </w:div>
    <w:div w:id="80954360">
      <w:bodyDiv w:val="1"/>
      <w:marLeft w:val="0"/>
      <w:marRight w:val="0"/>
      <w:marTop w:val="0"/>
      <w:marBottom w:val="0"/>
      <w:divBdr>
        <w:top w:val="none" w:sz="0" w:space="0" w:color="auto"/>
        <w:left w:val="none" w:sz="0" w:space="0" w:color="auto"/>
        <w:bottom w:val="none" w:sz="0" w:space="0" w:color="auto"/>
        <w:right w:val="none" w:sz="0" w:space="0" w:color="auto"/>
      </w:divBdr>
    </w:div>
    <w:div w:id="92749207">
      <w:bodyDiv w:val="1"/>
      <w:marLeft w:val="0"/>
      <w:marRight w:val="0"/>
      <w:marTop w:val="0"/>
      <w:marBottom w:val="0"/>
      <w:divBdr>
        <w:top w:val="none" w:sz="0" w:space="0" w:color="auto"/>
        <w:left w:val="none" w:sz="0" w:space="0" w:color="auto"/>
        <w:bottom w:val="none" w:sz="0" w:space="0" w:color="auto"/>
        <w:right w:val="none" w:sz="0" w:space="0" w:color="auto"/>
      </w:divBdr>
    </w:div>
    <w:div w:id="94404491">
      <w:bodyDiv w:val="1"/>
      <w:marLeft w:val="0"/>
      <w:marRight w:val="0"/>
      <w:marTop w:val="0"/>
      <w:marBottom w:val="0"/>
      <w:divBdr>
        <w:top w:val="none" w:sz="0" w:space="0" w:color="auto"/>
        <w:left w:val="none" w:sz="0" w:space="0" w:color="auto"/>
        <w:bottom w:val="none" w:sz="0" w:space="0" w:color="auto"/>
        <w:right w:val="none" w:sz="0" w:space="0" w:color="auto"/>
      </w:divBdr>
    </w:div>
    <w:div w:id="94518482">
      <w:bodyDiv w:val="1"/>
      <w:marLeft w:val="0"/>
      <w:marRight w:val="0"/>
      <w:marTop w:val="0"/>
      <w:marBottom w:val="0"/>
      <w:divBdr>
        <w:top w:val="none" w:sz="0" w:space="0" w:color="auto"/>
        <w:left w:val="none" w:sz="0" w:space="0" w:color="auto"/>
        <w:bottom w:val="none" w:sz="0" w:space="0" w:color="auto"/>
        <w:right w:val="none" w:sz="0" w:space="0" w:color="auto"/>
      </w:divBdr>
    </w:div>
    <w:div w:id="109280706">
      <w:bodyDiv w:val="1"/>
      <w:marLeft w:val="0"/>
      <w:marRight w:val="0"/>
      <w:marTop w:val="0"/>
      <w:marBottom w:val="0"/>
      <w:divBdr>
        <w:top w:val="none" w:sz="0" w:space="0" w:color="auto"/>
        <w:left w:val="none" w:sz="0" w:space="0" w:color="auto"/>
        <w:bottom w:val="none" w:sz="0" w:space="0" w:color="auto"/>
        <w:right w:val="none" w:sz="0" w:space="0" w:color="auto"/>
      </w:divBdr>
    </w:div>
    <w:div w:id="138352557">
      <w:bodyDiv w:val="1"/>
      <w:marLeft w:val="0"/>
      <w:marRight w:val="0"/>
      <w:marTop w:val="0"/>
      <w:marBottom w:val="0"/>
      <w:divBdr>
        <w:top w:val="none" w:sz="0" w:space="0" w:color="auto"/>
        <w:left w:val="none" w:sz="0" w:space="0" w:color="auto"/>
        <w:bottom w:val="none" w:sz="0" w:space="0" w:color="auto"/>
        <w:right w:val="none" w:sz="0" w:space="0" w:color="auto"/>
      </w:divBdr>
    </w:div>
    <w:div w:id="144006468">
      <w:bodyDiv w:val="1"/>
      <w:marLeft w:val="0"/>
      <w:marRight w:val="0"/>
      <w:marTop w:val="0"/>
      <w:marBottom w:val="0"/>
      <w:divBdr>
        <w:top w:val="none" w:sz="0" w:space="0" w:color="auto"/>
        <w:left w:val="none" w:sz="0" w:space="0" w:color="auto"/>
        <w:bottom w:val="none" w:sz="0" w:space="0" w:color="auto"/>
        <w:right w:val="none" w:sz="0" w:space="0" w:color="auto"/>
      </w:divBdr>
    </w:div>
    <w:div w:id="153379500">
      <w:bodyDiv w:val="1"/>
      <w:marLeft w:val="0"/>
      <w:marRight w:val="0"/>
      <w:marTop w:val="0"/>
      <w:marBottom w:val="0"/>
      <w:divBdr>
        <w:top w:val="none" w:sz="0" w:space="0" w:color="auto"/>
        <w:left w:val="none" w:sz="0" w:space="0" w:color="auto"/>
        <w:bottom w:val="none" w:sz="0" w:space="0" w:color="auto"/>
        <w:right w:val="none" w:sz="0" w:space="0" w:color="auto"/>
      </w:divBdr>
    </w:div>
    <w:div w:id="189491584">
      <w:bodyDiv w:val="1"/>
      <w:marLeft w:val="0"/>
      <w:marRight w:val="0"/>
      <w:marTop w:val="0"/>
      <w:marBottom w:val="0"/>
      <w:divBdr>
        <w:top w:val="none" w:sz="0" w:space="0" w:color="auto"/>
        <w:left w:val="none" w:sz="0" w:space="0" w:color="auto"/>
        <w:bottom w:val="none" w:sz="0" w:space="0" w:color="auto"/>
        <w:right w:val="none" w:sz="0" w:space="0" w:color="auto"/>
      </w:divBdr>
    </w:div>
    <w:div w:id="210308674">
      <w:bodyDiv w:val="1"/>
      <w:marLeft w:val="0"/>
      <w:marRight w:val="0"/>
      <w:marTop w:val="0"/>
      <w:marBottom w:val="0"/>
      <w:divBdr>
        <w:top w:val="none" w:sz="0" w:space="0" w:color="auto"/>
        <w:left w:val="none" w:sz="0" w:space="0" w:color="auto"/>
        <w:bottom w:val="none" w:sz="0" w:space="0" w:color="auto"/>
        <w:right w:val="none" w:sz="0" w:space="0" w:color="auto"/>
      </w:divBdr>
    </w:div>
    <w:div w:id="224754399">
      <w:bodyDiv w:val="1"/>
      <w:marLeft w:val="0"/>
      <w:marRight w:val="0"/>
      <w:marTop w:val="0"/>
      <w:marBottom w:val="0"/>
      <w:divBdr>
        <w:top w:val="none" w:sz="0" w:space="0" w:color="auto"/>
        <w:left w:val="none" w:sz="0" w:space="0" w:color="auto"/>
        <w:bottom w:val="none" w:sz="0" w:space="0" w:color="auto"/>
        <w:right w:val="none" w:sz="0" w:space="0" w:color="auto"/>
      </w:divBdr>
    </w:div>
    <w:div w:id="251477504">
      <w:bodyDiv w:val="1"/>
      <w:marLeft w:val="0"/>
      <w:marRight w:val="0"/>
      <w:marTop w:val="0"/>
      <w:marBottom w:val="0"/>
      <w:divBdr>
        <w:top w:val="none" w:sz="0" w:space="0" w:color="auto"/>
        <w:left w:val="none" w:sz="0" w:space="0" w:color="auto"/>
        <w:bottom w:val="none" w:sz="0" w:space="0" w:color="auto"/>
        <w:right w:val="none" w:sz="0" w:space="0" w:color="auto"/>
      </w:divBdr>
    </w:div>
    <w:div w:id="261837301">
      <w:bodyDiv w:val="1"/>
      <w:marLeft w:val="0"/>
      <w:marRight w:val="0"/>
      <w:marTop w:val="0"/>
      <w:marBottom w:val="0"/>
      <w:divBdr>
        <w:top w:val="none" w:sz="0" w:space="0" w:color="auto"/>
        <w:left w:val="none" w:sz="0" w:space="0" w:color="auto"/>
        <w:bottom w:val="none" w:sz="0" w:space="0" w:color="auto"/>
        <w:right w:val="none" w:sz="0" w:space="0" w:color="auto"/>
      </w:divBdr>
    </w:div>
    <w:div w:id="3225091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0908154">
      <w:bodyDiv w:val="1"/>
      <w:marLeft w:val="0"/>
      <w:marRight w:val="0"/>
      <w:marTop w:val="0"/>
      <w:marBottom w:val="0"/>
      <w:divBdr>
        <w:top w:val="none" w:sz="0" w:space="0" w:color="auto"/>
        <w:left w:val="none" w:sz="0" w:space="0" w:color="auto"/>
        <w:bottom w:val="none" w:sz="0" w:space="0" w:color="auto"/>
        <w:right w:val="none" w:sz="0" w:space="0" w:color="auto"/>
      </w:divBdr>
    </w:div>
    <w:div w:id="41859655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8331493">
      <w:bodyDiv w:val="1"/>
      <w:marLeft w:val="0"/>
      <w:marRight w:val="0"/>
      <w:marTop w:val="0"/>
      <w:marBottom w:val="0"/>
      <w:divBdr>
        <w:top w:val="none" w:sz="0" w:space="0" w:color="auto"/>
        <w:left w:val="none" w:sz="0" w:space="0" w:color="auto"/>
        <w:bottom w:val="none" w:sz="0" w:space="0" w:color="auto"/>
        <w:right w:val="none" w:sz="0" w:space="0" w:color="auto"/>
      </w:divBdr>
    </w:div>
    <w:div w:id="453453017">
      <w:bodyDiv w:val="1"/>
      <w:marLeft w:val="0"/>
      <w:marRight w:val="0"/>
      <w:marTop w:val="0"/>
      <w:marBottom w:val="0"/>
      <w:divBdr>
        <w:top w:val="none" w:sz="0" w:space="0" w:color="auto"/>
        <w:left w:val="none" w:sz="0" w:space="0" w:color="auto"/>
        <w:bottom w:val="none" w:sz="0" w:space="0" w:color="auto"/>
        <w:right w:val="none" w:sz="0" w:space="0" w:color="auto"/>
      </w:divBdr>
    </w:div>
    <w:div w:id="518324454">
      <w:bodyDiv w:val="1"/>
      <w:marLeft w:val="0"/>
      <w:marRight w:val="0"/>
      <w:marTop w:val="0"/>
      <w:marBottom w:val="0"/>
      <w:divBdr>
        <w:top w:val="none" w:sz="0" w:space="0" w:color="auto"/>
        <w:left w:val="none" w:sz="0" w:space="0" w:color="auto"/>
        <w:bottom w:val="none" w:sz="0" w:space="0" w:color="auto"/>
        <w:right w:val="none" w:sz="0" w:space="0" w:color="auto"/>
      </w:divBdr>
    </w:div>
    <w:div w:id="518663553">
      <w:bodyDiv w:val="1"/>
      <w:marLeft w:val="0"/>
      <w:marRight w:val="0"/>
      <w:marTop w:val="0"/>
      <w:marBottom w:val="0"/>
      <w:divBdr>
        <w:top w:val="none" w:sz="0" w:space="0" w:color="auto"/>
        <w:left w:val="none" w:sz="0" w:space="0" w:color="auto"/>
        <w:bottom w:val="none" w:sz="0" w:space="0" w:color="auto"/>
        <w:right w:val="none" w:sz="0" w:space="0" w:color="auto"/>
      </w:divBdr>
    </w:div>
    <w:div w:id="553195639">
      <w:bodyDiv w:val="1"/>
      <w:marLeft w:val="0"/>
      <w:marRight w:val="0"/>
      <w:marTop w:val="0"/>
      <w:marBottom w:val="0"/>
      <w:divBdr>
        <w:top w:val="none" w:sz="0" w:space="0" w:color="auto"/>
        <w:left w:val="none" w:sz="0" w:space="0" w:color="auto"/>
        <w:bottom w:val="none" w:sz="0" w:space="0" w:color="auto"/>
        <w:right w:val="none" w:sz="0" w:space="0" w:color="auto"/>
      </w:divBdr>
    </w:div>
    <w:div w:id="556209068">
      <w:bodyDiv w:val="1"/>
      <w:marLeft w:val="0"/>
      <w:marRight w:val="0"/>
      <w:marTop w:val="0"/>
      <w:marBottom w:val="0"/>
      <w:divBdr>
        <w:top w:val="none" w:sz="0" w:space="0" w:color="auto"/>
        <w:left w:val="none" w:sz="0" w:space="0" w:color="auto"/>
        <w:bottom w:val="none" w:sz="0" w:space="0" w:color="auto"/>
        <w:right w:val="none" w:sz="0" w:space="0" w:color="auto"/>
      </w:divBdr>
    </w:div>
    <w:div w:id="5721986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78316836">
      <w:bodyDiv w:val="1"/>
      <w:marLeft w:val="0"/>
      <w:marRight w:val="0"/>
      <w:marTop w:val="0"/>
      <w:marBottom w:val="0"/>
      <w:divBdr>
        <w:top w:val="none" w:sz="0" w:space="0" w:color="auto"/>
        <w:left w:val="none" w:sz="0" w:space="0" w:color="auto"/>
        <w:bottom w:val="none" w:sz="0" w:space="0" w:color="auto"/>
        <w:right w:val="none" w:sz="0" w:space="0" w:color="auto"/>
      </w:divBdr>
    </w:div>
    <w:div w:id="725372167">
      <w:bodyDiv w:val="1"/>
      <w:marLeft w:val="0"/>
      <w:marRight w:val="0"/>
      <w:marTop w:val="0"/>
      <w:marBottom w:val="0"/>
      <w:divBdr>
        <w:top w:val="none" w:sz="0" w:space="0" w:color="auto"/>
        <w:left w:val="none" w:sz="0" w:space="0" w:color="auto"/>
        <w:bottom w:val="none" w:sz="0" w:space="0" w:color="auto"/>
        <w:right w:val="none" w:sz="0" w:space="0" w:color="auto"/>
      </w:divBdr>
    </w:div>
    <w:div w:id="72792329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6770448">
      <w:bodyDiv w:val="1"/>
      <w:marLeft w:val="0"/>
      <w:marRight w:val="0"/>
      <w:marTop w:val="0"/>
      <w:marBottom w:val="0"/>
      <w:divBdr>
        <w:top w:val="none" w:sz="0" w:space="0" w:color="auto"/>
        <w:left w:val="none" w:sz="0" w:space="0" w:color="auto"/>
        <w:bottom w:val="none" w:sz="0" w:space="0" w:color="auto"/>
        <w:right w:val="none" w:sz="0" w:space="0" w:color="auto"/>
      </w:divBdr>
    </w:div>
    <w:div w:id="862061131">
      <w:bodyDiv w:val="1"/>
      <w:marLeft w:val="0"/>
      <w:marRight w:val="0"/>
      <w:marTop w:val="0"/>
      <w:marBottom w:val="0"/>
      <w:divBdr>
        <w:top w:val="none" w:sz="0" w:space="0" w:color="auto"/>
        <w:left w:val="none" w:sz="0" w:space="0" w:color="auto"/>
        <w:bottom w:val="none" w:sz="0" w:space="0" w:color="auto"/>
        <w:right w:val="none" w:sz="0" w:space="0" w:color="auto"/>
      </w:divBdr>
    </w:div>
    <w:div w:id="869143437">
      <w:bodyDiv w:val="1"/>
      <w:marLeft w:val="0"/>
      <w:marRight w:val="0"/>
      <w:marTop w:val="0"/>
      <w:marBottom w:val="0"/>
      <w:divBdr>
        <w:top w:val="none" w:sz="0" w:space="0" w:color="auto"/>
        <w:left w:val="none" w:sz="0" w:space="0" w:color="auto"/>
        <w:bottom w:val="none" w:sz="0" w:space="0" w:color="auto"/>
        <w:right w:val="none" w:sz="0" w:space="0" w:color="auto"/>
      </w:divBdr>
    </w:div>
    <w:div w:id="887228256">
      <w:bodyDiv w:val="1"/>
      <w:marLeft w:val="0"/>
      <w:marRight w:val="0"/>
      <w:marTop w:val="0"/>
      <w:marBottom w:val="0"/>
      <w:divBdr>
        <w:top w:val="none" w:sz="0" w:space="0" w:color="auto"/>
        <w:left w:val="none" w:sz="0" w:space="0" w:color="auto"/>
        <w:bottom w:val="none" w:sz="0" w:space="0" w:color="auto"/>
        <w:right w:val="none" w:sz="0" w:space="0" w:color="auto"/>
      </w:divBdr>
    </w:div>
    <w:div w:id="906957824">
      <w:bodyDiv w:val="1"/>
      <w:marLeft w:val="0"/>
      <w:marRight w:val="0"/>
      <w:marTop w:val="0"/>
      <w:marBottom w:val="0"/>
      <w:divBdr>
        <w:top w:val="none" w:sz="0" w:space="0" w:color="auto"/>
        <w:left w:val="none" w:sz="0" w:space="0" w:color="auto"/>
        <w:bottom w:val="none" w:sz="0" w:space="0" w:color="auto"/>
        <w:right w:val="none" w:sz="0" w:space="0" w:color="auto"/>
      </w:divBdr>
    </w:div>
    <w:div w:id="929969909">
      <w:bodyDiv w:val="1"/>
      <w:marLeft w:val="0"/>
      <w:marRight w:val="0"/>
      <w:marTop w:val="0"/>
      <w:marBottom w:val="0"/>
      <w:divBdr>
        <w:top w:val="none" w:sz="0" w:space="0" w:color="auto"/>
        <w:left w:val="none" w:sz="0" w:space="0" w:color="auto"/>
        <w:bottom w:val="none" w:sz="0" w:space="0" w:color="auto"/>
        <w:right w:val="none" w:sz="0" w:space="0" w:color="auto"/>
      </w:divBdr>
    </w:div>
    <w:div w:id="941454574">
      <w:bodyDiv w:val="1"/>
      <w:marLeft w:val="0"/>
      <w:marRight w:val="0"/>
      <w:marTop w:val="0"/>
      <w:marBottom w:val="0"/>
      <w:divBdr>
        <w:top w:val="none" w:sz="0" w:space="0" w:color="auto"/>
        <w:left w:val="none" w:sz="0" w:space="0" w:color="auto"/>
        <w:bottom w:val="none" w:sz="0" w:space="0" w:color="auto"/>
        <w:right w:val="none" w:sz="0" w:space="0" w:color="auto"/>
      </w:divBdr>
    </w:div>
    <w:div w:id="983655079">
      <w:bodyDiv w:val="1"/>
      <w:marLeft w:val="0"/>
      <w:marRight w:val="0"/>
      <w:marTop w:val="0"/>
      <w:marBottom w:val="0"/>
      <w:divBdr>
        <w:top w:val="none" w:sz="0" w:space="0" w:color="auto"/>
        <w:left w:val="none" w:sz="0" w:space="0" w:color="auto"/>
        <w:bottom w:val="none" w:sz="0" w:space="0" w:color="auto"/>
        <w:right w:val="none" w:sz="0" w:space="0" w:color="auto"/>
      </w:divBdr>
    </w:div>
    <w:div w:id="984896300">
      <w:bodyDiv w:val="1"/>
      <w:marLeft w:val="0"/>
      <w:marRight w:val="0"/>
      <w:marTop w:val="0"/>
      <w:marBottom w:val="0"/>
      <w:divBdr>
        <w:top w:val="none" w:sz="0" w:space="0" w:color="auto"/>
        <w:left w:val="none" w:sz="0" w:space="0" w:color="auto"/>
        <w:bottom w:val="none" w:sz="0" w:space="0" w:color="auto"/>
        <w:right w:val="none" w:sz="0" w:space="0" w:color="auto"/>
      </w:divBdr>
    </w:div>
    <w:div w:id="986084375">
      <w:bodyDiv w:val="1"/>
      <w:marLeft w:val="0"/>
      <w:marRight w:val="0"/>
      <w:marTop w:val="0"/>
      <w:marBottom w:val="0"/>
      <w:divBdr>
        <w:top w:val="none" w:sz="0" w:space="0" w:color="auto"/>
        <w:left w:val="none" w:sz="0" w:space="0" w:color="auto"/>
        <w:bottom w:val="none" w:sz="0" w:space="0" w:color="auto"/>
        <w:right w:val="none" w:sz="0" w:space="0" w:color="auto"/>
      </w:divBdr>
    </w:div>
    <w:div w:id="997222465">
      <w:bodyDiv w:val="1"/>
      <w:marLeft w:val="0"/>
      <w:marRight w:val="0"/>
      <w:marTop w:val="0"/>
      <w:marBottom w:val="0"/>
      <w:divBdr>
        <w:top w:val="none" w:sz="0" w:space="0" w:color="auto"/>
        <w:left w:val="none" w:sz="0" w:space="0" w:color="auto"/>
        <w:bottom w:val="none" w:sz="0" w:space="0" w:color="auto"/>
        <w:right w:val="none" w:sz="0" w:space="0" w:color="auto"/>
      </w:divBdr>
    </w:div>
    <w:div w:id="1003431753">
      <w:bodyDiv w:val="1"/>
      <w:marLeft w:val="0"/>
      <w:marRight w:val="0"/>
      <w:marTop w:val="0"/>
      <w:marBottom w:val="0"/>
      <w:divBdr>
        <w:top w:val="none" w:sz="0" w:space="0" w:color="auto"/>
        <w:left w:val="none" w:sz="0" w:space="0" w:color="auto"/>
        <w:bottom w:val="none" w:sz="0" w:space="0" w:color="auto"/>
        <w:right w:val="none" w:sz="0" w:space="0" w:color="auto"/>
      </w:divBdr>
    </w:div>
    <w:div w:id="1014528157">
      <w:bodyDiv w:val="1"/>
      <w:marLeft w:val="0"/>
      <w:marRight w:val="0"/>
      <w:marTop w:val="0"/>
      <w:marBottom w:val="0"/>
      <w:divBdr>
        <w:top w:val="none" w:sz="0" w:space="0" w:color="auto"/>
        <w:left w:val="none" w:sz="0" w:space="0" w:color="auto"/>
        <w:bottom w:val="none" w:sz="0" w:space="0" w:color="auto"/>
        <w:right w:val="none" w:sz="0" w:space="0" w:color="auto"/>
      </w:divBdr>
    </w:div>
    <w:div w:id="1035084613">
      <w:bodyDiv w:val="1"/>
      <w:marLeft w:val="0"/>
      <w:marRight w:val="0"/>
      <w:marTop w:val="0"/>
      <w:marBottom w:val="0"/>
      <w:divBdr>
        <w:top w:val="none" w:sz="0" w:space="0" w:color="auto"/>
        <w:left w:val="none" w:sz="0" w:space="0" w:color="auto"/>
        <w:bottom w:val="none" w:sz="0" w:space="0" w:color="auto"/>
        <w:right w:val="none" w:sz="0" w:space="0" w:color="auto"/>
      </w:divBdr>
    </w:div>
    <w:div w:id="1047724253">
      <w:bodyDiv w:val="1"/>
      <w:marLeft w:val="0"/>
      <w:marRight w:val="0"/>
      <w:marTop w:val="0"/>
      <w:marBottom w:val="0"/>
      <w:divBdr>
        <w:top w:val="none" w:sz="0" w:space="0" w:color="auto"/>
        <w:left w:val="none" w:sz="0" w:space="0" w:color="auto"/>
        <w:bottom w:val="none" w:sz="0" w:space="0" w:color="auto"/>
        <w:right w:val="none" w:sz="0" w:space="0" w:color="auto"/>
      </w:divBdr>
    </w:div>
    <w:div w:id="1078596055">
      <w:bodyDiv w:val="1"/>
      <w:marLeft w:val="0"/>
      <w:marRight w:val="0"/>
      <w:marTop w:val="0"/>
      <w:marBottom w:val="0"/>
      <w:divBdr>
        <w:top w:val="none" w:sz="0" w:space="0" w:color="auto"/>
        <w:left w:val="none" w:sz="0" w:space="0" w:color="auto"/>
        <w:bottom w:val="none" w:sz="0" w:space="0" w:color="auto"/>
        <w:right w:val="none" w:sz="0" w:space="0" w:color="auto"/>
      </w:divBdr>
    </w:div>
    <w:div w:id="1081564082">
      <w:bodyDiv w:val="1"/>
      <w:marLeft w:val="0"/>
      <w:marRight w:val="0"/>
      <w:marTop w:val="0"/>
      <w:marBottom w:val="0"/>
      <w:divBdr>
        <w:top w:val="none" w:sz="0" w:space="0" w:color="auto"/>
        <w:left w:val="none" w:sz="0" w:space="0" w:color="auto"/>
        <w:bottom w:val="none" w:sz="0" w:space="0" w:color="auto"/>
        <w:right w:val="none" w:sz="0" w:space="0" w:color="auto"/>
      </w:divBdr>
    </w:div>
    <w:div w:id="1106383929">
      <w:bodyDiv w:val="1"/>
      <w:marLeft w:val="0"/>
      <w:marRight w:val="0"/>
      <w:marTop w:val="0"/>
      <w:marBottom w:val="0"/>
      <w:divBdr>
        <w:top w:val="none" w:sz="0" w:space="0" w:color="auto"/>
        <w:left w:val="none" w:sz="0" w:space="0" w:color="auto"/>
        <w:bottom w:val="none" w:sz="0" w:space="0" w:color="auto"/>
        <w:right w:val="none" w:sz="0" w:space="0" w:color="auto"/>
      </w:divBdr>
    </w:div>
    <w:div w:id="1119882789">
      <w:bodyDiv w:val="1"/>
      <w:marLeft w:val="0"/>
      <w:marRight w:val="0"/>
      <w:marTop w:val="0"/>
      <w:marBottom w:val="0"/>
      <w:divBdr>
        <w:top w:val="none" w:sz="0" w:space="0" w:color="auto"/>
        <w:left w:val="none" w:sz="0" w:space="0" w:color="auto"/>
        <w:bottom w:val="none" w:sz="0" w:space="0" w:color="auto"/>
        <w:right w:val="none" w:sz="0" w:space="0" w:color="auto"/>
      </w:divBdr>
    </w:div>
    <w:div w:id="1123034553">
      <w:bodyDiv w:val="1"/>
      <w:marLeft w:val="0"/>
      <w:marRight w:val="0"/>
      <w:marTop w:val="0"/>
      <w:marBottom w:val="0"/>
      <w:divBdr>
        <w:top w:val="none" w:sz="0" w:space="0" w:color="auto"/>
        <w:left w:val="none" w:sz="0" w:space="0" w:color="auto"/>
        <w:bottom w:val="none" w:sz="0" w:space="0" w:color="auto"/>
        <w:right w:val="none" w:sz="0" w:space="0" w:color="auto"/>
      </w:divBdr>
    </w:div>
    <w:div w:id="1137264513">
      <w:bodyDiv w:val="1"/>
      <w:marLeft w:val="0"/>
      <w:marRight w:val="0"/>
      <w:marTop w:val="0"/>
      <w:marBottom w:val="0"/>
      <w:divBdr>
        <w:top w:val="none" w:sz="0" w:space="0" w:color="auto"/>
        <w:left w:val="none" w:sz="0" w:space="0" w:color="auto"/>
        <w:bottom w:val="none" w:sz="0" w:space="0" w:color="auto"/>
        <w:right w:val="none" w:sz="0" w:space="0" w:color="auto"/>
      </w:divBdr>
    </w:div>
    <w:div w:id="1168445502">
      <w:bodyDiv w:val="1"/>
      <w:marLeft w:val="0"/>
      <w:marRight w:val="0"/>
      <w:marTop w:val="0"/>
      <w:marBottom w:val="0"/>
      <w:divBdr>
        <w:top w:val="none" w:sz="0" w:space="0" w:color="auto"/>
        <w:left w:val="none" w:sz="0" w:space="0" w:color="auto"/>
        <w:bottom w:val="none" w:sz="0" w:space="0" w:color="auto"/>
        <w:right w:val="none" w:sz="0" w:space="0" w:color="auto"/>
      </w:divBdr>
    </w:div>
    <w:div w:id="1189099447">
      <w:bodyDiv w:val="1"/>
      <w:marLeft w:val="0"/>
      <w:marRight w:val="0"/>
      <w:marTop w:val="0"/>
      <w:marBottom w:val="0"/>
      <w:divBdr>
        <w:top w:val="none" w:sz="0" w:space="0" w:color="auto"/>
        <w:left w:val="none" w:sz="0" w:space="0" w:color="auto"/>
        <w:bottom w:val="none" w:sz="0" w:space="0" w:color="auto"/>
        <w:right w:val="none" w:sz="0" w:space="0" w:color="auto"/>
      </w:divBdr>
    </w:div>
    <w:div w:id="1195194583">
      <w:bodyDiv w:val="1"/>
      <w:marLeft w:val="0"/>
      <w:marRight w:val="0"/>
      <w:marTop w:val="0"/>
      <w:marBottom w:val="0"/>
      <w:divBdr>
        <w:top w:val="none" w:sz="0" w:space="0" w:color="auto"/>
        <w:left w:val="none" w:sz="0" w:space="0" w:color="auto"/>
        <w:bottom w:val="none" w:sz="0" w:space="0" w:color="auto"/>
        <w:right w:val="none" w:sz="0" w:space="0" w:color="auto"/>
      </w:divBdr>
    </w:div>
    <w:div w:id="1201236459">
      <w:bodyDiv w:val="1"/>
      <w:marLeft w:val="0"/>
      <w:marRight w:val="0"/>
      <w:marTop w:val="0"/>
      <w:marBottom w:val="0"/>
      <w:divBdr>
        <w:top w:val="none" w:sz="0" w:space="0" w:color="auto"/>
        <w:left w:val="none" w:sz="0" w:space="0" w:color="auto"/>
        <w:bottom w:val="none" w:sz="0" w:space="0" w:color="auto"/>
        <w:right w:val="none" w:sz="0" w:space="0" w:color="auto"/>
      </w:divBdr>
    </w:div>
    <w:div w:id="1209882494">
      <w:bodyDiv w:val="1"/>
      <w:marLeft w:val="0"/>
      <w:marRight w:val="0"/>
      <w:marTop w:val="0"/>
      <w:marBottom w:val="0"/>
      <w:divBdr>
        <w:top w:val="none" w:sz="0" w:space="0" w:color="auto"/>
        <w:left w:val="none" w:sz="0" w:space="0" w:color="auto"/>
        <w:bottom w:val="none" w:sz="0" w:space="0" w:color="auto"/>
        <w:right w:val="none" w:sz="0" w:space="0" w:color="auto"/>
      </w:divBdr>
    </w:div>
    <w:div w:id="122803191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6545541">
      <w:bodyDiv w:val="1"/>
      <w:marLeft w:val="0"/>
      <w:marRight w:val="0"/>
      <w:marTop w:val="0"/>
      <w:marBottom w:val="0"/>
      <w:divBdr>
        <w:top w:val="none" w:sz="0" w:space="0" w:color="auto"/>
        <w:left w:val="none" w:sz="0" w:space="0" w:color="auto"/>
        <w:bottom w:val="none" w:sz="0" w:space="0" w:color="auto"/>
        <w:right w:val="none" w:sz="0" w:space="0" w:color="auto"/>
      </w:divBdr>
    </w:div>
    <w:div w:id="1239440861">
      <w:bodyDiv w:val="1"/>
      <w:marLeft w:val="0"/>
      <w:marRight w:val="0"/>
      <w:marTop w:val="0"/>
      <w:marBottom w:val="0"/>
      <w:divBdr>
        <w:top w:val="none" w:sz="0" w:space="0" w:color="auto"/>
        <w:left w:val="none" w:sz="0" w:space="0" w:color="auto"/>
        <w:bottom w:val="none" w:sz="0" w:space="0" w:color="auto"/>
        <w:right w:val="none" w:sz="0" w:space="0" w:color="auto"/>
      </w:divBdr>
    </w:div>
    <w:div w:id="1309019043">
      <w:bodyDiv w:val="1"/>
      <w:marLeft w:val="0"/>
      <w:marRight w:val="0"/>
      <w:marTop w:val="0"/>
      <w:marBottom w:val="0"/>
      <w:divBdr>
        <w:top w:val="none" w:sz="0" w:space="0" w:color="auto"/>
        <w:left w:val="none" w:sz="0" w:space="0" w:color="auto"/>
        <w:bottom w:val="none" w:sz="0" w:space="0" w:color="auto"/>
        <w:right w:val="none" w:sz="0" w:space="0" w:color="auto"/>
      </w:divBdr>
    </w:div>
    <w:div w:id="1309286638">
      <w:bodyDiv w:val="1"/>
      <w:marLeft w:val="0"/>
      <w:marRight w:val="0"/>
      <w:marTop w:val="0"/>
      <w:marBottom w:val="0"/>
      <w:divBdr>
        <w:top w:val="none" w:sz="0" w:space="0" w:color="auto"/>
        <w:left w:val="none" w:sz="0" w:space="0" w:color="auto"/>
        <w:bottom w:val="none" w:sz="0" w:space="0" w:color="auto"/>
        <w:right w:val="none" w:sz="0" w:space="0" w:color="auto"/>
      </w:divBdr>
    </w:div>
    <w:div w:id="1354262644">
      <w:bodyDiv w:val="1"/>
      <w:marLeft w:val="0"/>
      <w:marRight w:val="0"/>
      <w:marTop w:val="0"/>
      <w:marBottom w:val="0"/>
      <w:divBdr>
        <w:top w:val="none" w:sz="0" w:space="0" w:color="auto"/>
        <w:left w:val="none" w:sz="0" w:space="0" w:color="auto"/>
        <w:bottom w:val="none" w:sz="0" w:space="0" w:color="auto"/>
        <w:right w:val="none" w:sz="0" w:space="0" w:color="auto"/>
      </w:divBdr>
    </w:div>
    <w:div w:id="1383752253">
      <w:bodyDiv w:val="1"/>
      <w:marLeft w:val="0"/>
      <w:marRight w:val="0"/>
      <w:marTop w:val="0"/>
      <w:marBottom w:val="0"/>
      <w:divBdr>
        <w:top w:val="none" w:sz="0" w:space="0" w:color="auto"/>
        <w:left w:val="none" w:sz="0" w:space="0" w:color="auto"/>
        <w:bottom w:val="none" w:sz="0" w:space="0" w:color="auto"/>
        <w:right w:val="none" w:sz="0" w:space="0" w:color="auto"/>
      </w:divBdr>
    </w:div>
    <w:div w:id="1455176386">
      <w:bodyDiv w:val="1"/>
      <w:marLeft w:val="0"/>
      <w:marRight w:val="0"/>
      <w:marTop w:val="0"/>
      <w:marBottom w:val="0"/>
      <w:divBdr>
        <w:top w:val="none" w:sz="0" w:space="0" w:color="auto"/>
        <w:left w:val="none" w:sz="0" w:space="0" w:color="auto"/>
        <w:bottom w:val="none" w:sz="0" w:space="0" w:color="auto"/>
        <w:right w:val="none" w:sz="0" w:space="0" w:color="auto"/>
      </w:divBdr>
    </w:div>
    <w:div w:id="1457217909">
      <w:bodyDiv w:val="1"/>
      <w:marLeft w:val="0"/>
      <w:marRight w:val="0"/>
      <w:marTop w:val="0"/>
      <w:marBottom w:val="0"/>
      <w:divBdr>
        <w:top w:val="none" w:sz="0" w:space="0" w:color="auto"/>
        <w:left w:val="none" w:sz="0" w:space="0" w:color="auto"/>
        <w:bottom w:val="none" w:sz="0" w:space="0" w:color="auto"/>
        <w:right w:val="none" w:sz="0" w:space="0" w:color="auto"/>
      </w:divBdr>
    </w:div>
    <w:div w:id="1479229369">
      <w:bodyDiv w:val="1"/>
      <w:marLeft w:val="0"/>
      <w:marRight w:val="0"/>
      <w:marTop w:val="0"/>
      <w:marBottom w:val="0"/>
      <w:divBdr>
        <w:top w:val="none" w:sz="0" w:space="0" w:color="auto"/>
        <w:left w:val="none" w:sz="0" w:space="0" w:color="auto"/>
        <w:bottom w:val="none" w:sz="0" w:space="0" w:color="auto"/>
        <w:right w:val="none" w:sz="0" w:space="0" w:color="auto"/>
      </w:divBdr>
    </w:div>
    <w:div w:id="1507329816">
      <w:bodyDiv w:val="1"/>
      <w:marLeft w:val="0"/>
      <w:marRight w:val="0"/>
      <w:marTop w:val="0"/>
      <w:marBottom w:val="0"/>
      <w:divBdr>
        <w:top w:val="none" w:sz="0" w:space="0" w:color="auto"/>
        <w:left w:val="none" w:sz="0" w:space="0" w:color="auto"/>
        <w:bottom w:val="none" w:sz="0" w:space="0" w:color="auto"/>
        <w:right w:val="none" w:sz="0" w:space="0" w:color="auto"/>
      </w:divBdr>
    </w:div>
    <w:div w:id="1557738657">
      <w:bodyDiv w:val="1"/>
      <w:marLeft w:val="0"/>
      <w:marRight w:val="0"/>
      <w:marTop w:val="0"/>
      <w:marBottom w:val="0"/>
      <w:divBdr>
        <w:top w:val="none" w:sz="0" w:space="0" w:color="auto"/>
        <w:left w:val="none" w:sz="0" w:space="0" w:color="auto"/>
        <w:bottom w:val="none" w:sz="0" w:space="0" w:color="auto"/>
        <w:right w:val="none" w:sz="0" w:space="0" w:color="auto"/>
      </w:divBdr>
    </w:div>
    <w:div w:id="1601060908">
      <w:bodyDiv w:val="1"/>
      <w:marLeft w:val="0"/>
      <w:marRight w:val="0"/>
      <w:marTop w:val="0"/>
      <w:marBottom w:val="0"/>
      <w:divBdr>
        <w:top w:val="none" w:sz="0" w:space="0" w:color="auto"/>
        <w:left w:val="none" w:sz="0" w:space="0" w:color="auto"/>
        <w:bottom w:val="none" w:sz="0" w:space="0" w:color="auto"/>
        <w:right w:val="none" w:sz="0" w:space="0" w:color="auto"/>
      </w:divBdr>
    </w:div>
    <w:div w:id="1610819134">
      <w:bodyDiv w:val="1"/>
      <w:marLeft w:val="0"/>
      <w:marRight w:val="0"/>
      <w:marTop w:val="0"/>
      <w:marBottom w:val="0"/>
      <w:divBdr>
        <w:top w:val="none" w:sz="0" w:space="0" w:color="auto"/>
        <w:left w:val="none" w:sz="0" w:space="0" w:color="auto"/>
        <w:bottom w:val="none" w:sz="0" w:space="0" w:color="auto"/>
        <w:right w:val="none" w:sz="0" w:space="0" w:color="auto"/>
      </w:divBdr>
    </w:div>
    <w:div w:id="1622957740">
      <w:bodyDiv w:val="1"/>
      <w:marLeft w:val="0"/>
      <w:marRight w:val="0"/>
      <w:marTop w:val="0"/>
      <w:marBottom w:val="0"/>
      <w:divBdr>
        <w:top w:val="none" w:sz="0" w:space="0" w:color="auto"/>
        <w:left w:val="none" w:sz="0" w:space="0" w:color="auto"/>
        <w:bottom w:val="none" w:sz="0" w:space="0" w:color="auto"/>
        <w:right w:val="none" w:sz="0" w:space="0" w:color="auto"/>
      </w:divBdr>
    </w:div>
    <w:div w:id="1640958721">
      <w:bodyDiv w:val="1"/>
      <w:marLeft w:val="0"/>
      <w:marRight w:val="0"/>
      <w:marTop w:val="0"/>
      <w:marBottom w:val="0"/>
      <w:divBdr>
        <w:top w:val="none" w:sz="0" w:space="0" w:color="auto"/>
        <w:left w:val="none" w:sz="0" w:space="0" w:color="auto"/>
        <w:bottom w:val="none" w:sz="0" w:space="0" w:color="auto"/>
        <w:right w:val="none" w:sz="0" w:space="0" w:color="auto"/>
      </w:divBdr>
    </w:div>
    <w:div w:id="1643077016">
      <w:bodyDiv w:val="1"/>
      <w:marLeft w:val="0"/>
      <w:marRight w:val="0"/>
      <w:marTop w:val="0"/>
      <w:marBottom w:val="0"/>
      <w:divBdr>
        <w:top w:val="none" w:sz="0" w:space="0" w:color="auto"/>
        <w:left w:val="none" w:sz="0" w:space="0" w:color="auto"/>
        <w:bottom w:val="none" w:sz="0" w:space="0" w:color="auto"/>
        <w:right w:val="none" w:sz="0" w:space="0" w:color="auto"/>
      </w:divBdr>
    </w:div>
    <w:div w:id="1651905788">
      <w:bodyDiv w:val="1"/>
      <w:marLeft w:val="0"/>
      <w:marRight w:val="0"/>
      <w:marTop w:val="0"/>
      <w:marBottom w:val="0"/>
      <w:divBdr>
        <w:top w:val="none" w:sz="0" w:space="0" w:color="auto"/>
        <w:left w:val="none" w:sz="0" w:space="0" w:color="auto"/>
        <w:bottom w:val="none" w:sz="0" w:space="0" w:color="auto"/>
        <w:right w:val="none" w:sz="0" w:space="0" w:color="auto"/>
      </w:divBdr>
    </w:div>
    <w:div w:id="1666547060">
      <w:bodyDiv w:val="1"/>
      <w:marLeft w:val="0"/>
      <w:marRight w:val="0"/>
      <w:marTop w:val="0"/>
      <w:marBottom w:val="0"/>
      <w:divBdr>
        <w:top w:val="none" w:sz="0" w:space="0" w:color="auto"/>
        <w:left w:val="none" w:sz="0" w:space="0" w:color="auto"/>
        <w:bottom w:val="none" w:sz="0" w:space="0" w:color="auto"/>
        <w:right w:val="none" w:sz="0" w:space="0" w:color="auto"/>
      </w:divBdr>
    </w:div>
    <w:div w:id="1679308807">
      <w:bodyDiv w:val="1"/>
      <w:marLeft w:val="0"/>
      <w:marRight w:val="0"/>
      <w:marTop w:val="0"/>
      <w:marBottom w:val="0"/>
      <w:divBdr>
        <w:top w:val="none" w:sz="0" w:space="0" w:color="auto"/>
        <w:left w:val="none" w:sz="0" w:space="0" w:color="auto"/>
        <w:bottom w:val="none" w:sz="0" w:space="0" w:color="auto"/>
        <w:right w:val="none" w:sz="0" w:space="0" w:color="auto"/>
      </w:divBdr>
    </w:div>
    <w:div w:id="1697924456">
      <w:bodyDiv w:val="1"/>
      <w:marLeft w:val="0"/>
      <w:marRight w:val="0"/>
      <w:marTop w:val="0"/>
      <w:marBottom w:val="0"/>
      <w:divBdr>
        <w:top w:val="none" w:sz="0" w:space="0" w:color="auto"/>
        <w:left w:val="none" w:sz="0" w:space="0" w:color="auto"/>
        <w:bottom w:val="none" w:sz="0" w:space="0" w:color="auto"/>
        <w:right w:val="none" w:sz="0" w:space="0" w:color="auto"/>
      </w:divBdr>
    </w:div>
    <w:div w:id="1752502290">
      <w:bodyDiv w:val="1"/>
      <w:marLeft w:val="0"/>
      <w:marRight w:val="0"/>
      <w:marTop w:val="0"/>
      <w:marBottom w:val="0"/>
      <w:divBdr>
        <w:top w:val="none" w:sz="0" w:space="0" w:color="auto"/>
        <w:left w:val="none" w:sz="0" w:space="0" w:color="auto"/>
        <w:bottom w:val="none" w:sz="0" w:space="0" w:color="auto"/>
        <w:right w:val="none" w:sz="0" w:space="0" w:color="auto"/>
      </w:divBdr>
    </w:div>
    <w:div w:id="1753892678">
      <w:bodyDiv w:val="1"/>
      <w:marLeft w:val="0"/>
      <w:marRight w:val="0"/>
      <w:marTop w:val="0"/>
      <w:marBottom w:val="0"/>
      <w:divBdr>
        <w:top w:val="none" w:sz="0" w:space="0" w:color="auto"/>
        <w:left w:val="none" w:sz="0" w:space="0" w:color="auto"/>
        <w:bottom w:val="none" w:sz="0" w:space="0" w:color="auto"/>
        <w:right w:val="none" w:sz="0" w:space="0" w:color="auto"/>
      </w:divBdr>
    </w:div>
    <w:div w:id="1775242150">
      <w:bodyDiv w:val="1"/>
      <w:marLeft w:val="0"/>
      <w:marRight w:val="0"/>
      <w:marTop w:val="0"/>
      <w:marBottom w:val="0"/>
      <w:divBdr>
        <w:top w:val="none" w:sz="0" w:space="0" w:color="auto"/>
        <w:left w:val="none" w:sz="0" w:space="0" w:color="auto"/>
        <w:bottom w:val="none" w:sz="0" w:space="0" w:color="auto"/>
        <w:right w:val="none" w:sz="0" w:space="0" w:color="auto"/>
      </w:divBdr>
    </w:div>
    <w:div w:id="1777599732">
      <w:bodyDiv w:val="1"/>
      <w:marLeft w:val="0"/>
      <w:marRight w:val="0"/>
      <w:marTop w:val="0"/>
      <w:marBottom w:val="0"/>
      <w:divBdr>
        <w:top w:val="none" w:sz="0" w:space="0" w:color="auto"/>
        <w:left w:val="none" w:sz="0" w:space="0" w:color="auto"/>
        <w:bottom w:val="none" w:sz="0" w:space="0" w:color="auto"/>
        <w:right w:val="none" w:sz="0" w:space="0" w:color="auto"/>
      </w:divBdr>
    </w:div>
    <w:div w:id="1790709357">
      <w:bodyDiv w:val="1"/>
      <w:marLeft w:val="0"/>
      <w:marRight w:val="0"/>
      <w:marTop w:val="0"/>
      <w:marBottom w:val="0"/>
      <w:divBdr>
        <w:top w:val="none" w:sz="0" w:space="0" w:color="auto"/>
        <w:left w:val="none" w:sz="0" w:space="0" w:color="auto"/>
        <w:bottom w:val="none" w:sz="0" w:space="0" w:color="auto"/>
        <w:right w:val="none" w:sz="0" w:space="0" w:color="auto"/>
      </w:divBdr>
    </w:div>
    <w:div w:id="1814331009">
      <w:bodyDiv w:val="1"/>
      <w:marLeft w:val="0"/>
      <w:marRight w:val="0"/>
      <w:marTop w:val="0"/>
      <w:marBottom w:val="0"/>
      <w:divBdr>
        <w:top w:val="none" w:sz="0" w:space="0" w:color="auto"/>
        <w:left w:val="none" w:sz="0" w:space="0" w:color="auto"/>
        <w:bottom w:val="none" w:sz="0" w:space="0" w:color="auto"/>
        <w:right w:val="none" w:sz="0" w:space="0" w:color="auto"/>
      </w:divBdr>
    </w:div>
    <w:div w:id="1815488993">
      <w:bodyDiv w:val="1"/>
      <w:marLeft w:val="0"/>
      <w:marRight w:val="0"/>
      <w:marTop w:val="0"/>
      <w:marBottom w:val="0"/>
      <w:divBdr>
        <w:top w:val="none" w:sz="0" w:space="0" w:color="auto"/>
        <w:left w:val="none" w:sz="0" w:space="0" w:color="auto"/>
        <w:bottom w:val="none" w:sz="0" w:space="0" w:color="auto"/>
        <w:right w:val="none" w:sz="0" w:space="0" w:color="auto"/>
      </w:divBdr>
    </w:div>
    <w:div w:id="1825194516">
      <w:bodyDiv w:val="1"/>
      <w:marLeft w:val="0"/>
      <w:marRight w:val="0"/>
      <w:marTop w:val="0"/>
      <w:marBottom w:val="0"/>
      <w:divBdr>
        <w:top w:val="none" w:sz="0" w:space="0" w:color="auto"/>
        <w:left w:val="none" w:sz="0" w:space="0" w:color="auto"/>
        <w:bottom w:val="none" w:sz="0" w:space="0" w:color="auto"/>
        <w:right w:val="none" w:sz="0" w:space="0" w:color="auto"/>
      </w:divBdr>
    </w:div>
    <w:div w:id="1838761548">
      <w:bodyDiv w:val="1"/>
      <w:marLeft w:val="0"/>
      <w:marRight w:val="0"/>
      <w:marTop w:val="0"/>
      <w:marBottom w:val="0"/>
      <w:divBdr>
        <w:top w:val="none" w:sz="0" w:space="0" w:color="auto"/>
        <w:left w:val="none" w:sz="0" w:space="0" w:color="auto"/>
        <w:bottom w:val="none" w:sz="0" w:space="0" w:color="auto"/>
        <w:right w:val="none" w:sz="0" w:space="0" w:color="auto"/>
      </w:divBdr>
    </w:div>
    <w:div w:id="1861159355">
      <w:bodyDiv w:val="1"/>
      <w:marLeft w:val="0"/>
      <w:marRight w:val="0"/>
      <w:marTop w:val="0"/>
      <w:marBottom w:val="0"/>
      <w:divBdr>
        <w:top w:val="none" w:sz="0" w:space="0" w:color="auto"/>
        <w:left w:val="none" w:sz="0" w:space="0" w:color="auto"/>
        <w:bottom w:val="none" w:sz="0" w:space="0" w:color="auto"/>
        <w:right w:val="none" w:sz="0" w:space="0" w:color="auto"/>
      </w:divBdr>
      <w:divsChild>
        <w:div w:id="1746298947">
          <w:marLeft w:val="0"/>
          <w:marRight w:val="0"/>
          <w:marTop w:val="0"/>
          <w:marBottom w:val="0"/>
          <w:divBdr>
            <w:top w:val="none" w:sz="0" w:space="0" w:color="auto"/>
            <w:left w:val="none" w:sz="0" w:space="0" w:color="auto"/>
            <w:bottom w:val="none" w:sz="0" w:space="0" w:color="auto"/>
            <w:right w:val="none" w:sz="0" w:space="0" w:color="auto"/>
          </w:divBdr>
        </w:div>
      </w:divsChild>
    </w:div>
    <w:div w:id="1941528159">
      <w:bodyDiv w:val="1"/>
      <w:marLeft w:val="0"/>
      <w:marRight w:val="0"/>
      <w:marTop w:val="0"/>
      <w:marBottom w:val="0"/>
      <w:divBdr>
        <w:top w:val="none" w:sz="0" w:space="0" w:color="auto"/>
        <w:left w:val="none" w:sz="0" w:space="0" w:color="auto"/>
        <w:bottom w:val="none" w:sz="0" w:space="0" w:color="auto"/>
        <w:right w:val="none" w:sz="0" w:space="0" w:color="auto"/>
      </w:divBdr>
    </w:div>
    <w:div w:id="1963220687">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83073726">
      <w:bodyDiv w:val="1"/>
      <w:marLeft w:val="0"/>
      <w:marRight w:val="0"/>
      <w:marTop w:val="0"/>
      <w:marBottom w:val="0"/>
      <w:divBdr>
        <w:top w:val="none" w:sz="0" w:space="0" w:color="auto"/>
        <w:left w:val="none" w:sz="0" w:space="0" w:color="auto"/>
        <w:bottom w:val="none" w:sz="0" w:space="0" w:color="auto"/>
        <w:right w:val="none" w:sz="0" w:space="0" w:color="auto"/>
      </w:divBdr>
    </w:div>
    <w:div w:id="1987586899">
      <w:bodyDiv w:val="1"/>
      <w:marLeft w:val="0"/>
      <w:marRight w:val="0"/>
      <w:marTop w:val="0"/>
      <w:marBottom w:val="0"/>
      <w:divBdr>
        <w:top w:val="none" w:sz="0" w:space="0" w:color="auto"/>
        <w:left w:val="none" w:sz="0" w:space="0" w:color="auto"/>
        <w:bottom w:val="none" w:sz="0" w:space="0" w:color="auto"/>
        <w:right w:val="none" w:sz="0" w:space="0" w:color="auto"/>
      </w:divBdr>
    </w:div>
    <w:div w:id="2014911049">
      <w:bodyDiv w:val="1"/>
      <w:marLeft w:val="0"/>
      <w:marRight w:val="0"/>
      <w:marTop w:val="0"/>
      <w:marBottom w:val="0"/>
      <w:divBdr>
        <w:top w:val="none" w:sz="0" w:space="0" w:color="auto"/>
        <w:left w:val="none" w:sz="0" w:space="0" w:color="auto"/>
        <w:bottom w:val="none" w:sz="0" w:space="0" w:color="auto"/>
        <w:right w:val="none" w:sz="0" w:space="0" w:color="auto"/>
      </w:divBdr>
    </w:div>
    <w:div w:id="2041935058">
      <w:bodyDiv w:val="1"/>
      <w:marLeft w:val="0"/>
      <w:marRight w:val="0"/>
      <w:marTop w:val="0"/>
      <w:marBottom w:val="0"/>
      <w:divBdr>
        <w:top w:val="none" w:sz="0" w:space="0" w:color="auto"/>
        <w:left w:val="none" w:sz="0" w:space="0" w:color="auto"/>
        <w:bottom w:val="none" w:sz="0" w:space="0" w:color="auto"/>
        <w:right w:val="none" w:sz="0" w:space="0" w:color="auto"/>
      </w:divBdr>
    </w:div>
    <w:div w:id="2046058337">
      <w:bodyDiv w:val="1"/>
      <w:marLeft w:val="0"/>
      <w:marRight w:val="0"/>
      <w:marTop w:val="0"/>
      <w:marBottom w:val="0"/>
      <w:divBdr>
        <w:top w:val="none" w:sz="0" w:space="0" w:color="auto"/>
        <w:left w:val="none" w:sz="0" w:space="0" w:color="auto"/>
        <w:bottom w:val="none" w:sz="0" w:space="0" w:color="auto"/>
        <w:right w:val="none" w:sz="0" w:space="0" w:color="auto"/>
      </w:divBdr>
    </w:div>
    <w:div w:id="2080204347">
      <w:bodyDiv w:val="1"/>
      <w:marLeft w:val="0"/>
      <w:marRight w:val="0"/>
      <w:marTop w:val="0"/>
      <w:marBottom w:val="0"/>
      <w:divBdr>
        <w:top w:val="none" w:sz="0" w:space="0" w:color="auto"/>
        <w:left w:val="none" w:sz="0" w:space="0" w:color="auto"/>
        <w:bottom w:val="none" w:sz="0" w:space="0" w:color="auto"/>
        <w:right w:val="none" w:sz="0" w:space="0" w:color="auto"/>
      </w:divBdr>
    </w:div>
    <w:div w:id="21160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chart" Target="charts/chart1.xml"/><Relationship Id="rId21" Type="http://schemas.openxmlformats.org/officeDocument/2006/relationships/header" Target="header5.xml"/><Relationship Id="rId34" Type="http://schemas.openxmlformats.org/officeDocument/2006/relationships/hyperlink" Target="https://www.health.gov.au/resources/publications/mrff-incubator-grants" TargetMode="External"/><Relationship Id="rId42" Type="http://schemas.openxmlformats.org/officeDocument/2006/relationships/image" Target="media/image3.png"/><Relationship Id="rId47" Type="http://schemas.microsoft.com/office/2014/relationships/chartEx" Target="charts/chartEx4.xml"/><Relationship Id="rId50" Type="http://schemas.openxmlformats.org/officeDocument/2006/relationships/hyperlink" Target="https://www.health.gov.au/resources/publications/mrff-health-and-medical-research-early-to-mid-career-researchers-roundtable-6-may-2021?language=en" TargetMode="External"/><Relationship Id="rId55" Type="http://schemas.openxmlformats.org/officeDocument/2006/relationships/hyperlink" Target="https://www.grants.gov.au/Go/Show?GoUuid=f0dcd84b-6a15-4800-98fc-8d3654fa0a7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health.gov.au/our-work/early-to-mid-career-researchers-initiative?language=en" TargetMode="External"/><Relationship Id="rId41" Type="http://schemas.microsoft.com/office/2014/relationships/chartEx" Target="charts/chartEx1.xml"/><Relationship Id="rId54" Type="http://schemas.openxmlformats.org/officeDocument/2006/relationships/hyperlink" Target="https://www.health.gov.au/resources/publications/mrff-australian-medical-research-and-innovation-priorities-2022-2024?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yperlink" Target="https://www.grants.gov.au/Go/Show?GoUuid=02f5570e-16a1-4def-af34-e25773bd578c" TargetMode="External"/><Relationship Id="rId37" Type="http://schemas.openxmlformats.org/officeDocument/2006/relationships/image" Target="media/image2.png"/><Relationship Id="rId40" Type="http://schemas.openxmlformats.org/officeDocument/2006/relationships/chart" Target="charts/chart2.xml"/><Relationship Id="rId45" Type="http://schemas.microsoft.com/office/2014/relationships/chartEx" Target="charts/chartEx3.xml"/><Relationship Id="rId53" Type="http://schemas.openxmlformats.org/officeDocument/2006/relationships/hyperlink" Target="https://www.health.gov.au/resources/collections/medical-research-future-fund-mrff-2nd-10-year-investment-plan-2022-23-to-2031-32" TargetMode="External"/><Relationship Id="rId58"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s://www.health.gov.au/resources/publications/mrff-grant-assessment-committees?language=en" TargetMode="External"/><Relationship Id="rId49" Type="http://schemas.openxmlformats.org/officeDocument/2006/relationships/chart" Target="charts/chart3.xml"/><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grants.gov.au/Go/Show?GoUuid=dfbdbdbe-c2c6-4001-9faf-5ef47fb1e137&amp;keyword=GO5339" TargetMode="External"/><Relationship Id="rId44" Type="http://schemas.openxmlformats.org/officeDocument/2006/relationships/image" Target="media/image4.png"/><Relationship Id="rId52" Type="http://schemas.openxmlformats.org/officeDocument/2006/relationships/hyperlink" Target="https://www.health.gov.au/resources/publications/new-mrff-funding-empowers-early-to-mid-career-researchers-to-tackle-significant-health-challenges?language=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yperlink" Target="https://www.health.gov.au/resources/publications/mrff-monitoring-evaluation-and-learning-strategy-2020-21-to-2023-24" TargetMode="External"/><Relationship Id="rId35" Type="http://schemas.openxmlformats.org/officeDocument/2006/relationships/hyperlink" Target="https://www.health.gov.au/resources/publications/mrff-accelerator-grants?language=en" TargetMode="External"/><Relationship Id="rId43" Type="http://schemas.microsoft.com/office/2014/relationships/chartEx" Target="charts/chartEx2.xml"/><Relationship Id="rId48" Type="http://schemas.openxmlformats.org/officeDocument/2006/relationships/image" Target="media/image6.png"/><Relationship Id="rId5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health.gov.au/resources/publications/mrff-health-early-to-mid-career-researchers-stakeholder-roundtable-14-october-2021?language=e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s://www.health.gov.au/resources/publications/mrff-australian-medical-research-and-innovation-priorities-2022-2024?language=en" TargetMode="External"/><Relationship Id="rId38" Type="http://schemas.openxmlformats.org/officeDocument/2006/relationships/hyperlink" Target="https://www.health.gov.au/resources/publications/medical-research-future-fund-mrff-grant-recipients?language=und" TargetMode="External"/><Relationship Id="rId46" Type="http://schemas.openxmlformats.org/officeDocument/2006/relationships/image" Target="media/image5.png"/><Relationship Id="rId59"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www.grants.gov.au/Go/Show?GoUuid=02f5570e-16a1-4def-af34-e25773bd578c" TargetMode="External"/><Relationship Id="rId1" Type="http://schemas.openxmlformats.org/officeDocument/2006/relationships/hyperlink" Target="https://www.grants.gov.au/Go/Show?GoUuid=02f5570e-16a1-4def-af34-e25773bd578c"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ja\AppData\Local\Hewlett-Packard\HP%20TRIM\TEMP\HPTRIM.20008\t0TG1T2Q.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govteams.sharepoint.com/sites/irawsection/Shared%20Documents/_Researchers/_EMCR/2023/2023%20EMCR%20outcomes%20AMRAB%20paper/amrab_emcr_tables_2024-02-26_%20NS%20tables%20&amp;%20Figs%2012%20Feb%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govteams.sharepoint.com/sites/irawsection/Shared%20Documents/_Researchers/_EMCR/2023/2023%20EMCR%20outcomes%20AMRAB%20paper/amrab_emcr_tables_2024-02-26_%20NS%20tables%20&amp;%20Figs%2012%20Feb%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govteams.sharepoint.com/sites/irawsection/Shared%20Documents/_Researchers/_EMCR/2023/2023%20EMCR%20outcomes%20AMRAB%20paper/P&amp;E%20provided%20data/amrab_emcr_tables_2024-02-26_%20for%20P&amp;E%20clearance.xlsx" TargetMode="External"/><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govteams.sharepoint.com/sites/irawsection/Shared%20Documents/_Researchers/_EMCR/2023/2023%20EMCR%20outcomes%20AMRAB%20paper/P&amp;E%20provided%20data/amrab_emcr_tables_2024-02-26_%20for%20P&amp;E%20clearance.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ttps://govteams.sharepoint.com/sites/irawsection/Shared%20Documents/_Researchers/_EMCR/2023/2023%20EMCR%20outcomes%20AMRAB%20paper/P&amp;E%20provided%20data/amrab_emcr_tables_2024-02-26_%20for%20P&amp;E%20clearance.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ttps://govteams.sharepoint.com/sites/irawsection/Shared%20Documents/_Researchers/_EMCR/2023/2023%20EMCR%20outcomes%20AMRAB%20paper/P&amp;E%20provided%20data/amrab_emcr_tables_2024-02-26_%20for%20P&amp;E%20clearance.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seedni\AppData\Local\Hewlett-Packard\HP%20TRIM\TEMP\HPTRIM.4116\D24-933228%20%20amrab_emcr_tables_2024-02-26_%20for%20P&amp;E%20clearance(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'Progression by Stream'!$J$26</c:f>
              <c:strCache>
                <c:ptCount val="1"/>
                <c:pt idx="0">
                  <c:v>2021</c:v>
                </c:pt>
              </c:strCache>
            </c:strRef>
          </c:tx>
          <c:spPr>
            <a:solidFill>
              <a:schemeClr val="accent1"/>
            </a:solidFill>
            <a:ln>
              <a:noFill/>
            </a:ln>
            <a:effectLst/>
          </c:spPr>
          <c:invertIfNegative val="0"/>
          <c:cat>
            <c:strRef>
              <c:f>'Progression by Stream'!$A$27:$A$29</c:f>
              <c:strCache>
                <c:ptCount val="3"/>
                <c:pt idx="0">
                  <c:v>Stream 1</c:v>
                </c:pt>
                <c:pt idx="1">
                  <c:v>Stream 2</c:v>
                </c:pt>
                <c:pt idx="2">
                  <c:v>Stream 3</c:v>
                </c:pt>
              </c:strCache>
            </c:strRef>
          </c:cat>
          <c:val>
            <c:numRef>
              <c:f>'Progression by Stream'!$J$27:$J$29</c:f>
              <c:numCache>
                <c:formatCode>0.0%</c:formatCode>
                <c:ptCount val="3"/>
                <c:pt idx="0">
                  <c:v>0.17</c:v>
                </c:pt>
                <c:pt idx="1">
                  <c:v>0.2</c:v>
                </c:pt>
                <c:pt idx="2">
                  <c:v>0.5</c:v>
                </c:pt>
              </c:numCache>
            </c:numRef>
          </c:val>
          <c:extLst>
            <c:ext xmlns:c16="http://schemas.microsoft.com/office/drawing/2014/chart" uri="{C3380CC4-5D6E-409C-BE32-E72D297353CC}">
              <c16:uniqueId val="{00000000-16C9-4ACE-8E4A-88F7700FFACD}"/>
            </c:ext>
          </c:extLst>
        </c:ser>
        <c:ser>
          <c:idx val="1"/>
          <c:order val="1"/>
          <c:tx>
            <c:strRef>
              <c:f>'Progression by Stream'!$K$26</c:f>
              <c:strCache>
                <c:ptCount val="1"/>
                <c:pt idx="0">
                  <c:v>2023</c:v>
                </c:pt>
              </c:strCache>
            </c:strRef>
          </c:tx>
          <c:spPr>
            <a:solidFill>
              <a:schemeClr val="accent2"/>
            </a:solidFill>
            <a:ln>
              <a:noFill/>
            </a:ln>
            <a:effectLst/>
          </c:spPr>
          <c:invertIfNegative val="0"/>
          <c:cat>
            <c:strRef>
              <c:f>'Progression by Stream'!$A$27:$A$29</c:f>
              <c:strCache>
                <c:ptCount val="3"/>
                <c:pt idx="0">
                  <c:v>Stream 1</c:v>
                </c:pt>
                <c:pt idx="1">
                  <c:v>Stream 2</c:v>
                </c:pt>
                <c:pt idx="2">
                  <c:v>Stream 3</c:v>
                </c:pt>
              </c:strCache>
            </c:strRef>
          </c:cat>
          <c:val>
            <c:numRef>
              <c:f>'Progression by Stream'!$K$27:$K$29</c:f>
              <c:numCache>
                <c:formatCode>0.0%</c:formatCode>
                <c:ptCount val="3"/>
                <c:pt idx="0">
                  <c:v>0.24074074074074073</c:v>
                </c:pt>
                <c:pt idx="1">
                  <c:v>0.2608695652173913</c:v>
                </c:pt>
                <c:pt idx="2">
                  <c:v>0.54500000000000004</c:v>
                </c:pt>
              </c:numCache>
            </c:numRef>
          </c:val>
          <c:extLst>
            <c:ext xmlns:c16="http://schemas.microsoft.com/office/drawing/2014/chart" uri="{C3380CC4-5D6E-409C-BE32-E72D297353CC}">
              <c16:uniqueId val="{00000001-16C9-4ACE-8E4A-88F7700FFACD}"/>
            </c:ext>
          </c:extLst>
        </c:ser>
        <c:dLbls>
          <c:showLegendKey val="0"/>
          <c:showVal val="0"/>
          <c:showCatName val="0"/>
          <c:showSerName val="0"/>
          <c:showPercent val="0"/>
          <c:showBubbleSize val="0"/>
        </c:dLbls>
        <c:gapWidth val="219"/>
        <c:overlap val="-27"/>
        <c:axId val="821733256"/>
        <c:axId val="821733976"/>
      </c:barChart>
      <c:catAx>
        <c:axId val="82173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733976"/>
        <c:crosses val="autoZero"/>
        <c:auto val="1"/>
        <c:lblAlgn val="ctr"/>
        <c:lblOffset val="100"/>
        <c:noMultiLvlLbl val="0"/>
      </c:catAx>
      <c:valAx>
        <c:axId val="821733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funded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733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69914208485134"/>
          <c:y val="8.4033613445378158E-2"/>
          <c:w val="0.84030085791514864"/>
          <c:h val="0.68026114382760983"/>
        </c:manualLayout>
      </c:layout>
      <c:barChart>
        <c:barDir val="col"/>
        <c:grouping val="clustered"/>
        <c:varyColors val="0"/>
        <c:ser>
          <c:idx val="0"/>
          <c:order val="0"/>
          <c:tx>
            <c:strRef>
              <c:f>'Progression by Stream'!$F$26</c:f>
              <c:strCache>
                <c:ptCount val="1"/>
                <c:pt idx="0">
                  <c:v>2021</c:v>
                </c:pt>
              </c:strCache>
            </c:strRef>
          </c:tx>
          <c:spPr>
            <a:solidFill>
              <a:schemeClr val="accent1"/>
            </a:solidFill>
            <a:ln>
              <a:noFill/>
            </a:ln>
            <a:effectLst/>
          </c:spPr>
          <c:invertIfNegative val="0"/>
          <c:cat>
            <c:strRef>
              <c:f>'Progression by Stream'!$A$27:$A$29</c:f>
              <c:strCache>
                <c:ptCount val="3"/>
                <c:pt idx="0">
                  <c:v>Stream 1</c:v>
                </c:pt>
                <c:pt idx="1">
                  <c:v>Stream 2</c:v>
                </c:pt>
                <c:pt idx="2">
                  <c:v>Stream 3</c:v>
                </c:pt>
              </c:strCache>
            </c:strRef>
          </c:cat>
          <c:val>
            <c:numRef>
              <c:f>'Progression by Stream'!$F$27:$F$29</c:f>
              <c:numCache>
                <c:formatCode>General</c:formatCode>
                <c:ptCount val="3"/>
                <c:pt idx="0">
                  <c:v>9</c:v>
                </c:pt>
                <c:pt idx="1">
                  <c:v>6</c:v>
                </c:pt>
                <c:pt idx="2">
                  <c:v>8</c:v>
                </c:pt>
              </c:numCache>
            </c:numRef>
          </c:val>
          <c:extLst>
            <c:ext xmlns:c16="http://schemas.microsoft.com/office/drawing/2014/chart" uri="{C3380CC4-5D6E-409C-BE32-E72D297353CC}">
              <c16:uniqueId val="{00000000-535D-47D1-B437-2B0C7D181489}"/>
            </c:ext>
          </c:extLst>
        </c:ser>
        <c:ser>
          <c:idx val="1"/>
          <c:order val="1"/>
          <c:tx>
            <c:strRef>
              <c:f>'Progression by Stream'!$G$26</c:f>
              <c:strCache>
                <c:ptCount val="1"/>
                <c:pt idx="0">
                  <c:v>2023</c:v>
                </c:pt>
              </c:strCache>
            </c:strRef>
          </c:tx>
          <c:spPr>
            <a:solidFill>
              <a:schemeClr val="accent2"/>
            </a:solidFill>
            <a:ln>
              <a:noFill/>
            </a:ln>
            <a:effectLst/>
          </c:spPr>
          <c:invertIfNegative val="0"/>
          <c:cat>
            <c:strRef>
              <c:f>'Progression by Stream'!$A$27:$A$29</c:f>
              <c:strCache>
                <c:ptCount val="3"/>
                <c:pt idx="0">
                  <c:v>Stream 1</c:v>
                </c:pt>
                <c:pt idx="1">
                  <c:v>Stream 2</c:v>
                </c:pt>
                <c:pt idx="2">
                  <c:v>Stream 3</c:v>
                </c:pt>
              </c:strCache>
            </c:strRef>
          </c:cat>
          <c:val>
            <c:numRef>
              <c:f>'Progression by Stream'!$G$27:$G$29</c:f>
              <c:numCache>
                <c:formatCode>General</c:formatCode>
                <c:ptCount val="3"/>
                <c:pt idx="0">
                  <c:v>13</c:v>
                </c:pt>
                <c:pt idx="1">
                  <c:v>6</c:v>
                </c:pt>
                <c:pt idx="2">
                  <c:v>6</c:v>
                </c:pt>
              </c:numCache>
            </c:numRef>
          </c:val>
          <c:extLst>
            <c:ext xmlns:c16="http://schemas.microsoft.com/office/drawing/2014/chart" uri="{C3380CC4-5D6E-409C-BE32-E72D297353CC}">
              <c16:uniqueId val="{00000001-535D-47D1-B437-2B0C7D181489}"/>
            </c:ext>
          </c:extLst>
        </c:ser>
        <c:dLbls>
          <c:showLegendKey val="0"/>
          <c:showVal val="0"/>
          <c:showCatName val="0"/>
          <c:showSerName val="0"/>
          <c:showPercent val="0"/>
          <c:showBubbleSize val="0"/>
        </c:dLbls>
        <c:gapWidth val="219"/>
        <c:overlap val="-27"/>
        <c:axId val="645347984"/>
        <c:axId val="645344024"/>
      </c:barChart>
      <c:catAx>
        <c:axId val="64534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344024"/>
        <c:crosses val="autoZero"/>
        <c:auto val="1"/>
        <c:lblAlgn val="ctr"/>
        <c:lblOffset val="100"/>
        <c:noMultiLvlLbl val="0"/>
      </c:catAx>
      <c:valAx>
        <c:axId val="645344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Grants awarded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34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Years Post-PhD of CIs on grants awarded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'Years post PhD - Team'!$H$33</c:f>
              <c:strCache>
                <c:ptCount val="1"/>
                <c:pt idx="0">
                  <c:v>CIs on grants awarded</c:v>
                </c:pt>
              </c:strCache>
            </c:strRef>
          </c:tx>
          <c:spPr>
            <a:solidFill>
              <a:schemeClr val="accent1"/>
            </a:solidFill>
            <a:ln>
              <a:noFill/>
            </a:ln>
            <a:effectLst/>
          </c:spPr>
          <c:invertIfNegative val="0"/>
          <c:cat>
            <c:strRef>
              <c:f>'Years post PhD - Team'!$G$34:$G$61</c:f>
              <c:strCache>
                <c:ptCount val="2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23</c:v>
                </c:pt>
                <c:pt idx="23">
                  <c:v>26</c:v>
                </c:pt>
                <c:pt idx="24">
                  <c:v>27</c:v>
                </c:pt>
                <c:pt idx="25">
                  <c:v>28</c:v>
                </c:pt>
                <c:pt idx="26">
                  <c:v>29</c:v>
                </c:pt>
                <c:pt idx="27">
                  <c:v>*</c:v>
                </c:pt>
              </c:strCache>
            </c:strRef>
          </c:cat>
          <c:val>
            <c:numRef>
              <c:f>'Years post PhD - Team'!$H$34:$H$61</c:f>
              <c:numCache>
                <c:formatCode>General</c:formatCode>
                <c:ptCount val="28"/>
                <c:pt idx="0">
                  <c:v>9</c:v>
                </c:pt>
                <c:pt idx="1">
                  <c:v>7</c:v>
                </c:pt>
                <c:pt idx="2">
                  <c:v>18</c:v>
                </c:pt>
                <c:pt idx="3">
                  <c:v>13</c:v>
                </c:pt>
                <c:pt idx="4">
                  <c:v>19</c:v>
                </c:pt>
                <c:pt idx="5">
                  <c:v>22</c:v>
                </c:pt>
                <c:pt idx="6">
                  <c:v>24</c:v>
                </c:pt>
                <c:pt idx="7">
                  <c:v>16</c:v>
                </c:pt>
                <c:pt idx="8">
                  <c:v>19</c:v>
                </c:pt>
                <c:pt idx="9">
                  <c:v>16</c:v>
                </c:pt>
                <c:pt idx="10">
                  <c:v>19</c:v>
                </c:pt>
                <c:pt idx="11">
                  <c:v>9</c:v>
                </c:pt>
                <c:pt idx="12">
                  <c:v>3</c:v>
                </c:pt>
                <c:pt idx="13">
                  <c:v>3</c:v>
                </c:pt>
                <c:pt idx="14">
                  <c:v>0</c:v>
                </c:pt>
                <c:pt idx="15">
                  <c:v>2</c:v>
                </c:pt>
                <c:pt idx="16">
                  <c:v>1</c:v>
                </c:pt>
                <c:pt idx="17">
                  <c:v>0</c:v>
                </c:pt>
                <c:pt idx="18">
                  <c:v>3</c:v>
                </c:pt>
                <c:pt idx="19">
                  <c:v>0</c:v>
                </c:pt>
                <c:pt idx="20">
                  <c:v>1</c:v>
                </c:pt>
                <c:pt idx="21">
                  <c:v>3</c:v>
                </c:pt>
                <c:pt idx="22">
                  <c:v>0</c:v>
                </c:pt>
                <c:pt idx="23">
                  <c:v>1</c:v>
                </c:pt>
                <c:pt idx="24">
                  <c:v>1</c:v>
                </c:pt>
                <c:pt idx="25">
                  <c:v>0</c:v>
                </c:pt>
                <c:pt idx="26">
                  <c:v>0</c:v>
                </c:pt>
                <c:pt idx="27">
                  <c:v>9</c:v>
                </c:pt>
              </c:numCache>
            </c:numRef>
          </c:val>
          <c:extLst>
            <c:ext xmlns:c16="http://schemas.microsoft.com/office/drawing/2014/chart" uri="{C3380CC4-5D6E-409C-BE32-E72D297353CC}">
              <c16:uniqueId val="{00000000-FA4D-4E1D-990B-D2207320CAB8}"/>
            </c:ext>
          </c:extLst>
        </c:ser>
        <c:dLbls>
          <c:showLegendKey val="0"/>
          <c:showVal val="0"/>
          <c:showCatName val="0"/>
          <c:showSerName val="0"/>
          <c:showPercent val="0"/>
          <c:showBubbleSize val="0"/>
        </c:dLbls>
        <c:gapWidth val="219"/>
        <c:overlap val="-27"/>
        <c:axId val="894763528"/>
        <c:axId val="894755248"/>
      </c:barChart>
      <c:catAx>
        <c:axId val="894763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Unadjusted</a:t>
                </a:r>
                <a:r>
                  <a:rPr lang="en-AU" baseline="0"/>
                  <a:t> years post-PhD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755248"/>
        <c:crosses val="autoZero"/>
        <c:auto val="1"/>
        <c:lblAlgn val="ctr"/>
        <c:lblOffset val="100"/>
        <c:noMultiLvlLbl val="0"/>
      </c:catAx>
      <c:valAx>
        <c:axId val="89475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CIs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763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'Broad Research Area'!$A$10:$A$13</cx:f>
        <cx:lvl ptCount="4">
          <cx:pt idx="0">Basic Science research</cx:pt>
          <cx:pt idx="1">Clinical Medicine and Science research</cx:pt>
          <cx:pt idx="2">Health Services research</cx:pt>
          <cx:pt idx="3">Public Health research</cx:pt>
        </cx:lvl>
      </cx:strDim>
      <cx:numDim type="size">
        <cx:f>'Broad Research Area'!$G$10:$G$13</cx:f>
        <cx:lvl ptCount="4" formatCode="0.0%">
          <cx:pt idx="0">0.061100000000000002</cx:pt>
          <cx:pt idx="1">0.2056</cx:pt>
          <cx:pt idx="2">0.24490000000000001</cx:pt>
          <cx:pt idx="3">0.4884</cx:pt>
        </cx:lvl>
      </cx:numDim>
    </cx:data>
  </cx:chartData>
  <cx:chart>
    <cx:plotArea>
      <cx:plotAreaRegion>
        <cx:series layoutId="treemap" uniqueId="{1FD103BD-5F3C-4D65-87C0-29E12E56B03B}">
          <cx:dataLabels pos="inEnd">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visibility seriesName="0" categoryName="1" value="1"/>
          </cx:dataLabels>
          <cx:dataId val="0"/>
          <cx:layoutPr>
            <cx:parentLabelLayout val="overlapping"/>
          </cx:layoutPr>
        </cx:series>
      </cx:plotAreaRegion>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State!$A$15:$A$21</cx:f>
        <cx:lvl ptCount="7">
          <cx:pt idx="0">ACT</cx:pt>
          <cx:pt idx="1">NSW</cx:pt>
          <cx:pt idx="2">NT</cx:pt>
          <cx:pt idx="3">QLD</cx:pt>
          <cx:pt idx="4">SA</cx:pt>
          <cx:pt idx="5">VIC</cx:pt>
          <cx:pt idx="6">WA</cx:pt>
        </cx:lvl>
      </cx:strDim>
      <cx:numDim type="size">
        <cx:f>State!$G$15:$G$21</cx:f>
        <cx:lvl ptCount="7" formatCode="0.0%">
          <cx:pt idx="0">0.020899999999999998</cx:pt>
          <cx:pt idx="1">0.40239999999999998</cx:pt>
          <cx:pt idx="2">0</cx:pt>
          <cx:pt idx="3">0.15379999999999999</cx:pt>
          <cx:pt idx="4">0.023400000000000001</cx:pt>
          <cx:pt idx="5">0.39950000000000002</cx:pt>
          <cx:pt idx="6">0</cx:pt>
        </cx:lvl>
      </cx:numDim>
    </cx:data>
  </cx:chartData>
  <cx:chart>
    <cx:plotArea>
      <cx:plotAreaRegion>
        <cx:series layoutId="treemap" uniqueId="{01B9551A-8B07-49AA-82C3-E7B3E2BB88CF}">
          <cx:dataLabels pos="inEnd">
            <cx:visibility seriesName="0" categoryName="1" value="1"/>
            <cx:separator>, </cx:separator>
          </cx:dataLabels>
          <cx:dataId val="0"/>
          <cx:layoutPr>
            <cx:parentLabelLayout val="overlapping"/>
          </cx:layoutPr>
        </cx:series>
      </cx:plotAreaRegion>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'Gender - CIA'!$A$23:$A$26</cx:f>
        <cx:lvl ptCount="4">
          <cx:pt idx="0">Woman or female</cx:pt>
          <cx:pt idx="1">Man or male</cx:pt>
          <cx:pt idx="2">Non-binary</cx:pt>
          <cx:pt idx="3">Not reported  </cx:pt>
        </cx:lvl>
      </cx:strDim>
      <cx:numDim type="size">
        <cx:f>'Gender - CIA'!$G$23:$G$26</cx:f>
        <cx:lvl ptCount="4" formatCode="0.0%">
          <cx:pt idx="0">0.74734500000000004</cx:pt>
          <cx:pt idx="1">0.25264999999999999</cx:pt>
          <cx:pt idx="2">0</cx:pt>
          <cx:pt idx="3">0</cx:pt>
        </cx:lvl>
      </cx:numDim>
    </cx:data>
  </cx:chartData>
  <cx:chart>
    <cx:plotArea>
      <cx:plotAreaRegion>
        <cx:series layoutId="treemap" uniqueId="{16FE6D8B-AF72-4C8A-8F12-6C35A6ECC88D}">
          <cx:dataLabels pos="inEnd">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visibility seriesName="0" categoryName="1" value="1"/>
            <cx:separator>, </cx:separator>
          </cx:dataLabels>
          <cx:dataId val="0"/>
          <cx:layoutPr>
            <cx:parentLabelLayout val="overlapping"/>
          </cx:layoutPr>
        </cx:series>
      </cx:plotAreaRegion>
    </cx:plotArea>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Institution!$A$3:$A$36</cx:f>
        <cx:lvl ptCount="34">
          <cx:pt idx="0">The Australian National University</cx:pt>
          <cx:pt idx="1">CRC for Mental Health</cx:pt>
          <cx:pt idx="2">Central Queensland University</cx:pt>
          <cx:pt idx="3">Centre for Eye Research Australia</cx:pt>
          <cx:pt idx="4">Charles Sturt University</cx:pt>
          <cx:pt idx="5">QIMR Berghofer</cx:pt>
          <cx:pt idx="6">Curtin University</cx:pt>
          <cx:pt idx="7">Deakin University</cx:pt>
          <cx:pt idx="8">Edith Cowan University</cx:pt>
          <cx:pt idx="9">Flinders University</cx:pt>
          <cx:pt idx="10">Griffith University</cx:pt>
          <cx:pt idx="11">Macquarie University</cx:pt>
          <cx:pt idx="12">Menzies School of Health Research</cx:pt>
          <cx:pt idx="13">Monash University</cx:pt>
          <cx:pt idx="14">Murdoch Childrens Research Institute</cx:pt>
          <cx:pt idx="15">Murdoch University</cx:pt>
          <cx:pt idx="16">Queensland University of Technology</cx:pt>
          <cx:pt idx="17">RMIT University</cx:pt>
          <cx:pt idx="18">Torrens University Australia</cx:pt>
          <cx:pt idx="19">The University of Adelaide</cx:pt>
          <cx:pt idx="20">The University of Melbourne</cx:pt>
          <cx:pt idx="21">University of New England</cx:pt>
          <cx:pt idx="22">University of New South Wales</cx:pt>
          <cx:pt idx="23">The University of Newcastle</cx:pt>
          <cx:pt idx="24">The University of Queensland</cx:pt>
          <cx:pt idx="25">University of South Australia</cx:pt>
          <cx:pt idx="26">The University of Sydney</cx:pt>
          <cx:pt idx="27">University of Technology Sydney</cx:pt>
          <cx:pt idx="28">The University of Western Australia</cx:pt>
          <cx:pt idx="29">University of Wollongong</cx:pt>
          <cx:pt idx="30">University of the Sunshine Coast</cx:pt>
          <cx:pt idx="31">Victoria University</cx:pt>
          <cx:pt idx="32">Walter and Eliza Hall Institute of Medical Research</cx:pt>
          <cx:pt idx="33">Western Sydney University</cx:pt>
        </cx:lvl>
      </cx:strDim>
      <cx:numDim type="size">
        <cx:f>Institution!$G$3:$G$36</cx:f>
        <cx:lvl ptCount="34" formatCode="0.00%">
          <cx:pt idx="0">0.020899999999999998</cx:pt>
          <cx:pt idx="1">0</cx:pt>
          <cx:pt idx="2">0.1178</cx:pt>
          <cx:pt idx="3">0.0141</cx:pt>
          <cx:pt idx="4">0</cx:pt>
          <cx:pt idx="5">0</cx:pt>
          <cx:pt idx="6">0</cx:pt>
          <cx:pt idx="7">0.1336</cx:pt>
          <cx:pt idx="8">0</cx:pt>
          <cx:pt idx="9">0</cx:pt>
          <cx:pt idx="10">0.0124</cx:pt>
          <cx:pt idx="11">0</cx:pt>
          <cx:pt idx="12">0</cx:pt>
          <cx:pt idx="13">0.056599999999999998</cx:pt>
          <cx:pt idx="14">0.030200000000000001</cx:pt>
          <cx:pt idx="15">0</cx:pt>
          <cx:pt idx="16">0</cx:pt>
          <cx:pt idx="17">0</cx:pt>
          <cx:pt idx="18">0</cx:pt>
          <cx:pt idx="19">0.023400000000000001</cx:pt>
          <cx:pt idx="20">0.16500000000000001</cx:pt>
          <cx:pt idx="21">0.0080999999999999996</cx:pt>
          <cx:pt idx="22">0.1056</cx:pt>
          <cx:pt idx="23">0.1454</cx:pt>
          <cx:pt idx="24">0.023599999999999999</cx:pt>
          <cx:pt idx="25">0</cx:pt>
          <cx:pt idx="26">0.14319999999999999</cx:pt>
          <cx:pt idx="27">0</cx:pt>
          <cx:pt idx="28">0</cx:pt>
          <cx:pt idx="29">0</cx:pt>
          <cx:pt idx="30">0</cx:pt>
          <cx:pt idx="31">0</cx:pt>
          <cx:pt idx="32">0</cx:pt>
          <cx:pt idx="33">0</cx:pt>
        </cx:lvl>
      </cx:numDim>
    </cx:data>
  </cx:chartData>
  <cx:chart>
    <cx:plotArea>
      <cx:plotAreaRegion>
        <cx:series layoutId="treemap" uniqueId="{E377718D-1087-4BE8-B5E8-67A599F00A2F}">
          <cx:dataLabels pos="inEnd">
            <cx:visibility seriesName="0" categoryName="1" value="1"/>
            <cx:separator>, </cx:separator>
            <cx:dataLabel idx="21">
              <cx:txPr>
                <a:bodyPr spcFirstLastPara="1" vertOverflow="ellipsis" horzOverflow="overflow" wrap="square" lIns="0" tIns="0" rIns="0" bIns="0" anchor="ctr" anchorCtr="1"/>
                <a:lstStyle/>
                <a:p>
                  <a:pPr algn="ctr" rtl="0">
                    <a:defRPr sz="800" baseline="0"/>
                  </a:pPr>
                  <a:r>
                    <a:rPr lang="en-US" sz="800" b="0" i="0" u="none" strike="noStrike" baseline="0">
                      <a:solidFill>
                        <a:sysClr val="window" lastClr="FFFFFF"/>
                      </a:solidFill>
                      <a:latin typeface="Calibri"/>
                    </a:rPr>
                    <a:t>University of New England, 0.81%</a:t>
                  </a:r>
                </a:p>
              </cx:txPr>
              <cx:visibility seriesName="0" categoryName="1" value="1"/>
              <cx:separator>, </cx:separator>
            </cx:dataLabel>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5E1E034D13974BA0CD8E124FAC469D" ma:contentTypeVersion="12" ma:contentTypeDescription="Create a new document." ma:contentTypeScope="" ma:versionID="39166bea2ff9e68c144bc802192e4b04">
  <xsd:schema xmlns:xsd="http://www.w3.org/2001/XMLSchema" xmlns:xs="http://www.w3.org/2001/XMLSchema" xmlns:p="http://schemas.microsoft.com/office/2006/metadata/properties" xmlns:ns2="a4e262b5-55ae-4446-b0d3-08f325fb3c79" xmlns:ns3="8324d871-a6ea-48b1-b108-32b29664d976" targetNamespace="http://schemas.microsoft.com/office/2006/metadata/properties" ma:root="true" ma:fieldsID="6e0d077cf19fc6c97600b8686781ab5f" ns2:_="" ns3:_="">
    <xsd:import namespace="a4e262b5-55ae-4446-b0d3-08f325fb3c79"/>
    <xsd:import namespace="8324d871-a6ea-48b1-b108-32b29664d9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262b5-55ae-4446-b0d3-08f325fb3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4d871-a6ea-48b1-b108-32b29664d9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c1881c-ff6c-4b5b-99da-76620f2044dc}" ma:internalName="TaxCatchAll" ma:showField="CatchAllData" ma:web="8324d871-a6ea-48b1-b108-32b29664d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e262b5-55ae-4446-b0d3-08f325fb3c79">
      <Terms xmlns="http://schemas.microsoft.com/office/infopath/2007/PartnerControls"/>
    </lcf76f155ced4ddcb4097134ff3c332f>
    <TaxCatchAll xmlns="8324d871-a6ea-48b1-b108-32b29664d97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5D4447FC-D29F-4766-A2DD-38A6E5E33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262b5-55ae-4446-b0d3-08f325fb3c79"/>
    <ds:schemaRef ds:uri="8324d871-a6ea-48b1-b108-32b29664d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a4e262b5-55ae-4446-b0d3-08f325fb3c79"/>
    <ds:schemaRef ds:uri="8324d871-a6ea-48b1-b108-32b29664d976"/>
  </ds:schemaRefs>
</ds:datastoreItem>
</file>

<file path=customXml/itemProps4.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t0TG1T2Q.DOTX</Template>
  <TotalTime>72</TotalTime>
  <Pages>29</Pages>
  <Words>6849</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Medical Research Future Fund 2023 Early to Mid-Career Researchers grant opportunity outcomes data</vt:lpstr>
    </vt:vector>
  </TitlesOfParts>
  <Company/>
  <LinksUpToDate>false</LinksUpToDate>
  <CharactersWithSpaces>45803</CharactersWithSpaces>
  <SharedDoc>false</SharedDoc>
  <HLinks>
    <vt:vector size="222" baseType="variant">
      <vt:variant>
        <vt:i4>4980742</vt:i4>
      </vt:variant>
      <vt:variant>
        <vt:i4>168</vt:i4>
      </vt:variant>
      <vt:variant>
        <vt:i4>0</vt:i4>
      </vt:variant>
      <vt:variant>
        <vt:i4>5</vt:i4>
      </vt:variant>
      <vt:variant>
        <vt:lpwstr>https://www.grants.gov.au/Go/Show?GoUuid=f0dcd84b-6a15-4800-98fc-8d3654fa0a7f</vt:lpwstr>
      </vt:variant>
      <vt:variant>
        <vt:lpwstr/>
      </vt:variant>
      <vt:variant>
        <vt:i4>1441879</vt:i4>
      </vt:variant>
      <vt:variant>
        <vt:i4>165</vt:i4>
      </vt:variant>
      <vt:variant>
        <vt:i4>0</vt:i4>
      </vt:variant>
      <vt:variant>
        <vt:i4>5</vt:i4>
      </vt:variant>
      <vt:variant>
        <vt:lpwstr>https://www.health.gov.au/resources/publications/mrff-australian-medical-research-and-innovation-priorities-2022-2024?language=en</vt:lpwstr>
      </vt:variant>
      <vt:variant>
        <vt:lpwstr/>
      </vt:variant>
      <vt:variant>
        <vt:i4>5505109</vt:i4>
      </vt:variant>
      <vt:variant>
        <vt:i4>162</vt:i4>
      </vt:variant>
      <vt:variant>
        <vt:i4>0</vt:i4>
      </vt:variant>
      <vt:variant>
        <vt:i4>5</vt:i4>
      </vt:variant>
      <vt:variant>
        <vt:lpwstr>https://www.health.gov.au/resources/collections/medical-research-future-fund-mrff-2nd-10-year-investment-plan-2022-23-to-2031-32</vt:lpwstr>
      </vt:variant>
      <vt:variant>
        <vt:lpwstr/>
      </vt:variant>
      <vt:variant>
        <vt:i4>7209064</vt:i4>
      </vt:variant>
      <vt:variant>
        <vt:i4>159</vt:i4>
      </vt:variant>
      <vt:variant>
        <vt:i4>0</vt:i4>
      </vt:variant>
      <vt:variant>
        <vt:i4>5</vt:i4>
      </vt:variant>
      <vt:variant>
        <vt:lpwstr>https://www.health.gov.au/resources/publications/new-mrff-funding-empowers-early-to-mid-career-researchers-to-tackle-significant-health-challenges?language=en</vt:lpwstr>
      </vt:variant>
      <vt:variant>
        <vt:lpwstr/>
      </vt:variant>
      <vt:variant>
        <vt:i4>1310740</vt:i4>
      </vt:variant>
      <vt:variant>
        <vt:i4>156</vt:i4>
      </vt:variant>
      <vt:variant>
        <vt:i4>0</vt:i4>
      </vt:variant>
      <vt:variant>
        <vt:i4>5</vt:i4>
      </vt:variant>
      <vt:variant>
        <vt:lpwstr>https://www.health.gov.au/resources/publications/mrff-health-early-to-mid-career-researchers-stakeholder-roundtable-14-october-2021?language=en</vt:lpwstr>
      </vt:variant>
      <vt:variant>
        <vt:lpwstr>:%7E:text=Description%3A,roundtable%20on%2014%20October%202021.</vt:lpwstr>
      </vt:variant>
      <vt:variant>
        <vt:i4>7209010</vt:i4>
      </vt:variant>
      <vt:variant>
        <vt:i4>153</vt:i4>
      </vt:variant>
      <vt:variant>
        <vt:i4>0</vt:i4>
      </vt:variant>
      <vt:variant>
        <vt:i4>5</vt:i4>
      </vt:variant>
      <vt:variant>
        <vt:lpwstr>https://www.health.gov.au/resources/publications/mrff-health-and-medical-research-early-to-mid-career-researchers-roundtable-6-may-2021?language=en</vt:lpwstr>
      </vt:variant>
      <vt:variant>
        <vt:lpwstr/>
      </vt:variant>
      <vt:variant>
        <vt:i4>1769493</vt:i4>
      </vt:variant>
      <vt:variant>
        <vt:i4>150</vt:i4>
      </vt:variant>
      <vt:variant>
        <vt:i4>0</vt:i4>
      </vt:variant>
      <vt:variant>
        <vt:i4>5</vt:i4>
      </vt:variant>
      <vt:variant>
        <vt:lpwstr>https://www.health.gov.au/resources/publications/mrff-grant-assessment-committees?language=en</vt:lpwstr>
      </vt:variant>
      <vt:variant>
        <vt:lpwstr/>
      </vt:variant>
      <vt:variant>
        <vt:i4>1835093</vt:i4>
      </vt:variant>
      <vt:variant>
        <vt:i4>147</vt:i4>
      </vt:variant>
      <vt:variant>
        <vt:i4>0</vt:i4>
      </vt:variant>
      <vt:variant>
        <vt:i4>5</vt:i4>
      </vt:variant>
      <vt:variant>
        <vt:lpwstr>https://www.health.gov.au/resources/publications/mrff-accelerator-grants?language=en</vt:lpwstr>
      </vt:variant>
      <vt:variant>
        <vt:lpwstr/>
      </vt:variant>
      <vt:variant>
        <vt:i4>2556025</vt:i4>
      </vt:variant>
      <vt:variant>
        <vt:i4>144</vt:i4>
      </vt:variant>
      <vt:variant>
        <vt:i4>0</vt:i4>
      </vt:variant>
      <vt:variant>
        <vt:i4>5</vt:i4>
      </vt:variant>
      <vt:variant>
        <vt:lpwstr>https://www.health.gov.au/resources/publications/mrff-incubator-grants</vt:lpwstr>
      </vt:variant>
      <vt:variant>
        <vt:lpwstr/>
      </vt:variant>
      <vt:variant>
        <vt:i4>3670077</vt:i4>
      </vt:variant>
      <vt:variant>
        <vt:i4>141</vt:i4>
      </vt:variant>
      <vt:variant>
        <vt:i4>0</vt:i4>
      </vt:variant>
      <vt:variant>
        <vt:i4>5</vt:i4>
      </vt:variant>
      <vt:variant>
        <vt:lpwstr>https://www.health.gov.au/resources/publications/mrff-australian-medical-research-and-innovation-priorities-2022-2024?language=en</vt:lpwstr>
      </vt:variant>
      <vt:variant>
        <vt:lpwstr>:~:text=The%20current%20MRFF%20priorities%20are%3A%20consumer-driven%20research%20research,research%20health%20and%20medical%20researcher%20capacity%20and%20capability</vt:lpwstr>
      </vt:variant>
      <vt:variant>
        <vt:i4>1376265</vt:i4>
      </vt:variant>
      <vt:variant>
        <vt:i4>138</vt:i4>
      </vt:variant>
      <vt:variant>
        <vt:i4>0</vt:i4>
      </vt:variant>
      <vt:variant>
        <vt:i4>5</vt:i4>
      </vt:variant>
      <vt:variant>
        <vt:lpwstr>https://www.grants.gov.au/Go/Show?GoUuid=02f5570e-16a1-4def-af34-e25773bd578c</vt:lpwstr>
      </vt:variant>
      <vt:variant>
        <vt:lpwstr/>
      </vt:variant>
      <vt:variant>
        <vt:i4>131099</vt:i4>
      </vt:variant>
      <vt:variant>
        <vt:i4>135</vt:i4>
      </vt:variant>
      <vt:variant>
        <vt:i4>0</vt:i4>
      </vt:variant>
      <vt:variant>
        <vt:i4>5</vt:i4>
      </vt:variant>
      <vt:variant>
        <vt:lpwstr>https://www.grants.gov.au/Go/Show?GoUuid=dfbdbdbe-c2c6-4001-9faf-5ef47fb1e137&amp;keyword=GO5339</vt:lpwstr>
      </vt:variant>
      <vt:variant>
        <vt:lpwstr/>
      </vt:variant>
      <vt:variant>
        <vt:i4>6029319</vt:i4>
      </vt:variant>
      <vt:variant>
        <vt:i4>132</vt:i4>
      </vt:variant>
      <vt:variant>
        <vt:i4>0</vt:i4>
      </vt:variant>
      <vt:variant>
        <vt:i4>5</vt:i4>
      </vt:variant>
      <vt:variant>
        <vt:lpwstr>https://www.health.gov.au/resources/publications/mrff-monitoring-evaluation-and-learning-strategy-2020-21-to-2023-24</vt:lpwstr>
      </vt:variant>
      <vt:variant>
        <vt:lpwstr/>
      </vt:variant>
      <vt:variant>
        <vt:i4>589840</vt:i4>
      </vt:variant>
      <vt:variant>
        <vt:i4>129</vt:i4>
      </vt:variant>
      <vt:variant>
        <vt:i4>0</vt:i4>
      </vt:variant>
      <vt:variant>
        <vt:i4>5</vt:i4>
      </vt:variant>
      <vt:variant>
        <vt:lpwstr>https://www.health.gov.au/our-work/early-to-mid-career-researchers-initiative?language=en</vt:lpwstr>
      </vt:variant>
      <vt:variant>
        <vt:lpwstr/>
      </vt:variant>
      <vt:variant>
        <vt:i4>1835062</vt:i4>
      </vt:variant>
      <vt:variant>
        <vt:i4>122</vt:i4>
      </vt:variant>
      <vt:variant>
        <vt:i4>0</vt:i4>
      </vt:variant>
      <vt:variant>
        <vt:i4>5</vt:i4>
      </vt:variant>
      <vt:variant>
        <vt:lpwstr/>
      </vt:variant>
      <vt:variant>
        <vt:lpwstr>_Toc160824519</vt:lpwstr>
      </vt:variant>
      <vt:variant>
        <vt:i4>1835062</vt:i4>
      </vt:variant>
      <vt:variant>
        <vt:i4>116</vt:i4>
      </vt:variant>
      <vt:variant>
        <vt:i4>0</vt:i4>
      </vt:variant>
      <vt:variant>
        <vt:i4>5</vt:i4>
      </vt:variant>
      <vt:variant>
        <vt:lpwstr/>
      </vt:variant>
      <vt:variant>
        <vt:lpwstr>_Toc160824518</vt:lpwstr>
      </vt:variant>
      <vt:variant>
        <vt:i4>1835062</vt:i4>
      </vt:variant>
      <vt:variant>
        <vt:i4>110</vt:i4>
      </vt:variant>
      <vt:variant>
        <vt:i4>0</vt:i4>
      </vt:variant>
      <vt:variant>
        <vt:i4>5</vt:i4>
      </vt:variant>
      <vt:variant>
        <vt:lpwstr/>
      </vt:variant>
      <vt:variant>
        <vt:lpwstr>_Toc160824517</vt:lpwstr>
      </vt:variant>
      <vt:variant>
        <vt:i4>1835062</vt:i4>
      </vt:variant>
      <vt:variant>
        <vt:i4>104</vt:i4>
      </vt:variant>
      <vt:variant>
        <vt:i4>0</vt:i4>
      </vt:variant>
      <vt:variant>
        <vt:i4>5</vt:i4>
      </vt:variant>
      <vt:variant>
        <vt:lpwstr/>
      </vt:variant>
      <vt:variant>
        <vt:lpwstr>_Toc160824516</vt:lpwstr>
      </vt:variant>
      <vt:variant>
        <vt:i4>1835062</vt:i4>
      </vt:variant>
      <vt:variant>
        <vt:i4>98</vt:i4>
      </vt:variant>
      <vt:variant>
        <vt:i4>0</vt:i4>
      </vt:variant>
      <vt:variant>
        <vt:i4>5</vt:i4>
      </vt:variant>
      <vt:variant>
        <vt:lpwstr/>
      </vt:variant>
      <vt:variant>
        <vt:lpwstr>_Toc160824515</vt:lpwstr>
      </vt:variant>
      <vt:variant>
        <vt:i4>1835062</vt:i4>
      </vt:variant>
      <vt:variant>
        <vt:i4>92</vt:i4>
      </vt:variant>
      <vt:variant>
        <vt:i4>0</vt:i4>
      </vt:variant>
      <vt:variant>
        <vt:i4>5</vt:i4>
      </vt:variant>
      <vt:variant>
        <vt:lpwstr/>
      </vt:variant>
      <vt:variant>
        <vt:lpwstr>_Toc160824514</vt:lpwstr>
      </vt:variant>
      <vt:variant>
        <vt:i4>1835062</vt:i4>
      </vt:variant>
      <vt:variant>
        <vt:i4>86</vt:i4>
      </vt:variant>
      <vt:variant>
        <vt:i4>0</vt:i4>
      </vt:variant>
      <vt:variant>
        <vt:i4>5</vt:i4>
      </vt:variant>
      <vt:variant>
        <vt:lpwstr/>
      </vt:variant>
      <vt:variant>
        <vt:lpwstr>_Toc160824513</vt:lpwstr>
      </vt:variant>
      <vt:variant>
        <vt:i4>1835062</vt:i4>
      </vt:variant>
      <vt:variant>
        <vt:i4>80</vt:i4>
      </vt:variant>
      <vt:variant>
        <vt:i4>0</vt:i4>
      </vt:variant>
      <vt:variant>
        <vt:i4>5</vt:i4>
      </vt:variant>
      <vt:variant>
        <vt:lpwstr/>
      </vt:variant>
      <vt:variant>
        <vt:lpwstr>_Toc160824512</vt:lpwstr>
      </vt:variant>
      <vt:variant>
        <vt:i4>1835062</vt:i4>
      </vt:variant>
      <vt:variant>
        <vt:i4>74</vt:i4>
      </vt:variant>
      <vt:variant>
        <vt:i4>0</vt:i4>
      </vt:variant>
      <vt:variant>
        <vt:i4>5</vt:i4>
      </vt:variant>
      <vt:variant>
        <vt:lpwstr/>
      </vt:variant>
      <vt:variant>
        <vt:lpwstr>_Toc160824511</vt:lpwstr>
      </vt:variant>
      <vt:variant>
        <vt:i4>1835062</vt:i4>
      </vt:variant>
      <vt:variant>
        <vt:i4>68</vt:i4>
      </vt:variant>
      <vt:variant>
        <vt:i4>0</vt:i4>
      </vt:variant>
      <vt:variant>
        <vt:i4>5</vt:i4>
      </vt:variant>
      <vt:variant>
        <vt:lpwstr/>
      </vt:variant>
      <vt:variant>
        <vt:lpwstr>_Toc160824510</vt:lpwstr>
      </vt:variant>
      <vt:variant>
        <vt:i4>1900598</vt:i4>
      </vt:variant>
      <vt:variant>
        <vt:i4>62</vt:i4>
      </vt:variant>
      <vt:variant>
        <vt:i4>0</vt:i4>
      </vt:variant>
      <vt:variant>
        <vt:i4>5</vt:i4>
      </vt:variant>
      <vt:variant>
        <vt:lpwstr/>
      </vt:variant>
      <vt:variant>
        <vt:lpwstr>_Toc160824509</vt:lpwstr>
      </vt:variant>
      <vt:variant>
        <vt:i4>1900598</vt:i4>
      </vt:variant>
      <vt:variant>
        <vt:i4>56</vt:i4>
      </vt:variant>
      <vt:variant>
        <vt:i4>0</vt:i4>
      </vt:variant>
      <vt:variant>
        <vt:i4>5</vt:i4>
      </vt:variant>
      <vt:variant>
        <vt:lpwstr/>
      </vt:variant>
      <vt:variant>
        <vt:lpwstr>_Toc160824508</vt:lpwstr>
      </vt:variant>
      <vt:variant>
        <vt:i4>1900598</vt:i4>
      </vt:variant>
      <vt:variant>
        <vt:i4>50</vt:i4>
      </vt:variant>
      <vt:variant>
        <vt:i4>0</vt:i4>
      </vt:variant>
      <vt:variant>
        <vt:i4>5</vt:i4>
      </vt:variant>
      <vt:variant>
        <vt:lpwstr/>
      </vt:variant>
      <vt:variant>
        <vt:lpwstr>_Toc160824507</vt:lpwstr>
      </vt:variant>
      <vt:variant>
        <vt:i4>1900598</vt:i4>
      </vt:variant>
      <vt:variant>
        <vt:i4>44</vt:i4>
      </vt:variant>
      <vt:variant>
        <vt:i4>0</vt:i4>
      </vt:variant>
      <vt:variant>
        <vt:i4>5</vt:i4>
      </vt:variant>
      <vt:variant>
        <vt:lpwstr/>
      </vt:variant>
      <vt:variant>
        <vt:lpwstr>_Toc160824506</vt:lpwstr>
      </vt:variant>
      <vt:variant>
        <vt:i4>1900598</vt:i4>
      </vt:variant>
      <vt:variant>
        <vt:i4>38</vt:i4>
      </vt:variant>
      <vt:variant>
        <vt:i4>0</vt:i4>
      </vt:variant>
      <vt:variant>
        <vt:i4>5</vt:i4>
      </vt:variant>
      <vt:variant>
        <vt:lpwstr/>
      </vt:variant>
      <vt:variant>
        <vt:lpwstr>_Toc160824505</vt:lpwstr>
      </vt:variant>
      <vt:variant>
        <vt:i4>1900598</vt:i4>
      </vt:variant>
      <vt:variant>
        <vt:i4>32</vt:i4>
      </vt:variant>
      <vt:variant>
        <vt:i4>0</vt:i4>
      </vt:variant>
      <vt:variant>
        <vt:i4>5</vt:i4>
      </vt:variant>
      <vt:variant>
        <vt:lpwstr/>
      </vt:variant>
      <vt:variant>
        <vt:lpwstr>_Toc160824504</vt:lpwstr>
      </vt:variant>
      <vt:variant>
        <vt:i4>1900598</vt:i4>
      </vt:variant>
      <vt:variant>
        <vt:i4>26</vt:i4>
      </vt:variant>
      <vt:variant>
        <vt:i4>0</vt:i4>
      </vt:variant>
      <vt:variant>
        <vt:i4>5</vt:i4>
      </vt:variant>
      <vt:variant>
        <vt:lpwstr/>
      </vt:variant>
      <vt:variant>
        <vt:lpwstr>_Toc160824503</vt:lpwstr>
      </vt:variant>
      <vt:variant>
        <vt:i4>1900598</vt:i4>
      </vt:variant>
      <vt:variant>
        <vt:i4>20</vt:i4>
      </vt:variant>
      <vt:variant>
        <vt:i4>0</vt:i4>
      </vt:variant>
      <vt:variant>
        <vt:i4>5</vt:i4>
      </vt:variant>
      <vt:variant>
        <vt:lpwstr/>
      </vt:variant>
      <vt:variant>
        <vt:lpwstr>_Toc160824502</vt:lpwstr>
      </vt:variant>
      <vt:variant>
        <vt:i4>1900598</vt:i4>
      </vt:variant>
      <vt:variant>
        <vt:i4>14</vt:i4>
      </vt:variant>
      <vt:variant>
        <vt:i4>0</vt:i4>
      </vt:variant>
      <vt:variant>
        <vt:i4>5</vt:i4>
      </vt:variant>
      <vt:variant>
        <vt:lpwstr/>
      </vt:variant>
      <vt:variant>
        <vt:lpwstr>_Toc160824501</vt:lpwstr>
      </vt:variant>
      <vt:variant>
        <vt:i4>1900598</vt:i4>
      </vt:variant>
      <vt:variant>
        <vt:i4>8</vt:i4>
      </vt:variant>
      <vt:variant>
        <vt:i4>0</vt:i4>
      </vt:variant>
      <vt:variant>
        <vt:i4>5</vt:i4>
      </vt:variant>
      <vt:variant>
        <vt:lpwstr/>
      </vt:variant>
      <vt:variant>
        <vt:lpwstr>_Toc160824500</vt:lpwstr>
      </vt:variant>
      <vt:variant>
        <vt:i4>1310775</vt:i4>
      </vt:variant>
      <vt:variant>
        <vt:i4>2</vt:i4>
      </vt:variant>
      <vt:variant>
        <vt:i4>0</vt:i4>
      </vt:variant>
      <vt:variant>
        <vt:i4>5</vt:i4>
      </vt:variant>
      <vt:variant>
        <vt:lpwstr/>
      </vt:variant>
      <vt:variant>
        <vt:lpwstr>_Toc160824499</vt:lpwstr>
      </vt:variant>
      <vt:variant>
        <vt:i4>1376265</vt:i4>
      </vt:variant>
      <vt:variant>
        <vt:i4>3</vt:i4>
      </vt:variant>
      <vt:variant>
        <vt:i4>0</vt:i4>
      </vt:variant>
      <vt:variant>
        <vt:i4>5</vt:i4>
      </vt:variant>
      <vt:variant>
        <vt:lpwstr>https://www.grants.gov.au/Go/Show?GoUuid=02f5570e-16a1-4def-af34-e25773bd578c</vt:lpwstr>
      </vt:variant>
      <vt:variant>
        <vt:lpwstr/>
      </vt:variant>
      <vt:variant>
        <vt:i4>1376265</vt:i4>
      </vt:variant>
      <vt:variant>
        <vt:i4>0</vt:i4>
      </vt:variant>
      <vt:variant>
        <vt:i4>0</vt:i4>
      </vt:variant>
      <vt:variant>
        <vt:i4>5</vt:i4>
      </vt:variant>
      <vt:variant>
        <vt:lpwstr>https://www.grants.gov.au/Go/Show?GoUuid=02f5570e-16a1-4def-af34-e25773bd578c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2023 Early to Mid-Career Researchers grant opportunity outcomes data</dc:title>
  <dc:subject>Health workforce</dc:subject>
  <dc:creator>Australian Government Department of Health and Aged Care</dc:creator>
  <cp:keywords>Medical Research Future Fund; MRFF; Early to Mid-career Researchers</cp:keywords>
  <cp:lastModifiedBy>Australian Government Department of Health and Aged </cp:lastModifiedBy>
  <cp:revision>5</cp:revision>
  <cp:lastPrinted>2024-05-31T00:20:00Z</cp:lastPrinted>
  <dcterms:created xsi:type="dcterms:W3CDTF">2024-06-11T03:55:00Z</dcterms:created>
  <dcterms:modified xsi:type="dcterms:W3CDTF">2024-06-11T05:01:00Z</dcterms:modified>
</cp:coreProperties>
</file>