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F3E51E" w14:textId="77777777" w:rsidR="00080CE6" w:rsidRDefault="00080CE6">
      <w:pPr>
        <w:rPr>
          <w:rFonts w:cs="Calibri"/>
        </w:rPr>
      </w:pPr>
      <w:bookmarkStart w:id="0" w:name="_Toc107835765"/>
      <w:bookmarkStart w:id="1" w:name="_Toc107835832"/>
      <w:bookmarkStart w:id="2" w:name="_Toc107911556"/>
      <w:bookmarkStart w:id="3" w:name="_Toc107920651"/>
      <w:bookmarkStart w:id="4" w:name="_Toc111552630"/>
      <w:bookmarkStart w:id="5" w:name="_Toc111558639"/>
      <w:bookmarkStart w:id="6" w:name="_Toc111561063"/>
      <w:bookmarkStart w:id="7" w:name="_Toc117841798"/>
    </w:p>
    <w:p w14:paraId="53C0AA3C" w14:textId="39D91EB4" w:rsidR="00081620" w:rsidRPr="00081620" w:rsidRDefault="000D1664">
      <w:pPr>
        <w:rPr>
          <w:rFonts w:cs="Calibri"/>
          <w:b/>
          <w:bCs/>
          <w:color w:val="F79646"/>
          <w:kern w:val="32"/>
          <w:sz w:val="40"/>
          <w:szCs w:val="40"/>
        </w:rPr>
      </w:pPr>
      <w:r w:rsidRPr="00081620">
        <w:rPr>
          <w:noProof/>
        </w:rPr>
        <mc:AlternateContent>
          <mc:Choice Requires="wps">
            <w:drawing>
              <wp:anchor distT="0" distB="0" distL="114300" distR="114300" simplePos="0" relativeHeight="251658244" behindDoc="0" locked="0" layoutInCell="1" allowOverlap="1" wp14:anchorId="08CB5FA7" wp14:editId="3A5A4CBC">
                <wp:simplePos x="0" y="0"/>
                <wp:positionH relativeFrom="page">
                  <wp:posOffset>3605076</wp:posOffset>
                </wp:positionH>
                <wp:positionV relativeFrom="paragraph">
                  <wp:posOffset>3963307</wp:posOffset>
                </wp:positionV>
                <wp:extent cx="3922646" cy="3930650"/>
                <wp:effectExtent l="0" t="0" r="0" b="0"/>
                <wp:wrapNone/>
                <wp:docPr id="59" name="Text Box 59"/>
                <wp:cNvGraphicFramePr/>
                <a:graphic xmlns:a="http://schemas.openxmlformats.org/drawingml/2006/main">
                  <a:graphicData uri="http://schemas.microsoft.com/office/word/2010/wordprocessingShape">
                    <wps:wsp>
                      <wps:cNvSpPr txBox="1"/>
                      <wps:spPr>
                        <a:xfrm>
                          <a:off x="0" y="0"/>
                          <a:ext cx="3922646" cy="3930650"/>
                        </a:xfrm>
                        <a:prstGeom prst="rect">
                          <a:avLst/>
                        </a:prstGeom>
                        <a:noFill/>
                        <a:ln>
                          <a:noFill/>
                        </a:ln>
                      </wps:spPr>
                      <wps:txbx>
                        <w:txbxContent>
                          <w:p w14:paraId="2D153AB4" w14:textId="1BD28C1F" w:rsidR="00081620" w:rsidRPr="00081620" w:rsidRDefault="000D1664" w:rsidP="00081620">
                            <w:pPr>
                              <w:rPr>
                                <w:rFonts w:ascii="Arial" w:hAnsi="Arial" w:cs="Arial"/>
                                <w:b/>
                                <w:sz w:val="72"/>
                                <w:szCs w:val="72"/>
                                <w14:textOutline w14:w="9525" w14:cap="rnd" w14:cmpd="sng" w14:algn="ctr">
                                  <w14:solidFill>
                                    <w14:srgbClr w14:val="FFFFFF"/>
                                  </w14:solidFill>
                                  <w14:prstDash w14:val="solid"/>
                                  <w14:bevel/>
                                </w14:textOutline>
                              </w:rPr>
                            </w:pPr>
                            <w:r>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 xml:space="preserve">FINAL </w:t>
                            </w:r>
                            <w:r w:rsidR="00BD4698">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REPORT</w:t>
                            </w:r>
                            <w:r w:rsidR="00BD4698">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CB5FA7" id="_x0000_t202" coordsize="21600,21600" o:spt="202" path="m,l,21600r21600,l21600,xe">
                <v:stroke joinstyle="miter"/>
                <v:path gradientshapeok="t" o:connecttype="rect"/>
              </v:shapetype>
              <v:shape id="Text Box 59" o:spid="_x0000_s1026" type="#_x0000_t202" style="position:absolute;margin-left:283.85pt;margin-top:312.05pt;width:308.85pt;height:309.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" filled="f" stroked="f">
                <v:textbox>
                  <w:txbxContent>
                    <w:p w14:paraId="2D153AB4" w14:textId="1BD28C1F" w:rsidR="00081620" w:rsidRPr="00081620" w:rsidRDefault="000D1664" w:rsidP="00081620">
                      <w:pPr>
                        <w:rPr>
                          <w:rFonts w:ascii="Arial" w:hAnsi="Arial" w:cs="Arial"/>
                          <w:b/>
                          <w:sz w:val="72"/>
                          <w:szCs w:val="72"/>
                          <w14:textOutline w14:w="9525" w14:cap="rnd" w14:cmpd="sng" w14:algn="ctr">
                            <w14:solidFill>
                              <w14:srgbClr w14:val="FFFFFF"/>
                            </w14:solidFill>
                            <w14:prstDash w14:val="solid"/>
                            <w14:bevel/>
                          </w14:textOutline>
                        </w:rPr>
                      </w:pPr>
                      <w:r>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 xml:space="preserve">FINAL </w:t>
                      </w:r>
                      <w:r w:rsidR="00BD4698">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REPORT</w:t>
                      </w:r>
                      <w:r w:rsidR="00BD4698">
                        <w:rPr>
                          <w:rFonts w:cs="Calibri"/>
                          <w:sz w:val="144"/>
                          <w:szCs w:val="1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br/>
                      </w:r>
                    </w:p>
                  </w:txbxContent>
                </v:textbox>
                <w10:wrap anchorx="page"/>
              </v:shape>
            </w:pict>
          </mc:Fallback>
        </mc:AlternateContent>
      </w:r>
      <w:r w:rsidR="001942F9" w:rsidRPr="00081620">
        <w:rPr>
          <w:noProof/>
        </w:rPr>
        <mc:AlternateContent>
          <mc:Choice Requires="wps">
            <w:drawing>
              <wp:anchor distT="0" distB="0" distL="114300" distR="114300" simplePos="0" relativeHeight="251658242" behindDoc="0" locked="0" layoutInCell="1" allowOverlap="1" wp14:anchorId="0B55A7B5" wp14:editId="1A8433A5">
                <wp:simplePos x="0" y="0"/>
                <wp:positionH relativeFrom="margin">
                  <wp:posOffset>1773555</wp:posOffset>
                </wp:positionH>
                <wp:positionV relativeFrom="paragraph">
                  <wp:posOffset>-695325</wp:posOffset>
                </wp:positionV>
                <wp:extent cx="3933825" cy="1828800"/>
                <wp:effectExtent l="0" t="0" r="0" b="0"/>
                <wp:wrapNone/>
                <wp:docPr id="63" name="Text Box 63"/>
                <wp:cNvGraphicFramePr/>
                <a:graphic xmlns:a="http://schemas.openxmlformats.org/drawingml/2006/main">
                  <a:graphicData uri="http://schemas.microsoft.com/office/word/2010/wordprocessingShape">
                    <wps:wsp>
                      <wps:cNvSpPr txBox="1"/>
                      <wps:spPr>
                        <a:xfrm>
                          <a:off x="0" y="0"/>
                          <a:ext cx="3933825" cy="1828800"/>
                        </a:xfrm>
                        <a:prstGeom prst="rect">
                          <a:avLst/>
                        </a:prstGeom>
                        <a:noFill/>
                        <a:ln>
                          <a:noFill/>
                        </a:ln>
                      </wps:spPr>
                      <wps:txbx>
                        <w:txbxContent>
                          <w:p w14:paraId="020EF03F" w14:textId="77777777" w:rsidR="00081620" w:rsidRPr="00081620" w:rsidRDefault="00081620" w:rsidP="00081620">
                            <w:pPr>
                              <w:spacing w:after="600"/>
                              <w:rPr>
                                <w:rFonts w:cs="Calibri"/>
                                <w:sz w:val="40"/>
                                <w:szCs w:val="40"/>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r w:rsidRPr="00081620">
                              <w:rPr>
                                <w:rFonts w:cs="Calibri"/>
                                <w:sz w:val="40"/>
                                <w:szCs w:val="40"/>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MBS Review Advisory Committee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0B55A7B5" id="Text Box 63" o:spid="_x0000_s1027" type="#_x0000_t202" style="position:absolute;margin-left:139.65pt;margin-top:-54.75pt;width:309.75pt;height:2in;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" filled="f" stroked="f">
                <v:textbox style="mso-fit-shape-to-text:t">
                  <w:txbxContent>
                    <w:p w14:paraId="020EF03F" w14:textId="77777777" w:rsidR="00081620" w:rsidRPr="00081620" w:rsidRDefault="00081620" w:rsidP="00081620">
                      <w:pPr>
                        <w:spacing w:after="600"/>
                        <w:rPr>
                          <w:rFonts w:cs="Calibri"/>
                          <w:sz w:val="40"/>
                          <w:szCs w:val="40"/>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r w:rsidRPr="00081620">
                        <w:rPr>
                          <w:rFonts w:cs="Calibri"/>
                          <w:sz w:val="40"/>
                          <w:szCs w:val="40"/>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MBS Review Advisory Committee</w:t>
                      </w:r>
                    </w:p>
                  </w:txbxContent>
                </v:textbox>
                <w10:wrap anchorx="margin"/>
              </v:shape>
            </w:pict>
          </mc:Fallback>
        </mc:AlternateContent>
      </w:r>
      <w:r w:rsidR="00113E23" w:rsidRPr="00081620">
        <w:rPr>
          <w:noProof/>
        </w:rPr>
        <mc:AlternateContent>
          <mc:Choice Requires="wps">
            <w:drawing>
              <wp:anchor distT="0" distB="0" distL="114300" distR="114300" simplePos="0" relativeHeight="251658243" behindDoc="0" locked="0" layoutInCell="1" allowOverlap="1" wp14:anchorId="61BA6D2D" wp14:editId="0D56751C">
                <wp:simplePos x="0" y="0"/>
                <wp:positionH relativeFrom="page">
                  <wp:posOffset>3048000</wp:posOffset>
                </wp:positionH>
                <wp:positionV relativeFrom="paragraph">
                  <wp:posOffset>2247900</wp:posOffset>
                </wp:positionV>
                <wp:extent cx="4714875" cy="1733550"/>
                <wp:effectExtent l="0" t="0" r="0" b="0"/>
                <wp:wrapNone/>
                <wp:docPr id="62" name="Text Box 62"/>
                <wp:cNvGraphicFramePr/>
                <a:graphic xmlns:a="http://schemas.openxmlformats.org/drawingml/2006/main">
                  <a:graphicData uri="http://schemas.microsoft.com/office/word/2010/wordprocessingShape">
                    <wps:wsp>
                      <wps:cNvSpPr txBox="1"/>
                      <wps:spPr>
                        <a:xfrm>
                          <a:off x="0" y="0"/>
                          <a:ext cx="4714875" cy="1733550"/>
                        </a:xfrm>
                        <a:prstGeom prst="rect">
                          <a:avLst/>
                        </a:prstGeom>
                        <a:noFill/>
                        <a:ln>
                          <a:noFill/>
                        </a:ln>
                      </wps:spPr>
                      <wps:txbx>
                        <w:txbxContent>
                          <w:p w14:paraId="3FA3796E" w14:textId="7C98FD46" w:rsidR="00081620" w:rsidRPr="00AF198E" w:rsidRDefault="00AF198E" w:rsidP="00081620">
                            <w:pPr>
                              <w:rPr>
                                <w:rFonts w:ascii="Arial" w:hAnsi="Arial" w:cs="Arial"/>
                                <w:b/>
                                <w:sz w:val="72"/>
                                <w:szCs w:val="72"/>
                                <w:lang w:val="en-US"/>
                                <w14:textOutline w14:w="9525" w14:cap="rnd" w14:cmpd="sng" w14:algn="ctr">
                                  <w14:solidFill>
                                    <w14:srgbClr w14:val="FFFFFF"/>
                                  </w14:solidFill>
                                  <w14:prstDash w14:val="solid"/>
                                  <w14:bevel/>
                                </w14:textOutline>
                              </w:rPr>
                            </w:pPr>
                            <w:r>
                              <w:rPr>
                                <w:rFonts w:cs="Calibri"/>
                                <w:b/>
                                <w:sz w:val="56"/>
                                <w:szCs w:val="56"/>
                                <w:lang w:val="en-US"/>
                              </w:rPr>
                              <w:t>Telehealth</w:t>
                            </w:r>
                            <w:r w:rsidR="008A4973">
                              <w:rPr>
                                <w:rFonts w:cs="Calibri"/>
                                <w:b/>
                                <w:sz w:val="56"/>
                                <w:szCs w:val="56"/>
                                <w:lang w:val="en-US"/>
                              </w:rPr>
                              <w:t xml:space="preserve"> </w:t>
                            </w:r>
                            <w:r w:rsidR="007E7E13">
                              <w:rPr>
                                <w:rFonts w:cs="Calibri"/>
                                <w:b/>
                                <w:sz w:val="56"/>
                                <w:szCs w:val="56"/>
                                <w:lang w:val="en-US"/>
                              </w:rPr>
                              <w:br/>
                            </w:r>
                            <w:r w:rsidR="008A4973">
                              <w:rPr>
                                <w:rFonts w:cs="Calibri"/>
                                <w:b/>
                                <w:sz w:val="56"/>
                                <w:szCs w:val="56"/>
                                <w:lang w:val="en-US"/>
                              </w:rPr>
                              <w:t>Post</w:t>
                            </w:r>
                            <w:r w:rsidR="00312248">
                              <w:rPr>
                                <w:rFonts w:cs="Calibri"/>
                                <w:b/>
                                <w:sz w:val="56"/>
                                <w:szCs w:val="56"/>
                                <w:lang w:val="en-US"/>
                              </w:rPr>
                              <w:t>-</w:t>
                            </w:r>
                            <w:r w:rsidR="005522F5">
                              <w:rPr>
                                <w:rFonts w:cs="Calibri"/>
                                <w:b/>
                                <w:sz w:val="56"/>
                                <w:szCs w:val="56"/>
                                <w:lang w:val="en-US"/>
                              </w:rPr>
                              <w:t>I</w:t>
                            </w:r>
                            <w:r w:rsidR="008A4973">
                              <w:rPr>
                                <w:rFonts w:cs="Calibri"/>
                                <w:b/>
                                <w:sz w:val="56"/>
                                <w:szCs w:val="56"/>
                                <w:lang w:val="en-US"/>
                              </w:rPr>
                              <w:t>mplem</w:t>
                            </w:r>
                            <w:r w:rsidR="00113E23">
                              <w:rPr>
                                <w:rFonts w:cs="Calibri"/>
                                <w:b/>
                                <w:sz w:val="56"/>
                                <w:szCs w:val="56"/>
                                <w:lang w:val="en-US"/>
                              </w:rPr>
                              <w:t>entation Review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BA6D2D" id="Text Box 62" o:spid="_x0000_s1028" type="#_x0000_t202" style="position:absolute;margin-left:240pt;margin-top:177pt;width:371.25pt;height:136.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" filled="f" stroked="f">
                <v:textbox>
                  <w:txbxContent>
                    <w:p w14:paraId="3FA3796E" w14:textId="7C98FD46" w:rsidR="00081620" w:rsidRPr="00AF198E" w:rsidRDefault="00AF198E" w:rsidP="00081620">
                      <w:pPr>
                        <w:rPr>
                          <w:rFonts w:ascii="Arial" w:hAnsi="Arial" w:cs="Arial"/>
                          <w:b/>
                          <w:sz w:val="72"/>
                          <w:szCs w:val="72"/>
                          <w:lang w:val="en-US"/>
                          <w14:textOutline w14:w="9525" w14:cap="rnd" w14:cmpd="sng" w14:algn="ctr">
                            <w14:solidFill>
                              <w14:srgbClr w14:val="FFFFFF"/>
                            </w14:solidFill>
                            <w14:prstDash w14:val="solid"/>
                            <w14:bevel/>
                          </w14:textOutline>
                        </w:rPr>
                      </w:pPr>
                      <w:r>
                        <w:rPr>
                          <w:rFonts w:cs="Calibri"/>
                          <w:b/>
                          <w:sz w:val="56"/>
                          <w:szCs w:val="56"/>
                          <w:lang w:val="en-US"/>
                        </w:rPr>
                        <w:t>Telehealth</w:t>
                      </w:r>
                      <w:r w:rsidR="008A4973">
                        <w:rPr>
                          <w:rFonts w:cs="Calibri"/>
                          <w:b/>
                          <w:sz w:val="56"/>
                          <w:szCs w:val="56"/>
                          <w:lang w:val="en-US"/>
                        </w:rPr>
                        <w:t xml:space="preserve"> </w:t>
                      </w:r>
                      <w:r w:rsidR="007E7E13">
                        <w:rPr>
                          <w:rFonts w:cs="Calibri"/>
                          <w:b/>
                          <w:sz w:val="56"/>
                          <w:szCs w:val="56"/>
                          <w:lang w:val="en-US"/>
                        </w:rPr>
                        <w:br/>
                      </w:r>
                      <w:r w:rsidR="008A4973">
                        <w:rPr>
                          <w:rFonts w:cs="Calibri"/>
                          <w:b/>
                          <w:sz w:val="56"/>
                          <w:szCs w:val="56"/>
                          <w:lang w:val="en-US"/>
                        </w:rPr>
                        <w:t>Post</w:t>
                      </w:r>
                      <w:r w:rsidR="00312248">
                        <w:rPr>
                          <w:rFonts w:cs="Calibri"/>
                          <w:b/>
                          <w:sz w:val="56"/>
                          <w:szCs w:val="56"/>
                          <w:lang w:val="en-US"/>
                        </w:rPr>
                        <w:t>-</w:t>
                      </w:r>
                      <w:r w:rsidR="005522F5">
                        <w:rPr>
                          <w:rFonts w:cs="Calibri"/>
                          <w:b/>
                          <w:sz w:val="56"/>
                          <w:szCs w:val="56"/>
                          <w:lang w:val="en-US"/>
                        </w:rPr>
                        <w:t>I</w:t>
                      </w:r>
                      <w:r w:rsidR="008A4973">
                        <w:rPr>
                          <w:rFonts w:cs="Calibri"/>
                          <w:b/>
                          <w:sz w:val="56"/>
                          <w:szCs w:val="56"/>
                          <w:lang w:val="en-US"/>
                        </w:rPr>
                        <w:t>mplem</w:t>
                      </w:r>
                      <w:r w:rsidR="00113E23">
                        <w:rPr>
                          <w:rFonts w:cs="Calibri"/>
                          <w:b/>
                          <w:sz w:val="56"/>
                          <w:szCs w:val="56"/>
                          <w:lang w:val="en-US"/>
                        </w:rPr>
                        <w:t>entation Review</w:t>
                      </w:r>
                    </w:p>
                  </w:txbxContent>
                </v:textbox>
                <w10:wrap anchorx="page"/>
              </v:shape>
            </w:pict>
          </mc:Fallback>
        </mc:AlternateContent>
      </w:r>
      <w:r w:rsidR="00081620" w:rsidRPr="00081620">
        <w:rPr>
          <w:noProof/>
        </w:rPr>
        <mc:AlternateContent>
          <mc:Choice Requires="wps">
            <w:drawing>
              <wp:anchor distT="0" distB="0" distL="114300" distR="114300" simplePos="0" relativeHeight="251658245" behindDoc="0" locked="0" layoutInCell="1" allowOverlap="1" wp14:anchorId="7FA3A111" wp14:editId="04D13C56">
                <wp:simplePos x="0" y="0"/>
                <wp:positionH relativeFrom="margin">
                  <wp:posOffset>3297555</wp:posOffset>
                </wp:positionH>
                <wp:positionV relativeFrom="paragraph">
                  <wp:posOffset>8782050</wp:posOffset>
                </wp:positionV>
                <wp:extent cx="2952750" cy="2813050"/>
                <wp:effectExtent l="0" t="0" r="0" b="6350"/>
                <wp:wrapNone/>
                <wp:docPr id="22" name="Text Box 22"/>
                <wp:cNvGraphicFramePr/>
                <a:graphic xmlns:a="http://schemas.openxmlformats.org/drawingml/2006/main">
                  <a:graphicData uri="http://schemas.microsoft.com/office/word/2010/wordprocessingShape">
                    <wps:wsp>
                      <wps:cNvSpPr txBox="1"/>
                      <wps:spPr>
                        <a:xfrm>
                          <a:off x="0" y="0"/>
                          <a:ext cx="2952750" cy="2813050"/>
                        </a:xfrm>
                        <a:prstGeom prst="rect">
                          <a:avLst/>
                        </a:prstGeom>
                        <a:noFill/>
                        <a:ln>
                          <a:noFill/>
                        </a:ln>
                      </wps:spPr>
                      <wps:txbx>
                        <w:txbxContent>
                          <w:p w14:paraId="4F4164B0" w14:textId="48D2BD0F" w:rsidR="00081620" w:rsidRDefault="00F43E32" w:rsidP="00081620">
                            <w:pPr>
                              <w:spacing w:after="600"/>
                            </w:pPr>
                            <w:r>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March</w:t>
                            </w:r>
                            <w:r w:rsidRPr="00081620">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 xml:space="preserve"> </w:t>
                            </w:r>
                            <w:r w:rsidR="00081620" w:rsidRPr="00081620">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202</w:t>
                            </w:r>
                            <w:r>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A3A111" id="Text Box 22" o:spid="_x0000_s1029" type="#_x0000_t202" style="position:absolute;margin-left:259.65pt;margin-top:691.5pt;width:232.5pt;height:221.5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" filled="f" stroked="f">
                <v:textbox>
                  <w:txbxContent>
                    <w:p w14:paraId="4F4164B0" w14:textId="48D2BD0F" w:rsidR="00081620" w:rsidRDefault="00F43E32" w:rsidP="00081620">
                      <w:pPr>
                        <w:spacing w:after="600"/>
                      </w:pPr>
                      <w:r>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March</w:t>
                      </w:r>
                      <w:r w:rsidRPr="00081620">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 xml:space="preserve"> </w:t>
                      </w:r>
                      <w:r w:rsidR="00081620" w:rsidRPr="00081620">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202</w:t>
                      </w:r>
                      <w:r>
                        <w:rPr>
                          <w:rFonts w:cs="Calibri"/>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4</w:t>
                      </w:r>
                    </w:p>
                  </w:txbxContent>
                </v:textbox>
                <w10:wrap anchorx="margin"/>
              </v:shape>
            </w:pict>
          </mc:Fallback>
        </mc:AlternateContent>
      </w:r>
      <w:r w:rsidR="00081620" w:rsidRPr="00081620">
        <w:rPr>
          <w:noProof/>
          <w:color w:val="C0504D"/>
        </w:rPr>
        <mc:AlternateContent>
          <mc:Choice Requires="wps">
            <w:drawing>
              <wp:anchor distT="0" distB="0" distL="114300" distR="114300" simplePos="0" relativeHeight="251658241" behindDoc="0" locked="0" layoutInCell="1" allowOverlap="1" wp14:anchorId="1D730EB8" wp14:editId="620875F1">
                <wp:simplePos x="0" y="0"/>
                <wp:positionH relativeFrom="column">
                  <wp:posOffset>-3913824</wp:posOffset>
                </wp:positionH>
                <wp:positionV relativeFrom="paragraph">
                  <wp:posOffset>4696777</wp:posOffset>
                </wp:positionV>
                <wp:extent cx="11261595" cy="45719"/>
                <wp:effectExtent l="7302" t="0" r="4763" b="4762"/>
                <wp:wrapNone/>
                <wp:docPr id="18" name="Rectangle 18"/>
                <wp:cNvGraphicFramePr/>
                <a:graphic xmlns:a="http://schemas.openxmlformats.org/drawingml/2006/main">
                  <a:graphicData uri="http://schemas.microsoft.com/office/word/2010/wordprocessingShape">
                    <wps:wsp>
                      <wps:cNvSpPr/>
                      <wps:spPr>
                        <a:xfrm rot="5400000">
                          <a:off x="0" y="0"/>
                          <a:ext cx="11261595" cy="45719"/>
                        </a:xfrm>
                        <a:prstGeom prst="rect">
                          <a:avLst/>
                        </a:prstGeom>
                        <a:solidFill>
                          <a:sysClr val="windowText" lastClr="00000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448C92" id="Rectangle 18" o:spid="_x0000_s1026" style="position:absolute;margin-left:-308.2pt;margin-top:369.8pt;width:886.75pt;height:3.6pt;rotation:90;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" fillcolor="windowText" stroked="f" strokeweight="2pt"/>
            </w:pict>
          </mc:Fallback>
        </mc:AlternateContent>
      </w:r>
      <w:r w:rsidR="00081620" w:rsidRPr="00081620">
        <w:rPr>
          <w:noProof/>
        </w:rPr>
        <w:drawing>
          <wp:anchor distT="0" distB="0" distL="114300" distR="114300" simplePos="0" relativeHeight="251658240" behindDoc="1" locked="0" layoutInCell="1" allowOverlap="1" wp14:anchorId="79A19B3A" wp14:editId="47CD09DD">
            <wp:simplePos x="0" y="0"/>
            <wp:positionH relativeFrom="page">
              <wp:align>left</wp:align>
            </wp:positionH>
            <wp:positionV relativeFrom="paragraph">
              <wp:posOffset>-895350</wp:posOffset>
            </wp:positionV>
            <wp:extent cx="2875280" cy="10972800"/>
            <wp:effectExtent l="0" t="0" r="1270" b="0"/>
            <wp:wrapNone/>
            <wp:docPr id="21" name="Picture 21" descr="Triangular abstract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riangular abstract background"/>
                    <pic:cNvPicPr/>
                  </pic:nvPicPr>
                  <pic:blipFill rotWithShape="1">
                    <a:blip r:embed="rId11">
                      <a:alphaModFix amt="74000"/>
                      <a:extLst>
                        <a:ext uri="{28A0092B-C50C-407E-A947-70E740481C1C}">
                          <a14:useLocalDpi xmlns:a14="http://schemas.microsoft.com/office/drawing/2010/main" val="0"/>
                        </a:ext>
                      </a:extLst>
                    </a:blip>
                    <a:srcRect r="69144"/>
                    <a:stretch/>
                  </pic:blipFill>
                  <pic:spPr bwMode="auto">
                    <a:xfrm>
                      <a:off x="0" y="0"/>
                      <a:ext cx="2875280" cy="10972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5013B">
        <w:rPr>
          <w:rFonts w:cs="Calibri"/>
        </w:rPr>
        <w:t xml:space="preserve"> </w:t>
      </w:r>
      <w:r w:rsidR="00081620" w:rsidRPr="00081620">
        <w:rPr>
          <w:rFonts w:cs="Calibri"/>
        </w:rPr>
        <w:br w:type="page"/>
      </w:r>
    </w:p>
    <w:bookmarkEnd w:id="0"/>
    <w:bookmarkEnd w:id="1"/>
    <w:bookmarkEnd w:id="2"/>
    <w:bookmarkEnd w:id="3"/>
    <w:bookmarkEnd w:id="4"/>
    <w:bookmarkEnd w:id="5"/>
    <w:bookmarkEnd w:id="6"/>
    <w:bookmarkEnd w:id="7"/>
    <w:p w14:paraId="10DE8733" w14:textId="2E22EA1F" w:rsidR="00821270" w:rsidRPr="000371D8" w:rsidRDefault="00821270" w:rsidP="000371D8">
      <w:pPr>
        <w:rPr>
          <w:b/>
          <w:bCs/>
          <w:color w:val="ED7D31" w:themeColor="accent2"/>
          <w:sz w:val="40"/>
          <w:szCs w:val="40"/>
          <w:lang w:eastAsia="en-AU"/>
        </w:rPr>
      </w:pPr>
      <w:r w:rsidRPr="25F39696">
        <w:rPr>
          <w:b/>
          <w:bCs/>
          <w:color w:val="ED7D31" w:themeColor="accent2"/>
          <w:sz w:val="40"/>
          <w:szCs w:val="40"/>
          <w:lang w:eastAsia="en-AU"/>
        </w:rPr>
        <w:lastRenderedPageBreak/>
        <w:t>Contents</w:t>
      </w:r>
    </w:p>
    <w:p w14:paraId="2A4651A6" w14:textId="78891EEA" w:rsidR="00302DDD" w:rsidRDefault="008F51E3" w:rsidP="00302DDD">
      <w:pPr>
        <w:pStyle w:val="TOC1"/>
        <w:rPr>
          <w:rFonts w:asciiTheme="minorHAnsi" w:eastAsiaTheme="minorEastAsia" w:hAnsiTheme="minorHAnsi" w:cstheme="minorBidi"/>
          <w:color w:val="auto"/>
          <w:kern w:val="2"/>
          <w:szCs w:val="22"/>
          <w:lang w:eastAsia="en-AU"/>
          <w14:ligatures w14:val="standardContextual"/>
        </w:rPr>
      </w:pPr>
      <w:r>
        <w:fldChar w:fldCharType="begin"/>
      </w:r>
      <w:r>
        <w:instrText xml:space="preserve"> TOC \o "1-3" \u </w:instrText>
      </w:r>
      <w:r>
        <w:fldChar w:fldCharType="separate"/>
      </w:r>
      <w:r w:rsidR="00302DDD">
        <w:t>Summary</w:t>
      </w:r>
      <w:r w:rsidR="00302DDD">
        <w:tab/>
      </w:r>
      <w:r w:rsidR="00302DDD">
        <w:fldChar w:fldCharType="begin"/>
      </w:r>
      <w:r w:rsidR="00302DDD">
        <w:instrText xml:space="preserve"> PAGEREF _Toc163814537 \h </w:instrText>
      </w:r>
      <w:r w:rsidR="00302DDD">
        <w:fldChar w:fldCharType="separate"/>
      </w:r>
      <w:r w:rsidR="0019242F">
        <w:t>4</w:t>
      </w:r>
      <w:r w:rsidR="00302DDD">
        <w:fldChar w:fldCharType="end"/>
      </w:r>
    </w:p>
    <w:p w14:paraId="66B71F80" w14:textId="5B30CEC8"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sidRPr="006F21E3">
        <w:rPr>
          <w:noProof/>
          <w:lang w:val="en-US"/>
        </w:rPr>
        <w:t>Telehealth services in Australia</w:t>
      </w:r>
      <w:r>
        <w:rPr>
          <w:noProof/>
        </w:rPr>
        <w:tab/>
      </w:r>
      <w:r>
        <w:rPr>
          <w:noProof/>
        </w:rPr>
        <w:fldChar w:fldCharType="begin"/>
      </w:r>
      <w:r>
        <w:rPr>
          <w:noProof/>
        </w:rPr>
        <w:instrText xml:space="preserve"> PAGEREF _Toc163814538 \h </w:instrText>
      </w:r>
      <w:r>
        <w:rPr>
          <w:noProof/>
        </w:rPr>
      </w:r>
      <w:r>
        <w:rPr>
          <w:noProof/>
        </w:rPr>
        <w:fldChar w:fldCharType="separate"/>
      </w:r>
      <w:r w:rsidR="0019242F">
        <w:rPr>
          <w:noProof/>
        </w:rPr>
        <w:t>4</w:t>
      </w:r>
      <w:r>
        <w:rPr>
          <w:noProof/>
        </w:rPr>
        <w:fldChar w:fldCharType="end"/>
      </w:r>
    </w:p>
    <w:p w14:paraId="1A40554F" w14:textId="2A94E70A"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Clinician uptake</w:t>
      </w:r>
      <w:r>
        <w:rPr>
          <w:noProof/>
        </w:rPr>
        <w:tab/>
      </w:r>
      <w:r>
        <w:rPr>
          <w:noProof/>
        </w:rPr>
        <w:fldChar w:fldCharType="begin"/>
      </w:r>
      <w:r>
        <w:rPr>
          <w:noProof/>
        </w:rPr>
        <w:instrText xml:space="preserve"> PAGEREF _Toc163814539 \h </w:instrText>
      </w:r>
      <w:r>
        <w:rPr>
          <w:noProof/>
        </w:rPr>
      </w:r>
      <w:r>
        <w:rPr>
          <w:noProof/>
        </w:rPr>
        <w:fldChar w:fldCharType="separate"/>
      </w:r>
      <w:r w:rsidR="0019242F">
        <w:rPr>
          <w:noProof/>
        </w:rPr>
        <w:t>4</w:t>
      </w:r>
      <w:r>
        <w:rPr>
          <w:noProof/>
        </w:rPr>
        <w:fldChar w:fldCharType="end"/>
      </w:r>
    </w:p>
    <w:p w14:paraId="31156914" w14:textId="459577ED"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Patient uptake</w:t>
      </w:r>
      <w:r>
        <w:rPr>
          <w:noProof/>
        </w:rPr>
        <w:tab/>
      </w:r>
      <w:r>
        <w:rPr>
          <w:noProof/>
        </w:rPr>
        <w:fldChar w:fldCharType="begin"/>
      </w:r>
      <w:r>
        <w:rPr>
          <w:noProof/>
        </w:rPr>
        <w:instrText xml:space="preserve"> PAGEREF _Toc163814540 \h </w:instrText>
      </w:r>
      <w:r>
        <w:rPr>
          <w:noProof/>
        </w:rPr>
      </w:r>
      <w:r>
        <w:rPr>
          <w:noProof/>
        </w:rPr>
        <w:fldChar w:fldCharType="separate"/>
      </w:r>
      <w:r w:rsidR="0019242F">
        <w:rPr>
          <w:noProof/>
        </w:rPr>
        <w:t>5</w:t>
      </w:r>
      <w:r>
        <w:rPr>
          <w:noProof/>
        </w:rPr>
        <w:fldChar w:fldCharType="end"/>
      </w:r>
    </w:p>
    <w:p w14:paraId="1D6CF2A5" w14:textId="6B08A06A"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Telehealth business models</w:t>
      </w:r>
      <w:r>
        <w:rPr>
          <w:noProof/>
        </w:rPr>
        <w:tab/>
      </w:r>
      <w:r>
        <w:rPr>
          <w:noProof/>
        </w:rPr>
        <w:fldChar w:fldCharType="begin"/>
      </w:r>
      <w:r>
        <w:rPr>
          <w:noProof/>
        </w:rPr>
        <w:instrText xml:space="preserve"> PAGEREF _Toc163814541 \h </w:instrText>
      </w:r>
      <w:r>
        <w:rPr>
          <w:noProof/>
        </w:rPr>
      </w:r>
      <w:r>
        <w:rPr>
          <w:noProof/>
        </w:rPr>
        <w:fldChar w:fldCharType="separate"/>
      </w:r>
      <w:r w:rsidR="0019242F">
        <w:rPr>
          <w:noProof/>
        </w:rPr>
        <w:t>5</w:t>
      </w:r>
      <w:r>
        <w:rPr>
          <w:noProof/>
        </w:rPr>
        <w:fldChar w:fldCharType="end"/>
      </w:r>
    </w:p>
    <w:p w14:paraId="77A55744" w14:textId="017D46E4"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sidRPr="006F21E3">
        <w:rPr>
          <w:noProof/>
          <w:lang w:val="en-US"/>
        </w:rPr>
        <w:t>Balancing access, quality and safety</w:t>
      </w:r>
      <w:r>
        <w:rPr>
          <w:noProof/>
        </w:rPr>
        <w:tab/>
      </w:r>
      <w:r>
        <w:rPr>
          <w:noProof/>
        </w:rPr>
        <w:fldChar w:fldCharType="begin"/>
      </w:r>
      <w:r>
        <w:rPr>
          <w:noProof/>
        </w:rPr>
        <w:instrText xml:space="preserve"> PAGEREF _Toc163814542 \h </w:instrText>
      </w:r>
      <w:r>
        <w:rPr>
          <w:noProof/>
        </w:rPr>
      </w:r>
      <w:r>
        <w:rPr>
          <w:noProof/>
        </w:rPr>
        <w:fldChar w:fldCharType="separate"/>
      </w:r>
      <w:r w:rsidR="0019242F">
        <w:rPr>
          <w:noProof/>
        </w:rPr>
        <w:t>6</w:t>
      </w:r>
      <w:r>
        <w:rPr>
          <w:noProof/>
        </w:rPr>
        <w:fldChar w:fldCharType="end"/>
      </w:r>
    </w:p>
    <w:p w14:paraId="1D11B5CE" w14:textId="53566FE9"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Comparing telehealth to face-to-face health care</w:t>
      </w:r>
      <w:r>
        <w:rPr>
          <w:noProof/>
        </w:rPr>
        <w:tab/>
      </w:r>
      <w:r>
        <w:rPr>
          <w:noProof/>
        </w:rPr>
        <w:fldChar w:fldCharType="begin"/>
      </w:r>
      <w:r>
        <w:rPr>
          <w:noProof/>
        </w:rPr>
        <w:instrText xml:space="preserve"> PAGEREF _Toc163814543 \h </w:instrText>
      </w:r>
      <w:r>
        <w:rPr>
          <w:noProof/>
        </w:rPr>
      </w:r>
      <w:r>
        <w:rPr>
          <w:noProof/>
        </w:rPr>
        <w:fldChar w:fldCharType="separate"/>
      </w:r>
      <w:r w:rsidR="0019242F">
        <w:rPr>
          <w:noProof/>
        </w:rPr>
        <w:t>6</w:t>
      </w:r>
      <w:r>
        <w:rPr>
          <w:noProof/>
        </w:rPr>
        <w:fldChar w:fldCharType="end"/>
      </w:r>
    </w:p>
    <w:p w14:paraId="4B785B1B" w14:textId="25B49B71"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Video vs telephone</w:t>
      </w:r>
      <w:r>
        <w:rPr>
          <w:noProof/>
        </w:rPr>
        <w:tab/>
      </w:r>
      <w:r>
        <w:rPr>
          <w:noProof/>
        </w:rPr>
        <w:fldChar w:fldCharType="begin"/>
      </w:r>
      <w:r>
        <w:rPr>
          <w:noProof/>
        </w:rPr>
        <w:instrText xml:space="preserve"> PAGEREF _Toc163814544 \h </w:instrText>
      </w:r>
      <w:r>
        <w:rPr>
          <w:noProof/>
        </w:rPr>
      </w:r>
      <w:r>
        <w:rPr>
          <w:noProof/>
        </w:rPr>
        <w:fldChar w:fldCharType="separate"/>
      </w:r>
      <w:r w:rsidR="0019242F">
        <w:rPr>
          <w:noProof/>
        </w:rPr>
        <w:t>6</w:t>
      </w:r>
      <w:r>
        <w:rPr>
          <w:noProof/>
        </w:rPr>
        <w:fldChar w:fldCharType="end"/>
      </w:r>
    </w:p>
    <w:p w14:paraId="634BE848" w14:textId="72474D0A"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sidRPr="006F21E3">
        <w:rPr>
          <w:noProof/>
          <w:lang w:val="en-US"/>
        </w:rPr>
        <w:t>Telehealth in the MBS</w:t>
      </w:r>
      <w:r>
        <w:rPr>
          <w:noProof/>
        </w:rPr>
        <w:tab/>
      </w:r>
      <w:r>
        <w:rPr>
          <w:noProof/>
        </w:rPr>
        <w:fldChar w:fldCharType="begin"/>
      </w:r>
      <w:r>
        <w:rPr>
          <w:noProof/>
        </w:rPr>
        <w:instrText xml:space="preserve"> PAGEREF _Toc163814545 \h </w:instrText>
      </w:r>
      <w:r>
        <w:rPr>
          <w:noProof/>
        </w:rPr>
      </w:r>
      <w:r>
        <w:rPr>
          <w:noProof/>
        </w:rPr>
        <w:fldChar w:fldCharType="separate"/>
      </w:r>
      <w:r w:rsidR="0019242F">
        <w:rPr>
          <w:noProof/>
        </w:rPr>
        <w:t>7</w:t>
      </w:r>
      <w:r>
        <w:rPr>
          <w:noProof/>
        </w:rPr>
        <w:fldChar w:fldCharType="end"/>
      </w:r>
    </w:p>
    <w:p w14:paraId="721B0B50" w14:textId="64061F2E"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MBS Telehealth Principles</w:t>
      </w:r>
      <w:r>
        <w:rPr>
          <w:noProof/>
        </w:rPr>
        <w:tab/>
      </w:r>
      <w:r>
        <w:rPr>
          <w:noProof/>
        </w:rPr>
        <w:fldChar w:fldCharType="begin"/>
      </w:r>
      <w:r>
        <w:rPr>
          <w:noProof/>
        </w:rPr>
        <w:instrText xml:space="preserve"> PAGEREF _Toc163814546 \h </w:instrText>
      </w:r>
      <w:r>
        <w:rPr>
          <w:noProof/>
        </w:rPr>
      </w:r>
      <w:r>
        <w:rPr>
          <w:noProof/>
        </w:rPr>
        <w:fldChar w:fldCharType="separate"/>
      </w:r>
      <w:r w:rsidR="0019242F">
        <w:rPr>
          <w:noProof/>
        </w:rPr>
        <w:t>7</w:t>
      </w:r>
      <w:r>
        <w:rPr>
          <w:noProof/>
        </w:rPr>
        <w:fldChar w:fldCharType="end"/>
      </w:r>
    </w:p>
    <w:p w14:paraId="128DF141" w14:textId="12E7B9B6"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Appropriate types of telehealth services</w:t>
      </w:r>
      <w:r>
        <w:rPr>
          <w:noProof/>
        </w:rPr>
        <w:tab/>
      </w:r>
      <w:r>
        <w:rPr>
          <w:noProof/>
        </w:rPr>
        <w:fldChar w:fldCharType="begin"/>
      </w:r>
      <w:r>
        <w:rPr>
          <w:noProof/>
        </w:rPr>
        <w:instrText xml:space="preserve"> PAGEREF _Toc163814547 \h </w:instrText>
      </w:r>
      <w:r>
        <w:rPr>
          <w:noProof/>
        </w:rPr>
      </w:r>
      <w:r>
        <w:rPr>
          <w:noProof/>
        </w:rPr>
        <w:fldChar w:fldCharType="separate"/>
      </w:r>
      <w:r w:rsidR="0019242F">
        <w:rPr>
          <w:noProof/>
        </w:rPr>
        <w:t>7</w:t>
      </w:r>
      <w:r>
        <w:rPr>
          <w:noProof/>
        </w:rPr>
        <w:fldChar w:fldCharType="end"/>
      </w:r>
    </w:p>
    <w:p w14:paraId="6A6D0162" w14:textId="5A04B050"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Asynchronous telehealth</w:t>
      </w:r>
      <w:r>
        <w:rPr>
          <w:noProof/>
        </w:rPr>
        <w:tab/>
      </w:r>
      <w:r>
        <w:rPr>
          <w:noProof/>
        </w:rPr>
        <w:fldChar w:fldCharType="begin"/>
      </w:r>
      <w:r>
        <w:rPr>
          <w:noProof/>
        </w:rPr>
        <w:instrText xml:space="preserve"> PAGEREF _Toc163814548 \h </w:instrText>
      </w:r>
      <w:r>
        <w:rPr>
          <w:noProof/>
        </w:rPr>
      </w:r>
      <w:r>
        <w:rPr>
          <w:noProof/>
        </w:rPr>
        <w:fldChar w:fldCharType="separate"/>
      </w:r>
      <w:r w:rsidR="0019242F">
        <w:rPr>
          <w:noProof/>
        </w:rPr>
        <w:t>7</w:t>
      </w:r>
      <w:r>
        <w:rPr>
          <w:noProof/>
        </w:rPr>
        <w:fldChar w:fldCharType="end"/>
      </w:r>
    </w:p>
    <w:p w14:paraId="72DB0456" w14:textId="17917257"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Eligibility requirements and exemptions for telehealth services</w:t>
      </w:r>
      <w:r>
        <w:rPr>
          <w:noProof/>
        </w:rPr>
        <w:tab/>
      </w:r>
      <w:r>
        <w:rPr>
          <w:noProof/>
        </w:rPr>
        <w:fldChar w:fldCharType="begin"/>
      </w:r>
      <w:r>
        <w:rPr>
          <w:noProof/>
        </w:rPr>
        <w:instrText xml:space="preserve"> PAGEREF _Toc163814549 \h </w:instrText>
      </w:r>
      <w:r>
        <w:rPr>
          <w:noProof/>
        </w:rPr>
      </w:r>
      <w:r>
        <w:rPr>
          <w:noProof/>
        </w:rPr>
        <w:fldChar w:fldCharType="separate"/>
      </w:r>
      <w:r w:rsidR="0019242F">
        <w:rPr>
          <w:noProof/>
        </w:rPr>
        <w:t>8</w:t>
      </w:r>
      <w:r>
        <w:rPr>
          <w:noProof/>
        </w:rPr>
        <w:fldChar w:fldCharType="end"/>
      </w:r>
    </w:p>
    <w:p w14:paraId="57423B1F" w14:textId="3985E341"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sidRPr="006F21E3">
        <w:rPr>
          <w:noProof/>
          <w:lang w:val="en-US"/>
        </w:rPr>
        <w:t>Strengthening access to patient-end support</w:t>
      </w:r>
      <w:r>
        <w:rPr>
          <w:noProof/>
        </w:rPr>
        <w:tab/>
      </w:r>
      <w:r>
        <w:rPr>
          <w:noProof/>
        </w:rPr>
        <w:fldChar w:fldCharType="begin"/>
      </w:r>
      <w:r>
        <w:rPr>
          <w:noProof/>
        </w:rPr>
        <w:instrText xml:space="preserve"> PAGEREF _Toc163814550 \h </w:instrText>
      </w:r>
      <w:r>
        <w:rPr>
          <w:noProof/>
        </w:rPr>
      </w:r>
      <w:r>
        <w:rPr>
          <w:noProof/>
        </w:rPr>
        <w:fldChar w:fldCharType="separate"/>
      </w:r>
      <w:r w:rsidR="0019242F">
        <w:rPr>
          <w:noProof/>
        </w:rPr>
        <w:t>9</w:t>
      </w:r>
      <w:r>
        <w:rPr>
          <w:noProof/>
        </w:rPr>
        <w:fldChar w:fldCharType="end"/>
      </w:r>
    </w:p>
    <w:p w14:paraId="22E2F30C" w14:textId="2C9E67E0"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rsidRPr="006F21E3">
        <w:rPr>
          <w:lang w:val="en-US"/>
        </w:rPr>
        <w:t>Recommendations</w:t>
      </w:r>
      <w:r>
        <w:tab/>
      </w:r>
      <w:r>
        <w:fldChar w:fldCharType="begin"/>
      </w:r>
      <w:r>
        <w:instrText xml:space="preserve"> PAGEREF _Toc163814551 \h </w:instrText>
      </w:r>
      <w:r>
        <w:fldChar w:fldCharType="separate"/>
      </w:r>
      <w:r w:rsidR="0019242F">
        <w:t>10</w:t>
      </w:r>
      <w:r>
        <w:fldChar w:fldCharType="end"/>
      </w:r>
    </w:p>
    <w:p w14:paraId="7792E494" w14:textId="2EA8D6E9"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1</w:t>
      </w:r>
      <w:r>
        <w:rPr>
          <w:noProof/>
        </w:rPr>
        <w:tab/>
      </w:r>
      <w:r>
        <w:rPr>
          <w:noProof/>
        </w:rPr>
        <w:fldChar w:fldCharType="begin"/>
      </w:r>
      <w:r>
        <w:rPr>
          <w:noProof/>
        </w:rPr>
        <w:instrText xml:space="preserve"> PAGEREF _Toc163814552 \h </w:instrText>
      </w:r>
      <w:r>
        <w:rPr>
          <w:noProof/>
        </w:rPr>
      </w:r>
      <w:r>
        <w:rPr>
          <w:noProof/>
        </w:rPr>
        <w:fldChar w:fldCharType="separate"/>
      </w:r>
      <w:r w:rsidR="0019242F">
        <w:rPr>
          <w:noProof/>
        </w:rPr>
        <w:t>10</w:t>
      </w:r>
      <w:r>
        <w:rPr>
          <w:noProof/>
        </w:rPr>
        <w:fldChar w:fldCharType="end"/>
      </w:r>
    </w:p>
    <w:p w14:paraId="5957FE12" w14:textId="00D871FF"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2</w:t>
      </w:r>
      <w:r>
        <w:rPr>
          <w:noProof/>
        </w:rPr>
        <w:tab/>
      </w:r>
      <w:r>
        <w:rPr>
          <w:noProof/>
        </w:rPr>
        <w:fldChar w:fldCharType="begin"/>
      </w:r>
      <w:r>
        <w:rPr>
          <w:noProof/>
        </w:rPr>
        <w:instrText xml:space="preserve"> PAGEREF _Toc163814553 \h </w:instrText>
      </w:r>
      <w:r>
        <w:rPr>
          <w:noProof/>
        </w:rPr>
      </w:r>
      <w:r>
        <w:rPr>
          <w:noProof/>
        </w:rPr>
        <w:fldChar w:fldCharType="separate"/>
      </w:r>
      <w:r w:rsidR="0019242F">
        <w:rPr>
          <w:noProof/>
        </w:rPr>
        <w:t>10</w:t>
      </w:r>
      <w:r>
        <w:rPr>
          <w:noProof/>
        </w:rPr>
        <w:fldChar w:fldCharType="end"/>
      </w:r>
    </w:p>
    <w:p w14:paraId="1FBADF91" w14:textId="4F2E4AC5"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3</w:t>
      </w:r>
      <w:r>
        <w:rPr>
          <w:noProof/>
        </w:rPr>
        <w:tab/>
      </w:r>
      <w:r>
        <w:rPr>
          <w:noProof/>
        </w:rPr>
        <w:fldChar w:fldCharType="begin"/>
      </w:r>
      <w:r>
        <w:rPr>
          <w:noProof/>
        </w:rPr>
        <w:instrText xml:space="preserve"> PAGEREF _Toc163814554 \h </w:instrText>
      </w:r>
      <w:r>
        <w:rPr>
          <w:noProof/>
        </w:rPr>
      </w:r>
      <w:r>
        <w:rPr>
          <w:noProof/>
        </w:rPr>
        <w:fldChar w:fldCharType="separate"/>
      </w:r>
      <w:r w:rsidR="0019242F">
        <w:rPr>
          <w:noProof/>
        </w:rPr>
        <w:t>11</w:t>
      </w:r>
      <w:r>
        <w:rPr>
          <w:noProof/>
        </w:rPr>
        <w:fldChar w:fldCharType="end"/>
      </w:r>
    </w:p>
    <w:p w14:paraId="5F1F8E26" w14:textId="510C7A8F"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4</w:t>
      </w:r>
      <w:r>
        <w:rPr>
          <w:noProof/>
        </w:rPr>
        <w:tab/>
      </w:r>
      <w:r>
        <w:rPr>
          <w:noProof/>
        </w:rPr>
        <w:fldChar w:fldCharType="begin"/>
      </w:r>
      <w:r>
        <w:rPr>
          <w:noProof/>
        </w:rPr>
        <w:instrText xml:space="preserve"> PAGEREF _Toc163814555 \h </w:instrText>
      </w:r>
      <w:r>
        <w:rPr>
          <w:noProof/>
        </w:rPr>
      </w:r>
      <w:r>
        <w:rPr>
          <w:noProof/>
        </w:rPr>
        <w:fldChar w:fldCharType="separate"/>
      </w:r>
      <w:r w:rsidR="0019242F">
        <w:rPr>
          <w:noProof/>
        </w:rPr>
        <w:t>11</w:t>
      </w:r>
      <w:r>
        <w:rPr>
          <w:noProof/>
        </w:rPr>
        <w:fldChar w:fldCharType="end"/>
      </w:r>
    </w:p>
    <w:p w14:paraId="589D24CA" w14:textId="6C06AC0D"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5</w:t>
      </w:r>
      <w:r>
        <w:rPr>
          <w:noProof/>
        </w:rPr>
        <w:tab/>
      </w:r>
      <w:r>
        <w:rPr>
          <w:noProof/>
        </w:rPr>
        <w:fldChar w:fldCharType="begin"/>
      </w:r>
      <w:r>
        <w:rPr>
          <w:noProof/>
        </w:rPr>
        <w:instrText xml:space="preserve"> PAGEREF _Toc163814556 \h </w:instrText>
      </w:r>
      <w:r>
        <w:rPr>
          <w:noProof/>
        </w:rPr>
      </w:r>
      <w:r>
        <w:rPr>
          <w:noProof/>
        </w:rPr>
        <w:fldChar w:fldCharType="separate"/>
      </w:r>
      <w:r w:rsidR="0019242F">
        <w:rPr>
          <w:noProof/>
        </w:rPr>
        <w:t>11</w:t>
      </w:r>
      <w:r>
        <w:rPr>
          <w:noProof/>
        </w:rPr>
        <w:fldChar w:fldCharType="end"/>
      </w:r>
    </w:p>
    <w:p w14:paraId="1F99432F" w14:textId="39B20C9F"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6</w:t>
      </w:r>
      <w:r>
        <w:rPr>
          <w:noProof/>
        </w:rPr>
        <w:tab/>
      </w:r>
      <w:r>
        <w:rPr>
          <w:noProof/>
        </w:rPr>
        <w:fldChar w:fldCharType="begin"/>
      </w:r>
      <w:r>
        <w:rPr>
          <w:noProof/>
        </w:rPr>
        <w:instrText xml:space="preserve"> PAGEREF _Toc163814557 \h </w:instrText>
      </w:r>
      <w:r>
        <w:rPr>
          <w:noProof/>
        </w:rPr>
      </w:r>
      <w:r>
        <w:rPr>
          <w:noProof/>
        </w:rPr>
        <w:fldChar w:fldCharType="separate"/>
      </w:r>
      <w:r w:rsidR="0019242F">
        <w:rPr>
          <w:noProof/>
        </w:rPr>
        <w:t>11</w:t>
      </w:r>
      <w:r>
        <w:rPr>
          <w:noProof/>
        </w:rPr>
        <w:fldChar w:fldCharType="end"/>
      </w:r>
    </w:p>
    <w:p w14:paraId="55B327D5" w14:textId="1BBB16E8"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7</w:t>
      </w:r>
      <w:r>
        <w:rPr>
          <w:noProof/>
        </w:rPr>
        <w:tab/>
      </w:r>
      <w:r>
        <w:rPr>
          <w:noProof/>
        </w:rPr>
        <w:fldChar w:fldCharType="begin"/>
      </w:r>
      <w:r>
        <w:rPr>
          <w:noProof/>
        </w:rPr>
        <w:instrText xml:space="preserve"> PAGEREF _Toc163814558 \h </w:instrText>
      </w:r>
      <w:r>
        <w:rPr>
          <w:noProof/>
        </w:rPr>
      </w:r>
      <w:r>
        <w:rPr>
          <w:noProof/>
        </w:rPr>
        <w:fldChar w:fldCharType="separate"/>
      </w:r>
      <w:r w:rsidR="0019242F">
        <w:rPr>
          <w:noProof/>
        </w:rPr>
        <w:t>11</w:t>
      </w:r>
      <w:r>
        <w:rPr>
          <w:noProof/>
        </w:rPr>
        <w:fldChar w:fldCharType="end"/>
      </w:r>
    </w:p>
    <w:p w14:paraId="550BF457" w14:textId="5753D837"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8</w:t>
      </w:r>
      <w:r>
        <w:rPr>
          <w:noProof/>
        </w:rPr>
        <w:tab/>
      </w:r>
      <w:r>
        <w:rPr>
          <w:noProof/>
        </w:rPr>
        <w:fldChar w:fldCharType="begin"/>
      </w:r>
      <w:r>
        <w:rPr>
          <w:noProof/>
        </w:rPr>
        <w:instrText xml:space="preserve"> PAGEREF _Toc163814559 \h </w:instrText>
      </w:r>
      <w:r>
        <w:rPr>
          <w:noProof/>
        </w:rPr>
      </w:r>
      <w:r>
        <w:rPr>
          <w:noProof/>
        </w:rPr>
        <w:fldChar w:fldCharType="separate"/>
      </w:r>
      <w:r w:rsidR="0019242F">
        <w:rPr>
          <w:noProof/>
        </w:rPr>
        <w:t>11</w:t>
      </w:r>
      <w:r>
        <w:rPr>
          <w:noProof/>
        </w:rPr>
        <w:fldChar w:fldCharType="end"/>
      </w:r>
    </w:p>
    <w:p w14:paraId="46A97EE7" w14:textId="33FC2C69"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9</w:t>
      </w:r>
      <w:r>
        <w:rPr>
          <w:noProof/>
        </w:rPr>
        <w:tab/>
      </w:r>
      <w:r>
        <w:rPr>
          <w:noProof/>
        </w:rPr>
        <w:fldChar w:fldCharType="begin"/>
      </w:r>
      <w:r>
        <w:rPr>
          <w:noProof/>
        </w:rPr>
        <w:instrText xml:space="preserve"> PAGEREF _Toc163814560 \h </w:instrText>
      </w:r>
      <w:r>
        <w:rPr>
          <w:noProof/>
        </w:rPr>
      </w:r>
      <w:r>
        <w:rPr>
          <w:noProof/>
        </w:rPr>
        <w:fldChar w:fldCharType="separate"/>
      </w:r>
      <w:r w:rsidR="0019242F">
        <w:rPr>
          <w:noProof/>
        </w:rPr>
        <w:t>11</w:t>
      </w:r>
      <w:r>
        <w:rPr>
          <w:noProof/>
        </w:rPr>
        <w:fldChar w:fldCharType="end"/>
      </w:r>
    </w:p>
    <w:p w14:paraId="6F7640D4" w14:textId="7FCC34A7"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Recommendation 10</w:t>
      </w:r>
      <w:r>
        <w:rPr>
          <w:noProof/>
        </w:rPr>
        <w:tab/>
      </w:r>
      <w:r>
        <w:rPr>
          <w:noProof/>
        </w:rPr>
        <w:fldChar w:fldCharType="begin"/>
      </w:r>
      <w:r>
        <w:rPr>
          <w:noProof/>
        </w:rPr>
        <w:instrText xml:space="preserve"> PAGEREF _Toc163814561 \h </w:instrText>
      </w:r>
      <w:r>
        <w:rPr>
          <w:noProof/>
        </w:rPr>
      </w:r>
      <w:r>
        <w:rPr>
          <w:noProof/>
        </w:rPr>
        <w:fldChar w:fldCharType="separate"/>
      </w:r>
      <w:r w:rsidR="0019242F">
        <w:rPr>
          <w:noProof/>
        </w:rPr>
        <w:t>11</w:t>
      </w:r>
      <w:r>
        <w:rPr>
          <w:noProof/>
        </w:rPr>
        <w:fldChar w:fldCharType="end"/>
      </w:r>
    </w:p>
    <w:p w14:paraId="26A1E7D9" w14:textId="01EEC686"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Acronyms, abbreviations and definitions</w:t>
      </w:r>
      <w:r>
        <w:tab/>
      </w:r>
      <w:r>
        <w:fldChar w:fldCharType="begin"/>
      </w:r>
      <w:r>
        <w:instrText xml:space="preserve"> PAGEREF _Toc163814562 \h </w:instrText>
      </w:r>
      <w:r>
        <w:fldChar w:fldCharType="separate"/>
      </w:r>
      <w:r w:rsidR="0019242F">
        <w:t>13</w:t>
      </w:r>
      <w:r>
        <w:fldChar w:fldCharType="end"/>
      </w:r>
    </w:p>
    <w:p w14:paraId="2C4839CA" w14:textId="581CA7AE"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Introduction</w:t>
      </w:r>
      <w:r>
        <w:tab/>
      </w:r>
      <w:r>
        <w:fldChar w:fldCharType="begin"/>
      </w:r>
      <w:r>
        <w:instrText xml:space="preserve"> PAGEREF _Toc163814563 \h </w:instrText>
      </w:r>
      <w:r>
        <w:fldChar w:fldCharType="separate"/>
      </w:r>
      <w:r w:rsidR="0019242F">
        <w:t>14</w:t>
      </w:r>
      <w:r>
        <w:fldChar w:fldCharType="end"/>
      </w:r>
    </w:p>
    <w:p w14:paraId="69DDB892" w14:textId="327ACABC"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Minister’s request for this review</w:t>
      </w:r>
      <w:r>
        <w:rPr>
          <w:noProof/>
        </w:rPr>
        <w:tab/>
      </w:r>
      <w:r>
        <w:rPr>
          <w:noProof/>
        </w:rPr>
        <w:fldChar w:fldCharType="begin"/>
      </w:r>
      <w:r>
        <w:rPr>
          <w:noProof/>
        </w:rPr>
        <w:instrText xml:space="preserve"> PAGEREF _Toc163814564 \h </w:instrText>
      </w:r>
      <w:r>
        <w:rPr>
          <w:noProof/>
        </w:rPr>
      </w:r>
      <w:r>
        <w:rPr>
          <w:noProof/>
        </w:rPr>
        <w:fldChar w:fldCharType="separate"/>
      </w:r>
      <w:r w:rsidR="0019242F">
        <w:rPr>
          <w:noProof/>
        </w:rPr>
        <w:t>14</w:t>
      </w:r>
      <w:r>
        <w:rPr>
          <w:noProof/>
        </w:rPr>
        <w:fldChar w:fldCharType="end"/>
      </w:r>
    </w:p>
    <w:p w14:paraId="79FEB019" w14:textId="0DE6A9B8"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Balancing access, quality and safety</w:t>
      </w:r>
      <w:r>
        <w:tab/>
      </w:r>
      <w:r>
        <w:fldChar w:fldCharType="begin"/>
      </w:r>
      <w:r>
        <w:instrText xml:space="preserve"> PAGEREF _Toc163814565 \h </w:instrText>
      </w:r>
      <w:r>
        <w:fldChar w:fldCharType="separate"/>
      </w:r>
      <w:r w:rsidR="0019242F">
        <w:t>15</w:t>
      </w:r>
      <w:r>
        <w:fldChar w:fldCharType="end"/>
      </w:r>
    </w:p>
    <w:p w14:paraId="3AB6A0F9" w14:textId="4131A11D"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Research and systematic literature reviews</w:t>
      </w:r>
      <w:r>
        <w:rPr>
          <w:noProof/>
        </w:rPr>
        <w:tab/>
      </w:r>
      <w:r>
        <w:rPr>
          <w:noProof/>
        </w:rPr>
        <w:fldChar w:fldCharType="begin"/>
      </w:r>
      <w:r>
        <w:rPr>
          <w:noProof/>
        </w:rPr>
        <w:instrText xml:space="preserve"> PAGEREF _Toc163814566 \h </w:instrText>
      </w:r>
      <w:r>
        <w:rPr>
          <w:noProof/>
        </w:rPr>
      </w:r>
      <w:r>
        <w:rPr>
          <w:noProof/>
        </w:rPr>
        <w:fldChar w:fldCharType="separate"/>
      </w:r>
      <w:r w:rsidR="0019242F">
        <w:rPr>
          <w:noProof/>
        </w:rPr>
        <w:t>15</w:t>
      </w:r>
      <w:r>
        <w:rPr>
          <w:noProof/>
        </w:rPr>
        <w:fldChar w:fldCharType="end"/>
      </w:r>
    </w:p>
    <w:p w14:paraId="0B4A4DE5" w14:textId="70390BF1"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Limitations of the research</w:t>
      </w:r>
      <w:r>
        <w:rPr>
          <w:noProof/>
        </w:rPr>
        <w:tab/>
      </w:r>
      <w:r>
        <w:rPr>
          <w:noProof/>
        </w:rPr>
        <w:fldChar w:fldCharType="begin"/>
      </w:r>
      <w:r>
        <w:rPr>
          <w:noProof/>
        </w:rPr>
        <w:instrText xml:space="preserve"> PAGEREF _Toc163814567 \h </w:instrText>
      </w:r>
      <w:r>
        <w:rPr>
          <w:noProof/>
        </w:rPr>
      </w:r>
      <w:r>
        <w:rPr>
          <w:noProof/>
        </w:rPr>
        <w:fldChar w:fldCharType="separate"/>
      </w:r>
      <w:r w:rsidR="0019242F">
        <w:rPr>
          <w:noProof/>
        </w:rPr>
        <w:t>15</w:t>
      </w:r>
      <w:r>
        <w:rPr>
          <w:noProof/>
        </w:rPr>
        <w:fldChar w:fldCharType="end"/>
      </w:r>
    </w:p>
    <w:p w14:paraId="3C9B1113" w14:textId="332701A8"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Telehealth as a substitute for in-person care</w:t>
      </w:r>
      <w:r>
        <w:rPr>
          <w:noProof/>
        </w:rPr>
        <w:tab/>
      </w:r>
      <w:r>
        <w:rPr>
          <w:noProof/>
        </w:rPr>
        <w:fldChar w:fldCharType="begin"/>
      </w:r>
      <w:r>
        <w:rPr>
          <w:noProof/>
        </w:rPr>
        <w:instrText xml:space="preserve"> PAGEREF _Toc163814568 \h </w:instrText>
      </w:r>
      <w:r>
        <w:rPr>
          <w:noProof/>
        </w:rPr>
      </w:r>
      <w:r>
        <w:rPr>
          <w:noProof/>
        </w:rPr>
        <w:fldChar w:fldCharType="separate"/>
      </w:r>
      <w:r w:rsidR="0019242F">
        <w:rPr>
          <w:noProof/>
        </w:rPr>
        <w:t>15</w:t>
      </w:r>
      <w:r>
        <w:rPr>
          <w:noProof/>
        </w:rPr>
        <w:fldChar w:fldCharType="end"/>
      </w:r>
    </w:p>
    <w:p w14:paraId="23EAD94D" w14:textId="50E057F3"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Comparing video and telephone consultations</w:t>
      </w:r>
      <w:r>
        <w:rPr>
          <w:noProof/>
        </w:rPr>
        <w:tab/>
      </w:r>
      <w:r>
        <w:rPr>
          <w:noProof/>
        </w:rPr>
        <w:fldChar w:fldCharType="begin"/>
      </w:r>
      <w:r>
        <w:rPr>
          <w:noProof/>
        </w:rPr>
        <w:instrText xml:space="preserve"> PAGEREF _Toc163814569 \h </w:instrText>
      </w:r>
      <w:r>
        <w:rPr>
          <w:noProof/>
        </w:rPr>
      </w:r>
      <w:r>
        <w:rPr>
          <w:noProof/>
        </w:rPr>
        <w:fldChar w:fldCharType="separate"/>
      </w:r>
      <w:r w:rsidR="0019242F">
        <w:rPr>
          <w:noProof/>
        </w:rPr>
        <w:t>16</w:t>
      </w:r>
      <w:r>
        <w:rPr>
          <w:noProof/>
        </w:rPr>
        <w:fldChar w:fldCharType="end"/>
      </w:r>
    </w:p>
    <w:p w14:paraId="039F18D2" w14:textId="5881F022"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Clinician use of telehealth services</w:t>
      </w:r>
      <w:r>
        <w:rPr>
          <w:noProof/>
        </w:rPr>
        <w:tab/>
      </w:r>
      <w:r>
        <w:rPr>
          <w:noProof/>
        </w:rPr>
        <w:fldChar w:fldCharType="begin"/>
      </w:r>
      <w:r>
        <w:rPr>
          <w:noProof/>
        </w:rPr>
        <w:instrText xml:space="preserve"> PAGEREF _Toc163814570 \h </w:instrText>
      </w:r>
      <w:r>
        <w:rPr>
          <w:noProof/>
        </w:rPr>
      </w:r>
      <w:r>
        <w:rPr>
          <w:noProof/>
        </w:rPr>
        <w:fldChar w:fldCharType="separate"/>
      </w:r>
      <w:r w:rsidR="0019242F">
        <w:rPr>
          <w:noProof/>
        </w:rPr>
        <w:t>17</w:t>
      </w:r>
      <w:r>
        <w:rPr>
          <w:noProof/>
        </w:rPr>
        <w:fldChar w:fldCharType="end"/>
      </w:r>
    </w:p>
    <w:p w14:paraId="0987EC76" w14:textId="19EADEBF"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Patient use of telehealth services for primary health care</w:t>
      </w:r>
      <w:r>
        <w:rPr>
          <w:noProof/>
        </w:rPr>
        <w:tab/>
      </w:r>
      <w:r>
        <w:rPr>
          <w:noProof/>
        </w:rPr>
        <w:fldChar w:fldCharType="begin"/>
      </w:r>
      <w:r>
        <w:rPr>
          <w:noProof/>
        </w:rPr>
        <w:instrText xml:space="preserve"> PAGEREF _Toc163814571 \h </w:instrText>
      </w:r>
      <w:r>
        <w:rPr>
          <w:noProof/>
        </w:rPr>
      </w:r>
      <w:r>
        <w:rPr>
          <w:noProof/>
        </w:rPr>
        <w:fldChar w:fldCharType="separate"/>
      </w:r>
      <w:r w:rsidR="0019242F">
        <w:rPr>
          <w:noProof/>
        </w:rPr>
        <w:t>20</w:t>
      </w:r>
      <w:r>
        <w:rPr>
          <w:noProof/>
        </w:rPr>
        <w:fldChar w:fldCharType="end"/>
      </w:r>
    </w:p>
    <w:p w14:paraId="3E8718E0" w14:textId="7F6E2824"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Initial telehealth consultations for non-GP Specialists</w:t>
      </w:r>
      <w:r>
        <w:rPr>
          <w:noProof/>
        </w:rPr>
        <w:tab/>
      </w:r>
      <w:r>
        <w:rPr>
          <w:noProof/>
        </w:rPr>
        <w:fldChar w:fldCharType="begin"/>
      </w:r>
      <w:r>
        <w:rPr>
          <w:noProof/>
        </w:rPr>
        <w:instrText xml:space="preserve"> PAGEREF _Toc163814572 \h </w:instrText>
      </w:r>
      <w:r>
        <w:rPr>
          <w:noProof/>
        </w:rPr>
      </w:r>
      <w:r>
        <w:rPr>
          <w:noProof/>
        </w:rPr>
        <w:fldChar w:fldCharType="separate"/>
      </w:r>
      <w:r w:rsidR="0019242F">
        <w:rPr>
          <w:noProof/>
        </w:rPr>
        <w:t>21</w:t>
      </w:r>
      <w:r>
        <w:rPr>
          <w:noProof/>
        </w:rPr>
        <w:fldChar w:fldCharType="end"/>
      </w:r>
    </w:p>
    <w:p w14:paraId="5FD21114" w14:textId="6245D1DF"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 xml:space="preserve">Telehealth consultations for nurse practitioners and midwives  </w:t>
      </w:r>
      <w:r>
        <w:rPr>
          <w:noProof/>
        </w:rPr>
        <w:tab/>
      </w:r>
      <w:r>
        <w:rPr>
          <w:noProof/>
        </w:rPr>
        <w:fldChar w:fldCharType="begin"/>
      </w:r>
      <w:r>
        <w:rPr>
          <w:noProof/>
        </w:rPr>
        <w:instrText xml:space="preserve"> PAGEREF _Toc163814573 \h </w:instrText>
      </w:r>
      <w:r>
        <w:rPr>
          <w:noProof/>
        </w:rPr>
      </w:r>
      <w:r>
        <w:rPr>
          <w:noProof/>
        </w:rPr>
        <w:fldChar w:fldCharType="separate"/>
      </w:r>
      <w:r w:rsidR="0019242F">
        <w:rPr>
          <w:noProof/>
        </w:rPr>
        <w:t>22</w:t>
      </w:r>
      <w:r>
        <w:rPr>
          <w:noProof/>
        </w:rPr>
        <w:fldChar w:fldCharType="end"/>
      </w:r>
    </w:p>
    <w:p w14:paraId="18E625F4" w14:textId="7D885A79" w:rsidR="00302DDD" w:rsidRDefault="00302DDD">
      <w:pPr>
        <w:pStyle w:val="TOC3"/>
        <w:rPr>
          <w:rFonts w:asciiTheme="minorHAnsi" w:eastAsiaTheme="minorEastAsia" w:hAnsiTheme="minorHAnsi" w:cstheme="minorBidi"/>
          <w:noProof/>
          <w:color w:val="auto"/>
          <w:kern w:val="2"/>
          <w:szCs w:val="22"/>
          <w:lang w:eastAsia="en-AU"/>
          <w14:ligatures w14:val="standardContextual"/>
        </w:rPr>
      </w:pPr>
      <w:r>
        <w:rPr>
          <w:noProof/>
        </w:rPr>
        <w:t>Online-only telehealth models</w:t>
      </w:r>
      <w:r>
        <w:rPr>
          <w:noProof/>
        </w:rPr>
        <w:tab/>
      </w:r>
      <w:r>
        <w:rPr>
          <w:noProof/>
        </w:rPr>
        <w:fldChar w:fldCharType="begin"/>
      </w:r>
      <w:r>
        <w:rPr>
          <w:noProof/>
        </w:rPr>
        <w:instrText xml:space="preserve"> PAGEREF _Toc163814574 \h </w:instrText>
      </w:r>
      <w:r>
        <w:rPr>
          <w:noProof/>
        </w:rPr>
      </w:r>
      <w:r>
        <w:rPr>
          <w:noProof/>
        </w:rPr>
        <w:fldChar w:fldCharType="separate"/>
      </w:r>
      <w:r w:rsidR="0019242F">
        <w:rPr>
          <w:noProof/>
        </w:rPr>
        <w:t>23</w:t>
      </w:r>
      <w:r>
        <w:rPr>
          <w:noProof/>
        </w:rPr>
        <w:fldChar w:fldCharType="end"/>
      </w:r>
    </w:p>
    <w:p w14:paraId="504AB484" w14:textId="761CCCFC"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lastRenderedPageBreak/>
        <w:t>Populations and services where access can be optimised with telehealth</w:t>
      </w:r>
      <w:r>
        <w:rPr>
          <w:noProof/>
        </w:rPr>
        <w:tab/>
      </w:r>
      <w:r>
        <w:rPr>
          <w:noProof/>
        </w:rPr>
        <w:fldChar w:fldCharType="begin"/>
      </w:r>
      <w:r>
        <w:rPr>
          <w:noProof/>
        </w:rPr>
        <w:instrText xml:space="preserve"> PAGEREF _Toc163814575 \h </w:instrText>
      </w:r>
      <w:r>
        <w:rPr>
          <w:noProof/>
        </w:rPr>
      </w:r>
      <w:r>
        <w:rPr>
          <w:noProof/>
        </w:rPr>
        <w:fldChar w:fldCharType="separate"/>
      </w:r>
      <w:r w:rsidR="0019242F">
        <w:rPr>
          <w:noProof/>
        </w:rPr>
        <w:t>23</w:t>
      </w:r>
      <w:r>
        <w:rPr>
          <w:noProof/>
        </w:rPr>
        <w:fldChar w:fldCharType="end"/>
      </w:r>
    </w:p>
    <w:p w14:paraId="5CFC129A" w14:textId="371B2DA3"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MBS Telehealth Principles review</w:t>
      </w:r>
      <w:r>
        <w:tab/>
      </w:r>
      <w:r>
        <w:fldChar w:fldCharType="begin"/>
      </w:r>
      <w:r>
        <w:instrText xml:space="preserve"> PAGEREF _Toc163814576 \h </w:instrText>
      </w:r>
      <w:r>
        <w:fldChar w:fldCharType="separate"/>
      </w:r>
      <w:r w:rsidR="0019242F">
        <w:t>26</w:t>
      </w:r>
      <w:r>
        <w:fldChar w:fldCharType="end"/>
      </w:r>
    </w:p>
    <w:p w14:paraId="4D62984D" w14:textId="6817A63B"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Preamble</w:t>
      </w:r>
      <w:r>
        <w:rPr>
          <w:noProof/>
        </w:rPr>
        <w:tab/>
      </w:r>
      <w:r>
        <w:rPr>
          <w:noProof/>
        </w:rPr>
        <w:fldChar w:fldCharType="begin"/>
      </w:r>
      <w:r>
        <w:rPr>
          <w:noProof/>
        </w:rPr>
        <w:instrText xml:space="preserve"> PAGEREF _Toc163814577 \h </w:instrText>
      </w:r>
      <w:r>
        <w:rPr>
          <w:noProof/>
        </w:rPr>
      </w:r>
      <w:r>
        <w:rPr>
          <w:noProof/>
        </w:rPr>
        <w:fldChar w:fldCharType="separate"/>
      </w:r>
      <w:r w:rsidR="0019242F">
        <w:rPr>
          <w:noProof/>
        </w:rPr>
        <w:t>26</w:t>
      </w:r>
      <w:r>
        <w:rPr>
          <w:noProof/>
        </w:rPr>
        <w:fldChar w:fldCharType="end"/>
      </w:r>
    </w:p>
    <w:p w14:paraId="5A79B390" w14:textId="35AE42F9"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1</w:t>
      </w:r>
      <w:r>
        <w:rPr>
          <w:noProof/>
        </w:rPr>
        <w:tab/>
      </w:r>
      <w:r>
        <w:rPr>
          <w:noProof/>
        </w:rPr>
        <w:fldChar w:fldCharType="begin"/>
      </w:r>
      <w:r>
        <w:rPr>
          <w:noProof/>
        </w:rPr>
        <w:instrText xml:space="preserve"> PAGEREF _Toc163814578 \h </w:instrText>
      </w:r>
      <w:r>
        <w:rPr>
          <w:noProof/>
        </w:rPr>
      </w:r>
      <w:r>
        <w:rPr>
          <w:noProof/>
        </w:rPr>
        <w:fldChar w:fldCharType="separate"/>
      </w:r>
      <w:r w:rsidR="0019242F">
        <w:rPr>
          <w:noProof/>
        </w:rPr>
        <w:t>26</w:t>
      </w:r>
      <w:r>
        <w:rPr>
          <w:noProof/>
        </w:rPr>
        <w:fldChar w:fldCharType="end"/>
      </w:r>
    </w:p>
    <w:p w14:paraId="09EA833E" w14:textId="75C66F8F"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2</w:t>
      </w:r>
      <w:r>
        <w:rPr>
          <w:noProof/>
        </w:rPr>
        <w:tab/>
      </w:r>
      <w:r>
        <w:rPr>
          <w:noProof/>
        </w:rPr>
        <w:fldChar w:fldCharType="begin"/>
      </w:r>
      <w:r>
        <w:rPr>
          <w:noProof/>
        </w:rPr>
        <w:instrText xml:space="preserve"> PAGEREF _Toc163814579 \h </w:instrText>
      </w:r>
      <w:r>
        <w:rPr>
          <w:noProof/>
        </w:rPr>
      </w:r>
      <w:r>
        <w:rPr>
          <w:noProof/>
        </w:rPr>
        <w:fldChar w:fldCharType="separate"/>
      </w:r>
      <w:r w:rsidR="0019242F">
        <w:rPr>
          <w:noProof/>
        </w:rPr>
        <w:t>27</w:t>
      </w:r>
      <w:r>
        <w:rPr>
          <w:noProof/>
        </w:rPr>
        <w:fldChar w:fldCharType="end"/>
      </w:r>
    </w:p>
    <w:p w14:paraId="04B99288" w14:textId="5B7254E1"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3</w:t>
      </w:r>
      <w:r>
        <w:rPr>
          <w:noProof/>
        </w:rPr>
        <w:tab/>
      </w:r>
      <w:r>
        <w:rPr>
          <w:noProof/>
        </w:rPr>
        <w:fldChar w:fldCharType="begin"/>
      </w:r>
      <w:r>
        <w:rPr>
          <w:noProof/>
        </w:rPr>
        <w:instrText xml:space="preserve"> PAGEREF _Toc163814580 \h </w:instrText>
      </w:r>
      <w:r>
        <w:rPr>
          <w:noProof/>
        </w:rPr>
      </w:r>
      <w:r>
        <w:rPr>
          <w:noProof/>
        </w:rPr>
        <w:fldChar w:fldCharType="separate"/>
      </w:r>
      <w:r w:rsidR="0019242F">
        <w:rPr>
          <w:noProof/>
        </w:rPr>
        <w:t>27</w:t>
      </w:r>
      <w:r>
        <w:rPr>
          <w:noProof/>
        </w:rPr>
        <w:fldChar w:fldCharType="end"/>
      </w:r>
    </w:p>
    <w:p w14:paraId="5E3716F0" w14:textId="49CB0D5A"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4</w:t>
      </w:r>
      <w:r>
        <w:rPr>
          <w:noProof/>
        </w:rPr>
        <w:tab/>
      </w:r>
      <w:r>
        <w:rPr>
          <w:noProof/>
        </w:rPr>
        <w:fldChar w:fldCharType="begin"/>
      </w:r>
      <w:r>
        <w:rPr>
          <w:noProof/>
        </w:rPr>
        <w:instrText xml:space="preserve"> PAGEREF _Toc163814581 \h </w:instrText>
      </w:r>
      <w:r>
        <w:rPr>
          <w:noProof/>
        </w:rPr>
      </w:r>
      <w:r>
        <w:rPr>
          <w:noProof/>
        </w:rPr>
        <w:fldChar w:fldCharType="separate"/>
      </w:r>
      <w:r w:rsidR="0019242F">
        <w:rPr>
          <w:noProof/>
        </w:rPr>
        <w:t>27</w:t>
      </w:r>
      <w:r>
        <w:rPr>
          <w:noProof/>
        </w:rPr>
        <w:fldChar w:fldCharType="end"/>
      </w:r>
    </w:p>
    <w:p w14:paraId="0277E37C" w14:textId="6BB00795"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5</w:t>
      </w:r>
      <w:r>
        <w:rPr>
          <w:noProof/>
        </w:rPr>
        <w:tab/>
      </w:r>
      <w:r>
        <w:rPr>
          <w:noProof/>
        </w:rPr>
        <w:fldChar w:fldCharType="begin"/>
      </w:r>
      <w:r>
        <w:rPr>
          <w:noProof/>
        </w:rPr>
        <w:instrText xml:space="preserve"> PAGEREF _Toc163814582 \h </w:instrText>
      </w:r>
      <w:r>
        <w:rPr>
          <w:noProof/>
        </w:rPr>
      </w:r>
      <w:r>
        <w:rPr>
          <w:noProof/>
        </w:rPr>
        <w:fldChar w:fldCharType="separate"/>
      </w:r>
      <w:r w:rsidR="0019242F">
        <w:rPr>
          <w:noProof/>
        </w:rPr>
        <w:t>28</w:t>
      </w:r>
      <w:r>
        <w:rPr>
          <w:noProof/>
        </w:rPr>
        <w:fldChar w:fldCharType="end"/>
      </w:r>
    </w:p>
    <w:p w14:paraId="4C5ECDE9" w14:textId="6D2CDB36"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6</w:t>
      </w:r>
      <w:r>
        <w:rPr>
          <w:noProof/>
        </w:rPr>
        <w:tab/>
      </w:r>
      <w:r>
        <w:rPr>
          <w:noProof/>
        </w:rPr>
        <w:fldChar w:fldCharType="begin"/>
      </w:r>
      <w:r>
        <w:rPr>
          <w:noProof/>
        </w:rPr>
        <w:instrText xml:space="preserve"> PAGEREF _Toc163814583 \h </w:instrText>
      </w:r>
      <w:r>
        <w:rPr>
          <w:noProof/>
        </w:rPr>
      </w:r>
      <w:r>
        <w:rPr>
          <w:noProof/>
        </w:rPr>
        <w:fldChar w:fldCharType="separate"/>
      </w:r>
      <w:r w:rsidR="0019242F">
        <w:rPr>
          <w:noProof/>
        </w:rPr>
        <w:t>28</w:t>
      </w:r>
      <w:r>
        <w:rPr>
          <w:noProof/>
        </w:rPr>
        <w:fldChar w:fldCharType="end"/>
      </w:r>
    </w:p>
    <w:p w14:paraId="6C0E3085" w14:textId="4D32431A"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 7</w:t>
      </w:r>
      <w:r>
        <w:rPr>
          <w:noProof/>
        </w:rPr>
        <w:tab/>
      </w:r>
      <w:r>
        <w:rPr>
          <w:noProof/>
        </w:rPr>
        <w:fldChar w:fldCharType="begin"/>
      </w:r>
      <w:r>
        <w:rPr>
          <w:noProof/>
        </w:rPr>
        <w:instrText xml:space="preserve"> PAGEREF _Toc163814584 \h </w:instrText>
      </w:r>
      <w:r>
        <w:rPr>
          <w:noProof/>
        </w:rPr>
      </w:r>
      <w:r>
        <w:rPr>
          <w:noProof/>
        </w:rPr>
        <w:fldChar w:fldCharType="separate"/>
      </w:r>
      <w:r w:rsidR="0019242F">
        <w:rPr>
          <w:noProof/>
        </w:rPr>
        <w:t>29</w:t>
      </w:r>
      <w:r>
        <w:rPr>
          <w:noProof/>
        </w:rPr>
        <w:fldChar w:fldCharType="end"/>
      </w:r>
    </w:p>
    <w:p w14:paraId="77685D18" w14:textId="243DA01F"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Principles 8, 9 and 10</w:t>
      </w:r>
      <w:r>
        <w:rPr>
          <w:noProof/>
        </w:rPr>
        <w:tab/>
      </w:r>
      <w:r>
        <w:rPr>
          <w:noProof/>
        </w:rPr>
        <w:fldChar w:fldCharType="begin"/>
      </w:r>
      <w:r>
        <w:rPr>
          <w:noProof/>
        </w:rPr>
        <w:instrText xml:space="preserve"> PAGEREF _Toc163814585 \h </w:instrText>
      </w:r>
      <w:r>
        <w:rPr>
          <w:noProof/>
        </w:rPr>
      </w:r>
      <w:r>
        <w:rPr>
          <w:noProof/>
        </w:rPr>
        <w:fldChar w:fldCharType="separate"/>
      </w:r>
      <w:r w:rsidR="0019242F">
        <w:rPr>
          <w:noProof/>
        </w:rPr>
        <w:t>29</w:t>
      </w:r>
      <w:r>
        <w:rPr>
          <w:noProof/>
        </w:rPr>
        <w:fldChar w:fldCharType="end"/>
      </w:r>
    </w:p>
    <w:p w14:paraId="79C84871" w14:textId="59086550"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Telehealth services review</w:t>
      </w:r>
      <w:r>
        <w:tab/>
      </w:r>
      <w:r>
        <w:fldChar w:fldCharType="begin"/>
      </w:r>
      <w:r>
        <w:instrText xml:space="preserve"> PAGEREF _Toc163814586 \h </w:instrText>
      </w:r>
      <w:r>
        <w:fldChar w:fldCharType="separate"/>
      </w:r>
      <w:r w:rsidR="0019242F">
        <w:t>31</w:t>
      </w:r>
      <w:r>
        <w:fldChar w:fldCharType="end"/>
      </w:r>
    </w:p>
    <w:p w14:paraId="13901874" w14:textId="175E0363"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Optimal telehealth care, and phone and video services</w:t>
      </w:r>
      <w:r>
        <w:rPr>
          <w:noProof/>
        </w:rPr>
        <w:tab/>
      </w:r>
      <w:r>
        <w:rPr>
          <w:noProof/>
        </w:rPr>
        <w:fldChar w:fldCharType="begin"/>
      </w:r>
      <w:r>
        <w:rPr>
          <w:noProof/>
        </w:rPr>
        <w:instrText xml:space="preserve"> PAGEREF _Toc163814587 \h </w:instrText>
      </w:r>
      <w:r>
        <w:rPr>
          <w:noProof/>
        </w:rPr>
      </w:r>
      <w:r>
        <w:rPr>
          <w:noProof/>
        </w:rPr>
        <w:fldChar w:fldCharType="separate"/>
      </w:r>
      <w:r w:rsidR="0019242F">
        <w:rPr>
          <w:noProof/>
        </w:rPr>
        <w:t>31</w:t>
      </w:r>
      <w:r>
        <w:rPr>
          <w:noProof/>
        </w:rPr>
        <w:fldChar w:fldCharType="end"/>
      </w:r>
    </w:p>
    <w:p w14:paraId="1A06E84B" w14:textId="0A2B0D54"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Reimbursing asynchronous care</w:t>
      </w:r>
      <w:r>
        <w:rPr>
          <w:noProof/>
        </w:rPr>
        <w:tab/>
      </w:r>
      <w:r>
        <w:rPr>
          <w:noProof/>
        </w:rPr>
        <w:fldChar w:fldCharType="begin"/>
      </w:r>
      <w:r>
        <w:rPr>
          <w:noProof/>
        </w:rPr>
        <w:instrText xml:space="preserve"> PAGEREF _Toc163814588 \h </w:instrText>
      </w:r>
      <w:r>
        <w:rPr>
          <w:noProof/>
        </w:rPr>
      </w:r>
      <w:r>
        <w:rPr>
          <w:noProof/>
        </w:rPr>
        <w:fldChar w:fldCharType="separate"/>
      </w:r>
      <w:r w:rsidR="0019242F">
        <w:rPr>
          <w:noProof/>
        </w:rPr>
        <w:t>32</w:t>
      </w:r>
      <w:r>
        <w:rPr>
          <w:noProof/>
        </w:rPr>
        <w:fldChar w:fldCharType="end"/>
      </w:r>
    </w:p>
    <w:p w14:paraId="160A4A08" w14:textId="2AE6A439"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Telehealth eligibility requirements and exemptions</w:t>
      </w:r>
      <w:r>
        <w:rPr>
          <w:noProof/>
        </w:rPr>
        <w:tab/>
      </w:r>
      <w:r>
        <w:rPr>
          <w:noProof/>
        </w:rPr>
        <w:fldChar w:fldCharType="begin"/>
      </w:r>
      <w:r>
        <w:rPr>
          <w:noProof/>
        </w:rPr>
        <w:instrText xml:space="preserve"> PAGEREF _Toc163814589 \h </w:instrText>
      </w:r>
      <w:r>
        <w:rPr>
          <w:noProof/>
        </w:rPr>
      </w:r>
      <w:r>
        <w:rPr>
          <w:noProof/>
        </w:rPr>
        <w:fldChar w:fldCharType="separate"/>
      </w:r>
      <w:r w:rsidR="0019242F">
        <w:rPr>
          <w:noProof/>
        </w:rPr>
        <w:t>33</w:t>
      </w:r>
      <w:r>
        <w:rPr>
          <w:noProof/>
        </w:rPr>
        <w:fldChar w:fldCharType="end"/>
      </w:r>
    </w:p>
    <w:p w14:paraId="23C6E502" w14:textId="7020AD95"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Nicotine cessation temporary MBS items</w:t>
      </w:r>
      <w:r>
        <w:rPr>
          <w:noProof/>
        </w:rPr>
        <w:tab/>
      </w:r>
      <w:r>
        <w:rPr>
          <w:noProof/>
        </w:rPr>
        <w:fldChar w:fldCharType="begin"/>
      </w:r>
      <w:r>
        <w:rPr>
          <w:noProof/>
        </w:rPr>
        <w:instrText xml:space="preserve"> PAGEREF _Toc163814590 \h </w:instrText>
      </w:r>
      <w:r>
        <w:rPr>
          <w:noProof/>
        </w:rPr>
      </w:r>
      <w:r>
        <w:rPr>
          <w:noProof/>
        </w:rPr>
        <w:fldChar w:fldCharType="separate"/>
      </w:r>
      <w:r w:rsidR="0019242F">
        <w:rPr>
          <w:noProof/>
        </w:rPr>
        <w:t>34</w:t>
      </w:r>
      <w:r>
        <w:rPr>
          <w:noProof/>
        </w:rPr>
        <w:fldChar w:fldCharType="end"/>
      </w:r>
    </w:p>
    <w:p w14:paraId="204C37E0" w14:textId="6EF38837"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Temporary MBS BBVSR items</w:t>
      </w:r>
      <w:r>
        <w:rPr>
          <w:noProof/>
        </w:rPr>
        <w:tab/>
      </w:r>
      <w:r>
        <w:rPr>
          <w:noProof/>
        </w:rPr>
        <w:fldChar w:fldCharType="begin"/>
      </w:r>
      <w:r>
        <w:rPr>
          <w:noProof/>
        </w:rPr>
        <w:instrText xml:space="preserve"> PAGEREF _Toc163814591 \h </w:instrText>
      </w:r>
      <w:r>
        <w:rPr>
          <w:noProof/>
        </w:rPr>
      </w:r>
      <w:r>
        <w:rPr>
          <w:noProof/>
        </w:rPr>
        <w:fldChar w:fldCharType="separate"/>
      </w:r>
      <w:r w:rsidR="0019242F">
        <w:rPr>
          <w:noProof/>
        </w:rPr>
        <w:t>34</w:t>
      </w:r>
      <w:r>
        <w:rPr>
          <w:noProof/>
        </w:rPr>
        <w:fldChar w:fldCharType="end"/>
      </w:r>
    </w:p>
    <w:p w14:paraId="27083E0E" w14:textId="753EFD33"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Continuation of exemption for non-directive pregnancy counselling MBS items</w:t>
      </w:r>
      <w:r>
        <w:rPr>
          <w:noProof/>
        </w:rPr>
        <w:tab/>
      </w:r>
      <w:r>
        <w:rPr>
          <w:noProof/>
        </w:rPr>
        <w:fldChar w:fldCharType="begin"/>
      </w:r>
      <w:r>
        <w:rPr>
          <w:noProof/>
        </w:rPr>
        <w:instrText xml:space="preserve"> PAGEREF _Toc163814592 \h </w:instrText>
      </w:r>
      <w:r>
        <w:rPr>
          <w:noProof/>
        </w:rPr>
      </w:r>
      <w:r>
        <w:rPr>
          <w:noProof/>
        </w:rPr>
        <w:fldChar w:fldCharType="separate"/>
      </w:r>
      <w:r w:rsidR="0019242F">
        <w:rPr>
          <w:noProof/>
        </w:rPr>
        <w:t>35</w:t>
      </w:r>
      <w:r>
        <w:rPr>
          <w:noProof/>
        </w:rPr>
        <w:fldChar w:fldCharType="end"/>
      </w:r>
    </w:p>
    <w:p w14:paraId="024162FA" w14:textId="550A2792"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Continuation of exemption for GP mental health MBS items</w:t>
      </w:r>
      <w:r>
        <w:rPr>
          <w:noProof/>
        </w:rPr>
        <w:tab/>
      </w:r>
      <w:r>
        <w:rPr>
          <w:noProof/>
        </w:rPr>
        <w:fldChar w:fldCharType="begin"/>
      </w:r>
      <w:r>
        <w:rPr>
          <w:noProof/>
        </w:rPr>
        <w:instrText xml:space="preserve"> PAGEREF _Toc163814593 \h </w:instrText>
      </w:r>
      <w:r>
        <w:rPr>
          <w:noProof/>
        </w:rPr>
      </w:r>
      <w:r>
        <w:rPr>
          <w:noProof/>
        </w:rPr>
        <w:fldChar w:fldCharType="separate"/>
      </w:r>
      <w:r w:rsidR="0019242F">
        <w:rPr>
          <w:noProof/>
        </w:rPr>
        <w:t>35</w:t>
      </w:r>
      <w:r>
        <w:rPr>
          <w:noProof/>
        </w:rPr>
        <w:fldChar w:fldCharType="end"/>
      </w:r>
    </w:p>
    <w:p w14:paraId="217EB3AA" w14:textId="7F562A6D"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Continuity of care and consistency of eligibility requirements</w:t>
      </w:r>
      <w:r>
        <w:rPr>
          <w:noProof/>
        </w:rPr>
        <w:tab/>
      </w:r>
      <w:r>
        <w:rPr>
          <w:noProof/>
        </w:rPr>
        <w:fldChar w:fldCharType="begin"/>
      </w:r>
      <w:r>
        <w:rPr>
          <w:noProof/>
        </w:rPr>
        <w:instrText xml:space="preserve"> PAGEREF _Toc163814594 \h </w:instrText>
      </w:r>
      <w:r>
        <w:rPr>
          <w:noProof/>
        </w:rPr>
      </w:r>
      <w:r>
        <w:rPr>
          <w:noProof/>
        </w:rPr>
        <w:fldChar w:fldCharType="separate"/>
      </w:r>
      <w:r w:rsidR="0019242F">
        <w:rPr>
          <w:noProof/>
        </w:rPr>
        <w:t>36</w:t>
      </w:r>
      <w:r>
        <w:rPr>
          <w:noProof/>
        </w:rPr>
        <w:fldChar w:fldCharType="end"/>
      </w:r>
    </w:p>
    <w:p w14:paraId="14BF45FF" w14:textId="3DE0C7C3"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Non-GP specialist attendances</w:t>
      </w:r>
      <w:r>
        <w:rPr>
          <w:noProof/>
        </w:rPr>
        <w:tab/>
      </w:r>
      <w:r>
        <w:rPr>
          <w:noProof/>
        </w:rPr>
        <w:fldChar w:fldCharType="begin"/>
      </w:r>
      <w:r>
        <w:rPr>
          <w:noProof/>
        </w:rPr>
        <w:instrText xml:space="preserve"> PAGEREF _Toc163814595 \h </w:instrText>
      </w:r>
      <w:r>
        <w:rPr>
          <w:noProof/>
        </w:rPr>
      </w:r>
      <w:r>
        <w:rPr>
          <w:noProof/>
        </w:rPr>
        <w:fldChar w:fldCharType="separate"/>
      </w:r>
      <w:r w:rsidR="0019242F">
        <w:rPr>
          <w:noProof/>
        </w:rPr>
        <w:t>37</w:t>
      </w:r>
      <w:r>
        <w:rPr>
          <w:noProof/>
        </w:rPr>
        <w:fldChar w:fldCharType="end"/>
      </w:r>
    </w:p>
    <w:p w14:paraId="08ED0BD3" w14:textId="36EAABC2"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Home visits and patient-end support services</w:t>
      </w:r>
      <w:r>
        <w:rPr>
          <w:noProof/>
        </w:rPr>
        <w:tab/>
      </w:r>
      <w:r>
        <w:rPr>
          <w:noProof/>
        </w:rPr>
        <w:fldChar w:fldCharType="begin"/>
      </w:r>
      <w:r>
        <w:rPr>
          <w:noProof/>
        </w:rPr>
        <w:instrText xml:space="preserve"> PAGEREF _Toc163814596 \h </w:instrText>
      </w:r>
      <w:r>
        <w:rPr>
          <w:noProof/>
        </w:rPr>
      </w:r>
      <w:r>
        <w:rPr>
          <w:noProof/>
        </w:rPr>
        <w:fldChar w:fldCharType="separate"/>
      </w:r>
      <w:r w:rsidR="0019242F">
        <w:rPr>
          <w:noProof/>
        </w:rPr>
        <w:t>38</w:t>
      </w:r>
      <w:r>
        <w:rPr>
          <w:noProof/>
        </w:rPr>
        <w:fldChar w:fldCharType="end"/>
      </w:r>
    </w:p>
    <w:p w14:paraId="08EB5C5F" w14:textId="24BB8108"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Consultation and feedback review process</w:t>
      </w:r>
      <w:r>
        <w:tab/>
      </w:r>
      <w:r>
        <w:fldChar w:fldCharType="begin"/>
      </w:r>
      <w:r>
        <w:instrText xml:space="preserve"> PAGEREF _Toc163814597 \h </w:instrText>
      </w:r>
      <w:r>
        <w:fldChar w:fldCharType="separate"/>
      </w:r>
      <w:r w:rsidR="0019242F">
        <w:t>40</w:t>
      </w:r>
      <w:r>
        <w:fldChar w:fldCharType="end"/>
      </w:r>
    </w:p>
    <w:p w14:paraId="48435D43" w14:textId="07F467E9"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Telehealth Principles</w:t>
      </w:r>
      <w:r>
        <w:rPr>
          <w:noProof/>
        </w:rPr>
        <w:tab/>
      </w:r>
      <w:r>
        <w:rPr>
          <w:noProof/>
        </w:rPr>
        <w:fldChar w:fldCharType="begin"/>
      </w:r>
      <w:r>
        <w:rPr>
          <w:noProof/>
        </w:rPr>
        <w:instrText xml:space="preserve"> PAGEREF _Toc163814598 \h </w:instrText>
      </w:r>
      <w:r>
        <w:rPr>
          <w:noProof/>
        </w:rPr>
      </w:r>
      <w:r>
        <w:rPr>
          <w:noProof/>
        </w:rPr>
        <w:fldChar w:fldCharType="separate"/>
      </w:r>
      <w:r w:rsidR="0019242F">
        <w:rPr>
          <w:noProof/>
        </w:rPr>
        <w:t>40</w:t>
      </w:r>
      <w:r>
        <w:rPr>
          <w:noProof/>
        </w:rPr>
        <w:fldChar w:fldCharType="end"/>
      </w:r>
    </w:p>
    <w:p w14:paraId="5B5DA862" w14:textId="13ADC85A"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Consultation on the draft report and recommendations</w:t>
      </w:r>
      <w:r>
        <w:rPr>
          <w:noProof/>
        </w:rPr>
        <w:tab/>
      </w:r>
      <w:r>
        <w:rPr>
          <w:noProof/>
        </w:rPr>
        <w:fldChar w:fldCharType="begin"/>
      </w:r>
      <w:r>
        <w:rPr>
          <w:noProof/>
        </w:rPr>
        <w:instrText xml:space="preserve"> PAGEREF _Toc163814599 \h </w:instrText>
      </w:r>
      <w:r>
        <w:rPr>
          <w:noProof/>
        </w:rPr>
      </w:r>
      <w:r>
        <w:rPr>
          <w:noProof/>
        </w:rPr>
        <w:fldChar w:fldCharType="separate"/>
      </w:r>
      <w:r w:rsidR="0019242F">
        <w:rPr>
          <w:noProof/>
        </w:rPr>
        <w:t>40</w:t>
      </w:r>
      <w:r>
        <w:rPr>
          <w:noProof/>
        </w:rPr>
        <w:fldChar w:fldCharType="end"/>
      </w:r>
    </w:p>
    <w:p w14:paraId="331197A9" w14:textId="508B8DBD"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Consumer Health Forum workshops</w:t>
      </w:r>
      <w:r>
        <w:rPr>
          <w:noProof/>
        </w:rPr>
        <w:tab/>
      </w:r>
      <w:r>
        <w:rPr>
          <w:noProof/>
        </w:rPr>
        <w:fldChar w:fldCharType="begin"/>
      </w:r>
      <w:r>
        <w:rPr>
          <w:noProof/>
        </w:rPr>
        <w:instrText xml:space="preserve"> PAGEREF _Toc163814600 \h </w:instrText>
      </w:r>
      <w:r>
        <w:rPr>
          <w:noProof/>
        </w:rPr>
      </w:r>
      <w:r>
        <w:rPr>
          <w:noProof/>
        </w:rPr>
        <w:fldChar w:fldCharType="separate"/>
      </w:r>
      <w:r w:rsidR="0019242F">
        <w:rPr>
          <w:noProof/>
        </w:rPr>
        <w:t>41</w:t>
      </w:r>
      <w:r>
        <w:rPr>
          <w:noProof/>
        </w:rPr>
        <w:fldChar w:fldCharType="end"/>
      </w:r>
    </w:p>
    <w:p w14:paraId="44F402FD" w14:textId="0FD713B0" w:rsidR="00302DDD" w:rsidRDefault="00302DDD" w:rsidP="00302DDD">
      <w:pPr>
        <w:pStyle w:val="TOC1"/>
        <w:rPr>
          <w:rFonts w:asciiTheme="minorHAnsi" w:eastAsiaTheme="minorEastAsia" w:hAnsiTheme="minorHAnsi" w:cstheme="minorBidi"/>
          <w:color w:val="auto"/>
          <w:kern w:val="2"/>
          <w:szCs w:val="22"/>
          <w:lang w:eastAsia="en-AU"/>
          <w14:ligatures w14:val="standardContextual"/>
        </w:rPr>
      </w:pPr>
      <w:r>
        <w:t>Appendix A</w:t>
      </w:r>
      <w:r>
        <w:rPr>
          <w:rFonts w:asciiTheme="minorHAnsi" w:eastAsiaTheme="minorEastAsia" w:hAnsiTheme="minorHAnsi" w:cstheme="minorBidi"/>
          <w:color w:val="auto"/>
          <w:kern w:val="2"/>
          <w:szCs w:val="22"/>
          <w:lang w:eastAsia="en-AU"/>
          <w14:ligatures w14:val="standardContextual"/>
        </w:rPr>
        <w:tab/>
      </w:r>
      <w:r>
        <w:t>MBS Continuous Review and committee</w:t>
      </w:r>
      <w:r>
        <w:tab/>
      </w:r>
      <w:r>
        <w:fldChar w:fldCharType="begin"/>
      </w:r>
      <w:r>
        <w:instrText xml:space="preserve"> PAGEREF _Toc163814601 \h </w:instrText>
      </w:r>
      <w:r>
        <w:fldChar w:fldCharType="separate"/>
      </w:r>
      <w:r w:rsidR="0019242F">
        <w:t>42</w:t>
      </w:r>
      <w:r>
        <w:fldChar w:fldCharType="end"/>
      </w:r>
    </w:p>
    <w:p w14:paraId="60238085" w14:textId="2DDFA555"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Medicare Benefits Schedule Continuous Review</w:t>
      </w:r>
      <w:r>
        <w:rPr>
          <w:noProof/>
        </w:rPr>
        <w:tab/>
      </w:r>
      <w:r>
        <w:rPr>
          <w:noProof/>
        </w:rPr>
        <w:fldChar w:fldCharType="begin"/>
      </w:r>
      <w:r>
        <w:rPr>
          <w:noProof/>
        </w:rPr>
        <w:instrText xml:space="preserve"> PAGEREF _Toc163814602 \h </w:instrText>
      </w:r>
      <w:r>
        <w:rPr>
          <w:noProof/>
        </w:rPr>
      </w:r>
      <w:r>
        <w:rPr>
          <w:noProof/>
        </w:rPr>
        <w:fldChar w:fldCharType="separate"/>
      </w:r>
      <w:r w:rsidR="0019242F">
        <w:rPr>
          <w:noProof/>
        </w:rPr>
        <w:t>42</w:t>
      </w:r>
      <w:r>
        <w:rPr>
          <w:noProof/>
        </w:rPr>
        <w:fldChar w:fldCharType="end"/>
      </w:r>
    </w:p>
    <w:p w14:paraId="4D065BA3" w14:textId="7A6C832B"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Medicare Benefits Schedule Review Advisory Committee</w:t>
      </w:r>
      <w:r>
        <w:rPr>
          <w:noProof/>
        </w:rPr>
        <w:tab/>
      </w:r>
      <w:r>
        <w:rPr>
          <w:noProof/>
        </w:rPr>
        <w:fldChar w:fldCharType="begin"/>
      </w:r>
      <w:r>
        <w:rPr>
          <w:noProof/>
        </w:rPr>
        <w:instrText xml:space="preserve"> PAGEREF _Toc163814603 \h </w:instrText>
      </w:r>
      <w:r>
        <w:rPr>
          <w:noProof/>
        </w:rPr>
      </w:r>
      <w:r>
        <w:rPr>
          <w:noProof/>
        </w:rPr>
        <w:fldChar w:fldCharType="separate"/>
      </w:r>
      <w:r w:rsidR="0019242F">
        <w:rPr>
          <w:noProof/>
        </w:rPr>
        <w:t>42</w:t>
      </w:r>
      <w:r>
        <w:rPr>
          <w:noProof/>
        </w:rPr>
        <w:fldChar w:fldCharType="end"/>
      </w:r>
    </w:p>
    <w:p w14:paraId="07F65695" w14:textId="4EC3C330"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MBS Continuous Review Guiding Principles</w:t>
      </w:r>
      <w:r>
        <w:rPr>
          <w:noProof/>
        </w:rPr>
        <w:tab/>
      </w:r>
      <w:r>
        <w:rPr>
          <w:noProof/>
        </w:rPr>
        <w:fldChar w:fldCharType="begin"/>
      </w:r>
      <w:r>
        <w:rPr>
          <w:noProof/>
        </w:rPr>
        <w:instrText xml:space="preserve"> PAGEREF _Toc163814604 \h </w:instrText>
      </w:r>
      <w:r>
        <w:rPr>
          <w:noProof/>
        </w:rPr>
      </w:r>
      <w:r>
        <w:rPr>
          <w:noProof/>
        </w:rPr>
        <w:fldChar w:fldCharType="separate"/>
      </w:r>
      <w:r w:rsidR="0019242F">
        <w:rPr>
          <w:noProof/>
        </w:rPr>
        <w:t>43</w:t>
      </w:r>
      <w:r>
        <w:rPr>
          <w:noProof/>
        </w:rPr>
        <w:fldChar w:fldCharType="end"/>
      </w:r>
    </w:p>
    <w:p w14:paraId="106447DB" w14:textId="49DA0ADE" w:rsidR="00302DDD" w:rsidRDefault="00302DDD" w:rsidP="00302DDD">
      <w:pPr>
        <w:pStyle w:val="TOC2"/>
        <w:rPr>
          <w:rFonts w:asciiTheme="minorHAnsi" w:eastAsiaTheme="minorEastAsia" w:hAnsiTheme="minorHAnsi" w:cstheme="minorBidi"/>
          <w:noProof/>
          <w:color w:val="auto"/>
          <w:kern w:val="2"/>
          <w:szCs w:val="22"/>
          <w:lang w:eastAsia="en-AU"/>
          <w14:ligatures w14:val="standardContextual"/>
        </w:rPr>
      </w:pPr>
      <w:r>
        <w:rPr>
          <w:noProof/>
        </w:rPr>
        <w:t>Government consideration</w:t>
      </w:r>
      <w:r>
        <w:rPr>
          <w:noProof/>
        </w:rPr>
        <w:tab/>
      </w:r>
      <w:r>
        <w:rPr>
          <w:noProof/>
        </w:rPr>
        <w:fldChar w:fldCharType="begin"/>
      </w:r>
      <w:r>
        <w:rPr>
          <w:noProof/>
        </w:rPr>
        <w:instrText xml:space="preserve"> PAGEREF _Toc163814605 \h </w:instrText>
      </w:r>
      <w:r>
        <w:rPr>
          <w:noProof/>
        </w:rPr>
      </w:r>
      <w:r>
        <w:rPr>
          <w:noProof/>
        </w:rPr>
        <w:fldChar w:fldCharType="separate"/>
      </w:r>
      <w:r w:rsidR="0019242F">
        <w:rPr>
          <w:noProof/>
        </w:rPr>
        <w:t>44</w:t>
      </w:r>
      <w:r>
        <w:rPr>
          <w:noProof/>
        </w:rPr>
        <w:fldChar w:fldCharType="end"/>
      </w:r>
    </w:p>
    <w:p w14:paraId="2F86A48C" w14:textId="3C89C85F" w:rsidR="00821270" w:rsidRPr="00816F3E" w:rsidRDefault="00302DDD" w:rsidP="00302DDD">
      <w:pPr>
        <w:pStyle w:val="TOC1"/>
      </w:pPr>
      <w:r>
        <w:t>References</w:t>
      </w:r>
      <w:r>
        <w:tab/>
      </w:r>
      <w:r>
        <w:fldChar w:fldCharType="begin"/>
      </w:r>
      <w:r>
        <w:instrText xml:space="preserve"> PAGEREF _Toc163814606 \h </w:instrText>
      </w:r>
      <w:r>
        <w:fldChar w:fldCharType="separate"/>
      </w:r>
      <w:r w:rsidR="0019242F">
        <w:t>45</w:t>
      </w:r>
      <w:r>
        <w:fldChar w:fldCharType="end"/>
      </w:r>
      <w:r w:rsidR="008F51E3">
        <w:fldChar w:fldCharType="end"/>
      </w:r>
    </w:p>
    <w:p w14:paraId="429C6181" w14:textId="77777777" w:rsidR="00E83146" w:rsidRDefault="0CAC93D8" w:rsidP="00302DDD">
      <w:pPr>
        <w:pStyle w:val="Heading1"/>
        <w:ind w:left="0" w:firstLine="0"/>
      </w:pPr>
      <w:bookmarkStart w:id="8" w:name="_Toc163814537"/>
      <w:bookmarkStart w:id="9" w:name="_Toc119068518"/>
      <w:bookmarkStart w:id="10" w:name="_Toc119920737"/>
      <w:bookmarkStart w:id="11" w:name="_Toc107920652"/>
      <w:r>
        <w:lastRenderedPageBreak/>
        <w:t>Summary</w:t>
      </w:r>
      <w:bookmarkEnd w:id="8"/>
    </w:p>
    <w:p w14:paraId="2E749B90" w14:textId="4AFD451D" w:rsidR="0019088C" w:rsidRDefault="00D9313E" w:rsidP="00D9313E">
      <w:r>
        <w:t xml:space="preserve">The Medicare Benefits Schedule (MBS) Review Advisory Committee (MRAC) </w:t>
      </w:r>
      <w:r w:rsidRPr="000622D6">
        <w:t>is an independent</w:t>
      </w:r>
      <w:r w:rsidR="00442DE9">
        <w:t xml:space="preserve">, </w:t>
      </w:r>
      <w:r w:rsidRPr="000622D6">
        <w:t>non-statutory committee</w:t>
      </w:r>
      <w:r w:rsidR="00BF266F">
        <w:t>. Its role is to</w:t>
      </w:r>
      <w:r w:rsidRPr="000622D6">
        <w:t xml:space="preserve"> advise </w:t>
      </w:r>
      <w:r w:rsidR="00BF266F">
        <w:t>the Australian G</w:t>
      </w:r>
      <w:r w:rsidRPr="000622D6">
        <w:t xml:space="preserve">overnment </w:t>
      </w:r>
      <w:r w:rsidR="008A7315">
        <w:t xml:space="preserve">and the </w:t>
      </w:r>
      <w:r w:rsidR="00E41902">
        <w:t>Department of Health and Aged Care</w:t>
      </w:r>
      <w:r w:rsidR="00E41902" w:rsidRPr="000622D6">
        <w:t xml:space="preserve"> </w:t>
      </w:r>
      <w:r w:rsidR="00D13A2E">
        <w:t xml:space="preserve">(the department) </w:t>
      </w:r>
      <w:r w:rsidRPr="000622D6">
        <w:t>on publicly funded services listed on the MBS.</w:t>
      </w:r>
      <w:r w:rsidR="00442DE9">
        <w:t xml:space="preserve"> The MRAC </w:t>
      </w:r>
      <w:r w:rsidR="00277E56">
        <w:t xml:space="preserve">members </w:t>
      </w:r>
      <w:r w:rsidR="00442DE9">
        <w:t>include clinician</w:t>
      </w:r>
      <w:r w:rsidR="00277E56">
        <w:t>s</w:t>
      </w:r>
      <w:r w:rsidR="00442DE9">
        <w:t xml:space="preserve">, </w:t>
      </w:r>
      <w:r w:rsidR="008A7315">
        <w:t>health system experts,</w:t>
      </w:r>
      <w:r w:rsidR="00442DE9">
        <w:t xml:space="preserve"> and consumer</w:t>
      </w:r>
      <w:r w:rsidR="00277E56">
        <w:t>s</w:t>
      </w:r>
      <w:r w:rsidR="00442DE9">
        <w:t>.</w:t>
      </w:r>
    </w:p>
    <w:p w14:paraId="2A0DFD77" w14:textId="33C37E2F" w:rsidR="002E447C" w:rsidRPr="00F27EC7" w:rsidRDefault="002E447C" w:rsidP="00145749">
      <w:pPr>
        <w:pStyle w:val="NormalBeforeBullet"/>
      </w:pPr>
      <w:r>
        <w:t>In 2022, the Australian Government</w:t>
      </w:r>
      <w:r w:rsidR="006E69BA">
        <w:t>’s</w:t>
      </w:r>
      <w:r>
        <w:t xml:space="preserve"> Minister for Health </w:t>
      </w:r>
      <w:r w:rsidR="004C77AA">
        <w:t xml:space="preserve">and Aged Care </w:t>
      </w:r>
      <w:r>
        <w:t xml:space="preserve">asked the </w:t>
      </w:r>
      <w:r w:rsidR="00D9313E">
        <w:t xml:space="preserve">MRAC </w:t>
      </w:r>
      <w:r>
        <w:t xml:space="preserve">to </w:t>
      </w:r>
      <w:r w:rsidR="00137EE6">
        <w:t xml:space="preserve">review </w:t>
      </w:r>
      <w:r w:rsidR="006E69BA">
        <w:t xml:space="preserve">MBS </w:t>
      </w:r>
      <w:r>
        <w:t>telehealth services</w:t>
      </w:r>
      <w:r w:rsidR="00356578">
        <w:t>.</w:t>
      </w:r>
      <w:r w:rsidR="00A106C0">
        <w:t xml:space="preserve"> </w:t>
      </w:r>
      <w:r w:rsidR="7A88B4A7">
        <w:t>MRAC</w:t>
      </w:r>
      <w:r w:rsidR="00356578">
        <w:t xml:space="preserve"> was </w:t>
      </w:r>
      <w:r w:rsidR="008E40CE">
        <w:t xml:space="preserve">asked </w:t>
      </w:r>
      <w:r w:rsidR="00A106C0">
        <w:t>to</w:t>
      </w:r>
      <w:r>
        <w:t>:</w:t>
      </w:r>
    </w:p>
    <w:p w14:paraId="6FA0E223" w14:textId="019F1042" w:rsidR="0099794E" w:rsidRDefault="0099794E" w:rsidP="0099794E">
      <w:pPr>
        <w:pStyle w:val="Bullet"/>
      </w:pPr>
      <w:r>
        <w:t xml:space="preserve">review and update the MBS Taskforce Telehealth Principles, which will provide a framework </w:t>
      </w:r>
      <w:r w:rsidR="00971068">
        <w:t>to consider</w:t>
      </w:r>
      <w:r>
        <w:t xml:space="preserve"> all MBS-funded telehealth services in the future</w:t>
      </w:r>
    </w:p>
    <w:p w14:paraId="75C17620" w14:textId="2924F617" w:rsidR="002E447C" w:rsidRDefault="002E447C" w:rsidP="00C827F5">
      <w:pPr>
        <w:pStyle w:val="Bullet"/>
      </w:pPr>
      <w:r>
        <w:t>advise on the right balance between access, quality and safety</w:t>
      </w:r>
      <w:r w:rsidR="00137EE6">
        <w:t xml:space="preserve"> </w:t>
      </w:r>
      <w:r w:rsidR="00B6012D">
        <w:t xml:space="preserve">for </w:t>
      </w:r>
      <w:r w:rsidR="00971068">
        <w:t xml:space="preserve">current </w:t>
      </w:r>
      <w:r w:rsidR="00B6012D">
        <w:t>video and telephone consultations</w:t>
      </w:r>
    </w:p>
    <w:p w14:paraId="64EEDC9C" w14:textId="408CAE47" w:rsidR="002E447C" w:rsidRDefault="00036FDA" w:rsidP="00C827F5">
      <w:pPr>
        <w:pStyle w:val="BulletLast"/>
      </w:pPr>
      <w:r>
        <w:t xml:space="preserve">make recommendations </w:t>
      </w:r>
      <w:r w:rsidR="002E447C">
        <w:t xml:space="preserve">on patient eligibility </w:t>
      </w:r>
      <w:r w:rsidR="00916539">
        <w:t xml:space="preserve">and </w:t>
      </w:r>
      <w:r w:rsidR="002E447C">
        <w:t>exemptions</w:t>
      </w:r>
      <w:r w:rsidR="009821FA">
        <w:t xml:space="preserve"> for </w:t>
      </w:r>
      <w:r w:rsidR="00971068">
        <w:t xml:space="preserve">MBS </w:t>
      </w:r>
      <w:r w:rsidR="00E352CC">
        <w:t xml:space="preserve">telehealth </w:t>
      </w:r>
      <w:r w:rsidR="009821FA">
        <w:t>item</w:t>
      </w:r>
      <w:r w:rsidR="00E352CC">
        <w:t>s</w:t>
      </w:r>
      <w:r w:rsidR="002E447C">
        <w:t>.</w:t>
      </w:r>
      <w:r w:rsidR="0099794E" w:rsidRPr="0099794E">
        <w:t xml:space="preserve"> </w:t>
      </w:r>
    </w:p>
    <w:p w14:paraId="3A9237F8" w14:textId="53F5C411" w:rsidR="002E447C" w:rsidRDefault="00570E4F" w:rsidP="002E447C">
      <w:r>
        <w:t>The MRAC aimed to provide evidence-based recommendations</w:t>
      </w:r>
      <w:r w:rsidR="00B64922">
        <w:t xml:space="preserve"> for telehealth</w:t>
      </w:r>
      <w:r>
        <w:t xml:space="preserve">. </w:t>
      </w:r>
      <w:r w:rsidR="00B64922">
        <w:t xml:space="preserve">Therefore, </w:t>
      </w:r>
      <w:r w:rsidR="002E447C">
        <w:t>the M</w:t>
      </w:r>
      <w:r w:rsidR="002E447C" w:rsidRPr="00BC6FB9">
        <w:t xml:space="preserve">RAC </w:t>
      </w:r>
      <w:r w:rsidR="002E447C">
        <w:t>considered data</w:t>
      </w:r>
      <w:r w:rsidR="002E447C" w:rsidRPr="00BC6FB9">
        <w:t xml:space="preserve"> from </w:t>
      </w:r>
      <w:r w:rsidR="00746B19">
        <w:t xml:space="preserve">independent </w:t>
      </w:r>
      <w:r w:rsidR="00746B19" w:rsidDel="00F70FEF">
        <w:t>research</w:t>
      </w:r>
      <w:r w:rsidR="002E447C" w:rsidRPr="00BC6FB9">
        <w:t xml:space="preserve"> (literature </w:t>
      </w:r>
      <w:r w:rsidR="006426A8">
        <w:t>and systematic</w:t>
      </w:r>
      <w:r w:rsidR="002E447C" w:rsidRPr="00BC6FB9">
        <w:t xml:space="preserve"> reviews)</w:t>
      </w:r>
      <w:r w:rsidR="002E447C">
        <w:t>, stakeholder interviews and workshops with general practice clinicians and managers,</w:t>
      </w:r>
      <w:r w:rsidR="00916539">
        <w:t xml:space="preserve"> </w:t>
      </w:r>
      <w:r w:rsidR="002E447C" w:rsidRPr="00BC6FB9">
        <w:t xml:space="preserve">and MBS </w:t>
      </w:r>
      <w:r w:rsidR="002E447C">
        <w:t xml:space="preserve">claims </w:t>
      </w:r>
      <w:r w:rsidR="002E4EA1">
        <w:t xml:space="preserve">data </w:t>
      </w:r>
      <w:r w:rsidR="002E447C" w:rsidRPr="00BC6FB9">
        <w:t>about different aspects of telehealth.</w:t>
      </w:r>
    </w:p>
    <w:p w14:paraId="4C4D1663" w14:textId="168B615A" w:rsidR="00036FDA" w:rsidRDefault="00036FDA" w:rsidP="002E447C">
      <w:pPr>
        <w:rPr>
          <w:lang w:val="en-US"/>
        </w:rPr>
      </w:pPr>
      <w:r>
        <w:t xml:space="preserve">The </w:t>
      </w:r>
      <w:r w:rsidR="0008789E">
        <w:t xml:space="preserve">MRAC published the </w:t>
      </w:r>
      <w:hyperlink r:id="rId12">
        <w:r w:rsidRPr="6C56561B">
          <w:rPr>
            <w:rStyle w:val="Hyperlink"/>
            <w:i/>
            <w:iCs/>
          </w:rPr>
          <w:t>Telehealth Post-Implementation Review Draft Report</w:t>
        </w:r>
        <w:r w:rsidRPr="6C56561B">
          <w:rPr>
            <w:rStyle w:val="Hyperlink"/>
          </w:rPr>
          <w:t xml:space="preserve"> </w:t>
        </w:r>
        <w:r w:rsidR="0008789E" w:rsidRPr="6C56561B">
          <w:rPr>
            <w:rStyle w:val="Hyperlink"/>
          </w:rPr>
          <w:t>in September 2023</w:t>
        </w:r>
      </w:hyperlink>
      <w:r w:rsidR="00D9713A">
        <w:t xml:space="preserve"> for public consultation</w:t>
      </w:r>
      <w:r w:rsidR="2BBD214A">
        <w:t xml:space="preserve"> </w:t>
      </w:r>
      <w:r w:rsidR="00346CD3">
        <w:t xml:space="preserve">(see </w:t>
      </w:r>
      <w:hyperlink w:anchor="_Consultation_on_the">
        <w:r w:rsidR="00346CD3" w:rsidRPr="6C56561B">
          <w:rPr>
            <w:rStyle w:val="Hyperlink"/>
          </w:rPr>
          <w:t>Consultation on the draft report and recommendations</w:t>
        </w:r>
      </w:hyperlink>
      <w:r w:rsidR="00346CD3">
        <w:t>)</w:t>
      </w:r>
      <w:r>
        <w:t>. In addition, the Consumer</w:t>
      </w:r>
      <w:r w:rsidR="001B56A7">
        <w:t>s</w:t>
      </w:r>
      <w:r>
        <w:t xml:space="preserve"> Health Forum </w:t>
      </w:r>
      <w:r w:rsidR="001B56A7">
        <w:t xml:space="preserve">of Australia </w:t>
      </w:r>
      <w:r w:rsidR="001532FC">
        <w:t xml:space="preserve">(CHF) </w:t>
      </w:r>
      <w:r>
        <w:t>held workshops on</w:t>
      </w:r>
      <w:r w:rsidR="00B4143D">
        <w:t xml:space="preserve"> behalf of</w:t>
      </w:r>
      <w:r>
        <w:t xml:space="preserve"> the</w:t>
      </w:r>
      <w:r w:rsidR="00E41902">
        <w:t xml:space="preserve"> department</w:t>
      </w:r>
      <w:r>
        <w:t xml:space="preserve"> to </w:t>
      </w:r>
      <w:r w:rsidR="009D6415">
        <w:t>better understand consumers’ views on telehealth</w:t>
      </w:r>
      <w:r w:rsidR="00346CD3">
        <w:t xml:space="preserve"> (see </w:t>
      </w:r>
      <w:hyperlink w:anchor="_Consumer_Health_Forum">
        <w:r w:rsidR="00346CD3" w:rsidRPr="6C56561B">
          <w:rPr>
            <w:rStyle w:val="Hyperlink"/>
          </w:rPr>
          <w:t>Consumer Health Forum workshops</w:t>
        </w:r>
      </w:hyperlink>
      <w:r w:rsidR="00346CD3">
        <w:t>)</w:t>
      </w:r>
      <w:r w:rsidR="009D6415">
        <w:t xml:space="preserve">. The MRAC considered the </w:t>
      </w:r>
      <w:r w:rsidR="0064129E">
        <w:t xml:space="preserve">feedback </w:t>
      </w:r>
      <w:r w:rsidR="009D6415">
        <w:t xml:space="preserve">from these </w:t>
      </w:r>
      <w:r w:rsidR="0033188F">
        <w:t xml:space="preserve">consultations and </w:t>
      </w:r>
      <w:r w:rsidR="009D6415">
        <w:t>workshops when finalising its recommendations.</w:t>
      </w:r>
    </w:p>
    <w:p w14:paraId="167A0322" w14:textId="77777777" w:rsidR="002E447C" w:rsidRPr="000130FD" w:rsidRDefault="002E447C" w:rsidP="002E447C">
      <w:pPr>
        <w:pStyle w:val="Heading2"/>
        <w:rPr>
          <w:lang w:val="en-US"/>
        </w:rPr>
      </w:pPr>
      <w:bookmarkStart w:id="12" w:name="_Toc163814538"/>
      <w:r>
        <w:rPr>
          <w:lang w:val="en-US"/>
        </w:rPr>
        <w:t>Telehealth services in Australia</w:t>
      </w:r>
      <w:bookmarkEnd w:id="12"/>
    </w:p>
    <w:p w14:paraId="61D6E141" w14:textId="427A3AB4" w:rsidR="002E447C" w:rsidRDefault="06311AE1" w:rsidP="00D13A2E">
      <w:pPr>
        <w:spacing w:line="259" w:lineRule="auto"/>
        <w:rPr>
          <w:lang w:val="en-US"/>
        </w:rPr>
      </w:pPr>
      <w:r w:rsidRPr="07D162B7">
        <w:rPr>
          <w:lang w:val="en-US"/>
        </w:rPr>
        <w:t xml:space="preserve">Over the past few years, </w:t>
      </w:r>
      <w:r w:rsidR="798472E0" w:rsidRPr="07D162B7">
        <w:rPr>
          <w:lang w:val="en-US"/>
        </w:rPr>
        <w:t xml:space="preserve">the role of </w:t>
      </w:r>
      <w:r w:rsidR="15EA5EE7" w:rsidRPr="07D162B7">
        <w:rPr>
          <w:lang w:val="en-US"/>
        </w:rPr>
        <w:t xml:space="preserve">MBS </w:t>
      </w:r>
      <w:r w:rsidR="6212C45D" w:rsidRPr="07D162B7">
        <w:rPr>
          <w:lang w:val="en-US"/>
        </w:rPr>
        <w:t>telehealth services ha</w:t>
      </w:r>
      <w:r w:rsidR="798472E0" w:rsidRPr="07D162B7">
        <w:rPr>
          <w:lang w:val="en-US"/>
        </w:rPr>
        <w:t>s</w:t>
      </w:r>
      <w:r w:rsidR="6212C45D" w:rsidRPr="07D162B7">
        <w:rPr>
          <w:lang w:val="en-US"/>
        </w:rPr>
        <w:t xml:space="preserve"> </w:t>
      </w:r>
      <w:r w:rsidR="798472E0" w:rsidRPr="07D162B7">
        <w:rPr>
          <w:lang w:val="en-US"/>
        </w:rPr>
        <w:t>changed</w:t>
      </w:r>
      <w:r w:rsidR="3ACF8DB7" w:rsidRPr="07D162B7">
        <w:rPr>
          <w:lang w:val="en-US"/>
        </w:rPr>
        <w:t xml:space="preserve"> in Australia</w:t>
      </w:r>
      <w:r w:rsidRPr="07D162B7">
        <w:rPr>
          <w:lang w:val="en-US"/>
        </w:rPr>
        <w:t xml:space="preserve">. MBS telehealth items have existed since 2002 </w:t>
      </w:r>
      <w:r w:rsidR="49588BB0" w:rsidRPr="07D162B7">
        <w:rPr>
          <w:lang w:val="en-US"/>
        </w:rPr>
        <w:t>but were</w:t>
      </w:r>
      <w:r w:rsidRPr="07D162B7">
        <w:rPr>
          <w:lang w:val="en-US"/>
        </w:rPr>
        <w:t xml:space="preserve"> expanded </w:t>
      </w:r>
      <w:r w:rsidR="6F83F633" w:rsidRPr="07D162B7">
        <w:rPr>
          <w:lang w:val="en-US"/>
        </w:rPr>
        <w:t>during</w:t>
      </w:r>
      <w:r w:rsidRPr="07D162B7">
        <w:rPr>
          <w:lang w:val="en-US"/>
        </w:rPr>
        <w:t xml:space="preserve"> the COVID-19 pandemic</w:t>
      </w:r>
      <w:r w:rsidR="49588BB0" w:rsidRPr="07D162B7">
        <w:rPr>
          <w:lang w:val="en-US"/>
        </w:rPr>
        <w:t xml:space="preserve"> and more patients and clinicians used them</w:t>
      </w:r>
      <w:r w:rsidR="798472E0" w:rsidRPr="07D162B7">
        <w:rPr>
          <w:lang w:val="en-US"/>
        </w:rPr>
        <w:t xml:space="preserve">. </w:t>
      </w:r>
      <w:r w:rsidR="18075B80" w:rsidRPr="07D162B7">
        <w:rPr>
          <w:lang w:val="en-US"/>
        </w:rPr>
        <w:t xml:space="preserve">Before COVID-19, telehealth was </w:t>
      </w:r>
      <w:r w:rsidR="561B2BAA" w:rsidRPr="07D162B7">
        <w:rPr>
          <w:lang w:val="en-US"/>
        </w:rPr>
        <w:t xml:space="preserve">mostly </w:t>
      </w:r>
      <w:r w:rsidR="15EA5EE7" w:rsidRPr="07D162B7">
        <w:rPr>
          <w:lang w:val="en-US"/>
        </w:rPr>
        <w:t>used</w:t>
      </w:r>
      <w:r w:rsidR="18075B80" w:rsidRPr="07D162B7">
        <w:rPr>
          <w:lang w:val="en-US"/>
        </w:rPr>
        <w:t xml:space="preserve"> for non-general practitioner (GP) specialist</w:t>
      </w:r>
      <w:r w:rsidR="28EFC68A" w:rsidRPr="07D162B7">
        <w:rPr>
          <w:lang w:val="en-US"/>
        </w:rPr>
        <w:t xml:space="preserve"> </w:t>
      </w:r>
      <w:r w:rsidR="2802BC7F" w:rsidRPr="07D162B7">
        <w:rPr>
          <w:lang w:val="en-US"/>
        </w:rPr>
        <w:t xml:space="preserve">video </w:t>
      </w:r>
      <w:r w:rsidR="28EFC68A" w:rsidRPr="07D162B7">
        <w:rPr>
          <w:lang w:val="en-US"/>
        </w:rPr>
        <w:t>services</w:t>
      </w:r>
      <w:r w:rsidR="18075B80" w:rsidRPr="07D162B7">
        <w:rPr>
          <w:lang w:val="en-US"/>
        </w:rPr>
        <w:t xml:space="preserve"> </w:t>
      </w:r>
      <w:r w:rsidR="398EF50D" w:rsidRPr="07D162B7">
        <w:rPr>
          <w:lang w:val="en-US"/>
        </w:rPr>
        <w:t xml:space="preserve">to </w:t>
      </w:r>
      <w:r w:rsidR="18075B80" w:rsidRPr="07D162B7">
        <w:rPr>
          <w:lang w:val="en-US"/>
        </w:rPr>
        <w:t>patients living outside</w:t>
      </w:r>
      <w:r w:rsidR="425883B6" w:rsidRPr="07D162B7">
        <w:rPr>
          <w:lang w:val="en-US"/>
        </w:rPr>
        <w:t xml:space="preserve"> of</w:t>
      </w:r>
      <w:r w:rsidR="18075B80" w:rsidRPr="07D162B7">
        <w:rPr>
          <w:lang w:val="en-US"/>
        </w:rPr>
        <w:t xml:space="preserve"> major cities. During COVID-19, n</w:t>
      </w:r>
      <w:r w:rsidRPr="07D162B7">
        <w:rPr>
          <w:lang w:val="en-US"/>
        </w:rPr>
        <w:t xml:space="preserve">ew temporary MBS telehealth items were created to ensure </w:t>
      </w:r>
      <w:r w:rsidR="2B3418DD" w:rsidRPr="07D162B7">
        <w:rPr>
          <w:lang w:val="en-US"/>
        </w:rPr>
        <w:t xml:space="preserve">people could </w:t>
      </w:r>
      <w:r w:rsidRPr="07D162B7">
        <w:rPr>
          <w:lang w:val="en-US"/>
        </w:rPr>
        <w:t>access health</w:t>
      </w:r>
      <w:r w:rsidR="160CE06E" w:rsidRPr="07D162B7">
        <w:rPr>
          <w:lang w:val="en-US"/>
        </w:rPr>
        <w:t xml:space="preserve"> care</w:t>
      </w:r>
      <w:r w:rsidR="798472E0" w:rsidRPr="07D162B7">
        <w:rPr>
          <w:lang w:val="en-US"/>
        </w:rPr>
        <w:t xml:space="preserve"> </w:t>
      </w:r>
      <w:r w:rsidR="2B3418DD" w:rsidRPr="07D162B7">
        <w:rPr>
          <w:lang w:val="en-US"/>
        </w:rPr>
        <w:t>amid</w:t>
      </w:r>
      <w:r w:rsidR="798472E0" w:rsidRPr="07D162B7">
        <w:rPr>
          <w:lang w:val="en-US"/>
        </w:rPr>
        <w:t xml:space="preserve"> </w:t>
      </w:r>
      <w:r w:rsidR="16FB482D" w:rsidRPr="07D162B7">
        <w:rPr>
          <w:lang w:val="en-US"/>
        </w:rPr>
        <w:t>lockdowns and social distancing requirements</w:t>
      </w:r>
      <w:r w:rsidRPr="07D162B7">
        <w:rPr>
          <w:lang w:val="en-US"/>
        </w:rPr>
        <w:t xml:space="preserve">. </w:t>
      </w:r>
      <w:r w:rsidR="5A997A1B" w:rsidRPr="07D162B7">
        <w:rPr>
          <w:lang w:val="en-US"/>
        </w:rPr>
        <w:t>The</w:t>
      </w:r>
      <w:r w:rsidR="18075B80" w:rsidRPr="07D162B7">
        <w:rPr>
          <w:lang w:val="en-US"/>
        </w:rPr>
        <w:t>se</w:t>
      </w:r>
      <w:r w:rsidR="5A997A1B" w:rsidRPr="07D162B7">
        <w:rPr>
          <w:lang w:val="en-US"/>
        </w:rPr>
        <w:t xml:space="preserve"> changes </w:t>
      </w:r>
      <w:r w:rsidR="299BFDA5" w:rsidRPr="07D162B7">
        <w:rPr>
          <w:lang w:val="en-US"/>
        </w:rPr>
        <w:t xml:space="preserve">allowed more clinicians </w:t>
      </w:r>
      <w:r w:rsidR="5C5BB2E5" w:rsidRPr="07D162B7">
        <w:rPr>
          <w:lang w:val="en-US"/>
        </w:rPr>
        <w:t xml:space="preserve">and patients </w:t>
      </w:r>
      <w:r w:rsidR="5A997A1B" w:rsidRPr="07D162B7">
        <w:rPr>
          <w:lang w:val="en-US"/>
        </w:rPr>
        <w:t xml:space="preserve">to </w:t>
      </w:r>
      <w:r w:rsidR="77433878" w:rsidRPr="07D162B7">
        <w:rPr>
          <w:lang w:val="en-US"/>
        </w:rPr>
        <w:t xml:space="preserve">use </w:t>
      </w:r>
      <w:r w:rsidR="5A997A1B" w:rsidRPr="07D162B7">
        <w:rPr>
          <w:lang w:val="en-US"/>
        </w:rPr>
        <w:t>telehealth</w:t>
      </w:r>
      <w:r w:rsidR="155B31F1" w:rsidRPr="07D162B7">
        <w:rPr>
          <w:lang w:val="en-US"/>
        </w:rPr>
        <w:t>,</w:t>
      </w:r>
      <w:r w:rsidR="01BF0FEA" w:rsidRPr="07D162B7">
        <w:rPr>
          <w:lang w:val="en-US"/>
        </w:rPr>
        <w:t xml:space="preserve"> and </w:t>
      </w:r>
      <w:r w:rsidR="428AE691" w:rsidRPr="07D162B7">
        <w:rPr>
          <w:lang w:val="en-US"/>
        </w:rPr>
        <w:t xml:space="preserve">some </w:t>
      </w:r>
      <w:r w:rsidR="5A997A1B" w:rsidRPr="07D162B7">
        <w:rPr>
          <w:lang w:val="en-US"/>
        </w:rPr>
        <w:t>services</w:t>
      </w:r>
      <w:r w:rsidR="5009D982" w:rsidRPr="07D162B7">
        <w:rPr>
          <w:lang w:val="en-US"/>
        </w:rPr>
        <w:t xml:space="preserve"> </w:t>
      </w:r>
      <w:r w:rsidR="428AE691" w:rsidRPr="07D162B7">
        <w:rPr>
          <w:lang w:val="en-US"/>
        </w:rPr>
        <w:t xml:space="preserve">were able to be done </w:t>
      </w:r>
      <w:r w:rsidR="5009D982" w:rsidRPr="07D162B7">
        <w:rPr>
          <w:lang w:val="en-US"/>
        </w:rPr>
        <w:t>by phone</w:t>
      </w:r>
      <w:r w:rsidR="536CD983" w:rsidRPr="07D162B7">
        <w:rPr>
          <w:lang w:val="en-US"/>
        </w:rPr>
        <w:t xml:space="preserve"> instead of video</w:t>
      </w:r>
      <w:r w:rsidR="5009D982" w:rsidRPr="07D162B7">
        <w:rPr>
          <w:lang w:val="en-US"/>
        </w:rPr>
        <w:t xml:space="preserve">. </w:t>
      </w:r>
      <w:r w:rsidRPr="07D162B7">
        <w:rPr>
          <w:lang w:val="en-US"/>
        </w:rPr>
        <w:t xml:space="preserve">Most of the temporary MBS telehealth items introduced during the pandemic </w:t>
      </w:r>
      <w:r w:rsidR="536CD983" w:rsidRPr="07D162B7">
        <w:rPr>
          <w:lang w:val="en-US"/>
        </w:rPr>
        <w:t>are now</w:t>
      </w:r>
      <w:r w:rsidRPr="07D162B7">
        <w:rPr>
          <w:lang w:val="en-US"/>
        </w:rPr>
        <w:t xml:space="preserve"> permanent.</w:t>
      </w:r>
    </w:p>
    <w:p w14:paraId="0B8C5368" w14:textId="28262091" w:rsidR="002E447C" w:rsidRDefault="06311AE1" w:rsidP="07D162B7">
      <w:pPr>
        <w:rPr>
          <w:lang w:val="en-US"/>
        </w:rPr>
      </w:pPr>
      <w:r w:rsidRPr="07D162B7">
        <w:rPr>
          <w:lang w:val="en-US"/>
        </w:rPr>
        <w:t xml:space="preserve">Telehealth use peaked in </w:t>
      </w:r>
      <w:r w:rsidR="084336A6" w:rsidRPr="07D162B7">
        <w:rPr>
          <w:lang w:val="en-US"/>
        </w:rPr>
        <w:t>March–June</w:t>
      </w:r>
      <w:r w:rsidRPr="07D162B7">
        <w:rPr>
          <w:lang w:val="en-US"/>
        </w:rPr>
        <w:t xml:space="preserve"> 2020. Although it declined when social distancing requirements </w:t>
      </w:r>
      <w:r w:rsidR="2C308D6D" w:rsidRPr="07D162B7">
        <w:rPr>
          <w:lang w:val="en-US"/>
        </w:rPr>
        <w:t>became less strict</w:t>
      </w:r>
      <w:r w:rsidRPr="07D162B7">
        <w:rPr>
          <w:lang w:val="en-US"/>
        </w:rPr>
        <w:t xml:space="preserve">, telehealth </w:t>
      </w:r>
      <w:r w:rsidR="53DC2847" w:rsidRPr="07D162B7">
        <w:rPr>
          <w:lang w:val="en-US"/>
        </w:rPr>
        <w:t>is still widely used</w:t>
      </w:r>
      <w:r w:rsidRPr="07D162B7">
        <w:rPr>
          <w:lang w:val="en-US"/>
        </w:rPr>
        <w:t xml:space="preserve">. </w:t>
      </w:r>
      <w:r w:rsidR="5E94805B" w:rsidRPr="07D162B7">
        <w:rPr>
          <w:lang w:val="en-US"/>
        </w:rPr>
        <w:t>According to the Department of Health and Aged Care</w:t>
      </w:r>
      <w:r w:rsidR="7842949C" w:rsidRPr="07D162B7">
        <w:rPr>
          <w:lang w:val="en-US"/>
        </w:rPr>
        <w:t>’s</w:t>
      </w:r>
      <w:r w:rsidR="5E94805B" w:rsidRPr="07D162B7">
        <w:rPr>
          <w:lang w:val="en-US"/>
        </w:rPr>
        <w:t xml:space="preserve"> analysis of MBS data </w:t>
      </w:r>
      <w:r w:rsidR="537AD54C" w:rsidRPr="07D162B7">
        <w:rPr>
          <w:lang w:val="en-US"/>
        </w:rPr>
        <w:t>t</w:t>
      </w:r>
      <w:r w:rsidR="61A4FCAC" w:rsidRPr="07D162B7">
        <w:rPr>
          <w:lang w:val="en-US"/>
        </w:rPr>
        <w:t xml:space="preserve">he proportion </w:t>
      </w:r>
      <w:r w:rsidR="42DB087B" w:rsidRPr="07D162B7">
        <w:rPr>
          <w:lang w:val="en-US"/>
        </w:rPr>
        <w:t xml:space="preserve">of </w:t>
      </w:r>
      <w:r w:rsidR="33CF22DB" w:rsidRPr="07D162B7">
        <w:rPr>
          <w:lang w:val="en-US"/>
        </w:rPr>
        <w:t xml:space="preserve">services by </w:t>
      </w:r>
      <w:r w:rsidR="61A4FCAC" w:rsidRPr="07D162B7">
        <w:rPr>
          <w:lang w:val="en-US"/>
        </w:rPr>
        <w:t xml:space="preserve">telehealth </w:t>
      </w:r>
      <w:r w:rsidR="5F954D0A" w:rsidRPr="07D162B7">
        <w:rPr>
          <w:lang w:val="en-US"/>
        </w:rPr>
        <w:t>in 2022</w:t>
      </w:r>
      <w:r w:rsidR="23C60779" w:rsidRPr="07D162B7">
        <w:rPr>
          <w:lang w:val="en-US"/>
        </w:rPr>
        <w:t>–</w:t>
      </w:r>
      <w:r w:rsidR="5F954D0A" w:rsidRPr="07D162B7">
        <w:rPr>
          <w:lang w:val="en-US"/>
        </w:rPr>
        <w:t xml:space="preserve">23 was 20% for </w:t>
      </w:r>
      <w:r w:rsidR="23C60779" w:rsidRPr="07D162B7">
        <w:rPr>
          <w:lang w:val="en-US"/>
        </w:rPr>
        <w:t>GPs</w:t>
      </w:r>
      <w:r w:rsidR="5F954D0A" w:rsidRPr="07D162B7">
        <w:rPr>
          <w:lang w:val="en-US"/>
        </w:rPr>
        <w:t>, 11% for non-GP specialists, 12% for allied heal</w:t>
      </w:r>
      <w:r w:rsidR="53A1F542" w:rsidRPr="07D162B7">
        <w:rPr>
          <w:lang w:val="en-US"/>
        </w:rPr>
        <w:t xml:space="preserve">th and 3% for other </w:t>
      </w:r>
      <w:r w:rsidR="2C78E5B5" w:rsidRPr="07D162B7">
        <w:rPr>
          <w:lang w:val="en-US"/>
        </w:rPr>
        <w:t xml:space="preserve">clinicians </w:t>
      </w:r>
      <w:r w:rsidR="53A1F542" w:rsidRPr="07D162B7">
        <w:rPr>
          <w:lang w:val="en-US"/>
        </w:rPr>
        <w:t>including nurse practitioners and midwives.</w:t>
      </w:r>
    </w:p>
    <w:p w14:paraId="216879A0" w14:textId="77777777" w:rsidR="002E447C" w:rsidRPr="00426AC8" w:rsidRDefault="5F027B2E" w:rsidP="002E447C">
      <w:pPr>
        <w:pStyle w:val="Heading3"/>
        <w:rPr>
          <w:lang w:val="en-US"/>
        </w:rPr>
      </w:pPr>
      <w:bookmarkStart w:id="13" w:name="_Toc163814539"/>
      <w:r w:rsidRPr="69ABD742">
        <w:rPr>
          <w:lang w:val="en-US"/>
        </w:rPr>
        <w:t>Clinician uptake</w:t>
      </w:r>
      <w:bookmarkEnd w:id="13"/>
    </w:p>
    <w:p w14:paraId="2BC71C83" w14:textId="1EC1CB12" w:rsidR="00BF2ACB" w:rsidRDefault="00BF2ACB" w:rsidP="00BF2ACB">
      <w:pPr>
        <w:rPr>
          <w:lang w:val="en-US"/>
        </w:rPr>
      </w:pPr>
      <w:r w:rsidRPr="69ABD742">
        <w:rPr>
          <w:lang w:val="en-US"/>
        </w:rPr>
        <w:t>Since the COVID-19 telehealth items</w:t>
      </w:r>
      <w:r>
        <w:rPr>
          <w:lang w:val="en-US"/>
        </w:rPr>
        <w:t xml:space="preserve"> were introduced</w:t>
      </w:r>
      <w:r w:rsidRPr="69ABD742">
        <w:rPr>
          <w:lang w:val="en-US"/>
        </w:rPr>
        <w:t xml:space="preserve">, GPs have been the largest group of telehealth providers, accounting for approximately 6 out of every 7 </w:t>
      </w:r>
      <w:r>
        <w:rPr>
          <w:lang w:val="en-US"/>
        </w:rPr>
        <w:t xml:space="preserve">telehealth </w:t>
      </w:r>
      <w:r w:rsidRPr="69ABD742">
        <w:rPr>
          <w:lang w:val="en-US"/>
        </w:rPr>
        <w:t>services.</w:t>
      </w:r>
    </w:p>
    <w:p w14:paraId="699FA99E" w14:textId="5129890A" w:rsidR="00664824" w:rsidRDefault="02102071" w:rsidP="00CE2854">
      <w:pPr>
        <w:rPr>
          <w:lang w:val="en-US"/>
        </w:rPr>
      </w:pPr>
      <w:r w:rsidRPr="07D162B7">
        <w:rPr>
          <w:lang w:val="en-US"/>
        </w:rPr>
        <w:lastRenderedPageBreak/>
        <w:t>The proportion of v</w:t>
      </w:r>
      <w:r w:rsidR="5619F0D4" w:rsidRPr="07D162B7">
        <w:rPr>
          <w:lang w:val="en-US"/>
        </w:rPr>
        <w:t xml:space="preserve">ideo consultations </w:t>
      </w:r>
      <w:r w:rsidRPr="07D162B7">
        <w:rPr>
          <w:lang w:val="en-US"/>
        </w:rPr>
        <w:t xml:space="preserve">compared to telephone consultations is </w:t>
      </w:r>
      <w:r w:rsidR="5619F0D4" w:rsidRPr="07D162B7">
        <w:rPr>
          <w:lang w:val="en-US"/>
        </w:rPr>
        <w:t>increasing</w:t>
      </w:r>
      <w:r w:rsidR="733D1AE2" w:rsidRPr="07D162B7">
        <w:rPr>
          <w:lang w:val="en-US"/>
        </w:rPr>
        <w:t>; h</w:t>
      </w:r>
      <w:r w:rsidR="5619F0D4" w:rsidRPr="07D162B7">
        <w:rPr>
          <w:lang w:val="en-US"/>
        </w:rPr>
        <w:t xml:space="preserve">owever, </w:t>
      </w:r>
      <w:r w:rsidRPr="07D162B7">
        <w:rPr>
          <w:lang w:val="en-US"/>
        </w:rPr>
        <w:t xml:space="preserve">not all clinicians </w:t>
      </w:r>
      <w:r w:rsidR="3DA34B93" w:rsidRPr="07D162B7">
        <w:rPr>
          <w:lang w:val="en-US"/>
        </w:rPr>
        <w:t>use video equally</w:t>
      </w:r>
      <w:r w:rsidR="5619F0D4" w:rsidRPr="07D162B7">
        <w:rPr>
          <w:lang w:val="en-US"/>
        </w:rPr>
        <w:t>.</w:t>
      </w:r>
      <w:r w:rsidR="75B66A14" w:rsidRPr="07D162B7">
        <w:rPr>
          <w:lang w:val="en-US"/>
        </w:rPr>
        <w:t xml:space="preserve"> </w:t>
      </w:r>
      <w:r w:rsidR="388DE88A" w:rsidRPr="07D162B7">
        <w:rPr>
          <w:lang w:val="en-US"/>
        </w:rPr>
        <w:t>Allied health and non-GP specialists are the highest users of video, making up 75% and 48% of all telehealth consultations</w:t>
      </w:r>
      <w:r w:rsidR="4D9A6FB7" w:rsidRPr="07D162B7">
        <w:rPr>
          <w:lang w:val="en-US"/>
        </w:rPr>
        <w:t xml:space="preserve"> </w:t>
      </w:r>
      <w:r w:rsidR="388DE88A" w:rsidRPr="07D162B7">
        <w:rPr>
          <w:lang w:val="en-US"/>
        </w:rPr>
        <w:t>in 2022–23, respectively</w:t>
      </w:r>
      <w:r w:rsidR="4D9A6FB7" w:rsidRPr="07D162B7">
        <w:rPr>
          <w:lang w:val="en-US"/>
        </w:rPr>
        <w:t xml:space="preserve"> within these groups</w:t>
      </w:r>
      <w:r w:rsidR="388DE88A" w:rsidRPr="07D162B7">
        <w:rPr>
          <w:lang w:val="en-US"/>
        </w:rPr>
        <w:t>.</w:t>
      </w:r>
      <w:r w:rsidR="44E76861" w:rsidRPr="07D162B7">
        <w:rPr>
          <w:lang w:val="en-US"/>
        </w:rPr>
        <w:t xml:space="preserve"> </w:t>
      </w:r>
      <w:r w:rsidR="5619F0D4" w:rsidRPr="07D162B7">
        <w:rPr>
          <w:lang w:val="en-US"/>
        </w:rPr>
        <w:t>GPs are using video the least</w:t>
      </w:r>
      <w:r w:rsidR="0A73EA20" w:rsidRPr="07D162B7">
        <w:rPr>
          <w:lang w:val="en-US"/>
        </w:rPr>
        <w:t xml:space="preserve">, </w:t>
      </w:r>
      <w:r w:rsidR="3489D070" w:rsidRPr="07D162B7">
        <w:rPr>
          <w:lang w:val="en-US"/>
        </w:rPr>
        <w:t xml:space="preserve">rising to 5% </w:t>
      </w:r>
      <w:r w:rsidR="5619F0D4" w:rsidRPr="07D162B7">
        <w:rPr>
          <w:lang w:val="en-US"/>
        </w:rPr>
        <w:t>of GP telehealth consultations</w:t>
      </w:r>
      <w:r w:rsidR="37C3B4D0" w:rsidRPr="07D162B7">
        <w:rPr>
          <w:lang w:val="en-US"/>
        </w:rPr>
        <w:t xml:space="preserve"> in 2022</w:t>
      </w:r>
      <w:r w:rsidR="70B1769D" w:rsidRPr="07D162B7">
        <w:rPr>
          <w:lang w:val="en-US"/>
        </w:rPr>
        <w:t>–</w:t>
      </w:r>
      <w:r w:rsidR="37C3B4D0" w:rsidRPr="07D162B7">
        <w:rPr>
          <w:lang w:val="en-US"/>
        </w:rPr>
        <w:t>23</w:t>
      </w:r>
      <w:r w:rsidR="5619F0D4" w:rsidRPr="07D162B7">
        <w:rPr>
          <w:lang w:val="en-US"/>
        </w:rPr>
        <w:t xml:space="preserve">. </w:t>
      </w:r>
      <w:r w:rsidR="388DE88A" w:rsidRPr="07D162B7">
        <w:rPr>
          <w:lang w:val="en-US"/>
        </w:rPr>
        <w:t xml:space="preserve">This </w:t>
      </w:r>
      <w:r w:rsidR="3DA34B93" w:rsidRPr="07D162B7">
        <w:rPr>
          <w:lang w:val="en-US"/>
        </w:rPr>
        <w:t>could</w:t>
      </w:r>
      <w:r w:rsidR="388DE88A" w:rsidRPr="07D162B7">
        <w:rPr>
          <w:lang w:val="en-US"/>
        </w:rPr>
        <w:t xml:space="preserve"> reflect different reasons, including:</w:t>
      </w:r>
    </w:p>
    <w:p w14:paraId="3793A16A" w14:textId="60BB017B" w:rsidR="0682253E" w:rsidRPr="00962D9E" w:rsidRDefault="3D6EAED7" w:rsidP="07D162B7">
      <w:pPr>
        <w:pStyle w:val="Bullet"/>
        <w:rPr>
          <w:rFonts w:asciiTheme="minorHAnsi" w:eastAsiaTheme="minorEastAsia" w:hAnsiTheme="minorHAnsi" w:cstheme="minorBidi"/>
          <w:color w:val="333333"/>
          <w:lang w:val="en-US"/>
        </w:rPr>
      </w:pPr>
      <w:r w:rsidRPr="07D162B7">
        <w:rPr>
          <w:rFonts w:asciiTheme="minorHAnsi" w:eastAsiaTheme="minorEastAsia" w:hAnsiTheme="minorHAnsi" w:cstheme="minorBidi"/>
          <w:color w:val="333333"/>
          <w:lang w:val="en-US"/>
        </w:rPr>
        <w:t xml:space="preserve">the communication requirements </w:t>
      </w:r>
      <w:r w:rsidR="1F23C05C" w:rsidRPr="07D162B7">
        <w:rPr>
          <w:rFonts w:asciiTheme="minorHAnsi" w:eastAsiaTheme="minorEastAsia" w:hAnsiTheme="minorHAnsi" w:cstheme="minorBidi"/>
          <w:color w:val="333333"/>
          <w:lang w:val="en-US"/>
        </w:rPr>
        <w:t xml:space="preserve">in </w:t>
      </w:r>
      <w:r w:rsidRPr="07D162B7">
        <w:rPr>
          <w:rFonts w:asciiTheme="minorHAnsi" w:eastAsiaTheme="minorEastAsia" w:hAnsiTheme="minorHAnsi" w:cstheme="minorBidi"/>
          <w:color w:val="333333"/>
          <w:lang w:val="en-US"/>
        </w:rPr>
        <w:t xml:space="preserve">primary care </w:t>
      </w:r>
      <w:r w:rsidR="1CB90AA5" w:rsidRPr="07D162B7">
        <w:rPr>
          <w:rFonts w:asciiTheme="minorHAnsi" w:eastAsiaTheme="minorEastAsia" w:hAnsiTheme="minorHAnsi" w:cstheme="minorBidi"/>
          <w:color w:val="333333"/>
          <w:lang w:val="en-US"/>
        </w:rPr>
        <w:t xml:space="preserve">build upon </w:t>
      </w:r>
      <w:r w:rsidRPr="07D162B7">
        <w:rPr>
          <w:rFonts w:asciiTheme="minorHAnsi" w:eastAsiaTheme="minorEastAsia" w:hAnsiTheme="minorHAnsi" w:cstheme="minorBidi"/>
          <w:color w:val="333333"/>
          <w:lang w:val="en-US"/>
        </w:rPr>
        <w:t>continuity of care</w:t>
      </w:r>
      <w:r w:rsidR="0D16170D" w:rsidRPr="07D162B7">
        <w:rPr>
          <w:rFonts w:asciiTheme="minorHAnsi" w:eastAsiaTheme="minorEastAsia" w:hAnsiTheme="minorHAnsi" w:cstheme="minorBidi"/>
          <w:color w:val="333333"/>
          <w:lang w:val="en-US"/>
        </w:rPr>
        <w:t xml:space="preserve">, making visual </w:t>
      </w:r>
      <w:r w:rsidR="7D9B457D" w:rsidRPr="07D162B7">
        <w:rPr>
          <w:rFonts w:asciiTheme="minorHAnsi" w:eastAsiaTheme="minorEastAsia" w:hAnsiTheme="minorHAnsi" w:cstheme="minorBidi"/>
          <w:color w:val="333333"/>
          <w:lang w:val="en-US"/>
        </w:rPr>
        <w:t xml:space="preserve">assessments </w:t>
      </w:r>
      <w:r w:rsidR="0D16170D" w:rsidRPr="07D162B7">
        <w:rPr>
          <w:rFonts w:asciiTheme="minorHAnsi" w:eastAsiaTheme="minorEastAsia" w:hAnsiTheme="minorHAnsi" w:cstheme="minorBidi"/>
          <w:color w:val="333333"/>
          <w:lang w:val="en-US"/>
        </w:rPr>
        <w:t>less critical</w:t>
      </w:r>
    </w:p>
    <w:p w14:paraId="2D3B0EA2" w14:textId="6F0E31E8" w:rsidR="00664824" w:rsidRDefault="152248CE" w:rsidP="00664824">
      <w:pPr>
        <w:pStyle w:val="Bullet"/>
        <w:rPr>
          <w:lang w:val="en-US"/>
        </w:rPr>
      </w:pPr>
      <w:r w:rsidRPr="07D162B7">
        <w:rPr>
          <w:lang w:val="en-US"/>
        </w:rPr>
        <w:t xml:space="preserve">additional time </w:t>
      </w:r>
      <w:r w:rsidR="5D3F47DA" w:rsidRPr="07D162B7">
        <w:rPr>
          <w:lang w:val="en-US"/>
        </w:rPr>
        <w:t>needed to set up the videoconferencing technology</w:t>
      </w:r>
    </w:p>
    <w:p w14:paraId="4DAD1679" w14:textId="06B9875D" w:rsidR="00664824" w:rsidRDefault="152248CE" w:rsidP="00664824">
      <w:pPr>
        <w:pStyle w:val="Bullet"/>
        <w:rPr>
          <w:lang w:val="en-US"/>
        </w:rPr>
      </w:pPr>
      <w:r w:rsidRPr="07D162B7">
        <w:rPr>
          <w:lang w:val="en-US"/>
        </w:rPr>
        <w:t>lack of guidance and support</w:t>
      </w:r>
      <w:r w:rsidR="5D3F47DA" w:rsidRPr="07D162B7">
        <w:rPr>
          <w:lang w:val="en-US"/>
        </w:rPr>
        <w:t xml:space="preserve"> for using video</w:t>
      </w:r>
    </w:p>
    <w:p w14:paraId="0443ED96" w14:textId="77777777" w:rsidR="00664824" w:rsidRDefault="152248CE" w:rsidP="00664824">
      <w:pPr>
        <w:pStyle w:val="BulletLast"/>
        <w:rPr>
          <w:lang w:val="en-US"/>
        </w:rPr>
      </w:pPr>
      <w:r w:rsidRPr="0A5255DE">
        <w:rPr>
          <w:lang w:val="en-US"/>
        </w:rPr>
        <w:t xml:space="preserve">the preferences, capabilities and technological access of both clinicians and patients. </w:t>
      </w:r>
    </w:p>
    <w:p w14:paraId="0F551F08" w14:textId="77777777" w:rsidR="002E447C" w:rsidRPr="00426AC8" w:rsidRDefault="04ED97D0" w:rsidP="002E447C">
      <w:pPr>
        <w:pStyle w:val="Heading3"/>
        <w:rPr>
          <w:lang w:val="en-US"/>
        </w:rPr>
      </w:pPr>
      <w:bookmarkStart w:id="14" w:name="_Toc163814540"/>
      <w:r w:rsidRPr="165431D0">
        <w:rPr>
          <w:lang w:val="en-US"/>
        </w:rPr>
        <w:t>Patient uptake</w:t>
      </w:r>
      <w:bookmarkEnd w:id="14"/>
    </w:p>
    <w:p w14:paraId="302B3F73" w14:textId="02B1AE11" w:rsidR="006E7B16" w:rsidRDefault="64437BAF" w:rsidP="002060AD">
      <w:pPr>
        <w:pStyle w:val="NormalBeforeBullet"/>
        <w:rPr>
          <w:lang w:val="en-US"/>
        </w:rPr>
      </w:pPr>
      <w:r w:rsidRPr="07D162B7">
        <w:rPr>
          <w:lang w:val="en-US"/>
        </w:rPr>
        <w:t xml:space="preserve">Patients’ </w:t>
      </w:r>
      <w:r w:rsidR="125309E9" w:rsidRPr="07D162B7">
        <w:rPr>
          <w:lang w:val="en-US"/>
        </w:rPr>
        <w:t xml:space="preserve">use </w:t>
      </w:r>
      <w:r w:rsidRPr="07D162B7">
        <w:rPr>
          <w:lang w:val="en-US"/>
        </w:rPr>
        <w:t xml:space="preserve">of telehealth is also variable. </w:t>
      </w:r>
      <w:r w:rsidR="2741FCB5" w:rsidRPr="07D162B7">
        <w:rPr>
          <w:lang w:val="en-US"/>
        </w:rPr>
        <w:t xml:space="preserve">According to </w:t>
      </w:r>
      <w:r w:rsidR="5268D530" w:rsidRPr="07D162B7">
        <w:rPr>
          <w:lang w:val="en-US"/>
        </w:rPr>
        <w:t xml:space="preserve">analysis of linked Australian Government data on </w:t>
      </w:r>
      <w:r w:rsidR="27AB277C" w:rsidRPr="07D162B7">
        <w:rPr>
          <w:lang w:val="en-US"/>
        </w:rPr>
        <w:t xml:space="preserve">health, education, government payments, personal income tax, and population demographics </w:t>
      </w:r>
      <w:r w:rsidR="056CB8CB" w:rsidRPr="07D162B7">
        <w:rPr>
          <w:lang w:val="en-US"/>
        </w:rPr>
        <w:t>from 2020</w:t>
      </w:r>
      <w:r w:rsidR="43A6344F" w:rsidRPr="07D162B7">
        <w:rPr>
          <w:lang w:val="en-US"/>
        </w:rPr>
        <w:t xml:space="preserve"> (Butler et al. 2023)</w:t>
      </w:r>
      <w:r w:rsidR="2741FCB5" w:rsidRPr="07D162B7">
        <w:rPr>
          <w:lang w:val="en-US"/>
        </w:rPr>
        <w:t>, t</w:t>
      </w:r>
      <w:r w:rsidRPr="07D162B7">
        <w:rPr>
          <w:lang w:val="en-US"/>
        </w:rPr>
        <w:t xml:space="preserve">elehealth is used less </w:t>
      </w:r>
      <w:r w:rsidR="297A995E" w:rsidRPr="07D162B7">
        <w:rPr>
          <w:lang w:val="en-US"/>
        </w:rPr>
        <w:t>(as a proportion of all services)</w:t>
      </w:r>
      <w:r w:rsidR="49716B8B" w:rsidRPr="07D162B7">
        <w:rPr>
          <w:lang w:val="en-US"/>
        </w:rPr>
        <w:t xml:space="preserve"> </w:t>
      </w:r>
      <w:r w:rsidRPr="07D162B7">
        <w:rPr>
          <w:lang w:val="en-US"/>
        </w:rPr>
        <w:t>by</w:t>
      </w:r>
      <w:r w:rsidR="59CF8DB7" w:rsidRPr="07D162B7">
        <w:rPr>
          <w:lang w:val="en-US"/>
        </w:rPr>
        <w:t xml:space="preserve"> people </w:t>
      </w:r>
      <w:r w:rsidR="1A4DC9E5" w:rsidRPr="07D162B7">
        <w:rPr>
          <w:lang w:val="en-US"/>
        </w:rPr>
        <w:t>who:</w:t>
      </w:r>
    </w:p>
    <w:p w14:paraId="416CC331" w14:textId="7EE62518" w:rsidR="006E7B16" w:rsidRDefault="757C6368" w:rsidP="006E7B16">
      <w:pPr>
        <w:pStyle w:val="Bullet"/>
        <w:rPr>
          <w:lang w:val="en-US"/>
        </w:rPr>
      </w:pPr>
      <w:r w:rsidRPr="0A5255DE">
        <w:rPr>
          <w:lang w:val="en-US"/>
        </w:rPr>
        <w:t xml:space="preserve">are </w:t>
      </w:r>
      <w:r w:rsidR="0DDEF987" w:rsidRPr="0A5255DE">
        <w:rPr>
          <w:lang w:val="en-US"/>
        </w:rPr>
        <w:t>male</w:t>
      </w:r>
    </w:p>
    <w:p w14:paraId="5C02F48D" w14:textId="0DE5533F" w:rsidR="006E7B16" w:rsidRDefault="552C5304" w:rsidP="006E7B16">
      <w:pPr>
        <w:pStyle w:val="Bullet"/>
        <w:rPr>
          <w:lang w:val="en-US"/>
        </w:rPr>
      </w:pPr>
      <w:r w:rsidRPr="0A5255DE">
        <w:rPr>
          <w:lang w:val="en-US"/>
        </w:rPr>
        <w:t>aged over 70</w:t>
      </w:r>
    </w:p>
    <w:p w14:paraId="65683558" w14:textId="1F90CEA6" w:rsidR="00924DC2" w:rsidRDefault="224C08CF" w:rsidP="006E7B16">
      <w:pPr>
        <w:pStyle w:val="Bullet"/>
        <w:rPr>
          <w:lang w:val="en-US"/>
        </w:rPr>
      </w:pPr>
      <w:r w:rsidRPr="0A5255DE">
        <w:rPr>
          <w:lang w:val="en-US"/>
        </w:rPr>
        <w:t>of</w:t>
      </w:r>
      <w:r w:rsidR="495A797F" w:rsidRPr="0A5255DE">
        <w:rPr>
          <w:lang w:val="en-US"/>
        </w:rPr>
        <w:t xml:space="preserve"> </w:t>
      </w:r>
      <w:r w:rsidR="0DDEF987" w:rsidRPr="0A5255DE">
        <w:rPr>
          <w:lang w:val="en-US"/>
        </w:rPr>
        <w:t xml:space="preserve">lower socioeconomic </w:t>
      </w:r>
      <w:r w:rsidRPr="0A5255DE">
        <w:rPr>
          <w:lang w:val="en-US"/>
        </w:rPr>
        <w:t>status</w:t>
      </w:r>
    </w:p>
    <w:p w14:paraId="31463F31" w14:textId="0151CE33" w:rsidR="00924DC2" w:rsidRDefault="15C8ED94" w:rsidP="006E7B16">
      <w:pPr>
        <w:pStyle w:val="Bullet"/>
        <w:rPr>
          <w:lang w:val="en-US"/>
        </w:rPr>
      </w:pPr>
      <w:r w:rsidRPr="07D162B7">
        <w:rPr>
          <w:lang w:val="en-US"/>
        </w:rPr>
        <w:t xml:space="preserve">live </w:t>
      </w:r>
      <w:r w:rsidR="0DDEF987" w:rsidRPr="07D162B7">
        <w:rPr>
          <w:lang w:val="en-US"/>
        </w:rPr>
        <w:t>in outer regional and remote areas</w:t>
      </w:r>
    </w:p>
    <w:p w14:paraId="24C87A9A" w14:textId="4A2C2322" w:rsidR="00822C49" w:rsidRDefault="6EB68E73" w:rsidP="002060AD">
      <w:pPr>
        <w:pStyle w:val="BulletLast"/>
        <w:rPr>
          <w:lang w:val="en-US"/>
        </w:rPr>
      </w:pPr>
      <w:r w:rsidRPr="07D162B7">
        <w:rPr>
          <w:lang w:val="en-US"/>
        </w:rPr>
        <w:t>have</w:t>
      </w:r>
      <w:r w:rsidR="0DDEF987" w:rsidRPr="07D162B7">
        <w:rPr>
          <w:lang w:val="en-US"/>
        </w:rPr>
        <w:t xml:space="preserve"> low English proficiency</w:t>
      </w:r>
      <w:r w:rsidR="7EBB3327" w:rsidRPr="07D162B7">
        <w:rPr>
          <w:lang w:val="en-US"/>
        </w:rPr>
        <w:t>.</w:t>
      </w:r>
    </w:p>
    <w:p w14:paraId="4FC2322F" w14:textId="213F5A9A" w:rsidR="657AA9C1" w:rsidRDefault="13FCBFFD" w:rsidP="07D162B7">
      <w:pPr>
        <w:rPr>
          <w:rFonts w:asciiTheme="minorHAnsi" w:eastAsiaTheme="minorEastAsia" w:hAnsiTheme="minorHAnsi" w:cstheme="minorBidi"/>
          <w:color w:val="333333"/>
          <w:lang w:val="en-US"/>
        </w:rPr>
      </w:pPr>
      <w:r w:rsidRPr="07D162B7">
        <w:rPr>
          <w:lang w:val="en-US"/>
        </w:rPr>
        <w:t>While older patients had a lower proportion of their care provided by telehealth, the</w:t>
      </w:r>
      <w:r w:rsidR="40E15758" w:rsidRPr="07D162B7">
        <w:rPr>
          <w:lang w:val="en-US"/>
        </w:rPr>
        <w:t xml:space="preserve"> likelihood that patients </w:t>
      </w:r>
      <w:r w:rsidRPr="07D162B7">
        <w:rPr>
          <w:lang w:val="en-US"/>
        </w:rPr>
        <w:t>had at least one GP telehealth consultation</w:t>
      </w:r>
      <w:r w:rsidR="6D020262" w:rsidRPr="07D162B7">
        <w:rPr>
          <w:lang w:val="en-US"/>
        </w:rPr>
        <w:t xml:space="preserve"> increased with age and was highest for people aged over 70</w:t>
      </w:r>
      <w:r w:rsidR="365EE2C2" w:rsidRPr="07D162B7">
        <w:rPr>
          <w:lang w:val="en-US"/>
        </w:rPr>
        <w:t>.</w:t>
      </w:r>
      <w:r w:rsidR="1EB86752" w:rsidRPr="07D162B7">
        <w:rPr>
          <w:lang w:val="en-US"/>
        </w:rPr>
        <w:t xml:space="preserve"> This could reflect that older patients use health services more in absolute terms, and their lower proportion of telehealth is in the context of other care received</w:t>
      </w:r>
      <w:r w:rsidR="1EB86752" w:rsidRPr="07D162B7">
        <w:rPr>
          <w:rFonts w:asciiTheme="minorHAnsi" w:eastAsiaTheme="minorEastAsia" w:hAnsiTheme="minorHAnsi" w:cstheme="minorBidi"/>
          <w:lang w:val="en-US"/>
        </w:rPr>
        <w:t>.</w:t>
      </w:r>
    </w:p>
    <w:p w14:paraId="4F94263C" w14:textId="61D2EF66" w:rsidR="002E447C" w:rsidRDefault="5CCD4966" w:rsidP="115BE9A1">
      <w:pPr>
        <w:rPr>
          <w:rFonts w:eastAsia="Calibri" w:cs="Calibri"/>
          <w:lang w:val="en-US"/>
        </w:rPr>
      </w:pPr>
      <w:r w:rsidRPr="07D162B7">
        <w:rPr>
          <w:lang w:val="en-US"/>
        </w:rPr>
        <w:t xml:space="preserve">Large </w:t>
      </w:r>
      <w:r w:rsidR="3424A032" w:rsidRPr="07D162B7">
        <w:rPr>
          <w:lang w:val="en-US"/>
        </w:rPr>
        <w:t xml:space="preserve"> </w:t>
      </w:r>
      <w:r w:rsidR="7DA37E2F" w:rsidRPr="07D162B7">
        <w:rPr>
          <w:lang w:val="en-US"/>
        </w:rPr>
        <w:t>self-report</w:t>
      </w:r>
      <w:r w:rsidR="4595EF62" w:rsidRPr="07D162B7">
        <w:rPr>
          <w:lang w:val="en-US"/>
        </w:rPr>
        <w:t xml:space="preserve"> survey</w:t>
      </w:r>
      <w:r w:rsidR="1EE30913" w:rsidRPr="07D162B7">
        <w:rPr>
          <w:lang w:val="en-US"/>
        </w:rPr>
        <w:t xml:space="preserve">s </w:t>
      </w:r>
      <w:r w:rsidR="507F81D5" w:rsidRPr="07D162B7">
        <w:rPr>
          <w:lang w:val="en-US"/>
        </w:rPr>
        <w:t>in 2021-22</w:t>
      </w:r>
      <w:r w:rsidR="3B7F16CF" w:rsidRPr="07D162B7">
        <w:rPr>
          <w:lang w:val="en-US"/>
        </w:rPr>
        <w:t xml:space="preserve"> and 2022-23 </w:t>
      </w:r>
      <w:r w:rsidR="3EB9DF79" w:rsidRPr="07D162B7">
        <w:rPr>
          <w:lang w:val="en-US"/>
        </w:rPr>
        <w:t xml:space="preserve">by </w:t>
      </w:r>
      <w:r w:rsidR="4595EF62" w:rsidRPr="07D162B7">
        <w:rPr>
          <w:lang w:val="en-US"/>
        </w:rPr>
        <w:t xml:space="preserve">the </w:t>
      </w:r>
      <w:r w:rsidR="0465B4D2" w:rsidRPr="07D162B7">
        <w:rPr>
          <w:lang w:val="en-US"/>
        </w:rPr>
        <w:t xml:space="preserve">Australian Bureau of Statistics </w:t>
      </w:r>
      <w:r w:rsidR="5E978CCB" w:rsidRPr="07D162B7">
        <w:rPr>
          <w:lang w:val="en-US"/>
        </w:rPr>
        <w:t xml:space="preserve">(ABS) </w:t>
      </w:r>
      <w:r w:rsidR="217C18F2" w:rsidRPr="07D162B7">
        <w:rPr>
          <w:lang w:val="en-US"/>
        </w:rPr>
        <w:t xml:space="preserve">complement </w:t>
      </w:r>
      <w:r w:rsidR="5E978CCB" w:rsidRPr="07D162B7">
        <w:rPr>
          <w:lang w:val="en-US"/>
        </w:rPr>
        <w:t xml:space="preserve">some of the research findings. </w:t>
      </w:r>
      <w:r w:rsidR="38535055" w:rsidRPr="07D162B7">
        <w:rPr>
          <w:lang w:val="en-US"/>
        </w:rPr>
        <w:t>While telehealth</w:t>
      </w:r>
      <w:r w:rsidR="515D3248" w:rsidRPr="07D162B7">
        <w:rPr>
          <w:lang w:val="en-US"/>
        </w:rPr>
        <w:t xml:space="preserve"> was a lower proportion of services for people aged over 70, t</w:t>
      </w:r>
      <w:r w:rsidR="2BF6CDC6" w:rsidRPr="07D162B7">
        <w:rPr>
          <w:lang w:val="en-US"/>
        </w:rPr>
        <w:t xml:space="preserve">he ABS reports </w:t>
      </w:r>
      <w:r w:rsidR="270C2CEA" w:rsidRPr="07D162B7">
        <w:rPr>
          <w:lang w:val="en-US"/>
        </w:rPr>
        <w:t>that</w:t>
      </w:r>
      <w:r w:rsidR="3E69EC21" w:rsidRPr="07D162B7">
        <w:rPr>
          <w:lang w:val="en-US"/>
        </w:rPr>
        <w:t xml:space="preserve"> older patients were more posi</w:t>
      </w:r>
      <w:r w:rsidR="2C9F5776" w:rsidRPr="07D162B7">
        <w:rPr>
          <w:lang w:val="en-US"/>
        </w:rPr>
        <w:t>tive about their telehealth use than younger people</w:t>
      </w:r>
      <w:r w:rsidR="2B19F255" w:rsidRPr="07D162B7">
        <w:rPr>
          <w:lang w:val="en-US"/>
        </w:rPr>
        <w:t xml:space="preserve"> (ABS 202</w:t>
      </w:r>
      <w:r w:rsidR="196D8D2B" w:rsidRPr="07D162B7">
        <w:rPr>
          <w:lang w:val="en-US"/>
        </w:rPr>
        <w:t>3</w:t>
      </w:r>
      <w:r w:rsidR="2B19F255" w:rsidRPr="07D162B7">
        <w:rPr>
          <w:lang w:val="en-US"/>
        </w:rPr>
        <w:t>)</w:t>
      </w:r>
      <w:r w:rsidR="2C9F5776" w:rsidRPr="07D162B7">
        <w:rPr>
          <w:lang w:val="en-US"/>
        </w:rPr>
        <w:t>.</w:t>
      </w:r>
      <w:r w:rsidR="2F044B49" w:rsidRPr="07D162B7">
        <w:rPr>
          <w:lang w:val="en-US"/>
        </w:rPr>
        <w:t xml:space="preserve"> </w:t>
      </w:r>
      <w:r w:rsidR="003A06AC" w:rsidRPr="07D162B7">
        <w:rPr>
          <w:rFonts w:asciiTheme="minorHAnsi" w:eastAsiaTheme="minorEastAsia" w:hAnsiTheme="minorHAnsi" w:cstheme="minorBidi"/>
          <w:lang w:val="en-US"/>
        </w:rPr>
        <w:t xml:space="preserve"> Alternatively,</w:t>
      </w:r>
      <w:r w:rsidR="003A06AC" w:rsidRPr="07D162B7">
        <w:rPr>
          <w:rFonts w:asciiTheme="minorHAnsi" w:eastAsiaTheme="minorEastAsia" w:hAnsiTheme="minorHAnsi" w:cstheme="minorBidi"/>
          <w:color w:val="333333"/>
          <w:lang w:val="en-US"/>
        </w:rPr>
        <w:t xml:space="preserve"> older patients are more likely to have chronic conditions, and as such, a continuing relationship with a provider. </w:t>
      </w:r>
      <w:r w:rsidR="2AAEEF03" w:rsidRPr="07D162B7">
        <w:rPr>
          <w:rFonts w:asciiTheme="minorHAnsi" w:eastAsiaTheme="minorEastAsia" w:hAnsiTheme="minorHAnsi" w:cstheme="minorBidi"/>
          <w:color w:val="333333"/>
          <w:lang w:val="en-US"/>
        </w:rPr>
        <w:t>Therefore,</w:t>
      </w:r>
      <w:r w:rsidR="003A06AC" w:rsidRPr="07D162B7">
        <w:rPr>
          <w:rFonts w:asciiTheme="minorHAnsi" w:eastAsiaTheme="minorEastAsia" w:hAnsiTheme="minorHAnsi" w:cstheme="minorBidi"/>
          <w:color w:val="333333"/>
          <w:lang w:val="en-US"/>
        </w:rPr>
        <w:t xml:space="preserve"> telehealth </w:t>
      </w:r>
      <w:r w:rsidR="786E1CB2" w:rsidRPr="07D162B7">
        <w:rPr>
          <w:rFonts w:asciiTheme="minorHAnsi" w:eastAsiaTheme="minorEastAsia" w:hAnsiTheme="minorHAnsi" w:cstheme="minorBidi"/>
          <w:color w:val="333333"/>
          <w:lang w:val="en-US"/>
        </w:rPr>
        <w:t>may be</w:t>
      </w:r>
      <w:r w:rsidR="229B5F92" w:rsidRPr="07D162B7">
        <w:rPr>
          <w:rFonts w:asciiTheme="minorHAnsi" w:eastAsiaTheme="minorEastAsia" w:hAnsiTheme="minorHAnsi" w:cstheme="minorBidi"/>
          <w:color w:val="333333"/>
          <w:lang w:val="en-US"/>
        </w:rPr>
        <w:t xml:space="preserve"> viewed more positively</w:t>
      </w:r>
      <w:r w:rsidR="003A06AC" w:rsidRPr="07D162B7">
        <w:rPr>
          <w:rFonts w:asciiTheme="minorHAnsi" w:eastAsiaTheme="minorEastAsia" w:hAnsiTheme="minorHAnsi" w:cstheme="minorBidi"/>
          <w:color w:val="333333"/>
          <w:lang w:val="en-US"/>
        </w:rPr>
        <w:t xml:space="preserve"> because it is </w:t>
      </w:r>
      <w:r w:rsidR="411970A0" w:rsidRPr="07D162B7">
        <w:rPr>
          <w:rFonts w:asciiTheme="minorHAnsi" w:eastAsiaTheme="minorEastAsia" w:hAnsiTheme="minorHAnsi" w:cstheme="minorBidi"/>
          <w:color w:val="333333"/>
          <w:lang w:val="en-US"/>
        </w:rPr>
        <w:t xml:space="preserve">used </w:t>
      </w:r>
      <w:r w:rsidR="003A06AC" w:rsidRPr="07D162B7">
        <w:rPr>
          <w:rFonts w:asciiTheme="minorHAnsi" w:eastAsiaTheme="minorEastAsia" w:hAnsiTheme="minorHAnsi" w:cstheme="minorBidi"/>
          <w:color w:val="333333"/>
          <w:lang w:val="en-US"/>
        </w:rPr>
        <w:t>for monitoring</w:t>
      </w:r>
      <w:r w:rsidR="1EC0E2DC" w:rsidRPr="07D162B7">
        <w:rPr>
          <w:rFonts w:asciiTheme="minorHAnsi" w:eastAsiaTheme="minorEastAsia" w:hAnsiTheme="minorHAnsi" w:cstheme="minorBidi"/>
          <w:color w:val="333333"/>
          <w:lang w:val="en-US"/>
        </w:rPr>
        <w:t xml:space="preserve"> an existing condition</w:t>
      </w:r>
      <w:r w:rsidR="003A06AC" w:rsidRPr="07D162B7">
        <w:rPr>
          <w:rFonts w:asciiTheme="minorHAnsi" w:eastAsiaTheme="minorEastAsia" w:hAnsiTheme="minorHAnsi" w:cstheme="minorBidi"/>
          <w:color w:val="333333"/>
          <w:lang w:val="en-US"/>
        </w:rPr>
        <w:t xml:space="preserve">. </w:t>
      </w:r>
    </w:p>
    <w:p w14:paraId="12C2FA18" w14:textId="57B63628" w:rsidR="5CDFCD34" w:rsidRDefault="71F64375" w:rsidP="00962D9E">
      <w:pPr>
        <w:spacing w:line="259" w:lineRule="auto"/>
        <w:rPr>
          <w:lang w:val="en-US"/>
        </w:rPr>
      </w:pPr>
      <w:r w:rsidRPr="07D162B7">
        <w:rPr>
          <w:lang w:val="en-US"/>
        </w:rPr>
        <w:t>Historically</w:t>
      </w:r>
      <w:r w:rsidR="018CCE64" w:rsidRPr="07D162B7">
        <w:rPr>
          <w:lang w:val="en-US"/>
        </w:rPr>
        <w:t xml:space="preserve"> p</w:t>
      </w:r>
      <w:r w:rsidR="012588D1" w:rsidRPr="07D162B7">
        <w:rPr>
          <w:lang w:val="en-US"/>
        </w:rPr>
        <w:t xml:space="preserve">atients have used telehealth differently outside </w:t>
      </w:r>
      <w:r w:rsidR="1C5DF082" w:rsidRPr="07D162B7">
        <w:rPr>
          <w:lang w:val="en-US"/>
        </w:rPr>
        <w:t xml:space="preserve">of </w:t>
      </w:r>
      <w:r w:rsidR="012588D1" w:rsidRPr="07D162B7">
        <w:rPr>
          <w:lang w:val="en-US"/>
        </w:rPr>
        <w:t>major cities</w:t>
      </w:r>
      <w:r w:rsidR="7741794C" w:rsidRPr="07D162B7">
        <w:rPr>
          <w:lang w:val="en-US"/>
        </w:rPr>
        <w:t xml:space="preserve"> and may have had more experience with video services</w:t>
      </w:r>
      <w:r w:rsidR="5BF42726" w:rsidRPr="07D162B7">
        <w:rPr>
          <w:lang w:val="en-US"/>
        </w:rPr>
        <w:t xml:space="preserve"> due to the availability of </w:t>
      </w:r>
      <w:r w:rsidR="08899563" w:rsidRPr="07D162B7">
        <w:rPr>
          <w:lang w:val="en-US"/>
        </w:rPr>
        <w:t>most types of n</w:t>
      </w:r>
      <w:r w:rsidR="7741794C" w:rsidRPr="07D162B7">
        <w:rPr>
          <w:lang w:val="en-US"/>
        </w:rPr>
        <w:t>on-GP specialist consultations by video since 2011.</w:t>
      </w:r>
      <w:r w:rsidR="1C5DF082" w:rsidRPr="07D162B7">
        <w:rPr>
          <w:lang w:val="en-US"/>
        </w:rPr>
        <w:t xml:space="preserve"> </w:t>
      </w:r>
    </w:p>
    <w:p w14:paraId="018BABB6" w14:textId="1096067B" w:rsidR="002E447C" w:rsidRPr="00426AC8" w:rsidRDefault="002E447C" w:rsidP="003E197A">
      <w:pPr>
        <w:pStyle w:val="Heading3"/>
        <w:rPr>
          <w:lang w:val="en-US"/>
        </w:rPr>
      </w:pPr>
      <w:bookmarkStart w:id="15" w:name="_Toc163814541"/>
      <w:r w:rsidRPr="07D162B7">
        <w:rPr>
          <w:lang w:val="en-US"/>
        </w:rPr>
        <w:t>Telehealth business models</w:t>
      </w:r>
      <w:bookmarkEnd w:id="15"/>
    </w:p>
    <w:p w14:paraId="30236472" w14:textId="50032A34" w:rsidR="002E447C" w:rsidRDefault="006A0CB9" w:rsidP="69ABD742">
      <w:pPr>
        <w:rPr>
          <w:b/>
          <w:bCs/>
          <w:sz w:val="32"/>
          <w:szCs w:val="32"/>
          <w:lang w:val="en-US"/>
        </w:rPr>
      </w:pPr>
      <w:r w:rsidRPr="07D162B7">
        <w:rPr>
          <w:lang w:val="en-US"/>
        </w:rPr>
        <w:t>O</w:t>
      </w:r>
      <w:r w:rsidR="5F027B2E" w:rsidRPr="07D162B7">
        <w:rPr>
          <w:lang w:val="en-US"/>
        </w:rPr>
        <w:t>nline-only GP business models that offer telehealth services for medical certificates, prescriptions and referrals</w:t>
      </w:r>
      <w:r w:rsidRPr="07D162B7">
        <w:rPr>
          <w:lang w:val="en-US"/>
        </w:rPr>
        <w:t xml:space="preserve"> have been growing. These services </w:t>
      </w:r>
      <w:r w:rsidR="286703A6" w:rsidRPr="07D162B7">
        <w:rPr>
          <w:lang w:val="en-US"/>
        </w:rPr>
        <w:t xml:space="preserve">are marketed as </w:t>
      </w:r>
      <w:r w:rsidR="10785CCD" w:rsidRPr="07D162B7">
        <w:rPr>
          <w:lang w:val="en-US"/>
        </w:rPr>
        <w:t xml:space="preserve">a </w:t>
      </w:r>
      <w:r w:rsidR="286703A6" w:rsidRPr="07D162B7">
        <w:rPr>
          <w:lang w:val="en-US"/>
        </w:rPr>
        <w:t xml:space="preserve">convenient </w:t>
      </w:r>
      <w:r w:rsidR="0B6154C1" w:rsidRPr="07D162B7">
        <w:rPr>
          <w:lang w:val="en-US"/>
        </w:rPr>
        <w:t xml:space="preserve">way to </w:t>
      </w:r>
      <w:r w:rsidR="286703A6" w:rsidRPr="07D162B7">
        <w:rPr>
          <w:lang w:val="en-US"/>
        </w:rPr>
        <w:t>access</w:t>
      </w:r>
      <w:r w:rsidR="1BA3FFA7" w:rsidRPr="07D162B7">
        <w:rPr>
          <w:lang w:val="en-US"/>
        </w:rPr>
        <w:t xml:space="preserve"> health</w:t>
      </w:r>
      <w:r w:rsidR="00646997" w:rsidRPr="07D162B7">
        <w:rPr>
          <w:lang w:val="en-US"/>
        </w:rPr>
        <w:t xml:space="preserve"> care</w:t>
      </w:r>
      <w:r w:rsidR="174A6C34" w:rsidRPr="07D162B7">
        <w:rPr>
          <w:lang w:val="en-US"/>
        </w:rPr>
        <w:t xml:space="preserve"> </w:t>
      </w:r>
      <w:r w:rsidR="00EC5688" w:rsidRPr="07D162B7">
        <w:rPr>
          <w:lang w:val="en-US"/>
        </w:rPr>
        <w:t>for services such as getting prescriptions and referrals</w:t>
      </w:r>
      <w:r w:rsidR="003A7424" w:rsidRPr="07D162B7">
        <w:rPr>
          <w:lang w:val="en-US"/>
        </w:rPr>
        <w:t xml:space="preserve"> </w:t>
      </w:r>
      <w:r w:rsidR="174A6C34" w:rsidRPr="07D162B7">
        <w:rPr>
          <w:lang w:val="en-US"/>
        </w:rPr>
        <w:t>where the</w:t>
      </w:r>
      <w:r w:rsidR="6B129034" w:rsidRPr="07D162B7">
        <w:rPr>
          <w:lang w:val="en-US"/>
        </w:rPr>
        <w:t xml:space="preserve"> outcomes </w:t>
      </w:r>
      <w:r w:rsidR="59155A65" w:rsidRPr="07D162B7">
        <w:rPr>
          <w:lang w:val="en-US"/>
        </w:rPr>
        <w:t>are</w:t>
      </w:r>
      <w:r w:rsidR="174A6C34" w:rsidRPr="07D162B7">
        <w:rPr>
          <w:lang w:val="en-US"/>
        </w:rPr>
        <w:t xml:space="preserve"> </w:t>
      </w:r>
      <w:r w:rsidR="23CB4366" w:rsidRPr="07D162B7">
        <w:rPr>
          <w:lang w:val="en-US"/>
        </w:rPr>
        <w:t>pre</w:t>
      </w:r>
      <w:r w:rsidR="00877BF5" w:rsidRPr="07D162B7">
        <w:rPr>
          <w:lang w:val="en-US"/>
        </w:rPr>
        <w:t>-determined</w:t>
      </w:r>
      <w:r w:rsidR="7B71EB7D" w:rsidRPr="07D162B7">
        <w:rPr>
          <w:lang w:val="en-US"/>
        </w:rPr>
        <w:t xml:space="preserve"> and patient led</w:t>
      </w:r>
      <w:r w:rsidR="23CB4366" w:rsidRPr="07D162B7">
        <w:rPr>
          <w:lang w:val="en-US"/>
        </w:rPr>
        <w:t>. However</w:t>
      </w:r>
      <w:r w:rsidR="7A527240" w:rsidRPr="07D162B7">
        <w:rPr>
          <w:lang w:val="en-US"/>
        </w:rPr>
        <w:t xml:space="preserve">, </w:t>
      </w:r>
      <w:r w:rsidR="006578EB" w:rsidRPr="07D162B7">
        <w:rPr>
          <w:lang w:val="en-US"/>
        </w:rPr>
        <w:t xml:space="preserve">these consultations are </w:t>
      </w:r>
      <w:r w:rsidR="637A4C60" w:rsidRPr="07D162B7">
        <w:rPr>
          <w:lang w:val="en-US"/>
        </w:rPr>
        <w:t>generally</w:t>
      </w:r>
      <w:r w:rsidR="7A13C1AB" w:rsidRPr="07D162B7">
        <w:rPr>
          <w:lang w:val="en-US"/>
        </w:rPr>
        <w:t xml:space="preserve"> </w:t>
      </w:r>
      <w:r w:rsidR="7BE8DAC2" w:rsidRPr="07D162B7">
        <w:rPr>
          <w:lang w:val="en-US"/>
        </w:rPr>
        <w:t>quick</w:t>
      </w:r>
      <w:r w:rsidR="19A32C3C" w:rsidRPr="07D162B7">
        <w:rPr>
          <w:lang w:val="en-US"/>
        </w:rPr>
        <w:t xml:space="preserve"> </w:t>
      </w:r>
      <w:r w:rsidR="006578EB" w:rsidRPr="07D162B7">
        <w:rPr>
          <w:lang w:val="en-US"/>
        </w:rPr>
        <w:t xml:space="preserve">and </w:t>
      </w:r>
      <w:r w:rsidR="19A32C3C" w:rsidRPr="07D162B7">
        <w:rPr>
          <w:lang w:val="en-US"/>
        </w:rPr>
        <w:t>once</w:t>
      </w:r>
      <w:r w:rsidR="00796545" w:rsidRPr="07D162B7">
        <w:rPr>
          <w:lang w:val="en-US"/>
        </w:rPr>
        <w:t>-</w:t>
      </w:r>
      <w:r w:rsidR="19A32C3C" w:rsidRPr="07D162B7">
        <w:rPr>
          <w:lang w:val="en-US"/>
        </w:rPr>
        <w:t>off</w:t>
      </w:r>
      <w:r w:rsidR="007F302B" w:rsidRPr="07D162B7">
        <w:rPr>
          <w:lang w:val="en-US"/>
        </w:rPr>
        <w:t xml:space="preserve">, lacking a prior </w:t>
      </w:r>
      <w:r w:rsidR="61275A18" w:rsidRPr="07D162B7">
        <w:rPr>
          <w:lang w:val="en-US"/>
        </w:rPr>
        <w:t>patient</w:t>
      </w:r>
      <w:r w:rsidR="005F051A" w:rsidRPr="07D162B7">
        <w:rPr>
          <w:lang w:val="en-US"/>
        </w:rPr>
        <w:t xml:space="preserve">–clinician relationship </w:t>
      </w:r>
      <w:r w:rsidR="003A7424" w:rsidRPr="07D162B7">
        <w:rPr>
          <w:lang w:val="en-US"/>
        </w:rPr>
        <w:t xml:space="preserve">or </w:t>
      </w:r>
      <w:r w:rsidR="1865DA6F" w:rsidRPr="07D162B7">
        <w:rPr>
          <w:lang w:val="en-US"/>
        </w:rPr>
        <w:t xml:space="preserve">access to the patient’s </w:t>
      </w:r>
      <w:r w:rsidR="2C5E3762" w:rsidRPr="07D162B7">
        <w:rPr>
          <w:lang w:val="en-US"/>
        </w:rPr>
        <w:t>medical</w:t>
      </w:r>
      <w:r w:rsidR="1865DA6F" w:rsidRPr="07D162B7">
        <w:rPr>
          <w:lang w:val="en-US"/>
        </w:rPr>
        <w:t xml:space="preserve"> </w:t>
      </w:r>
      <w:r w:rsidR="007F302B" w:rsidRPr="07D162B7">
        <w:rPr>
          <w:lang w:val="en-US"/>
        </w:rPr>
        <w:t>history</w:t>
      </w:r>
      <w:r w:rsidR="002D6654" w:rsidRPr="07D162B7">
        <w:rPr>
          <w:lang w:val="en-US"/>
        </w:rPr>
        <w:t xml:space="preserve">. As a result, these services </w:t>
      </w:r>
      <w:r w:rsidR="5A868809" w:rsidRPr="07D162B7">
        <w:rPr>
          <w:lang w:val="en-US"/>
        </w:rPr>
        <w:t>do not support</w:t>
      </w:r>
      <w:r w:rsidR="7CBA3476" w:rsidRPr="07D162B7">
        <w:rPr>
          <w:lang w:val="en-US"/>
        </w:rPr>
        <w:t xml:space="preserve"> integrated</w:t>
      </w:r>
      <w:r w:rsidR="053794A8" w:rsidRPr="07D162B7">
        <w:rPr>
          <w:lang w:val="en-US"/>
        </w:rPr>
        <w:t>,</w:t>
      </w:r>
      <w:r w:rsidR="7CBA3476" w:rsidRPr="07D162B7">
        <w:rPr>
          <w:lang w:val="en-US"/>
        </w:rPr>
        <w:t xml:space="preserve"> safe and high-quality care</w:t>
      </w:r>
      <w:r w:rsidR="007B2E1B" w:rsidRPr="07D162B7">
        <w:rPr>
          <w:lang w:val="en-US"/>
        </w:rPr>
        <w:t>.</w:t>
      </w:r>
      <w:r w:rsidR="007F302B" w:rsidRPr="07D162B7">
        <w:rPr>
          <w:lang w:val="en-US"/>
        </w:rPr>
        <w:t xml:space="preserve"> </w:t>
      </w:r>
    </w:p>
    <w:p w14:paraId="66470569" w14:textId="6DFD47F8" w:rsidR="002E447C" w:rsidRDefault="007F302B" w:rsidP="003E197A">
      <w:pPr>
        <w:rPr>
          <w:lang w:val="en-US"/>
        </w:rPr>
      </w:pPr>
      <w:r w:rsidRPr="07D162B7">
        <w:rPr>
          <w:lang w:val="en-US"/>
        </w:rPr>
        <w:lastRenderedPageBreak/>
        <w:t xml:space="preserve">An increasing concern in relation to these models relates to businesses built around access to specific medicines and treatments. </w:t>
      </w:r>
      <w:r w:rsidR="007074F6" w:rsidRPr="07D162B7">
        <w:rPr>
          <w:lang w:val="en-US"/>
        </w:rPr>
        <w:t xml:space="preserve">Even </w:t>
      </w:r>
      <w:r w:rsidRPr="07D162B7">
        <w:rPr>
          <w:lang w:val="en-US"/>
        </w:rPr>
        <w:t xml:space="preserve">if </w:t>
      </w:r>
      <w:r w:rsidR="5F027B2E" w:rsidRPr="07D162B7">
        <w:rPr>
          <w:lang w:val="en-US"/>
        </w:rPr>
        <w:t xml:space="preserve">private </w:t>
      </w:r>
      <w:r w:rsidRPr="07D162B7">
        <w:rPr>
          <w:lang w:val="en-US"/>
        </w:rPr>
        <w:t xml:space="preserve">telehealth </w:t>
      </w:r>
      <w:r w:rsidR="5F027B2E" w:rsidRPr="07D162B7">
        <w:rPr>
          <w:lang w:val="en-US"/>
        </w:rPr>
        <w:t xml:space="preserve">services are not </w:t>
      </w:r>
      <w:r w:rsidR="00BE691B" w:rsidRPr="07D162B7">
        <w:rPr>
          <w:lang w:val="en-US"/>
        </w:rPr>
        <w:t>MBS</w:t>
      </w:r>
      <w:r w:rsidRPr="07D162B7">
        <w:rPr>
          <w:lang w:val="en-US"/>
        </w:rPr>
        <w:t>-eligible</w:t>
      </w:r>
      <w:r w:rsidR="5F027B2E" w:rsidRPr="07D162B7">
        <w:rPr>
          <w:lang w:val="en-US"/>
        </w:rPr>
        <w:t xml:space="preserve">, they may </w:t>
      </w:r>
      <w:r w:rsidR="00326C6E" w:rsidRPr="07D162B7">
        <w:rPr>
          <w:lang w:val="en-US"/>
        </w:rPr>
        <w:t>affect t</w:t>
      </w:r>
      <w:r w:rsidR="7AE32639" w:rsidRPr="07D162B7">
        <w:rPr>
          <w:lang w:val="en-US"/>
        </w:rPr>
        <w:t>he volume</w:t>
      </w:r>
      <w:r w:rsidR="49BE3B68" w:rsidRPr="07D162B7">
        <w:rPr>
          <w:lang w:val="en-US"/>
        </w:rPr>
        <w:t xml:space="preserve"> and</w:t>
      </w:r>
      <w:r w:rsidR="7AE32639" w:rsidRPr="07D162B7">
        <w:rPr>
          <w:lang w:val="en-US"/>
        </w:rPr>
        <w:t xml:space="preserve"> appropriateness </w:t>
      </w:r>
      <w:r w:rsidR="7D255F60" w:rsidRPr="07D162B7">
        <w:rPr>
          <w:lang w:val="en-US"/>
        </w:rPr>
        <w:t>of</w:t>
      </w:r>
      <w:r w:rsidR="72BD7744" w:rsidRPr="07D162B7">
        <w:rPr>
          <w:lang w:val="en-US"/>
        </w:rPr>
        <w:t xml:space="preserve"> </w:t>
      </w:r>
      <w:r w:rsidR="40261A33" w:rsidRPr="07D162B7">
        <w:rPr>
          <w:lang w:val="en-US"/>
        </w:rPr>
        <w:t>Pharmaceutical Benefits Scheme (</w:t>
      </w:r>
      <w:r w:rsidR="5F027B2E" w:rsidRPr="07D162B7">
        <w:rPr>
          <w:lang w:val="en-US"/>
        </w:rPr>
        <w:t>PBS</w:t>
      </w:r>
      <w:r w:rsidR="40261A33" w:rsidRPr="07D162B7">
        <w:rPr>
          <w:lang w:val="en-US"/>
        </w:rPr>
        <w:t>)</w:t>
      </w:r>
      <w:r w:rsidR="5F027B2E" w:rsidRPr="07D162B7">
        <w:rPr>
          <w:lang w:val="en-US"/>
        </w:rPr>
        <w:t xml:space="preserve"> prescriptions and MBS referrals</w:t>
      </w:r>
      <w:r w:rsidR="636A9FB3" w:rsidRPr="07D162B7">
        <w:rPr>
          <w:lang w:val="en-US"/>
        </w:rPr>
        <w:t xml:space="preserve"> </w:t>
      </w:r>
      <w:r w:rsidR="17430B83" w:rsidRPr="07D162B7">
        <w:rPr>
          <w:lang w:val="en-US"/>
        </w:rPr>
        <w:t>(</w:t>
      </w:r>
      <w:r w:rsidR="0031367A" w:rsidRPr="07D162B7">
        <w:rPr>
          <w:lang w:val="en-US"/>
        </w:rPr>
        <w:t>for example,</w:t>
      </w:r>
      <w:r w:rsidR="636A9FB3" w:rsidRPr="07D162B7">
        <w:rPr>
          <w:lang w:val="en-US"/>
        </w:rPr>
        <w:t xml:space="preserve"> for pathology, imaging or </w:t>
      </w:r>
      <w:r w:rsidR="0AE4C032" w:rsidRPr="07D162B7">
        <w:rPr>
          <w:lang w:val="en-US"/>
        </w:rPr>
        <w:t xml:space="preserve">non-GP </w:t>
      </w:r>
      <w:r w:rsidR="636A9FB3" w:rsidRPr="07D162B7">
        <w:rPr>
          <w:lang w:val="en-US"/>
        </w:rPr>
        <w:t>specialist review</w:t>
      </w:r>
      <w:r w:rsidR="562C39CA" w:rsidRPr="07D162B7">
        <w:rPr>
          <w:lang w:val="en-US"/>
        </w:rPr>
        <w:t>)</w:t>
      </w:r>
      <w:r w:rsidR="5F027B2E" w:rsidRPr="07D162B7">
        <w:rPr>
          <w:lang w:val="en-US"/>
        </w:rPr>
        <w:t xml:space="preserve">. </w:t>
      </w:r>
      <w:r w:rsidR="3E5F6B77" w:rsidRPr="07D162B7">
        <w:rPr>
          <w:lang w:val="en-US"/>
        </w:rPr>
        <w:t>In addition</w:t>
      </w:r>
      <w:r w:rsidR="022EE6A1" w:rsidRPr="07D162B7">
        <w:rPr>
          <w:lang w:val="en-US"/>
        </w:rPr>
        <w:t>,</w:t>
      </w:r>
      <w:r w:rsidR="3E5F6B77" w:rsidRPr="07D162B7">
        <w:rPr>
          <w:lang w:val="en-US"/>
        </w:rPr>
        <w:t xml:space="preserve"> a patient’s care may be further fragmented</w:t>
      </w:r>
      <w:r w:rsidR="1A4ABB5D" w:rsidRPr="07D162B7">
        <w:rPr>
          <w:lang w:val="en-US"/>
        </w:rPr>
        <w:t xml:space="preserve"> as they do not have their regular </w:t>
      </w:r>
      <w:r w:rsidR="00AF7573" w:rsidRPr="07D162B7">
        <w:rPr>
          <w:lang w:val="en-US"/>
        </w:rPr>
        <w:t>clinician</w:t>
      </w:r>
      <w:r w:rsidR="2441565A" w:rsidRPr="07D162B7">
        <w:rPr>
          <w:lang w:val="en-US"/>
        </w:rPr>
        <w:t xml:space="preserve"> or practice</w:t>
      </w:r>
      <w:r w:rsidR="00AF7573" w:rsidRPr="07D162B7">
        <w:rPr>
          <w:lang w:val="en-US"/>
        </w:rPr>
        <w:t xml:space="preserve"> </w:t>
      </w:r>
      <w:r w:rsidR="1A4ABB5D" w:rsidRPr="07D162B7">
        <w:rPr>
          <w:lang w:val="en-US"/>
        </w:rPr>
        <w:t>coordinating th</w:t>
      </w:r>
      <w:r w:rsidR="6799BC8E" w:rsidRPr="07D162B7">
        <w:rPr>
          <w:lang w:val="en-US"/>
        </w:rPr>
        <w:t>is</w:t>
      </w:r>
      <w:r w:rsidR="1A4ABB5D" w:rsidRPr="07D162B7">
        <w:rPr>
          <w:lang w:val="en-US"/>
        </w:rPr>
        <w:t xml:space="preserve"> care</w:t>
      </w:r>
      <w:r w:rsidR="5D1C5387" w:rsidRPr="07D162B7">
        <w:rPr>
          <w:lang w:val="en-US"/>
        </w:rPr>
        <w:t>.</w:t>
      </w:r>
    </w:p>
    <w:p w14:paraId="4DA77200" w14:textId="77777777" w:rsidR="002E447C" w:rsidRDefault="002E447C" w:rsidP="002E447C">
      <w:pPr>
        <w:pStyle w:val="Heading2"/>
        <w:rPr>
          <w:lang w:val="en-US"/>
        </w:rPr>
      </w:pPr>
      <w:bookmarkStart w:id="16" w:name="_Toc163814542"/>
      <w:r>
        <w:rPr>
          <w:lang w:val="en-US"/>
        </w:rPr>
        <w:t>Balancing access, quality and safety</w:t>
      </w:r>
      <w:bookmarkEnd w:id="16"/>
    </w:p>
    <w:p w14:paraId="46B15B77" w14:textId="0231DC93" w:rsidR="00E96505" w:rsidRDefault="002E447C" w:rsidP="07D162B7">
      <w:pPr>
        <w:rPr>
          <w:lang w:val="en-US"/>
        </w:rPr>
      </w:pPr>
      <w:r w:rsidRPr="07D162B7">
        <w:rPr>
          <w:lang w:val="en-US"/>
        </w:rPr>
        <w:t xml:space="preserve">Face-to-face consultation </w:t>
      </w:r>
      <w:r w:rsidR="00AF7573" w:rsidRPr="07D162B7">
        <w:rPr>
          <w:lang w:val="en-US"/>
        </w:rPr>
        <w:t xml:space="preserve">is still </w:t>
      </w:r>
      <w:r w:rsidRPr="07D162B7">
        <w:rPr>
          <w:lang w:val="en-US"/>
        </w:rPr>
        <w:t xml:space="preserve">the preferred standard of health care </w:t>
      </w:r>
      <w:r w:rsidR="00737987" w:rsidRPr="07D162B7">
        <w:rPr>
          <w:lang w:val="en-US"/>
        </w:rPr>
        <w:t xml:space="preserve">for many </w:t>
      </w:r>
      <w:r w:rsidRPr="07D162B7">
        <w:rPr>
          <w:lang w:val="en-US"/>
        </w:rPr>
        <w:t xml:space="preserve">and must remain accessible to patients. At the same time, telehealth can improve access to health care for some </w:t>
      </w:r>
      <w:r w:rsidR="009E6B2C" w:rsidRPr="07D162B7">
        <w:rPr>
          <w:lang w:val="en-US"/>
        </w:rPr>
        <w:t xml:space="preserve">people </w:t>
      </w:r>
      <w:r w:rsidRPr="07D162B7">
        <w:rPr>
          <w:lang w:val="en-US"/>
        </w:rPr>
        <w:t xml:space="preserve">in some </w:t>
      </w:r>
      <w:r w:rsidR="2F40B1D0" w:rsidRPr="07D162B7">
        <w:rPr>
          <w:lang w:val="en-US"/>
        </w:rPr>
        <w:t>circumstances and</w:t>
      </w:r>
      <w:r w:rsidR="009E6B2C" w:rsidRPr="07D162B7">
        <w:rPr>
          <w:lang w:val="en-US"/>
        </w:rPr>
        <w:t xml:space="preserve"> can </w:t>
      </w:r>
      <w:r w:rsidR="52478A52" w:rsidRPr="07D162B7">
        <w:rPr>
          <w:lang w:val="en-US"/>
        </w:rPr>
        <w:t>assist clinicians to provide a timely service during after</w:t>
      </w:r>
      <w:r w:rsidR="2C349A6D" w:rsidRPr="07D162B7">
        <w:rPr>
          <w:lang w:val="en-US"/>
        </w:rPr>
        <w:t>-</w:t>
      </w:r>
      <w:r w:rsidR="52478A52" w:rsidRPr="07D162B7">
        <w:rPr>
          <w:lang w:val="en-US"/>
        </w:rPr>
        <w:t>hours</w:t>
      </w:r>
      <w:r w:rsidR="01E20F62" w:rsidRPr="07D162B7">
        <w:rPr>
          <w:lang w:val="en-US"/>
        </w:rPr>
        <w:t xml:space="preserve"> </w:t>
      </w:r>
      <w:r w:rsidR="52478A52" w:rsidRPr="07D162B7">
        <w:rPr>
          <w:lang w:val="en-US"/>
        </w:rPr>
        <w:t>or in aged care</w:t>
      </w:r>
      <w:r w:rsidR="35B8F8C9" w:rsidRPr="07D162B7">
        <w:rPr>
          <w:lang w:val="en-US"/>
        </w:rPr>
        <w:t xml:space="preserve"> settings for example</w:t>
      </w:r>
      <w:r w:rsidR="52478A52" w:rsidRPr="07D162B7">
        <w:rPr>
          <w:lang w:val="en-US"/>
        </w:rPr>
        <w:t xml:space="preserve">. </w:t>
      </w:r>
      <w:r w:rsidRPr="07D162B7">
        <w:rPr>
          <w:lang w:val="en-US"/>
        </w:rPr>
        <w:t xml:space="preserve"> The MRAC therefore considers it appropriate that the Australian Government continue</w:t>
      </w:r>
      <w:r w:rsidR="3057A9CA" w:rsidRPr="07D162B7">
        <w:rPr>
          <w:lang w:val="en-US"/>
        </w:rPr>
        <w:t>s to</w:t>
      </w:r>
      <w:r w:rsidRPr="07D162B7">
        <w:rPr>
          <w:lang w:val="en-US"/>
        </w:rPr>
        <w:t xml:space="preserve"> support </w:t>
      </w:r>
      <w:r w:rsidR="6B2E4CF0" w:rsidRPr="07D162B7">
        <w:rPr>
          <w:lang w:val="en-US"/>
        </w:rPr>
        <w:t xml:space="preserve">the safe and </w:t>
      </w:r>
      <w:r w:rsidR="1B299F9E" w:rsidRPr="07D162B7">
        <w:rPr>
          <w:lang w:val="en-US"/>
        </w:rPr>
        <w:t>high-quality</w:t>
      </w:r>
      <w:r w:rsidR="6B2E4CF0" w:rsidRPr="07D162B7">
        <w:rPr>
          <w:lang w:val="en-US"/>
        </w:rPr>
        <w:t xml:space="preserve"> use of telehealth. </w:t>
      </w:r>
    </w:p>
    <w:p w14:paraId="6240DA5F" w14:textId="1AA025FE" w:rsidR="00E96505" w:rsidRDefault="00467DC2" w:rsidP="002E447C">
      <w:pPr>
        <w:rPr>
          <w:lang w:val="en-US"/>
        </w:rPr>
      </w:pPr>
      <w:r w:rsidRPr="07D162B7">
        <w:rPr>
          <w:lang w:val="en-US"/>
        </w:rPr>
        <w:t xml:space="preserve">To determine </w:t>
      </w:r>
      <w:r w:rsidR="14219114" w:rsidRPr="07D162B7">
        <w:rPr>
          <w:lang w:val="en-US"/>
        </w:rPr>
        <w:t>when</w:t>
      </w:r>
      <w:r w:rsidRPr="07D162B7">
        <w:rPr>
          <w:lang w:val="en-US"/>
        </w:rPr>
        <w:t xml:space="preserve"> </w:t>
      </w:r>
      <w:r w:rsidR="53FB32D0" w:rsidRPr="07D162B7">
        <w:rPr>
          <w:lang w:val="en-US"/>
        </w:rPr>
        <w:t xml:space="preserve">telehealth services can </w:t>
      </w:r>
      <w:r w:rsidR="00DA0FFF" w:rsidRPr="07D162B7">
        <w:rPr>
          <w:lang w:val="en-US"/>
        </w:rPr>
        <w:t xml:space="preserve">improve </w:t>
      </w:r>
      <w:r w:rsidR="4DCACF72" w:rsidRPr="07D162B7">
        <w:rPr>
          <w:lang w:val="en-US"/>
        </w:rPr>
        <w:t xml:space="preserve">appropriate </w:t>
      </w:r>
      <w:r w:rsidR="000D467C" w:rsidRPr="07D162B7">
        <w:rPr>
          <w:lang w:val="en-US"/>
        </w:rPr>
        <w:t>access</w:t>
      </w:r>
      <w:r w:rsidR="00DA0FFF" w:rsidRPr="07D162B7">
        <w:rPr>
          <w:lang w:val="en-US"/>
        </w:rPr>
        <w:t xml:space="preserve"> while meeting </w:t>
      </w:r>
      <w:r w:rsidR="53FB32D0" w:rsidRPr="07D162B7">
        <w:rPr>
          <w:lang w:val="en-US"/>
        </w:rPr>
        <w:t xml:space="preserve">quality and safety standards, the MRAC </w:t>
      </w:r>
      <w:r w:rsidR="1BF4B5A3" w:rsidRPr="07D162B7">
        <w:rPr>
          <w:lang w:val="en-US"/>
        </w:rPr>
        <w:t>considered</w:t>
      </w:r>
      <w:r w:rsidR="53FB32D0" w:rsidRPr="07D162B7">
        <w:rPr>
          <w:lang w:val="en-US"/>
        </w:rPr>
        <w:t xml:space="preserve"> </w:t>
      </w:r>
      <w:r w:rsidR="39663CB1" w:rsidRPr="07D162B7">
        <w:rPr>
          <w:lang w:val="en-US"/>
        </w:rPr>
        <w:t>the available data including</w:t>
      </w:r>
      <w:r w:rsidR="53FB32D0" w:rsidRPr="07D162B7">
        <w:rPr>
          <w:lang w:val="en-US"/>
        </w:rPr>
        <w:t xml:space="preserve"> stakeholder feedback</w:t>
      </w:r>
      <w:r w:rsidR="10C24881" w:rsidRPr="07D162B7">
        <w:rPr>
          <w:lang w:val="en-US"/>
        </w:rPr>
        <w:t>,</w:t>
      </w:r>
      <w:r w:rsidR="53FB32D0" w:rsidRPr="07D162B7">
        <w:rPr>
          <w:lang w:val="en-US"/>
        </w:rPr>
        <w:t xml:space="preserve"> </w:t>
      </w:r>
      <w:r w:rsidR="000D467C" w:rsidRPr="07D162B7">
        <w:rPr>
          <w:lang w:val="en-US"/>
        </w:rPr>
        <w:t>consumer workshop feedback</w:t>
      </w:r>
      <w:r w:rsidR="00C13154" w:rsidRPr="07D162B7">
        <w:rPr>
          <w:lang w:val="en-US"/>
        </w:rPr>
        <w:t>,</w:t>
      </w:r>
      <w:r w:rsidR="53FB32D0" w:rsidRPr="07D162B7">
        <w:rPr>
          <w:lang w:val="en-US"/>
        </w:rPr>
        <w:t xml:space="preserve"> </w:t>
      </w:r>
      <w:r w:rsidR="6988F363" w:rsidRPr="07D162B7">
        <w:rPr>
          <w:lang w:val="en-US"/>
        </w:rPr>
        <w:t xml:space="preserve">primary Australian </w:t>
      </w:r>
      <w:r w:rsidR="53FB32D0" w:rsidRPr="07D162B7">
        <w:rPr>
          <w:lang w:val="en-US"/>
        </w:rPr>
        <w:t>research</w:t>
      </w:r>
      <w:r w:rsidR="12253B9B" w:rsidRPr="07D162B7">
        <w:rPr>
          <w:lang w:val="en-US"/>
        </w:rPr>
        <w:t>, available MBS data,</w:t>
      </w:r>
      <w:r w:rsidR="00C13154" w:rsidRPr="07D162B7">
        <w:rPr>
          <w:lang w:val="en-US"/>
        </w:rPr>
        <w:t xml:space="preserve"> and</w:t>
      </w:r>
      <w:r w:rsidR="53FB32D0" w:rsidRPr="07D162B7">
        <w:rPr>
          <w:lang w:val="en-US"/>
        </w:rPr>
        <w:t xml:space="preserve"> </w:t>
      </w:r>
      <w:r w:rsidR="05949E1D" w:rsidRPr="07D162B7">
        <w:rPr>
          <w:lang w:val="en-US"/>
        </w:rPr>
        <w:t>systematic reviews of</w:t>
      </w:r>
      <w:r w:rsidR="53FB32D0" w:rsidRPr="07D162B7">
        <w:rPr>
          <w:lang w:val="en-US"/>
        </w:rPr>
        <w:t xml:space="preserve"> evidence. </w:t>
      </w:r>
    </w:p>
    <w:p w14:paraId="6E146482" w14:textId="32C68D41" w:rsidR="00231EDE" w:rsidRPr="005264D9" w:rsidRDefault="2B3C9173" w:rsidP="00231EDE">
      <w:pPr>
        <w:pStyle w:val="Heading3"/>
        <w:rPr>
          <w:lang w:val="en-US"/>
        </w:rPr>
      </w:pPr>
      <w:bookmarkStart w:id="17" w:name="_Toc163814543"/>
      <w:r w:rsidRPr="07D162B7">
        <w:rPr>
          <w:lang w:val="en-US"/>
        </w:rPr>
        <w:t xml:space="preserve">Comparing telehealth </w:t>
      </w:r>
      <w:r w:rsidR="675C7BF4" w:rsidRPr="07D162B7">
        <w:rPr>
          <w:lang w:val="en-US"/>
        </w:rPr>
        <w:t>to</w:t>
      </w:r>
      <w:r w:rsidRPr="07D162B7">
        <w:rPr>
          <w:lang w:val="en-US"/>
        </w:rPr>
        <w:t xml:space="preserve"> face-to-face health care</w:t>
      </w:r>
      <w:bookmarkEnd w:id="17"/>
    </w:p>
    <w:p w14:paraId="7424207B" w14:textId="48E143B7" w:rsidR="00463B05" w:rsidRDefault="5E51043F" w:rsidP="165431D0">
      <w:pPr>
        <w:rPr>
          <w:lang w:val="en-US"/>
        </w:rPr>
      </w:pPr>
      <w:r w:rsidRPr="07D162B7">
        <w:rPr>
          <w:lang w:val="en-US"/>
        </w:rPr>
        <w:t xml:space="preserve">The research </w:t>
      </w:r>
      <w:r w:rsidR="438DC593" w:rsidRPr="07D162B7">
        <w:rPr>
          <w:lang w:val="en-US"/>
        </w:rPr>
        <w:t>comparing telehealth to face-to-face care is limited</w:t>
      </w:r>
      <w:r w:rsidR="0B478C4D" w:rsidRPr="07D162B7">
        <w:rPr>
          <w:lang w:val="en-US"/>
        </w:rPr>
        <w:t xml:space="preserve">, including where there is little evidence </w:t>
      </w:r>
      <w:r w:rsidR="30E4832A" w:rsidRPr="07D162B7">
        <w:rPr>
          <w:lang w:val="en-US"/>
        </w:rPr>
        <w:t xml:space="preserve">for </w:t>
      </w:r>
      <w:r w:rsidR="0B478C4D" w:rsidRPr="07D162B7">
        <w:rPr>
          <w:lang w:val="en-US"/>
        </w:rPr>
        <w:t>face-to-face consultations as the comparator.</w:t>
      </w:r>
      <w:r w:rsidR="610739DC" w:rsidRPr="07D162B7">
        <w:rPr>
          <w:lang w:val="en-US"/>
        </w:rPr>
        <w:t xml:space="preserve"> There are also challenges with generalising some telehealth research findings to Australia</w:t>
      </w:r>
      <w:r w:rsidR="0B478C4D" w:rsidRPr="07D162B7">
        <w:rPr>
          <w:lang w:val="en-US"/>
        </w:rPr>
        <w:t xml:space="preserve"> </w:t>
      </w:r>
      <w:r w:rsidR="610739DC" w:rsidRPr="07D162B7">
        <w:rPr>
          <w:lang w:val="en-US"/>
        </w:rPr>
        <w:t>and the MBS.</w:t>
      </w:r>
      <w:r w:rsidR="0B478C4D" w:rsidRPr="07D162B7">
        <w:rPr>
          <w:lang w:val="en-US"/>
        </w:rPr>
        <w:t xml:space="preserve"> </w:t>
      </w:r>
      <w:r w:rsidR="438DC593" w:rsidRPr="07D162B7">
        <w:rPr>
          <w:lang w:val="en-US"/>
        </w:rPr>
        <w:t xml:space="preserve">But </w:t>
      </w:r>
      <w:r w:rsidR="04B47483" w:rsidRPr="07D162B7">
        <w:rPr>
          <w:lang w:val="en-US"/>
        </w:rPr>
        <w:t xml:space="preserve">the research that is available </w:t>
      </w:r>
      <w:r w:rsidRPr="07D162B7">
        <w:rPr>
          <w:lang w:val="en-US"/>
        </w:rPr>
        <w:t xml:space="preserve">suggests that telehealth </w:t>
      </w:r>
      <w:r w:rsidR="2B247FBC" w:rsidRPr="07D162B7">
        <w:rPr>
          <w:lang w:val="en-US"/>
        </w:rPr>
        <w:t xml:space="preserve">can </w:t>
      </w:r>
      <w:r w:rsidRPr="07D162B7">
        <w:rPr>
          <w:lang w:val="en-US"/>
        </w:rPr>
        <w:t xml:space="preserve">be </w:t>
      </w:r>
      <w:r w:rsidR="04B47483" w:rsidRPr="07D162B7">
        <w:rPr>
          <w:lang w:val="en-US"/>
        </w:rPr>
        <w:t xml:space="preserve">as good as </w:t>
      </w:r>
      <w:r w:rsidRPr="07D162B7">
        <w:rPr>
          <w:lang w:val="en-US"/>
        </w:rPr>
        <w:t>face-to-face care for mana</w:t>
      </w:r>
      <w:r w:rsidR="04B47483" w:rsidRPr="07D162B7">
        <w:rPr>
          <w:lang w:val="en-US"/>
        </w:rPr>
        <w:t>ging</w:t>
      </w:r>
      <w:r w:rsidRPr="07D162B7">
        <w:rPr>
          <w:lang w:val="en-US"/>
        </w:rPr>
        <w:t xml:space="preserve"> known conditions of known patients. </w:t>
      </w:r>
    </w:p>
    <w:p w14:paraId="3ABE58A8" w14:textId="4369C96D" w:rsidR="008A6863" w:rsidRDefault="51481898" w:rsidP="07D162B7">
      <w:pPr>
        <w:spacing w:line="259" w:lineRule="auto"/>
        <w:rPr>
          <w:lang w:val="en-US"/>
        </w:rPr>
      </w:pPr>
      <w:r w:rsidRPr="07D162B7">
        <w:rPr>
          <w:lang w:val="en-US"/>
        </w:rPr>
        <w:t>For s</w:t>
      </w:r>
      <w:r w:rsidR="4602B61F" w:rsidRPr="07D162B7">
        <w:rPr>
          <w:lang w:val="en-US"/>
        </w:rPr>
        <w:t xml:space="preserve">ome patients, such as </w:t>
      </w:r>
      <w:r w:rsidR="63E4A9FB" w:rsidRPr="07D162B7">
        <w:rPr>
          <w:lang w:val="en-US"/>
        </w:rPr>
        <w:t>those who</w:t>
      </w:r>
      <w:r w:rsidR="4602B61F" w:rsidRPr="07D162B7">
        <w:rPr>
          <w:lang w:val="en-US"/>
        </w:rPr>
        <w:t xml:space="preserve"> are </w:t>
      </w:r>
      <w:r w:rsidR="239A7C50" w:rsidRPr="07D162B7">
        <w:rPr>
          <w:lang w:val="en-US"/>
        </w:rPr>
        <w:t>house bound</w:t>
      </w:r>
      <w:r w:rsidR="4602B61F" w:rsidRPr="07D162B7">
        <w:rPr>
          <w:lang w:val="en-US"/>
        </w:rPr>
        <w:t>, a telehealth consultation can mean the difference between accessing health care or not.</w:t>
      </w:r>
      <w:r w:rsidR="09500BE2" w:rsidRPr="07D162B7">
        <w:rPr>
          <w:lang w:val="en-US"/>
        </w:rPr>
        <w:t xml:space="preserve"> Options to enable access to telehealth as part</w:t>
      </w:r>
      <w:r w:rsidR="1FEF80C1" w:rsidRPr="07D162B7">
        <w:rPr>
          <w:lang w:val="en-US"/>
        </w:rPr>
        <w:t xml:space="preserve"> of</w:t>
      </w:r>
      <w:r w:rsidR="09500BE2" w:rsidRPr="07D162B7">
        <w:rPr>
          <w:lang w:val="en-US"/>
        </w:rPr>
        <w:t xml:space="preserve"> </w:t>
      </w:r>
      <w:r w:rsidR="531FE97A" w:rsidRPr="07D162B7">
        <w:rPr>
          <w:lang w:val="en-US"/>
        </w:rPr>
        <w:t xml:space="preserve">comprehensive and ongoing care </w:t>
      </w:r>
      <w:r w:rsidR="09500BE2" w:rsidRPr="07D162B7">
        <w:rPr>
          <w:lang w:val="en-US"/>
        </w:rPr>
        <w:t xml:space="preserve">has been a consideration of MRAC (see </w:t>
      </w:r>
      <w:hyperlink w:anchor="_Recommendation_10" w:history="1">
        <w:r w:rsidR="09500BE2" w:rsidRPr="07D162B7">
          <w:rPr>
            <w:rStyle w:val="Hyperlink"/>
            <w:lang w:val="en-US"/>
          </w:rPr>
          <w:t>Recommendation 10</w:t>
        </w:r>
      </w:hyperlink>
      <w:r w:rsidR="09500BE2" w:rsidRPr="07D162B7">
        <w:rPr>
          <w:lang w:val="en-US"/>
        </w:rPr>
        <w:t>)</w:t>
      </w:r>
    </w:p>
    <w:p w14:paraId="30F7A3EC" w14:textId="27C91E47" w:rsidR="00F5060C" w:rsidRDefault="00F5060C" w:rsidP="165431D0">
      <w:pPr>
        <w:rPr>
          <w:lang w:val="en-US"/>
        </w:rPr>
      </w:pPr>
      <w:r w:rsidRPr="00492F41">
        <w:rPr>
          <w:lang w:val="en-US"/>
        </w:rPr>
        <w:t xml:space="preserve">Consumers in the CHF workshops agreed that telehealth was suitable when they were seeing a clinician that they already knew, and for a condition that they already had. Some felt that </w:t>
      </w:r>
      <w:r w:rsidR="00630119" w:rsidRPr="00492F41">
        <w:rPr>
          <w:lang w:val="en-US"/>
        </w:rPr>
        <w:t>a new diagnosis using telehealth was also sometimes suitable.</w:t>
      </w:r>
      <w:r w:rsidR="00A70911" w:rsidRPr="00492F41">
        <w:rPr>
          <w:lang w:val="en-US"/>
        </w:rPr>
        <w:t xml:space="preserve"> </w:t>
      </w:r>
      <w:r w:rsidR="00492F41" w:rsidRPr="002060AD">
        <w:rPr>
          <w:lang w:val="en-US"/>
        </w:rPr>
        <w:t>However, c</w:t>
      </w:r>
      <w:r w:rsidR="00A70911" w:rsidRPr="00492F41">
        <w:rPr>
          <w:lang w:val="en-US"/>
        </w:rPr>
        <w:t xml:space="preserve">onsumers also flagged </w:t>
      </w:r>
      <w:r w:rsidR="00C81063" w:rsidRPr="00492F41">
        <w:rPr>
          <w:lang w:val="en-US"/>
        </w:rPr>
        <w:t xml:space="preserve">that </w:t>
      </w:r>
      <w:r w:rsidR="00492F41" w:rsidRPr="002060AD">
        <w:rPr>
          <w:lang w:val="en-US"/>
        </w:rPr>
        <w:t>receiving</w:t>
      </w:r>
      <w:r w:rsidR="00C81063" w:rsidRPr="00492F41">
        <w:rPr>
          <w:lang w:val="en-US"/>
        </w:rPr>
        <w:t xml:space="preserve"> confronting test results may be better during a face-to-face appointment.</w:t>
      </w:r>
    </w:p>
    <w:p w14:paraId="2408182E" w14:textId="0C27B125" w:rsidR="00231EDE" w:rsidRDefault="04ED97D0" w:rsidP="165431D0">
      <w:pPr>
        <w:rPr>
          <w:lang w:val="en-US"/>
        </w:rPr>
      </w:pPr>
      <w:r w:rsidRPr="165431D0">
        <w:rPr>
          <w:lang w:val="en-US"/>
        </w:rPr>
        <w:t xml:space="preserve">However, telehealth is </w:t>
      </w:r>
      <w:r w:rsidR="008A6863">
        <w:rPr>
          <w:lang w:val="en-US"/>
        </w:rPr>
        <w:t xml:space="preserve">not suitable </w:t>
      </w:r>
      <w:r w:rsidRPr="165431D0">
        <w:rPr>
          <w:lang w:val="en-US"/>
        </w:rPr>
        <w:t>when hands-on clinical assessment is needed. Telehealth is</w:t>
      </w:r>
      <w:r w:rsidR="00630119">
        <w:rPr>
          <w:lang w:val="en-US"/>
        </w:rPr>
        <w:t xml:space="preserve"> less</w:t>
      </w:r>
      <w:r w:rsidRPr="165431D0">
        <w:rPr>
          <w:lang w:val="en-US"/>
        </w:rPr>
        <w:t xml:space="preserve"> likely to be effective for new diagnoses, particularly </w:t>
      </w:r>
      <w:r w:rsidR="4A3951CD" w:rsidRPr="165431D0">
        <w:rPr>
          <w:lang w:val="en-US"/>
        </w:rPr>
        <w:t>in cases where</w:t>
      </w:r>
      <w:r w:rsidR="00630119">
        <w:rPr>
          <w:lang w:val="en-US"/>
        </w:rPr>
        <w:t xml:space="preserve"> the clinician requires a lot of different information or needs to assess complex factors</w:t>
      </w:r>
      <w:r w:rsidR="00C84138">
        <w:rPr>
          <w:lang w:val="en-US"/>
        </w:rPr>
        <w:t xml:space="preserve"> to </w:t>
      </w:r>
      <w:r w:rsidR="00A70911">
        <w:rPr>
          <w:lang w:val="en-US"/>
        </w:rPr>
        <w:t>make a diagnosis</w:t>
      </w:r>
      <w:r w:rsidR="00630119">
        <w:rPr>
          <w:lang w:val="en-US"/>
        </w:rPr>
        <w:t>.</w:t>
      </w:r>
      <w:r w:rsidR="71706333" w:rsidRPr="165431D0">
        <w:rPr>
          <w:lang w:val="en-US"/>
        </w:rPr>
        <w:t xml:space="preserve"> </w:t>
      </w:r>
    </w:p>
    <w:p w14:paraId="35187F01" w14:textId="3D8E754D" w:rsidR="002E447C" w:rsidRPr="005264D9" w:rsidRDefault="002E447C" w:rsidP="002E447C">
      <w:pPr>
        <w:pStyle w:val="Heading3"/>
        <w:rPr>
          <w:lang w:val="en-US"/>
        </w:rPr>
      </w:pPr>
      <w:bookmarkStart w:id="18" w:name="_Toc163814544"/>
      <w:r w:rsidRPr="005264D9">
        <w:rPr>
          <w:lang w:val="en-US"/>
        </w:rPr>
        <w:t>Video vs telephone</w:t>
      </w:r>
      <w:bookmarkEnd w:id="18"/>
      <w:r w:rsidRPr="005264D9">
        <w:rPr>
          <w:lang w:val="en-US"/>
        </w:rPr>
        <w:t xml:space="preserve"> </w:t>
      </w:r>
    </w:p>
    <w:p w14:paraId="1221A6FD" w14:textId="553471F6" w:rsidR="004D0D05" w:rsidRDefault="7537767E" w:rsidP="27EC2B8D">
      <w:pPr>
        <w:rPr>
          <w:lang w:val="en-US"/>
        </w:rPr>
      </w:pPr>
      <w:r w:rsidRPr="07D162B7">
        <w:rPr>
          <w:lang w:val="en-US"/>
        </w:rPr>
        <w:t>A</w:t>
      </w:r>
      <w:r w:rsidR="1C03FE97" w:rsidRPr="07D162B7">
        <w:rPr>
          <w:lang w:val="en-US"/>
        </w:rPr>
        <w:t xml:space="preserve"> literature review found no major differences between video and telephone consultations in patient satisfaction, clinical effectiveness or</w:t>
      </w:r>
      <w:r w:rsidR="750ACBE2" w:rsidRPr="07D162B7">
        <w:rPr>
          <w:lang w:val="en-US"/>
        </w:rPr>
        <w:t xml:space="preserve"> </w:t>
      </w:r>
      <w:r w:rsidR="1C03FE97" w:rsidRPr="07D162B7">
        <w:rPr>
          <w:lang w:val="en-US"/>
        </w:rPr>
        <w:t>cost</w:t>
      </w:r>
      <w:r w:rsidR="12484CE2" w:rsidRPr="07D162B7">
        <w:rPr>
          <w:lang w:val="en-US"/>
        </w:rPr>
        <w:t>-</w:t>
      </w:r>
      <w:r w:rsidR="1C03FE97" w:rsidRPr="07D162B7">
        <w:rPr>
          <w:lang w:val="en-US"/>
        </w:rPr>
        <w:t xml:space="preserve">effectiveness. Similarly, stakeholders gave strong feedback from </w:t>
      </w:r>
      <w:r w:rsidR="0738A934" w:rsidRPr="07D162B7">
        <w:rPr>
          <w:lang w:val="en-US"/>
        </w:rPr>
        <w:t xml:space="preserve">different </w:t>
      </w:r>
      <w:r w:rsidR="1C03FE97" w:rsidRPr="07D162B7">
        <w:rPr>
          <w:lang w:val="en-US"/>
        </w:rPr>
        <w:t>clinical practice</w:t>
      </w:r>
      <w:r w:rsidR="4348B7F8" w:rsidRPr="07D162B7">
        <w:rPr>
          <w:lang w:val="en-US"/>
        </w:rPr>
        <w:t>s</w:t>
      </w:r>
      <w:r w:rsidR="1C03FE97" w:rsidRPr="07D162B7">
        <w:rPr>
          <w:lang w:val="en-US"/>
        </w:rPr>
        <w:t xml:space="preserve"> that</w:t>
      </w:r>
      <w:r w:rsidR="26460493" w:rsidRPr="07D162B7">
        <w:rPr>
          <w:lang w:val="en-US"/>
        </w:rPr>
        <w:t>,</w:t>
      </w:r>
      <w:r w:rsidR="1C03FE97" w:rsidRPr="07D162B7">
        <w:rPr>
          <w:lang w:val="en-US"/>
        </w:rPr>
        <w:t xml:space="preserve"> in many cases, there is no </w:t>
      </w:r>
      <w:r w:rsidR="5D8D945B" w:rsidRPr="07D162B7">
        <w:rPr>
          <w:lang w:val="en-US"/>
        </w:rPr>
        <w:t xml:space="preserve">notable </w:t>
      </w:r>
      <w:r w:rsidR="1C03FE97" w:rsidRPr="07D162B7">
        <w:rPr>
          <w:lang w:val="en-US"/>
        </w:rPr>
        <w:t>difference in outcome</w:t>
      </w:r>
      <w:r w:rsidR="2FA2EBDF" w:rsidRPr="07D162B7">
        <w:rPr>
          <w:lang w:val="en-US"/>
        </w:rPr>
        <w:t>s</w:t>
      </w:r>
      <w:r w:rsidR="1C03FE97" w:rsidRPr="07D162B7">
        <w:rPr>
          <w:lang w:val="en-US"/>
        </w:rPr>
        <w:t xml:space="preserve"> between video and telephone consultations. However, there are major gaps and limitations in the existing research</w:t>
      </w:r>
      <w:r w:rsidR="1BCC7960" w:rsidRPr="07D162B7">
        <w:rPr>
          <w:lang w:val="en-US"/>
        </w:rPr>
        <w:t xml:space="preserve">. While </w:t>
      </w:r>
      <w:r w:rsidR="3AA288A5" w:rsidRPr="07D162B7">
        <w:rPr>
          <w:lang w:val="en-US"/>
        </w:rPr>
        <w:t xml:space="preserve">evidence-based </w:t>
      </w:r>
      <w:r w:rsidR="1BCC7960" w:rsidRPr="07D162B7">
        <w:rPr>
          <w:lang w:val="en-US"/>
        </w:rPr>
        <w:t xml:space="preserve">comparisons are </w:t>
      </w:r>
      <w:r w:rsidR="2330DEB7" w:rsidRPr="07D162B7">
        <w:rPr>
          <w:lang w:val="en-US"/>
        </w:rPr>
        <w:t>emerging (Caffery et al 2024</w:t>
      </w:r>
      <w:r w:rsidR="5CD2CE1F" w:rsidRPr="07D162B7">
        <w:rPr>
          <w:lang w:val="en-US"/>
        </w:rPr>
        <w:t>)</w:t>
      </w:r>
      <w:r w:rsidR="1C03FE97" w:rsidRPr="07D162B7">
        <w:rPr>
          <w:lang w:val="en-US"/>
        </w:rPr>
        <w:t>, more studies</w:t>
      </w:r>
      <w:r w:rsidR="62037766" w:rsidRPr="07D162B7">
        <w:rPr>
          <w:lang w:val="en-US"/>
        </w:rPr>
        <w:t xml:space="preserve"> with longer follow-ups</w:t>
      </w:r>
      <w:r w:rsidR="1C03FE97" w:rsidRPr="07D162B7">
        <w:rPr>
          <w:lang w:val="en-US"/>
        </w:rPr>
        <w:t xml:space="preserve"> are needed before </w:t>
      </w:r>
      <w:r w:rsidR="403BC1C3" w:rsidRPr="07D162B7">
        <w:rPr>
          <w:lang w:val="en-US"/>
        </w:rPr>
        <w:t xml:space="preserve">the MRAC can make </w:t>
      </w:r>
      <w:r w:rsidR="1C03FE97" w:rsidRPr="07D162B7">
        <w:rPr>
          <w:lang w:val="en-US"/>
        </w:rPr>
        <w:t>any firm, evidence-based recommendations</w:t>
      </w:r>
      <w:r w:rsidR="7EE745A1" w:rsidRPr="07D162B7">
        <w:rPr>
          <w:lang w:val="en-US"/>
        </w:rPr>
        <w:t xml:space="preserve">. </w:t>
      </w:r>
    </w:p>
    <w:p w14:paraId="2B0F92B6" w14:textId="1B1F3E8B" w:rsidR="002E447C" w:rsidRDefault="5F027B2E" w:rsidP="69ABD742">
      <w:pPr>
        <w:rPr>
          <w:lang w:val="en-US"/>
        </w:rPr>
      </w:pPr>
      <w:r w:rsidRPr="07D162B7">
        <w:rPr>
          <w:lang w:val="en-US"/>
        </w:rPr>
        <w:lastRenderedPageBreak/>
        <w:t>Despite these research limitations, the MRAC consider</w:t>
      </w:r>
      <w:r w:rsidR="00C337A0" w:rsidRPr="07D162B7">
        <w:rPr>
          <w:lang w:val="en-US"/>
        </w:rPr>
        <w:t>ed</w:t>
      </w:r>
      <w:r w:rsidRPr="07D162B7">
        <w:rPr>
          <w:lang w:val="en-US"/>
        </w:rPr>
        <w:t xml:space="preserve"> it self-evident that video consultations more closely </w:t>
      </w:r>
      <w:r w:rsidR="006E1B27" w:rsidRPr="07D162B7">
        <w:rPr>
          <w:lang w:val="en-US"/>
        </w:rPr>
        <w:t xml:space="preserve">resemble </w:t>
      </w:r>
      <w:r w:rsidRPr="07D162B7">
        <w:rPr>
          <w:lang w:val="en-US"/>
        </w:rPr>
        <w:t>face-to-face consultations</w:t>
      </w:r>
      <w:r w:rsidR="1E63DCBE" w:rsidRPr="07D162B7">
        <w:rPr>
          <w:lang w:val="en-US"/>
        </w:rPr>
        <w:t xml:space="preserve"> than</w:t>
      </w:r>
      <w:r w:rsidR="006E1B27" w:rsidRPr="07D162B7">
        <w:rPr>
          <w:lang w:val="en-US"/>
        </w:rPr>
        <w:t xml:space="preserve"> </w:t>
      </w:r>
      <w:r w:rsidR="00493859" w:rsidRPr="07D162B7">
        <w:rPr>
          <w:lang w:val="en-US"/>
        </w:rPr>
        <w:t>tele</w:t>
      </w:r>
      <w:r w:rsidR="1E63DCBE" w:rsidRPr="07D162B7">
        <w:rPr>
          <w:lang w:val="en-US"/>
        </w:rPr>
        <w:t>phone consultations</w:t>
      </w:r>
      <w:r w:rsidRPr="07D162B7">
        <w:rPr>
          <w:lang w:val="en-US"/>
        </w:rPr>
        <w:t xml:space="preserve">, </w:t>
      </w:r>
      <w:r w:rsidR="14026B46" w:rsidRPr="07D162B7">
        <w:rPr>
          <w:lang w:val="en-US"/>
        </w:rPr>
        <w:t xml:space="preserve">as they </w:t>
      </w:r>
      <w:r w:rsidRPr="07D162B7">
        <w:rPr>
          <w:lang w:val="en-US"/>
        </w:rPr>
        <w:t>giv</w:t>
      </w:r>
      <w:r w:rsidR="0F03C4B8" w:rsidRPr="07D162B7">
        <w:rPr>
          <w:lang w:val="en-US"/>
        </w:rPr>
        <w:t xml:space="preserve">e </w:t>
      </w:r>
      <w:r w:rsidRPr="07D162B7">
        <w:rPr>
          <w:lang w:val="en-US"/>
        </w:rPr>
        <w:t xml:space="preserve">clinicians access to both verbal and non-verbal information. This makes video preferable or necessary in some circumstances, such as with paediatric patients, when diagnosing conditions with visual </w:t>
      </w:r>
      <w:r w:rsidR="35D68E10" w:rsidRPr="07D162B7">
        <w:rPr>
          <w:lang w:val="en-US"/>
        </w:rPr>
        <w:t>signs</w:t>
      </w:r>
      <w:r w:rsidRPr="07D162B7">
        <w:rPr>
          <w:lang w:val="en-US"/>
        </w:rPr>
        <w:t xml:space="preserve">, and whenever observation of the patient is </w:t>
      </w:r>
      <w:r w:rsidR="00660173" w:rsidRPr="07D162B7">
        <w:rPr>
          <w:lang w:val="en-US"/>
        </w:rPr>
        <w:t xml:space="preserve">relevant. </w:t>
      </w:r>
      <w:r w:rsidRPr="07D162B7">
        <w:rPr>
          <w:lang w:val="en-US"/>
        </w:rPr>
        <w:t xml:space="preserve"> </w:t>
      </w:r>
    </w:p>
    <w:p w14:paraId="00865192" w14:textId="49A83556" w:rsidR="6CE81C24" w:rsidRDefault="6CE81C24" w:rsidP="27EC2B8D">
      <w:pPr>
        <w:rPr>
          <w:lang w:val="en-US"/>
        </w:rPr>
      </w:pPr>
      <w:r w:rsidRPr="07D162B7">
        <w:rPr>
          <w:lang w:val="en-US"/>
        </w:rPr>
        <w:t>However</w:t>
      </w:r>
      <w:r w:rsidR="2534A40C" w:rsidRPr="07D162B7">
        <w:rPr>
          <w:lang w:val="en-US"/>
        </w:rPr>
        <w:t>,</w:t>
      </w:r>
      <w:r w:rsidRPr="07D162B7">
        <w:rPr>
          <w:lang w:val="en-US"/>
        </w:rPr>
        <w:t xml:space="preserve"> it should be noted that </w:t>
      </w:r>
      <w:r w:rsidR="5198C0DD" w:rsidRPr="07D162B7">
        <w:rPr>
          <w:lang w:val="en-US"/>
        </w:rPr>
        <w:t xml:space="preserve">some patients and providers </w:t>
      </w:r>
      <w:r w:rsidRPr="07D162B7">
        <w:rPr>
          <w:lang w:val="en-US"/>
        </w:rPr>
        <w:t xml:space="preserve">experience difficulties with video consultations due to </w:t>
      </w:r>
      <w:r w:rsidR="25A36CB6" w:rsidRPr="07D162B7">
        <w:rPr>
          <w:lang w:val="en-US"/>
        </w:rPr>
        <w:t xml:space="preserve">issues such as </w:t>
      </w:r>
      <w:r w:rsidRPr="07D162B7">
        <w:rPr>
          <w:lang w:val="en-US"/>
        </w:rPr>
        <w:t>connectivity, a</w:t>
      </w:r>
      <w:r w:rsidR="19DEA432" w:rsidRPr="07D162B7">
        <w:rPr>
          <w:lang w:val="en-US"/>
        </w:rPr>
        <w:t>ccess to appropriate technology</w:t>
      </w:r>
      <w:r w:rsidR="5CEEC0B7" w:rsidRPr="07D162B7">
        <w:rPr>
          <w:lang w:val="en-US"/>
        </w:rPr>
        <w:t xml:space="preserve"> and devices</w:t>
      </w:r>
      <w:r w:rsidR="19DEA432" w:rsidRPr="07D162B7">
        <w:rPr>
          <w:lang w:val="en-US"/>
        </w:rPr>
        <w:t xml:space="preserve">, </w:t>
      </w:r>
      <w:r w:rsidR="10441053" w:rsidRPr="07D162B7">
        <w:rPr>
          <w:lang w:val="en-US"/>
        </w:rPr>
        <w:t xml:space="preserve">and </w:t>
      </w:r>
      <w:r w:rsidR="19DEA432" w:rsidRPr="07D162B7">
        <w:rPr>
          <w:lang w:val="en-US"/>
        </w:rPr>
        <w:t xml:space="preserve">digital literacy. </w:t>
      </w:r>
    </w:p>
    <w:p w14:paraId="64DA8767" w14:textId="293B70C2" w:rsidR="002E447C" w:rsidRDefault="7751E71F" w:rsidP="69ABD742">
      <w:pPr>
        <w:rPr>
          <w:rFonts w:eastAsia="Calibri"/>
          <w:lang w:val="en-US"/>
        </w:rPr>
      </w:pPr>
      <w:r w:rsidRPr="07D162B7">
        <w:rPr>
          <w:lang w:val="en-US"/>
        </w:rPr>
        <w:t>MRAC agreed that o</w:t>
      </w:r>
      <w:r w:rsidR="4471101D" w:rsidRPr="07D162B7">
        <w:rPr>
          <w:lang w:val="en-US"/>
        </w:rPr>
        <w:t xml:space="preserve">verall, </w:t>
      </w:r>
      <w:r w:rsidR="47BB8A3D" w:rsidRPr="07D162B7">
        <w:rPr>
          <w:lang w:val="en-US"/>
        </w:rPr>
        <w:t>clinicians</w:t>
      </w:r>
      <w:r w:rsidR="757B811A" w:rsidRPr="07D162B7">
        <w:rPr>
          <w:lang w:val="en-US"/>
        </w:rPr>
        <w:t xml:space="preserve"> must balance patient needs and preferences with clinical safety and effectiveness, and give clear guidance to practice manager</w:t>
      </w:r>
      <w:r w:rsidR="007F302B" w:rsidRPr="07D162B7">
        <w:rPr>
          <w:lang w:val="en-US"/>
        </w:rPr>
        <w:t>s</w:t>
      </w:r>
      <w:r w:rsidR="757B811A" w:rsidRPr="07D162B7">
        <w:rPr>
          <w:lang w:val="en-US"/>
        </w:rPr>
        <w:t xml:space="preserve"> and staff </w:t>
      </w:r>
      <w:r w:rsidR="007F302B" w:rsidRPr="07D162B7">
        <w:rPr>
          <w:lang w:val="en-US"/>
        </w:rPr>
        <w:t xml:space="preserve">who assist with patients’ bookings </w:t>
      </w:r>
      <w:r w:rsidR="757B811A" w:rsidRPr="07D162B7">
        <w:rPr>
          <w:lang w:val="en-US"/>
        </w:rPr>
        <w:t>about when to offer a telehealth consultation and which modality to use.</w:t>
      </w:r>
      <w:r w:rsidR="41A5C1FE" w:rsidRPr="07D162B7">
        <w:rPr>
          <w:lang w:val="en-US"/>
        </w:rPr>
        <w:t xml:space="preserve"> As such, </w:t>
      </w:r>
      <w:r w:rsidR="0E157658" w:rsidRPr="07D162B7">
        <w:rPr>
          <w:lang w:val="en-US"/>
        </w:rPr>
        <w:t>both video and phone modalities should be available</w:t>
      </w:r>
      <w:r w:rsidR="6C74EE24" w:rsidRPr="07D162B7">
        <w:rPr>
          <w:lang w:val="en-US"/>
        </w:rPr>
        <w:t xml:space="preserve"> to the clinician</w:t>
      </w:r>
      <w:r w:rsidR="0E157658" w:rsidRPr="07D162B7">
        <w:rPr>
          <w:lang w:val="en-US"/>
        </w:rPr>
        <w:t xml:space="preserve">, and </w:t>
      </w:r>
      <w:r w:rsidR="4610F952" w:rsidRPr="07D162B7">
        <w:rPr>
          <w:lang w:val="en-US"/>
        </w:rPr>
        <w:t xml:space="preserve">the </w:t>
      </w:r>
      <w:r w:rsidR="1B97674E" w:rsidRPr="07D162B7">
        <w:rPr>
          <w:lang w:val="en-US"/>
        </w:rPr>
        <w:t>technology should be readily set up and accessible.</w:t>
      </w:r>
    </w:p>
    <w:p w14:paraId="2E89766D" w14:textId="77777777" w:rsidR="002E447C" w:rsidRDefault="002E447C" w:rsidP="002E447C">
      <w:pPr>
        <w:pStyle w:val="Heading2"/>
        <w:rPr>
          <w:lang w:val="en-US"/>
        </w:rPr>
      </w:pPr>
      <w:bookmarkStart w:id="19" w:name="_Toc163814545"/>
      <w:r>
        <w:rPr>
          <w:lang w:val="en-US"/>
        </w:rPr>
        <w:t>Telehealth in the MBS</w:t>
      </w:r>
      <w:bookmarkEnd w:id="19"/>
    </w:p>
    <w:p w14:paraId="06B1B81F" w14:textId="7053F4AB" w:rsidR="00D81816" w:rsidRDefault="00D81816" w:rsidP="002060AD">
      <w:pPr>
        <w:pStyle w:val="Heading3"/>
        <w:rPr>
          <w:lang w:val="en-US"/>
        </w:rPr>
      </w:pPr>
      <w:bookmarkStart w:id="20" w:name="_Toc163814546"/>
      <w:r>
        <w:rPr>
          <w:lang w:val="en-US"/>
        </w:rPr>
        <w:t>MBS Telehealth Principles</w:t>
      </w:r>
      <w:bookmarkEnd w:id="20"/>
    </w:p>
    <w:p w14:paraId="7BF630B7" w14:textId="10A05FC0" w:rsidR="009D4C3F" w:rsidRDefault="005A7F7C" w:rsidP="002E447C">
      <w:pPr>
        <w:rPr>
          <w:lang w:val="en-US"/>
        </w:rPr>
      </w:pPr>
      <w:r w:rsidRPr="07D162B7">
        <w:rPr>
          <w:lang w:val="en-US"/>
        </w:rPr>
        <w:t>The MBS Telehealth Principles provide a framework</w:t>
      </w:r>
      <w:r w:rsidR="004B57D1" w:rsidRPr="07D162B7">
        <w:rPr>
          <w:lang w:val="en-US"/>
        </w:rPr>
        <w:t xml:space="preserve"> to </w:t>
      </w:r>
      <w:r w:rsidR="00151B47" w:rsidRPr="07D162B7">
        <w:rPr>
          <w:lang w:val="en-US"/>
        </w:rPr>
        <w:t xml:space="preserve">ensure </w:t>
      </w:r>
      <w:r w:rsidR="0D332E3B" w:rsidRPr="07D162B7">
        <w:rPr>
          <w:lang w:val="en-US"/>
        </w:rPr>
        <w:t xml:space="preserve">appropriate </w:t>
      </w:r>
      <w:r w:rsidR="00151B47" w:rsidRPr="07D162B7">
        <w:rPr>
          <w:lang w:val="en-US"/>
        </w:rPr>
        <w:t xml:space="preserve">access, safety and quality are maintained </w:t>
      </w:r>
      <w:r w:rsidR="00677474" w:rsidRPr="07D162B7">
        <w:rPr>
          <w:lang w:val="en-US"/>
        </w:rPr>
        <w:t>when</w:t>
      </w:r>
      <w:r w:rsidR="00151B47" w:rsidRPr="07D162B7">
        <w:rPr>
          <w:lang w:val="en-US"/>
        </w:rPr>
        <w:t xml:space="preserve"> future </w:t>
      </w:r>
      <w:r w:rsidR="007F302B" w:rsidRPr="07D162B7">
        <w:rPr>
          <w:lang w:val="en-US"/>
        </w:rPr>
        <w:t xml:space="preserve">changes to </w:t>
      </w:r>
      <w:r w:rsidR="00151B47" w:rsidRPr="07D162B7">
        <w:rPr>
          <w:lang w:val="en-US"/>
        </w:rPr>
        <w:t>telehealth MBS item</w:t>
      </w:r>
      <w:r w:rsidR="009D4C3F" w:rsidRPr="07D162B7">
        <w:rPr>
          <w:lang w:val="en-US"/>
        </w:rPr>
        <w:t>s</w:t>
      </w:r>
      <w:r w:rsidR="00677474" w:rsidRPr="07D162B7">
        <w:rPr>
          <w:lang w:val="en-US"/>
        </w:rPr>
        <w:t xml:space="preserve"> </w:t>
      </w:r>
      <w:r w:rsidR="007F302B" w:rsidRPr="07D162B7">
        <w:rPr>
          <w:lang w:val="en-US"/>
        </w:rPr>
        <w:t xml:space="preserve">and policies </w:t>
      </w:r>
      <w:r w:rsidR="00677474" w:rsidRPr="07D162B7">
        <w:rPr>
          <w:lang w:val="en-US"/>
        </w:rPr>
        <w:t>are considered</w:t>
      </w:r>
      <w:r w:rsidR="00151B47" w:rsidRPr="07D162B7">
        <w:rPr>
          <w:lang w:val="en-US"/>
        </w:rPr>
        <w:t>.</w:t>
      </w:r>
      <w:r w:rsidRPr="07D162B7">
        <w:rPr>
          <w:lang w:val="en-US"/>
        </w:rPr>
        <w:t xml:space="preserve"> </w:t>
      </w:r>
      <w:r w:rsidR="002E447C" w:rsidRPr="07D162B7">
        <w:rPr>
          <w:lang w:val="en-US"/>
        </w:rPr>
        <w:t>In line with its discussions about access, quality and safety, the MRAC proposed revisions to</w:t>
      </w:r>
      <w:r w:rsidR="009D4C3F" w:rsidRPr="07D162B7">
        <w:rPr>
          <w:lang w:val="en-US"/>
        </w:rPr>
        <w:t xml:space="preserve"> the existing Principles (see </w:t>
      </w:r>
      <w:hyperlink w:anchor="_Recommendation_1">
        <w:r w:rsidR="009D4C3F" w:rsidRPr="07D162B7">
          <w:rPr>
            <w:rStyle w:val="Hyperlink"/>
            <w:lang w:val="en-US"/>
          </w:rPr>
          <w:t>Recommendation</w:t>
        </w:r>
        <w:r w:rsidR="00683A0B" w:rsidRPr="07D162B7">
          <w:rPr>
            <w:rStyle w:val="Hyperlink"/>
            <w:lang w:val="en-US"/>
          </w:rPr>
          <w:t> 1</w:t>
        </w:r>
      </w:hyperlink>
      <w:r w:rsidR="009D4C3F" w:rsidRPr="07D162B7">
        <w:rPr>
          <w:lang w:val="en-US"/>
        </w:rPr>
        <w:t>)</w:t>
      </w:r>
      <w:r w:rsidR="002E447C" w:rsidRPr="07D162B7">
        <w:rPr>
          <w:lang w:val="en-US"/>
        </w:rPr>
        <w:t>.</w:t>
      </w:r>
    </w:p>
    <w:p w14:paraId="6626870E" w14:textId="005F01DA" w:rsidR="00D81816" w:rsidRDefault="00D81816" w:rsidP="002060AD">
      <w:pPr>
        <w:pStyle w:val="Heading3"/>
        <w:rPr>
          <w:lang w:val="en-US"/>
        </w:rPr>
      </w:pPr>
      <w:bookmarkStart w:id="21" w:name="_Toc163814547"/>
      <w:r>
        <w:rPr>
          <w:lang w:val="en-US"/>
        </w:rPr>
        <w:t>Appropriate types of telehealth services</w:t>
      </w:r>
      <w:bookmarkEnd w:id="21"/>
    </w:p>
    <w:p w14:paraId="75584C50" w14:textId="5DC5982B" w:rsidR="0044535B" w:rsidRDefault="0044535B" w:rsidP="0044535B">
      <w:pPr>
        <w:rPr>
          <w:rFonts w:eastAsia="Calibri" w:cs="Calibri"/>
          <w:lang w:val="en-US"/>
        </w:rPr>
      </w:pPr>
      <w:r w:rsidRPr="07D162B7">
        <w:rPr>
          <w:lang w:val="en-US"/>
        </w:rPr>
        <w:t>Overall, clinicians must balance patient needs and preferences with clinical safety and effectiveness. The practice manager and staff must also be well informed about when to offer a telehealth consultation to patient</w:t>
      </w:r>
      <w:r w:rsidR="603CA62D" w:rsidRPr="07D162B7">
        <w:rPr>
          <w:lang w:val="en-US"/>
        </w:rPr>
        <w:t>s</w:t>
      </w:r>
      <w:r w:rsidRPr="07D162B7">
        <w:rPr>
          <w:lang w:val="en-US"/>
        </w:rPr>
        <w:t xml:space="preserve"> when booking, and which modality to use</w:t>
      </w:r>
      <w:r w:rsidR="4661FE3F" w:rsidRPr="07D162B7">
        <w:rPr>
          <w:lang w:val="en-US"/>
        </w:rPr>
        <w:t xml:space="preserve"> (noting the cost implications if telehealth proves unsuitable and a subsequent face to face consultation is required)</w:t>
      </w:r>
      <w:r w:rsidRPr="07D162B7">
        <w:rPr>
          <w:lang w:val="en-US"/>
        </w:rPr>
        <w:t xml:space="preserve">. There are instances where telehealth may be inappropriate, and this should be communicated to patients. </w:t>
      </w:r>
      <w:r w:rsidR="00FE2116" w:rsidRPr="07D162B7">
        <w:rPr>
          <w:lang w:val="en-US"/>
        </w:rPr>
        <w:t xml:space="preserve">Conversely, patients should be able to access telehealth </w:t>
      </w:r>
      <w:r w:rsidR="00D548FC" w:rsidRPr="07D162B7">
        <w:rPr>
          <w:lang w:val="en-US"/>
        </w:rPr>
        <w:t xml:space="preserve">if it is their preference and it is </w:t>
      </w:r>
      <w:r w:rsidR="00FE2116" w:rsidRPr="07D162B7">
        <w:rPr>
          <w:lang w:val="en-US"/>
        </w:rPr>
        <w:t>appropriate.</w:t>
      </w:r>
    </w:p>
    <w:p w14:paraId="0F8F242B" w14:textId="784F7158" w:rsidR="006B2F87" w:rsidRDefault="00C4338D" w:rsidP="006B2F87">
      <w:pPr>
        <w:pStyle w:val="NormalBeforeBullet"/>
      </w:pPr>
      <w:r>
        <w:t>T</w:t>
      </w:r>
      <w:r w:rsidR="006B2F87">
        <w:t xml:space="preserve">he MRAC acknowledged </w:t>
      </w:r>
      <w:r w:rsidR="007F302B">
        <w:t xml:space="preserve">telephone consultations </w:t>
      </w:r>
      <w:r w:rsidR="008D6862">
        <w:t xml:space="preserve">are </w:t>
      </w:r>
      <w:r w:rsidR="006B2F87">
        <w:t xml:space="preserve">appropriate for the following </w:t>
      </w:r>
      <w:r w:rsidR="00837BFB">
        <w:t xml:space="preserve">services </w:t>
      </w:r>
      <w:r w:rsidR="006B2F87">
        <w:t xml:space="preserve">and </w:t>
      </w:r>
      <w:r w:rsidR="00837BFB">
        <w:t>sh</w:t>
      </w:r>
      <w:r w:rsidR="006B2F87">
        <w:t xml:space="preserve">ould be </w:t>
      </w:r>
      <w:r w:rsidR="00702829">
        <w:t>reintroduced</w:t>
      </w:r>
      <w:r w:rsidR="005A6C95">
        <w:t xml:space="preserve"> (see </w:t>
      </w:r>
      <w:hyperlink w:anchor="_Recommendation_2" w:history="1">
        <w:r w:rsidR="005A6C95" w:rsidRPr="005A6C95">
          <w:rPr>
            <w:rStyle w:val="Hyperlink"/>
          </w:rPr>
          <w:t>Recommendation 2</w:t>
        </w:r>
      </w:hyperlink>
      <w:r w:rsidR="005A6C95">
        <w:t>)</w:t>
      </w:r>
      <w:r w:rsidR="006B2F87">
        <w:t>:</w:t>
      </w:r>
    </w:p>
    <w:p w14:paraId="016B42B1" w14:textId="4942A5A3" w:rsidR="006B2F87" w:rsidRDefault="36C283EF" w:rsidP="006B2F87">
      <w:pPr>
        <w:pStyle w:val="Bullet"/>
      </w:pPr>
      <w:r>
        <w:t xml:space="preserve">GP </w:t>
      </w:r>
      <w:r w:rsidR="097944B5">
        <w:t>Chronic Disease Management plans and reviews</w:t>
      </w:r>
    </w:p>
    <w:p w14:paraId="0AEA3534" w14:textId="511492CA" w:rsidR="006B2F87" w:rsidRDefault="097944B5" w:rsidP="006B2F87">
      <w:pPr>
        <w:pStyle w:val="BulletBeforeDash"/>
      </w:pPr>
      <w:r>
        <w:t xml:space="preserve">subsequent </w:t>
      </w:r>
      <w:r w:rsidR="36C283EF">
        <w:t xml:space="preserve">consultations </w:t>
      </w:r>
      <w:r>
        <w:t>for consultant physicians</w:t>
      </w:r>
      <w:r w:rsidR="36C283EF">
        <w:t xml:space="preserve"> as part of ongoing care</w:t>
      </w:r>
      <w:r w:rsidR="7694C638">
        <w:t>.</w:t>
      </w:r>
    </w:p>
    <w:p w14:paraId="57870CD6" w14:textId="77777777" w:rsidR="002E447C" w:rsidRPr="00C76048" w:rsidRDefault="002E447C" w:rsidP="002E447C">
      <w:pPr>
        <w:pStyle w:val="Heading3"/>
        <w:rPr>
          <w:lang w:val="en-US"/>
        </w:rPr>
      </w:pPr>
      <w:bookmarkStart w:id="22" w:name="_Toc163814548"/>
      <w:r w:rsidRPr="00C76048">
        <w:rPr>
          <w:lang w:val="en-US"/>
        </w:rPr>
        <w:t>Asynchronous telehealth</w:t>
      </w:r>
      <w:bookmarkEnd w:id="22"/>
    </w:p>
    <w:p w14:paraId="73044D59" w14:textId="6A28028E" w:rsidR="002E447C" w:rsidRDefault="5F027B2E" w:rsidP="002E447C">
      <w:pPr>
        <w:rPr>
          <w:lang w:val="en-US"/>
        </w:rPr>
      </w:pPr>
      <w:r w:rsidRPr="69ABD742">
        <w:rPr>
          <w:lang w:val="en-US"/>
        </w:rPr>
        <w:t>Currently, the MBS only supports the synchronous (real</w:t>
      </w:r>
      <w:r w:rsidR="1BED7AA3" w:rsidRPr="69ABD742">
        <w:rPr>
          <w:lang w:val="en-US"/>
        </w:rPr>
        <w:t>-</w:t>
      </w:r>
      <w:r w:rsidRPr="69ABD742">
        <w:rPr>
          <w:lang w:val="en-US"/>
        </w:rPr>
        <w:t xml:space="preserve">time) delivery of telehealth services that are </w:t>
      </w:r>
      <w:r w:rsidR="00AC07D7">
        <w:rPr>
          <w:lang w:val="en-US"/>
        </w:rPr>
        <w:t>the same</w:t>
      </w:r>
      <w:r w:rsidR="00940C94">
        <w:rPr>
          <w:lang w:val="en-US"/>
        </w:rPr>
        <w:t xml:space="preserve"> as</w:t>
      </w:r>
      <w:r w:rsidRPr="69ABD742">
        <w:rPr>
          <w:lang w:val="en-US"/>
        </w:rPr>
        <w:t xml:space="preserve"> in-person consultations</w:t>
      </w:r>
      <w:r w:rsidR="00940C94">
        <w:rPr>
          <w:lang w:val="en-US"/>
        </w:rPr>
        <w:t xml:space="preserve">. This means the clinician must be providing care </w:t>
      </w:r>
      <w:r w:rsidR="008300F5">
        <w:rPr>
          <w:lang w:val="en-US"/>
        </w:rPr>
        <w:t xml:space="preserve">to a patient who is </w:t>
      </w:r>
      <w:r w:rsidRPr="69ABD742">
        <w:rPr>
          <w:lang w:val="en-US"/>
        </w:rPr>
        <w:t>present</w:t>
      </w:r>
      <w:r w:rsidR="008300F5">
        <w:rPr>
          <w:lang w:val="en-US"/>
        </w:rPr>
        <w:t xml:space="preserve"> at that time</w:t>
      </w:r>
      <w:r w:rsidR="00C406DF">
        <w:rPr>
          <w:lang w:val="en-US"/>
        </w:rPr>
        <w:t xml:space="preserve"> </w:t>
      </w:r>
      <w:r w:rsidR="00C406DF" w:rsidRPr="27EC2B8D">
        <w:rPr>
          <w:lang w:val="en-US"/>
        </w:rPr>
        <w:t>o</w:t>
      </w:r>
      <w:r w:rsidR="2977F2D6" w:rsidRPr="27EC2B8D">
        <w:rPr>
          <w:lang w:val="en-US"/>
        </w:rPr>
        <w:t>f</w:t>
      </w:r>
      <w:r w:rsidR="00C406DF">
        <w:rPr>
          <w:lang w:val="en-US"/>
        </w:rPr>
        <w:t xml:space="preserve"> a telehealth </w:t>
      </w:r>
      <w:r w:rsidR="003F779A">
        <w:rPr>
          <w:lang w:val="en-US"/>
        </w:rPr>
        <w:t>consultation</w:t>
      </w:r>
      <w:r w:rsidRPr="69ABD742">
        <w:rPr>
          <w:lang w:val="en-US"/>
        </w:rPr>
        <w:t>. Some stakeholders have advocated for MBS items</w:t>
      </w:r>
      <w:r w:rsidR="00C406DF">
        <w:rPr>
          <w:lang w:val="en-US"/>
        </w:rPr>
        <w:t xml:space="preserve"> to be created</w:t>
      </w:r>
      <w:r w:rsidRPr="69ABD742">
        <w:rPr>
          <w:lang w:val="en-US"/>
        </w:rPr>
        <w:t xml:space="preserve"> for asynchronous care, such as writing referrals, filling out forms or reviewing reports</w:t>
      </w:r>
      <w:r w:rsidR="00C406DF">
        <w:rPr>
          <w:lang w:val="en-US"/>
        </w:rPr>
        <w:t xml:space="preserve">, when the patient is not </w:t>
      </w:r>
      <w:r w:rsidR="00E40402">
        <w:rPr>
          <w:lang w:val="en-US"/>
        </w:rPr>
        <w:t>there</w:t>
      </w:r>
      <w:r w:rsidRPr="69ABD742">
        <w:rPr>
          <w:lang w:val="en-US"/>
        </w:rPr>
        <w:t>.</w:t>
      </w:r>
    </w:p>
    <w:p w14:paraId="049031BF" w14:textId="7D629EDF" w:rsidR="00752644" w:rsidRDefault="00CFEFDD" w:rsidP="002060AD">
      <w:pPr>
        <w:pStyle w:val="NormalBeforeBullet"/>
        <w:rPr>
          <w:lang w:val="en-US"/>
        </w:rPr>
      </w:pPr>
      <w:r w:rsidRPr="07D162B7">
        <w:rPr>
          <w:lang w:val="en-US"/>
        </w:rPr>
        <w:t xml:space="preserve">The MRAC </w:t>
      </w:r>
      <w:r w:rsidR="1107292A" w:rsidRPr="07D162B7">
        <w:rPr>
          <w:lang w:val="en-US"/>
        </w:rPr>
        <w:t>acknowledg</w:t>
      </w:r>
      <w:r w:rsidRPr="07D162B7">
        <w:rPr>
          <w:lang w:val="en-US"/>
        </w:rPr>
        <w:t>ed</w:t>
      </w:r>
      <w:r w:rsidR="1107292A" w:rsidRPr="07D162B7">
        <w:rPr>
          <w:lang w:val="en-US"/>
        </w:rPr>
        <w:t xml:space="preserve"> that many clinicians’ administrative workloads are increasing</w:t>
      </w:r>
      <w:r w:rsidRPr="07D162B7">
        <w:rPr>
          <w:lang w:val="en-US"/>
        </w:rPr>
        <w:t>. However</w:t>
      </w:r>
      <w:r w:rsidR="1107292A" w:rsidRPr="07D162B7">
        <w:rPr>
          <w:lang w:val="en-US"/>
        </w:rPr>
        <w:t>, the MRAC d</w:t>
      </w:r>
      <w:r w:rsidRPr="07D162B7">
        <w:rPr>
          <w:lang w:val="en-US"/>
        </w:rPr>
        <w:t>id</w:t>
      </w:r>
      <w:r w:rsidR="1107292A" w:rsidRPr="07D162B7">
        <w:rPr>
          <w:lang w:val="en-US"/>
        </w:rPr>
        <w:t xml:space="preserve"> not support creati</w:t>
      </w:r>
      <w:r w:rsidRPr="07D162B7">
        <w:rPr>
          <w:lang w:val="en-US"/>
        </w:rPr>
        <w:t>ng</w:t>
      </w:r>
      <w:r w:rsidR="1107292A" w:rsidRPr="07D162B7">
        <w:rPr>
          <w:lang w:val="en-US"/>
        </w:rPr>
        <w:t xml:space="preserve"> new items for asynchronous telehealth services</w:t>
      </w:r>
      <w:r w:rsidR="446BBB4B" w:rsidRPr="07D162B7">
        <w:rPr>
          <w:lang w:val="en-US"/>
        </w:rPr>
        <w:t xml:space="preserve"> (see </w:t>
      </w:r>
      <w:hyperlink w:anchor="_Recommendation_3">
        <w:r w:rsidR="446BBB4B" w:rsidRPr="07D162B7">
          <w:rPr>
            <w:rStyle w:val="Hyperlink"/>
            <w:lang w:val="en-US"/>
          </w:rPr>
          <w:t>Recommendation 3</w:t>
        </w:r>
      </w:hyperlink>
      <w:r w:rsidR="446BBB4B" w:rsidRPr="07D162B7">
        <w:rPr>
          <w:lang w:val="en-US"/>
        </w:rPr>
        <w:t>)</w:t>
      </w:r>
      <w:r w:rsidR="1107292A" w:rsidRPr="07D162B7">
        <w:rPr>
          <w:lang w:val="en-US"/>
        </w:rPr>
        <w:t>.</w:t>
      </w:r>
      <w:r w:rsidR="42BFC0AD" w:rsidRPr="07D162B7">
        <w:rPr>
          <w:lang w:val="en-US"/>
        </w:rPr>
        <w:t xml:space="preserve"> </w:t>
      </w:r>
      <w:r w:rsidR="57AF063D" w:rsidRPr="07D162B7">
        <w:rPr>
          <w:lang w:val="en-US"/>
        </w:rPr>
        <w:t>O</w:t>
      </w:r>
      <w:r w:rsidR="1441FFE2" w:rsidRPr="07D162B7">
        <w:rPr>
          <w:lang w:val="en-US"/>
        </w:rPr>
        <w:t>ther options could be explored instead, such as:</w:t>
      </w:r>
    </w:p>
    <w:p w14:paraId="06674FF8" w14:textId="014B6475" w:rsidR="00752644" w:rsidRDefault="41E8100D" w:rsidP="00752644">
      <w:pPr>
        <w:pStyle w:val="Bullet"/>
        <w:rPr>
          <w:lang w:val="en-US"/>
        </w:rPr>
      </w:pPr>
      <w:r w:rsidRPr="0A5255DE">
        <w:rPr>
          <w:lang w:val="en-US"/>
        </w:rPr>
        <w:t xml:space="preserve">reviewing the </w:t>
      </w:r>
      <w:r w:rsidR="1CF15597" w:rsidRPr="0A5255DE">
        <w:rPr>
          <w:lang w:val="en-US"/>
        </w:rPr>
        <w:t xml:space="preserve">fees </w:t>
      </w:r>
      <w:r w:rsidRPr="0A5255DE">
        <w:rPr>
          <w:lang w:val="en-US"/>
        </w:rPr>
        <w:t>for some MBS items</w:t>
      </w:r>
    </w:p>
    <w:p w14:paraId="6C9AE714" w14:textId="5169E578" w:rsidR="00752644" w:rsidRDefault="41E8100D" w:rsidP="00752644">
      <w:pPr>
        <w:pStyle w:val="Bullet"/>
        <w:rPr>
          <w:lang w:val="en-US"/>
        </w:rPr>
      </w:pPr>
      <w:r w:rsidRPr="0A5255DE">
        <w:rPr>
          <w:lang w:val="en-US"/>
        </w:rPr>
        <w:t>instituting longer items for patients</w:t>
      </w:r>
      <w:r w:rsidR="1CF15597" w:rsidRPr="0A5255DE">
        <w:rPr>
          <w:lang w:val="en-US"/>
        </w:rPr>
        <w:t xml:space="preserve"> to allow for appointments of varying lengths</w:t>
      </w:r>
    </w:p>
    <w:p w14:paraId="071846D9" w14:textId="29A0B102" w:rsidR="002E447C" w:rsidRDefault="41E8100D" w:rsidP="002060AD">
      <w:pPr>
        <w:pStyle w:val="BulletLast"/>
        <w:rPr>
          <w:lang w:val="en-US"/>
        </w:rPr>
      </w:pPr>
      <w:r w:rsidRPr="0A5255DE">
        <w:rPr>
          <w:lang w:val="en-US"/>
        </w:rPr>
        <w:t xml:space="preserve">considering other non-MBS funding pathways to </w:t>
      </w:r>
      <w:r w:rsidR="6FB41C08" w:rsidRPr="0A5255DE">
        <w:rPr>
          <w:lang w:val="en-US"/>
        </w:rPr>
        <w:t xml:space="preserve">compensate </w:t>
      </w:r>
      <w:r w:rsidRPr="0A5255DE">
        <w:rPr>
          <w:lang w:val="en-US"/>
        </w:rPr>
        <w:t>clinicians for administrative work.</w:t>
      </w:r>
      <w:r w:rsidR="0152C7B8" w:rsidRPr="0A5255DE">
        <w:rPr>
          <w:lang w:val="en-US"/>
        </w:rPr>
        <w:t xml:space="preserve"> </w:t>
      </w:r>
    </w:p>
    <w:p w14:paraId="49629B85" w14:textId="263A042A" w:rsidR="002E447C" w:rsidRDefault="00E1702F" w:rsidP="002E447C">
      <w:pPr>
        <w:pStyle w:val="Heading3"/>
        <w:rPr>
          <w:lang w:val="en-US"/>
        </w:rPr>
      </w:pPr>
      <w:bookmarkStart w:id="23" w:name="_Toc163814549"/>
      <w:r>
        <w:rPr>
          <w:szCs w:val="22"/>
          <w:lang w:val="en-US"/>
        </w:rPr>
        <w:t xml:space="preserve">Eligibility requirements </w:t>
      </w:r>
      <w:r w:rsidR="005A0AE8">
        <w:rPr>
          <w:szCs w:val="22"/>
          <w:lang w:val="en-US"/>
        </w:rPr>
        <w:t xml:space="preserve">and exemptions </w:t>
      </w:r>
      <w:r>
        <w:rPr>
          <w:szCs w:val="22"/>
          <w:lang w:val="en-US"/>
        </w:rPr>
        <w:t>for telehealth services</w:t>
      </w:r>
      <w:bookmarkEnd w:id="23"/>
    </w:p>
    <w:p w14:paraId="66F508FE" w14:textId="1C4C2E09" w:rsidR="002E447C" w:rsidRDefault="53FB32D0" w:rsidP="002E447C">
      <w:pPr>
        <w:rPr>
          <w:lang w:val="en-US"/>
        </w:rPr>
      </w:pPr>
      <w:r w:rsidRPr="165431D0">
        <w:rPr>
          <w:lang w:val="en-US"/>
        </w:rPr>
        <w:t>Currently, GPs and clinicians working in general practice can only provide MBS-rebated telehealth services if they have an existing and continuous relationship with the patient</w:t>
      </w:r>
      <w:r w:rsidR="00B85371">
        <w:rPr>
          <w:lang w:val="en-US"/>
        </w:rPr>
        <w:t xml:space="preserve">. This means that the clinician must have seen the patient in-person at least once in the past 12 months, known as </w:t>
      </w:r>
      <w:r w:rsidRPr="165431D0">
        <w:rPr>
          <w:lang w:val="en-US"/>
        </w:rPr>
        <w:t xml:space="preserve">the </w:t>
      </w:r>
      <w:r w:rsidR="019F638D" w:rsidRPr="165431D0">
        <w:rPr>
          <w:lang w:val="en-US"/>
        </w:rPr>
        <w:t>‘</w:t>
      </w:r>
      <w:r w:rsidRPr="165431D0">
        <w:rPr>
          <w:lang w:val="en-US"/>
        </w:rPr>
        <w:t>12-month rule’</w:t>
      </w:r>
      <w:r w:rsidR="00B85371">
        <w:rPr>
          <w:lang w:val="en-US"/>
        </w:rPr>
        <w:t xml:space="preserve"> or ‘1 in 12 rule’</w:t>
      </w:r>
      <w:r w:rsidRPr="165431D0">
        <w:rPr>
          <w:lang w:val="en-US"/>
        </w:rPr>
        <w:t xml:space="preserve">. Some items </w:t>
      </w:r>
      <w:r w:rsidR="00C4338D">
        <w:rPr>
          <w:lang w:val="en-US"/>
        </w:rPr>
        <w:t xml:space="preserve">and services </w:t>
      </w:r>
      <w:r w:rsidRPr="165431D0">
        <w:rPr>
          <w:lang w:val="en-US"/>
        </w:rPr>
        <w:t>are exempt from this requirement.</w:t>
      </w:r>
    </w:p>
    <w:p w14:paraId="6166E3A5" w14:textId="68F5CF74" w:rsidR="002E447C" w:rsidRDefault="10012937" w:rsidP="001A3982">
      <w:pPr>
        <w:pStyle w:val="NormalBeforeBullet"/>
        <w:rPr>
          <w:lang w:val="en-US"/>
        </w:rPr>
      </w:pPr>
      <w:r w:rsidRPr="69ABD742">
        <w:rPr>
          <w:lang w:val="en-US"/>
        </w:rPr>
        <w:t xml:space="preserve">The </w:t>
      </w:r>
      <w:r w:rsidR="5F027B2E" w:rsidRPr="69ABD742">
        <w:rPr>
          <w:lang w:val="en-US"/>
        </w:rPr>
        <w:t xml:space="preserve">MRAC </w:t>
      </w:r>
      <w:r w:rsidR="00C4338D">
        <w:rPr>
          <w:lang w:val="en-US"/>
        </w:rPr>
        <w:t xml:space="preserve">concurred that </w:t>
      </w:r>
      <w:r w:rsidR="00073EFC">
        <w:rPr>
          <w:lang w:val="en-US"/>
        </w:rPr>
        <w:t xml:space="preserve">there are some instances where </w:t>
      </w:r>
      <w:r w:rsidR="5F027B2E" w:rsidRPr="69ABD742">
        <w:rPr>
          <w:lang w:val="en-US"/>
        </w:rPr>
        <w:t xml:space="preserve">telehealth items should be exempt from </w:t>
      </w:r>
      <w:r w:rsidR="00C12671">
        <w:rPr>
          <w:lang w:val="en-US"/>
        </w:rPr>
        <w:t>the</w:t>
      </w:r>
      <w:r w:rsidR="001B7F5A">
        <w:rPr>
          <w:lang w:val="en-US"/>
        </w:rPr>
        <w:t xml:space="preserve"> 12</w:t>
      </w:r>
      <w:r w:rsidR="00C12671">
        <w:rPr>
          <w:lang w:val="en-US"/>
        </w:rPr>
        <w:t>-month rule</w:t>
      </w:r>
      <w:r w:rsidR="00C4338D">
        <w:rPr>
          <w:lang w:val="en-US"/>
        </w:rPr>
        <w:t>, and advised on when this may be of value</w:t>
      </w:r>
      <w:r w:rsidR="5F027B2E" w:rsidRPr="69ABD742">
        <w:rPr>
          <w:lang w:val="en-US"/>
        </w:rPr>
        <w:t>:</w:t>
      </w:r>
    </w:p>
    <w:p w14:paraId="433815F2" w14:textId="41F01704" w:rsidR="002E447C" w:rsidRDefault="321E5A63" w:rsidP="001A3982">
      <w:pPr>
        <w:pStyle w:val="Bullet"/>
        <w:rPr>
          <w:lang w:val="en-US"/>
        </w:rPr>
      </w:pPr>
      <w:r w:rsidRPr="0A5255DE">
        <w:rPr>
          <w:lang w:val="en-US"/>
        </w:rPr>
        <w:t xml:space="preserve">For </w:t>
      </w:r>
      <w:r w:rsidR="3BB6837F" w:rsidRPr="0A5255DE">
        <w:rPr>
          <w:lang w:val="en-US"/>
        </w:rPr>
        <w:t xml:space="preserve">presentations and issues </w:t>
      </w:r>
      <w:r w:rsidR="5B081E9D" w:rsidRPr="0A5255DE">
        <w:rPr>
          <w:lang w:val="en-US"/>
        </w:rPr>
        <w:t>that</w:t>
      </w:r>
      <w:r w:rsidR="3BB6837F" w:rsidRPr="0A5255DE">
        <w:rPr>
          <w:lang w:val="en-US"/>
        </w:rPr>
        <w:t xml:space="preserve"> are relatively acute and immediate </w:t>
      </w:r>
      <w:r w:rsidRPr="0A5255DE">
        <w:rPr>
          <w:lang w:val="en-US"/>
        </w:rPr>
        <w:t xml:space="preserve">care </w:t>
      </w:r>
      <w:r w:rsidR="3BB6837F" w:rsidRPr="0A5255DE">
        <w:rPr>
          <w:lang w:val="en-US"/>
        </w:rPr>
        <w:t xml:space="preserve">is </w:t>
      </w:r>
      <w:r w:rsidR="047C7EC2" w:rsidRPr="0A5255DE">
        <w:rPr>
          <w:lang w:val="en-US"/>
        </w:rPr>
        <w:t xml:space="preserve">time </w:t>
      </w:r>
      <w:r w:rsidR="3BB6837F" w:rsidRPr="0A5255DE">
        <w:rPr>
          <w:lang w:val="en-US"/>
        </w:rPr>
        <w:t>critical</w:t>
      </w:r>
      <w:r w:rsidRPr="0A5255DE">
        <w:rPr>
          <w:lang w:val="en-US"/>
        </w:rPr>
        <w:t>.</w:t>
      </w:r>
    </w:p>
    <w:p w14:paraId="59AEB90F" w14:textId="256A21C0" w:rsidR="002E447C" w:rsidRDefault="321E5A63" w:rsidP="001A3982">
      <w:pPr>
        <w:pStyle w:val="Bullet"/>
        <w:rPr>
          <w:lang w:val="en-US"/>
        </w:rPr>
      </w:pPr>
      <w:r w:rsidRPr="0A5255DE">
        <w:rPr>
          <w:lang w:val="en-US"/>
        </w:rPr>
        <w:t xml:space="preserve">When </w:t>
      </w:r>
      <w:r w:rsidR="3BB6837F" w:rsidRPr="0A5255DE">
        <w:rPr>
          <w:lang w:val="en-US"/>
        </w:rPr>
        <w:t>‘unrestricted’ access has a clear public health advantage</w:t>
      </w:r>
      <w:r w:rsidRPr="0A5255DE">
        <w:rPr>
          <w:lang w:val="en-US"/>
        </w:rPr>
        <w:t>.</w:t>
      </w:r>
    </w:p>
    <w:p w14:paraId="041A0B86" w14:textId="6448D3A8" w:rsidR="004D6A10" w:rsidRDefault="321E5A63" w:rsidP="00072C55">
      <w:pPr>
        <w:pStyle w:val="Bullet"/>
        <w:rPr>
          <w:lang w:val="en-US"/>
        </w:rPr>
      </w:pPr>
      <w:r w:rsidRPr="07D162B7">
        <w:rPr>
          <w:lang w:val="en-US"/>
        </w:rPr>
        <w:t xml:space="preserve">If </w:t>
      </w:r>
      <w:r w:rsidR="41E8100D" w:rsidRPr="07D162B7">
        <w:rPr>
          <w:lang w:val="en-US"/>
        </w:rPr>
        <w:t xml:space="preserve">a single consultation or episode of care is sufficient and unlikely to fragment care or </w:t>
      </w:r>
      <w:r w:rsidRPr="07D162B7">
        <w:rPr>
          <w:lang w:val="en-US"/>
        </w:rPr>
        <w:t xml:space="preserve">negatively </w:t>
      </w:r>
      <w:r w:rsidR="41E8100D" w:rsidRPr="07D162B7">
        <w:rPr>
          <w:lang w:val="en-US"/>
        </w:rPr>
        <w:t xml:space="preserve">affect </w:t>
      </w:r>
      <w:r w:rsidRPr="07D162B7">
        <w:rPr>
          <w:lang w:val="en-US"/>
        </w:rPr>
        <w:t xml:space="preserve">health </w:t>
      </w:r>
      <w:r w:rsidR="41E8100D" w:rsidRPr="07D162B7">
        <w:rPr>
          <w:lang w:val="en-US"/>
        </w:rPr>
        <w:t>outcomes.</w:t>
      </w:r>
    </w:p>
    <w:p w14:paraId="6608EDF5" w14:textId="3709B09C" w:rsidR="002E447C" w:rsidRDefault="5F027B2E" w:rsidP="002E447C">
      <w:pPr>
        <w:rPr>
          <w:lang w:val="en-US"/>
        </w:rPr>
      </w:pPr>
      <w:r w:rsidRPr="69ABD742">
        <w:rPr>
          <w:lang w:val="en-US"/>
        </w:rPr>
        <w:t xml:space="preserve">As well as agreeing </w:t>
      </w:r>
      <w:r w:rsidR="641A256A" w:rsidRPr="69ABD742">
        <w:rPr>
          <w:lang w:val="en-US"/>
        </w:rPr>
        <w:t>to</w:t>
      </w:r>
      <w:r w:rsidRPr="69ABD742">
        <w:rPr>
          <w:lang w:val="en-US"/>
        </w:rPr>
        <w:t xml:space="preserve"> these general principles, the MRAC considered specific temporary telehealth items that are currently exempt from the 12-month rule, but for which the exemption is due to expire. The MRAC recommended that telehealth </w:t>
      </w:r>
      <w:r w:rsidR="700F7404">
        <w:t xml:space="preserve">bloodborne virus and sexual </w:t>
      </w:r>
      <w:r w:rsidR="411D779D">
        <w:t>and reproductive health</w:t>
      </w:r>
      <w:r w:rsidR="411D779D" w:rsidRPr="69ABD742">
        <w:rPr>
          <w:lang w:val="en-US"/>
        </w:rPr>
        <w:t xml:space="preserve"> (</w:t>
      </w:r>
      <w:r w:rsidRPr="69ABD742">
        <w:rPr>
          <w:lang w:val="en-US"/>
        </w:rPr>
        <w:t>BBVSR</w:t>
      </w:r>
      <w:r w:rsidR="411D779D" w:rsidRPr="69ABD742">
        <w:rPr>
          <w:lang w:val="en-US"/>
        </w:rPr>
        <w:t>)</w:t>
      </w:r>
      <w:r w:rsidRPr="69ABD742">
        <w:rPr>
          <w:lang w:val="en-US"/>
        </w:rPr>
        <w:t xml:space="preserve"> and GP mental health treatment items remain exempt from the 12-month rule, citing (among other things) the need to ensure continued access for vulnerable populations</w:t>
      </w:r>
      <w:r w:rsidR="00562697">
        <w:rPr>
          <w:lang w:val="en-US"/>
        </w:rPr>
        <w:t xml:space="preserve"> (see </w:t>
      </w:r>
      <w:hyperlink w:anchor="_Recommendation_4" w:history="1">
        <w:r w:rsidR="00562697" w:rsidRPr="00562697">
          <w:rPr>
            <w:rStyle w:val="Hyperlink"/>
            <w:lang w:val="en-US"/>
          </w:rPr>
          <w:t>Recommendations 4–7</w:t>
        </w:r>
      </w:hyperlink>
      <w:r w:rsidR="00562697">
        <w:rPr>
          <w:lang w:val="en-US"/>
        </w:rPr>
        <w:t>)</w:t>
      </w:r>
      <w:r w:rsidRPr="69ABD742">
        <w:rPr>
          <w:lang w:val="en-US"/>
        </w:rPr>
        <w:t>.</w:t>
      </w:r>
    </w:p>
    <w:p w14:paraId="32E55AA9" w14:textId="043FB2A6" w:rsidR="0069305F" w:rsidRPr="004D6A10" w:rsidRDefault="07725B79" w:rsidP="0069305F">
      <w:pPr>
        <w:pStyle w:val="BulletLast"/>
        <w:numPr>
          <w:ilvl w:val="0"/>
          <w:numId w:val="0"/>
        </w:numPr>
        <w:rPr>
          <w:lang w:val="en-US"/>
        </w:rPr>
      </w:pPr>
      <w:r w:rsidRPr="07D162B7">
        <w:rPr>
          <w:lang w:val="en-US"/>
        </w:rPr>
        <w:t>MRAC also examined MyMedicare registration as an alternative eligibility measure for patients in a general practice setting</w:t>
      </w:r>
      <w:r w:rsidR="4988D359" w:rsidRPr="07D162B7">
        <w:rPr>
          <w:lang w:val="en-US"/>
        </w:rPr>
        <w:t xml:space="preserve">. MyMedicare registration </w:t>
      </w:r>
      <w:r w:rsidR="6807C44F" w:rsidRPr="07D162B7">
        <w:rPr>
          <w:lang w:val="en-US"/>
        </w:rPr>
        <w:t xml:space="preserve">reinforces continuity of care and </w:t>
      </w:r>
      <w:r w:rsidR="6756137E" w:rsidRPr="07D162B7">
        <w:rPr>
          <w:lang w:val="en-US"/>
        </w:rPr>
        <w:t xml:space="preserve">could </w:t>
      </w:r>
      <w:r w:rsidR="6807C44F" w:rsidRPr="07D162B7">
        <w:rPr>
          <w:lang w:val="en-US"/>
        </w:rPr>
        <w:t xml:space="preserve">exempt </w:t>
      </w:r>
      <w:r w:rsidR="4587F1CB" w:rsidRPr="07D162B7">
        <w:rPr>
          <w:lang w:val="en-US"/>
        </w:rPr>
        <w:t xml:space="preserve">registered patients </w:t>
      </w:r>
      <w:r w:rsidR="6807C44F" w:rsidRPr="07D162B7">
        <w:rPr>
          <w:lang w:val="en-US"/>
        </w:rPr>
        <w:t>from the 12-month</w:t>
      </w:r>
      <w:r w:rsidRPr="07D162B7">
        <w:rPr>
          <w:lang w:val="en-US"/>
        </w:rPr>
        <w:t xml:space="preserve"> </w:t>
      </w:r>
      <w:r w:rsidR="2FC9BAF2" w:rsidRPr="07D162B7">
        <w:rPr>
          <w:lang w:val="en-US"/>
        </w:rPr>
        <w:t>rule for MBS telehealth items</w:t>
      </w:r>
      <w:r w:rsidRPr="07D162B7">
        <w:rPr>
          <w:lang w:val="en-US"/>
        </w:rPr>
        <w:t xml:space="preserve"> </w:t>
      </w:r>
      <w:r w:rsidR="00812B7C" w:rsidRPr="07D162B7">
        <w:rPr>
          <w:lang w:val="en-US"/>
        </w:rPr>
        <w:t xml:space="preserve">that require it </w:t>
      </w:r>
      <w:r w:rsidRPr="07D162B7">
        <w:rPr>
          <w:lang w:val="en-US"/>
        </w:rPr>
        <w:t>(</w:t>
      </w:r>
      <w:r w:rsidR="6118EFB0" w:rsidRPr="07D162B7">
        <w:rPr>
          <w:lang w:val="en-US"/>
        </w:rPr>
        <w:t xml:space="preserve">also </w:t>
      </w:r>
      <w:hyperlink w:anchor="_Recommendation_7" w:history="1">
        <w:r w:rsidRPr="07D162B7">
          <w:rPr>
            <w:rStyle w:val="Hyperlink"/>
            <w:lang w:val="en-US"/>
          </w:rPr>
          <w:t>Recommendation 7</w:t>
        </w:r>
      </w:hyperlink>
      <w:r w:rsidRPr="07D162B7">
        <w:rPr>
          <w:lang w:val="en-US"/>
        </w:rPr>
        <w:t xml:space="preserve">). </w:t>
      </w:r>
    </w:p>
    <w:p w14:paraId="7F9DC138" w14:textId="1AB5371D" w:rsidR="002E447C" w:rsidRDefault="06311AE1" w:rsidP="0A5255DE">
      <w:pPr>
        <w:spacing w:line="259" w:lineRule="auto"/>
      </w:pPr>
      <w:r w:rsidRPr="07D162B7">
        <w:rPr>
          <w:lang w:val="en-US"/>
        </w:rPr>
        <w:t>At present, the 12-month rule does not apply to nurse practitioners</w:t>
      </w:r>
      <w:r w:rsidR="55C41451" w:rsidRPr="07D162B7">
        <w:rPr>
          <w:lang w:val="en-US"/>
        </w:rPr>
        <w:t xml:space="preserve"> and participating midwives</w:t>
      </w:r>
      <w:r w:rsidRPr="07D162B7">
        <w:rPr>
          <w:lang w:val="en-US"/>
        </w:rPr>
        <w:t>. To support</w:t>
      </w:r>
      <w:r w:rsidR="78673601" w:rsidRPr="07D162B7">
        <w:rPr>
          <w:lang w:val="en-US"/>
        </w:rPr>
        <w:t xml:space="preserve"> equality in how telehealth </w:t>
      </w:r>
      <w:r w:rsidR="48BAAD7A" w:rsidRPr="07D162B7">
        <w:rPr>
          <w:lang w:val="en-US"/>
        </w:rPr>
        <w:t>works</w:t>
      </w:r>
      <w:r w:rsidR="78673601" w:rsidRPr="07D162B7">
        <w:rPr>
          <w:lang w:val="en-US"/>
        </w:rPr>
        <w:t xml:space="preserve"> for nurse practitioners and GPs, </w:t>
      </w:r>
      <w:r w:rsidRPr="07D162B7">
        <w:rPr>
          <w:lang w:val="en-US"/>
        </w:rPr>
        <w:t>continuity of care and align</w:t>
      </w:r>
      <w:r w:rsidR="78673601" w:rsidRPr="07D162B7">
        <w:rPr>
          <w:lang w:val="en-US"/>
        </w:rPr>
        <w:t>ment</w:t>
      </w:r>
      <w:r w:rsidRPr="07D162B7">
        <w:rPr>
          <w:lang w:val="en-US"/>
        </w:rPr>
        <w:t xml:space="preserve"> with the Telehealth Principles, the </w:t>
      </w:r>
      <w:r>
        <w:t xml:space="preserve">MRAC considered it appropriate to </w:t>
      </w:r>
      <w:r w:rsidR="077F7605">
        <w:t>apply</w:t>
      </w:r>
      <w:r>
        <w:t xml:space="preserve"> the 12-month rule to nurse practitioner MBS telehealth items</w:t>
      </w:r>
      <w:r w:rsidR="101D8149">
        <w:t xml:space="preserve"> with exemptions</w:t>
      </w:r>
      <w:r w:rsidR="48BAAD7A">
        <w:t xml:space="preserve"> (as nurse practitioner </w:t>
      </w:r>
      <w:r w:rsidR="5BE461CE">
        <w:t>telehealth should</w:t>
      </w:r>
      <w:r w:rsidR="48BAAD7A">
        <w:t xml:space="preserve"> work the same way that GP telehealth does). </w:t>
      </w:r>
      <w:r w:rsidR="497782BC">
        <w:t>Overall</w:t>
      </w:r>
      <w:r w:rsidR="2135AA4E">
        <w:t xml:space="preserve">, </w:t>
      </w:r>
      <w:r w:rsidR="01D9567A">
        <w:t>c</w:t>
      </w:r>
      <w:r w:rsidR="78673601">
        <w:t xml:space="preserve">ontinuous care is important </w:t>
      </w:r>
      <w:r w:rsidR="21CB6FB5" w:rsidRPr="07D162B7">
        <w:rPr>
          <w:lang w:val="en-US"/>
        </w:rPr>
        <w:t xml:space="preserve">for </w:t>
      </w:r>
      <w:r w:rsidR="78673601">
        <w:t xml:space="preserve">telehealth provided by </w:t>
      </w:r>
      <w:r w:rsidR="30124776">
        <w:t>nurse prac</w:t>
      </w:r>
      <w:r w:rsidR="5A552790">
        <w:t>t</w:t>
      </w:r>
      <w:r w:rsidR="30124776">
        <w:t>itioner</w:t>
      </w:r>
      <w:r w:rsidR="48BAAD7A">
        <w:t>s</w:t>
      </w:r>
      <w:r w:rsidR="78673601">
        <w:t xml:space="preserve"> </w:t>
      </w:r>
      <w:r w:rsidR="064D65AF">
        <w:t xml:space="preserve">and midwives, </w:t>
      </w:r>
      <w:r w:rsidR="1A473D38">
        <w:t>although the current specification of the 12-month rule is less relevant for midwives whose services are based</w:t>
      </w:r>
      <w:r w:rsidR="2B92B4F5">
        <w:t xml:space="preserve"> on pregnancies </w:t>
      </w:r>
      <w:r w:rsidR="081BF0A0">
        <w:t>(see )</w:t>
      </w:r>
      <w:r w:rsidR="3F02D18F">
        <w:t>.</w:t>
      </w:r>
      <w:r w:rsidR="18D5795A">
        <w:t xml:space="preserve"> </w:t>
      </w:r>
    </w:p>
    <w:p w14:paraId="65DFC80C" w14:textId="649F73A7" w:rsidR="00E35F75" w:rsidRDefault="4F893F14" w:rsidP="07D162B7">
      <w:pPr>
        <w:spacing w:line="259" w:lineRule="auto"/>
      </w:pPr>
      <w:r>
        <w:t xml:space="preserve">Currently, MBS items for </w:t>
      </w:r>
      <w:r w:rsidR="18BF83B2">
        <w:t xml:space="preserve">non-GP </w:t>
      </w:r>
      <w:r>
        <w:t xml:space="preserve">specialist consultations do not have the 12-month rule </w:t>
      </w:r>
      <w:r w:rsidR="15919519">
        <w:t xml:space="preserve">or other </w:t>
      </w:r>
      <w:r>
        <w:t>eligibility requirements</w:t>
      </w:r>
      <w:r w:rsidR="6AFA9781">
        <w:t xml:space="preserve"> </w:t>
      </w:r>
      <w:r w:rsidR="5F682B39">
        <w:t xml:space="preserve">based on </w:t>
      </w:r>
      <w:r w:rsidR="4B9AD924">
        <w:t xml:space="preserve">prior </w:t>
      </w:r>
      <w:r w:rsidR="5F682B39">
        <w:t>face-to-face services</w:t>
      </w:r>
      <w:r w:rsidR="23785619">
        <w:t xml:space="preserve">. </w:t>
      </w:r>
    </w:p>
    <w:p w14:paraId="42576EA4" w14:textId="700707B3" w:rsidR="00E35F75" w:rsidRDefault="613D6E37" w:rsidP="07D162B7">
      <w:pPr>
        <w:spacing w:line="259" w:lineRule="auto"/>
      </w:pPr>
      <w:r>
        <w:t>T</w:t>
      </w:r>
      <w:r w:rsidR="792E2D46">
        <w:t xml:space="preserve">he MRAC </w:t>
      </w:r>
      <w:r w:rsidR="61A6D0FC">
        <w:t xml:space="preserve">acknowledged </w:t>
      </w:r>
      <w:r w:rsidR="43EA8FCF">
        <w:t>stakeholder feedback</w:t>
      </w:r>
      <w:r w:rsidR="792E2D46">
        <w:t xml:space="preserve"> that </w:t>
      </w:r>
      <w:r w:rsidR="01EAF1EC">
        <w:t xml:space="preserve">a draft recommendation for initial </w:t>
      </w:r>
      <w:r w:rsidR="601F8A19">
        <w:t xml:space="preserve">non-GP specialist </w:t>
      </w:r>
      <w:r w:rsidR="01EAF1EC">
        <w:t xml:space="preserve">consultations to be in-person only </w:t>
      </w:r>
      <w:r w:rsidR="5D2B9DD9">
        <w:t xml:space="preserve">could </w:t>
      </w:r>
      <w:r w:rsidR="792E2D46">
        <w:t xml:space="preserve">disadvantage </w:t>
      </w:r>
      <w:r w:rsidR="4B875267">
        <w:t xml:space="preserve">many </w:t>
      </w:r>
      <w:r w:rsidR="792E2D46">
        <w:t>patients, especially those who</w:t>
      </w:r>
      <w:r w:rsidR="4B875267">
        <w:t xml:space="preserve"> need</w:t>
      </w:r>
      <w:r w:rsidR="792E2D46">
        <w:t xml:space="preserve"> </w:t>
      </w:r>
      <w:r w:rsidR="3A689A08">
        <w:t xml:space="preserve">to </w:t>
      </w:r>
      <w:r w:rsidR="792E2D46">
        <w:t>travel long distances to see a non-GP specialist.</w:t>
      </w:r>
      <w:r w:rsidR="0CD3D44E">
        <w:t xml:space="preserve"> </w:t>
      </w:r>
      <w:r w:rsidR="13CFBA3A">
        <w:t xml:space="preserve">The MRAC acknowledged that there are circumstances where patient care would not be negatively affected by a telehealth service with a non-GP specialist for an initial consultation. </w:t>
      </w:r>
    </w:p>
    <w:p w14:paraId="303498E3" w14:textId="35101ED7" w:rsidR="00E35F75" w:rsidRDefault="0CD3D44E" w:rsidP="0A5255DE">
      <w:pPr>
        <w:spacing w:line="259" w:lineRule="auto"/>
      </w:pPr>
      <w:r>
        <w:t>Thus, the MRAC recommend</w:t>
      </w:r>
      <w:r w:rsidR="4B875267">
        <w:t>ed</w:t>
      </w:r>
      <w:r>
        <w:t xml:space="preserve"> that the current </w:t>
      </w:r>
      <w:r w:rsidR="4B875267">
        <w:t>eligibility and exemptions not be changed for non-GP specialists</w:t>
      </w:r>
      <w:r w:rsidR="37DB44FB">
        <w:t xml:space="preserve"> </w:t>
      </w:r>
      <w:r w:rsidR="4B875267">
        <w:t>(see ).</w:t>
      </w:r>
      <w:r w:rsidR="39DD2D05">
        <w:t xml:space="preserve"> To address any disadvantage the patients may experience, the MRAC strongly recommended the reintroduction of patient-end support for telehealth consultations with non-GP specialists with no geographical limitations</w:t>
      </w:r>
      <w:r w:rsidR="393CAEE8">
        <w:t>.</w:t>
      </w:r>
      <w:r w:rsidR="39DD2D05">
        <w:t xml:space="preserve"> </w:t>
      </w:r>
    </w:p>
    <w:p w14:paraId="44FC6D81" w14:textId="1E12D314" w:rsidR="002E447C" w:rsidRDefault="78B06DAA" w:rsidP="002E447C">
      <w:pPr>
        <w:pStyle w:val="Heading3"/>
        <w:rPr>
          <w:lang w:val="en-US"/>
        </w:rPr>
      </w:pPr>
      <w:bookmarkStart w:id="24" w:name="_Toc163814550"/>
      <w:r w:rsidRPr="07D162B7">
        <w:rPr>
          <w:lang w:val="en-US"/>
        </w:rPr>
        <w:t>Strengthening access to</w:t>
      </w:r>
      <w:r w:rsidR="002E447C" w:rsidRPr="07D162B7">
        <w:rPr>
          <w:lang w:val="en-US"/>
        </w:rPr>
        <w:t xml:space="preserve"> patient-end support</w:t>
      </w:r>
      <w:bookmarkEnd w:id="24"/>
    </w:p>
    <w:p w14:paraId="2301CBD3" w14:textId="69D89C35" w:rsidR="002E447C" w:rsidRDefault="546A374B" w:rsidP="0DE963AE">
      <w:pPr>
        <w:spacing w:line="259" w:lineRule="auto"/>
      </w:pPr>
      <w:r>
        <w:t xml:space="preserve">The MRAC recommended the reintroduction of </w:t>
      </w:r>
      <w:r w:rsidR="0124F5CA">
        <w:t xml:space="preserve">MBS </w:t>
      </w:r>
      <w:r>
        <w:t xml:space="preserve">patient-end support </w:t>
      </w:r>
      <w:r w:rsidR="2F419621">
        <w:t xml:space="preserve">services </w:t>
      </w:r>
      <w:r>
        <w:t xml:space="preserve">by </w:t>
      </w:r>
      <w:r w:rsidR="1201A1B3">
        <w:t xml:space="preserve">GPs </w:t>
      </w:r>
      <w:r w:rsidR="5FEBD3AF">
        <w:t xml:space="preserve">for </w:t>
      </w:r>
      <w:r w:rsidR="1201A1B3">
        <w:t>non-GP specialist</w:t>
      </w:r>
      <w:r w:rsidR="5FEBD3AF">
        <w:t xml:space="preserve"> telehealth consultations</w:t>
      </w:r>
      <w:r w:rsidR="2F419621">
        <w:t>.</w:t>
      </w:r>
      <w:r w:rsidR="31FCAA3F">
        <w:t xml:space="preserve"> Members </w:t>
      </w:r>
      <w:r w:rsidR="0685203C" w:rsidRPr="232E8DEF">
        <w:rPr>
          <w:lang w:val="en-US"/>
        </w:rPr>
        <w:t xml:space="preserve">discussed </w:t>
      </w:r>
      <w:r w:rsidRPr="232E8DEF">
        <w:rPr>
          <w:lang w:val="en-US"/>
        </w:rPr>
        <w:t xml:space="preserve">how the MBS could be used to </w:t>
      </w:r>
      <w:r w:rsidR="16F44198">
        <w:t xml:space="preserve">provide </w:t>
      </w:r>
      <w:r>
        <w:t>patient-end support for telehealth consultations with</w:t>
      </w:r>
      <w:r w:rsidR="30F7EC67">
        <w:t xml:space="preserve"> other</w:t>
      </w:r>
      <w:r>
        <w:t xml:space="preserve"> </w:t>
      </w:r>
      <w:r w:rsidR="16F44198">
        <w:t>clinicians</w:t>
      </w:r>
      <w:r w:rsidR="48596BFE">
        <w:t xml:space="preserve"> to further support high quality consultations (as they provide the opportunity for a trusted</w:t>
      </w:r>
      <w:r w:rsidR="40327F38">
        <w:t xml:space="preserve"> clinician to support engagement with a remote clinician and </w:t>
      </w:r>
      <w:r w:rsidR="0D6C9E80">
        <w:t>opportunities for coordinated team care)</w:t>
      </w:r>
      <w:r w:rsidR="69528240">
        <w:t>.</w:t>
      </w:r>
      <w:r w:rsidR="64071FEB">
        <w:t xml:space="preserve"> </w:t>
      </w:r>
      <w:r w:rsidR="0E3FD0E0">
        <w:t>It was noted that this is how MBS GP patient end support worked prior to 2022</w:t>
      </w:r>
      <w:r w:rsidR="524D4BAD" w:rsidRPr="232E8DEF">
        <w:rPr>
          <w:lang w:val="en-US"/>
        </w:rPr>
        <w:t>.</w:t>
      </w:r>
      <w:r w:rsidR="2F419621">
        <w:t>The MRAC</w:t>
      </w:r>
      <w:r w:rsidR="50495575">
        <w:t xml:space="preserve"> also</w:t>
      </w:r>
      <w:r w:rsidR="2F419621">
        <w:t xml:space="preserve"> recommended </w:t>
      </w:r>
      <w:r w:rsidR="7FC429E8">
        <w:t xml:space="preserve">that </w:t>
      </w:r>
      <w:r w:rsidR="0124F5CA">
        <w:t xml:space="preserve">MBS </w:t>
      </w:r>
      <w:r w:rsidR="2F419621">
        <w:t xml:space="preserve">patient-end support services be extended to </w:t>
      </w:r>
      <w:r>
        <w:t>nurse</w:t>
      </w:r>
      <w:r w:rsidR="7FC429E8">
        <w:t xml:space="preserve"> practitioners</w:t>
      </w:r>
      <w:r>
        <w:t xml:space="preserve"> </w:t>
      </w:r>
      <w:r w:rsidR="7FC429E8">
        <w:t>and</w:t>
      </w:r>
      <w:r>
        <w:t xml:space="preserve"> allied health clinicians to facilitate GP consultations</w:t>
      </w:r>
      <w:r w:rsidR="729AA3BF">
        <w:t xml:space="preserve">, and </w:t>
      </w:r>
      <w:r w:rsidR="7FC429E8">
        <w:t>that additional patient</w:t>
      </w:r>
      <w:r w:rsidR="4ED4D93E">
        <w:t>-</w:t>
      </w:r>
      <w:r w:rsidR="7FC429E8">
        <w:t xml:space="preserve">end support services should be available in residential aged care settings </w:t>
      </w:r>
      <w:r w:rsidR="668371A3">
        <w:t xml:space="preserve">(see </w:t>
      </w:r>
      <w:hyperlink r:id="rId13">
        <w:r w:rsidR="524D4BAD">
          <w:t>Recommendation 10</w:t>
        </w:r>
      </w:hyperlink>
      <w:r w:rsidR="668371A3">
        <w:t>)</w:t>
      </w:r>
      <w:r>
        <w:t>.</w:t>
      </w:r>
      <w:r w:rsidR="166A97C1">
        <w:t xml:space="preserve"> </w:t>
      </w:r>
      <w:r>
        <w:t>.</w:t>
      </w:r>
      <w:r w:rsidR="166A97C1">
        <w:t xml:space="preserve"> </w:t>
      </w:r>
    </w:p>
    <w:p w14:paraId="24062B12" w14:textId="3C4AC38D" w:rsidR="008358C3" w:rsidRPr="008358C3" w:rsidRDefault="5F027B2E" w:rsidP="0080463A">
      <w:pPr>
        <w:pStyle w:val="Heading1"/>
        <w:rPr>
          <w:lang w:val="en-US"/>
        </w:rPr>
      </w:pPr>
      <w:bookmarkStart w:id="25" w:name="_Recommendations"/>
      <w:bookmarkStart w:id="26" w:name="_Toc163814551"/>
      <w:bookmarkEnd w:id="25"/>
      <w:r w:rsidRPr="69ABD742">
        <w:rPr>
          <w:lang w:val="en-US"/>
        </w:rPr>
        <w:t>Recommendations</w:t>
      </w:r>
      <w:bookmarkEnd w:id="26"/>
    </w:p>
    <w:p w14:paraId="3E1CD9DB" w14:textId="705EE2A9" w:rsidR="007E7EF9" w:rsidRDefault="002E447C" w:rsidP="007E7EF9">
      <w:pPr>
        <w:pStyle w:val="Heading3"/>
      </w:pPr>
      <w:bookmarkStart w:id="27" w:name="_Recommendation_1"/>
      <w:bookmarkStart w:id="28" w:name="_Toc163814552"/>
      <w:bookmarkEnd w:id="27"/>
      <w:r w:rsidRPr="002E447C">
        <w:t>Recommendation 1</w:t>
      </w:r>
      <w:bookmarkEnd w:id="28"/>
    </w:p>
    <w:p w14:paraId="27FBFD45" w14:textId="032A68F5" w:rsidR="002E447C" w:rsidRDefault="002E447C" w:rsidP="00683A0B">
      <w:r w:rsidRPr="00C8077C">
        <w:t xml:space="preserve">Adopt the revised MBS Telehealth </w:t>
      </w:r>
      <w:r w:rsidR="00D3781A">
        <w:t>P</w:t>
      </w:r>
      <w:r w:rsidRPr="00C8077C">
        <w:t>rinciples</w:t>
      </w:r>
    </w:p>
    <w:p w14:paraId="7B2C1655" w14:textId="13604029" w:rsidR="00920493" w:rsidRDefault="00920493" w:rsidP="00920493">
      <w:r>
        <w:t xml:space="preserve">The MBS Telehealth Principles (the Principles) are intended to guide the development and implementation of MBS telehealth policy, including the creation and amendment of MBS items. The Principles were developed under the premise that telehealth should not completely replace face to face consultations, which remain the preferred standard of care. Consultations provided in-person present greater opportunities for more comprehensive investigations and are likely to be more </w:t>
      </w:r>
      <w:r w:rsidR="6E335F64">
        <w:t>beneficial</w:t>
      </w:r>
      <w:r>
        <w:t xml:space="preserve"> for patients and providers. However, there are many scenarios where telehealth – both video and phone – can </w:t>
      </w:r>
      <w:r w:rsidR="323FAD8D">
        <w:t>have</w:t>
      </w:r>
      <w:r>
        <w:t xml:space="preserve"> equivalent </w:t>
      </w:r>
      <w:r w:rsidR="0EC90A65">
        <w:t>outcomes</w:t>
      </w:r>
      <w:r>
        <w:t xml:space="preserve"> to in-person care and has potential to add value with increased flexibility and frequency of care. </w:t>
      </w:r>
    </w:p>
    <w:p w14:paraId="561E3F65" w14:textId="52AF0968" w:rsidR="00DF2585" w:rsidRDefault="00920493" w:rsidP="002E447C">
      <w:r>
        <w:t>Adherence to these Principles is expected to achieve a necessary balance between facilitating access to care while ensuring that the quality of care and patient safety are not compromised. The current range of MBS telehealth services have been created as equivalent substitutes for in-person consultation, including in relation to their fees and rebates. The best available evidence for telehealth in this context relates to its use as part of continuous care – to known patients for known health conditions. This is critical for maintaining the safety and value of MBS telehealth services.</w:t>
      </w:r>
      <w:r w:rsidR="0079519F">
        <w:t xml:space="preserve"> </w:t>
      </w:r>
    </w:p>
    <w:p w14:paraId="27C44789" w14:textId="15FFBE54" w:rsidR="002D3443" w:rsidRDefault="002D3443" w:rsidP="00E40118">
      <w:pPr>
        <w:pStyle w:val="BoxName"/>
      </w:pPr>
      <w:r w:rsidRPr="00C27A89">
        <w:t xml:space="preserve">MBS Telehealth Principles </w:t>
      </w:r>
    </w:p>
    <w:p w14:paraId="2FF91D53" w14:textId="77777777" w:rsidR="002D3443" w:rsidRDefault="002D3443" w:rsidP="00E40118">
      <w:pPr>
        <w:pStyle w:val="BoxText"/>
      </w:pPr>
      <w:r>
        <w:t xml:space="preserve">Telehealth items in the MBS should consider the following: </w:t>
      </w:r>
    </w:p>
    <w:p w14:paraId="02E6C8BB" w14:textId="39226137" w:rsidR="002D3443" w:rsidRDefault="002D3443" w:rsidP="00EC7EB5">
      <w:pPr>
        <w:pStyle w:val="BoxText"/>
        <w:numPr>
          <w:ilvl w:val="0"/>
          <w:numId w:val="14"/>
        </w:numPr>
      </w:pPr>
      <w:r>
        <w:t xml:space="preserve">Should be patient-focused and based on patient need, as determined by shared decision making between the clinician and the patient. </w:t>
      </w:r>
    </w:p>
    <w:p w14:paraId="6AAF5DA9" w14:textId="76F8580A" w:rsidR="002D3443" w:rsidRDefault="002D3443" w:rsidP="00EC7EB5">
      <w:pPr>
        <w:pStyle w:val="BoxText"/>
        <w:numPr>
          <w:ilvl w:val="0"/>
          <w:numId w:val="14"/>
        </w:numPr>
      </w:pPr>
      <w:r>
        <w:t xml:space="preserve">Must support safe, private and quality services for patients, aligning with the clinical requirements of the equivalent face-to-face service and demonstrating clinical efficacy. </w:t>
      </w:r>
    </w:p>
    <w:p w14:paraId="64A91148" w14:textId="30566867" w:rsidR="002D3443" w:rsidRDefault="002D3443" w:rsidP="00EC7EB5">
      <w:pPr>
        <w:pStyle w:val="BoxText"/>
        <w:numPr>
          <w:ilvl w:val="0"/>
          <w:numId w:val="14"/>
        </w:numPr>
      </w:pPr>
      <w:r>
        <w:t xml:space="preserve">Should be provided in the context of coordinated and continuous care between patient and clinician. </w:t>
      </w:r>
    </w:p>
    <w:p w14:paraId="4508F5C9" w14:textId="7DEFF920" w:rsidR="002D3443" w:rsidRDefault="002D3443" w:rsidP="00EC7EB5">
      <w:pPr>
        <w:pStyle w:val="BoxText"/>
        <w:numPr>
          <w:ilvl w:val="0"/>
          <w:numId w:val="14"/>
        </w:numPr>
      </w:pPr>
      <w:r>
        <w:t xml:space="preserve">Must not create unintended consequences or perverse incentives that undermine the role of face-to-face care. </w:t>
      </w:r>
    </w:p>
    <w:p w14:paraId="03C9F8D0" w14:textId="6DA0E67C" w:rsidR="002D3443" w:rsidRDefault="002D3443" w:rsidP="00EC7EB5">
      <w:pPr>
        <w:pStyle w:val="BoxText"/>
        <w:numPr>
          <w:ilvl w:val="0"/>
          <w:numId w:val="14"/>
        </w:numPr>
      </w:pPr>
      <w:r>
        <w:t xml:space="preserve">Options of telephone, video and  face-to-face consultations must be offered to patients, though the type of service is subject to Principles 1 and 2. Video should be encouraged over phone where it will provide a better patient and/or provider experience. </w:t>
      </w:r>
    </w:p>
    <w:p w14:paraId="765B0067" w14:textId="69BCA2E6" w:rsidR="002D3443" w:rsidRDefault="002D3443" w:rsidP="00EC7EB5">
      <w:pPr>
        <w:pStyle w:val="BoxText"/>
        <w:numPr>
          <w:ilvl w:val="0"/>
          <w:numId w:val="14"/>
        </w:numPr>
      </w:pPr>
      <w:r>
        <w:t xml:space="preserve">Should support optimal clinical engagement with the patient by allowing clinician participation at both ends of the MBS telehealth consultation, if appropriate, enabling rebates for support by both the treating clinician and patient-end clinician. </w:t>
      </w:r>
    </w:p>
    <w:p w14:paraId="1C2B5C24" w14:textId="04C240AD" w:rsidR="002D3443" w:rsidRPr="00C27A89" w:rsidRDefault="002D3443" w:rsidP="00EC7EB5">
      <w:pPr>
        <w:pStyle w:val="BoxText"/>
        <w:numPr>
          <w:ilvl w:val="0"/>
          <w:numId w:val="14"/>
        </w:numPr>
        <w:rPr>
          <w:b/>
          <w:bCs/>
        </w:rPr>
      </w:pPr>
      <w:r>
        <w:t>Amendments to MBS telehealth should follow sufficient advance notice of changes to MBS items for clinicians and patients to adjust.</w:t>
      </w:r>
    </w:p>
    <w:p w14:paraId="4A89739A" w14:textId="485ECDF3" w:rsidR="00683A0B" w:rsidRDefault="00F64B1B" w:rsidP="007E7EF9">
      <w:pPr>
        <w:pStyle w:val="Heading3"/>
      </w:pPr>
      <w:bookmarkStart w:id="29" w:name="_Recommendation_2"/>
      <w:bookmarkStart w:id="30" w:name="_Toc163814553"/>
      <w:bookmarkEnd w:id="29"/>
      <w:r w:rsidRPr="007E7EF9">
        <w:t>Recommendation 2</w:t>
      </w:r>
      <w:bookmarkEnd w:id="30"/>
    </w:p>
    <w:p w14:paraId="0DE0F399" w14:textId="4DEE5040" w:rsidR="00403FB2" w:rsidRDefault="0037017A" w:rsidP="002060AD">
      <w:pPr>
        <w:pStyle w:val="NormalBeforeBullet"/>
      </w:pPr>
      <w:r w:rsidRPr="0037017A">
        <w:t>Reintroduce</w:t>
      </w:r>
      <w:r w:rsidR="00403FB2">
        <w:t>:</w:t>
      </w:r>
    </w:p>
    <w:p w14:paraId="1EBB51C9" w14:textId="77777777" w:rsidR="00403FB2" w:rsidRDefault="0037017A" w:rsidP="002E447C">
      <w:r w:rsidRPr="0037017A">
        <w:t xml:space="preserve">a) GP telephone services with a known clinician </w:t>
      </w:r>
    </w:p>
    <w:p w14:paraId="7ED5437B" w14:textId="29766329" w:rsidR="00F64B1B" w:rsidRDefault="0037017A" w:rsidP="002E447C">
      <w:r w:rsidRPr="0037017A">
        <w:t xml:space="preserve">b) </w:t>
      </w:r>
      <w:r w:rsidR="00272767">
        <w:t>S</w:t>
      </w:r>
      <w:r w:rsidRPr="0037017A">
        <w:t xml:space="preserve">ubsequent consultant </w:t>
      </w:r>
      <w:r w:rsidR="004A1A04">
        <w:t xml:space="preserve">clinician telephone </w:t>
      </w:r>
      <w:r w:rsidRPr="0037017A">
        <w:t xml:space="preserve">services as options for patients receiving </w:t>
      </w:r>
      <w:r w:rsidR="00A1028B">
        <w:t xml:space="preserve">continuing </w:t>
      </w:r>
      <w:r w:rsidRPr="0037017A">
        <w:t>care.</w:t>
      </w:r>
    </w:p>
    <w:p w14:paraId="1B71B269" w14:textId="3DC6E34D" w:rsidR="00683A0B" w:rsidRDefault="00F64B1B" w:rsidP="002060AD">
      <w:pPr>
        <w:pStyle w:val="Heading3"/>
      </w:pPr>
      <w:bookmarkStart w:id="31" w:name="_Recommendation_3"/>
      <w:bookmarkStart w:id="32" w:name="_Toc163814554"/>
      <w:bookmarkEnd w:id="31"/>
      <w:r w:rsidRPr="00683A0B">
        <w:t>Recommendation 3</w:t>
      </w:r>
      <w:bookmarkEnd w:id="32"/>
    </w:p>
    <w:p w14:paraId="5DA3AFE2" w14:textId="29A9D665" w:rsidR="00F64B1B" w:rsidRDefault="0037017A" w:rsidP="002E447C">
      <w:pPr>
        <w:rPr>
          <w:b/>
          <w:bCs/>
        </w:rPr>
      </w:pPr>
      <w:r w:rsidRPr="0037017A">
        <w:t xml:space="preserve">Consider how MyMedicare and other non-MBS funding options could better remunerate clinicians directly for </w:t>
      </w:r>
      <w:r w:rsidR="00A1028B">
        <w:t xml:space="preserve">the </w:t>
      </w:r>
      <w:r w:rsidRPr="0037017A">
        <w:t xml:space="preserve">asynchronous and non-contact </w:t>
      </w:r>
      <w:r w:rsidR="00A1028B">
        <w:t xml:space="preserve">work that is often </w:t>
      </w:r>
      <w:r w:rsidRPr="0037017A">
        <w:t>associated with managing patients.</w:t>
      </w:r>
    </w:p>
    <w:p w14:paraId="75FC46E9" w14:textId="5A873911" w:rsidR="00683A0B" w:rsidRDefault="002E447C" w:rsidP="002060AD">
      <w:pPr>
        <w:pStyle w:val="Heading3"/>
      </w:pPr>
      <w:bookmarkStart w:id="33" w:name="_Recommendation_4"/>
      <w:bookmarkStart w:id="34" w:name="_Toc163814555"/>
      <w:bookmarkEnd w:id="33"/>
      <w:r w:rsidRPr="002E447C">
        <w:t>Recommendation 4</w:t>
      </w:r>
      <w:bookmarkEnd w:id="34"/>
    </w:p>
    <w:p w14:paraId="65FC14AF" w14:textId="2A072EBF" w:rsidR="002E447C" w:rsidRPr="00C8077C" w:rsidRDefault="002E447C" w:rsidP="002E447C">
      <w:r w:rsidRPr="00C8077C">
        <w:t>Discontinue temporary nicotine cessation MBS items with exemptions after 31 December 2023.</w:t>
      </w:r>
      <w:r w:rsidR="0037017A">
        <w:t xml:space="preserve"> </w:t>
      </w:r>
      <w:r w:rsidR="0037017A" w:rsidRPr="002060AD">
        <w:rPr>
          <w:i/>
          <w:iCs/>
        </w:rPr>
        <w:t xml:space="preserve">(Note: </w:t>
      </w:r>
      <w:r w:rsidR="007F302B">
        <w:rPr>
          <w:i/>
          <w:iCs/>
        </w:rPr>
        <w:t xml:space="preserve">implemented </w:t>
      </w:r>
      <w:r w:rsidR="0037017A" w:rsidRPr="002060AD">
        <w:rPr>
          <w:i/>
          <w:iCs/>
        </w:rPr>
        <w:t>1 January 2024.)</w:t>
      </w:r>
    </w:p>
    <w:p w14:paraId="48F67318" w14:textId="3D097486" w:rsidR="00683A0B" w:rsidRDefault="002E447C" w:rsidP="002060AD">
      <w:pPr>
        <w:pStyle w:val="Heading3"/>
      </w:pPr>
      <w:bookmarkStart w:id="35" w:name="_Toc163814556"/>
      <w:r w:rsidRPr="002E447C">
        <w:t>Recommendation 5</w:t>
      </w:r>
      <w:bookmarkEnd w:id="35"/>
    </w:p>
    <w:p w14:paraId="12B2614F" w14:textId="74FF2025" w:rsidR="002E447C" w:rsidRPr="00C8077C" w:rsidRDefault="002E447C" w:rsidP="002E447C">
      <w:r w:rsidRPr="00C8077C">
        <w:t>Make temporary BBVSR MBS items with exemptions permanent, without any modifications to the referral process for BBVSR specialised care.</w:t>
      </w:r>
      <w:r w:rsidR="0037017A">
        <w:t xml:space="preserve"> </w:t>
      </w:r>
    </w:p>
    <w:p w14:paraId="7ADC2E2B" w14:textId="4906C42B" w:rsidR="00683A0B" w:rsidRDefault="002E447C" w:rsidP="002060AD">
      <w:pPr>
        <w:pStyle w:val="Heading3"/>
      </w:pPr>
      <w:bookmarkStart w:id="36" w:name="_Toc163814557"/>
      <w:r w:rsidRPr="002E447C">
        <w:t>Recommendation 6</w:t>
      </w:r>
      <w:bookmarkEnd w:id="36"/>
    </w:p>
    <w:p w14:paraId="604BBE1B" w14:textId="352FE33C" w:rsidR="002E447C" w:rsidRPr="00C8077C" w:rsidRDefault="002E447C" w:rsidP="00683A0B">
      <w:r w:rsidRPr="00C8077C">
        <w:t>Subject to permanent GP BBVSR telehealth items, discontinue the exemption to GP telehealth eligibility requirements for GP non-directive pregnancy counselling services.</w:t>
      </w:r>
      <w:r w:rsidR="0037017A">
        <w:t xml:space="preserve"> </w:t>
      </w:r>
    </w:p>
    <w:p w14:paraId="0372D7AA" w14:textId="092D50E3" w:rsidR="00683A0B" w:rsidRDefault="002E447C" w:rsidP="002060AD">
      <w:pPr>
        <w:pStyle w:val="Heading3"/>
      </w:pPr>
      <w:bookmarkStart w:id="37" w:name="_Recommendation_7:"/>
      <w:bookmarkStart w:id="38" w:name="_Toc163814558"/>
      <w:bookmarkStart w:id="39" w:name="_Recommendation_7"/>
      <w:bookmarkEnd w:id="37"/>
      <w:r>
        <w:t>Recommendation 7</w:t>
      </w:r>
      <w:bookmarkEnd w:id="38"/>
      <w:bookmarkEnd w:id="39"/>
    </w:p>
    <w:p w14:paraId="7376D157" w14:textId="0C41AACD" w:rsidR="00BF2C38" w:rsidRPr="002060AD" w:rsidRDefault="00BF2C38" w:rsidP="00EC7EB5">
      <w:pPr>
        <w:pStyle w:val="ListParagraph"/>
        <w:numPr>
          <w:ilvl w:val="0"/>
          <w:numId w:val="13"/>
        </w:numPr>
        <w:rPr>
          <w:color w:val="auto"/>
        </w:rPr>
      </w:pPr>
      <w:r w:rsidRPr="001E638D">
        <w:t xml:space="preserve">Retain eligibility exemptions for MBS GP telehealth mental health treatment items. </w:t>
      </w:r>
    </w:p>
    <w:p w14:paraId="54C90AAB" w14:textId="5C738EBD" w:rsidR="002E447C" w:rsidRPr="001E638D" w:rsidRDefault="00BF2C38" w:rsidP="00EC7EB5">
      <w:pPr>
        <w:pStyle w:val="ListParagraph"/>
        <w:numPr>
          <w:ilvl w:val="0"/>
          <w:numId w:val="13"/>
        </w:numPr>
      </w:pPr>
      <w:r w:rsidRPr="001E638D">
        <w:t>Make GP mental health care planning and review telehealth items non-exclusively linked to MyMedicare</w:t>
      </w:r>
      <w:r w:rsidRPr="002060AD">
        <w:rPr>
          <w:color w:val="auto"/>
        </w:rPr>
        <w:t xml:space="preserve">. </w:t>
      </w:r>
    </w:p>
    <w:p w14:paraId="23E55E7C" w14:textId="72F60314" w:rsidR="00683A0B" w:rsidRDefault="04ED97D0" w:rsidP="002060AD">
      <w:pPr>
        <w:pStyle w:val="Heading3"/>
      </w:pPr>
      <w:bookmarkStart w:id="40" w:name="_Recommendation_8"/>
      <w:bookmarkStart w:id="41" w:name="_Toc163814559"/>
      <w:bookmarkEnd w:id="40"/>
      <w:r w:rsidRPr="165431D0">
        <w:t>Recommendation 8</w:t>
      </w:r>
      <w:bookmarkEnd w:id="41"/>
    </w:p>
    <w:p w14:paraId="3FAB1B70" w14:textId="6D4D602F" w:rsidR="002E447C" w:rsidRPr="00C8077C" w:rsidRDefault="0037017A" w:rsidP="002E447C">
      <w:r w:rsidRPr="0037017A">
        <w:t xml:space="preserve">Introduce eligibility requirements and exemptions to nurse practitioner and midwifery MBS telehealth items, including selected services </w:t>
      </w:r>
      <w:r w:rsidR="00A1028B">
        <w:t xml:space="preserve">which have no </w:t>
      </w:r>
      <w:r w:rsidRPr="0037017A">
        <w:t>established clinical relationship</w:t>
      </w:r>
      <w:r w:rsidR="00A1028B">
        <w:t xml:space="preserve"> requirement</w:t>
      </w:r>
      <w:r w:rsidRPr="0037017A">
        <w:t>.</w:t>
      </w:r>
    </w:p>
    <w:p w14:paraId="0F275DB4" w14:textId="7AB64A94" w:rsidR="00683A0B" w:rsidRDefault="5F027B2E" w:rsidP="002060AD">
      <w:pPr>
        <w:pStyle w:val="Heading3"/>
      </w:pPr>
      <w:bookmarkStart w:id="42" w:name="_Recommendation_9"/>
      <w:bookmarkStart w:id="43" w:name="_Toc163814560"/>
      <w:bookmarkEnd w:id="42"/>
      <w:r w:rsidRPr="69ABD742">
        <w:t>Recommendation 9</w:t>
      </w:r>
      <w:bookmarkEnd w:id="43"/>
    </w:p>
    <w:p w14:paraId="22485EF2" w14:textId="721BBEC8" w:rsidR="002E447C" w:rsidRPr="00C8077C" w:rsidRDefault="00683A0B" w:rsidP="002E447C">
      <w:r>
        <w:t>M</w:t>
      </w:r>
      <w:r w:rsidR="0037017A">
        <w:t xml:space="preserve">aintain current telehealth policies for MBS </w:t>
      </w:r>
      <w:r w:rsidR="5623B2C7">
        <w:t xml:space="preserve">video telehealth </w:t>
      </w:r>
      <w:r w:rsidR="0037017A">
        <w:t>items that are for initial consultations with non-GP specialists.</w:t>
      </w:r>
    </w:p>
    <w:p w14:paraId="3A25C76C" w14:textId="6A7BFAD3" w:rsidR="00683A0B" w:rsidRDefault="00F64B1B" w:rsidP="002060AD">
      <w:pPr>
        <w:pStyle w:val="Heading3"/>
      </w:pPr>
      <w:bookmarkStart w:id="44" w:name="_Recommendation_10"/>
      <w:bookmarkStart w:id="45" w:name="_Toc163814561"/>
      <w:bookmarkEnd w:id="9"/>
      <w:bookmarkEnd w:id="10"/>
      <w:bookmarkEnd w:id="44"/>
      <w:r w:rsidRPr="00E4124A">
        <w:t>Recommendation 10</w:t>
      </w:r>
      <w:bookmarkEnd w:id="45"/>
    </w:p>
    <w:p w14:paraId="2E6DCDCB" w14:textId="31525642" w:rsidR="00403FB2" w:rsidRPr="00403FB2" w:rsidRDefault="00403FB2" w:rsidP="002060AD">
      <w:pPr>
        <w:pStyle w:val="NormalBeforeBullet"/>
      </w:pPr>
      <w:r w:rsidRPr="00403FB2">
        <w:t xml:space="preserve">Expand patient-end support </w:t>
      </w:r>
      <w:r w:rsidR="007D26DF">
        <w:t>by</w:t>
      </w:r>
      <w:r>
        <w:t>:</w:t>
      </w:r>
    </w:p>
    <w:p w14:paraId="1679F340" w14:textId="5B4E5531" w:rsidR="00403FB2" w:rsidRDefault="00403FB2" w:rsidP="6C56561B">
      <w:pPr>
        <w:rPr>
          <w:lang w:eastAsia="en-AU"/>
        </w:rPr>
      </w:pPr>
      <w:r>
        <w:t xml:space="preserve">a) </w:t>
      </w:r>
      <w:r w:rsidR="003B5EEC" w:rsidRPr="07D162B7">
        <w:rPr>
          <w:lang w:eastAsia="en-AU"/>
        </w:rPr>
        <w:t xml:space="preserve">Reintroducing GP patient-end support </w:t>
      </w:r>
      <w:r w:rsidR="1603701C" w:rsidRPr="07D162B7">
        <w:rPr>
          <w:lang w:eastAsia="en-AU"/>
        </w:rPr>
        <w:t xml:space="preserve">for telehealth with a non-GP specialist </w:t>
      </w:r>
      <w:r w:rsidR="003B5EEC" w:rsidRPr="07D162B7">
        <w:rPr>
          <w:lang w:eastAsia="en-AU"/>
        </w:rPr>
        <w:t>and extend it to include nurse practitioners</w:t>
      </w:r>
      <w:r w:rsidR="57931DA3" w:rsidRPr="07D162B7">
        <w:rPr>
          <w:lang w:eastAsia="en-AU"/>
        </w:rPr>
        <w:t>.</w:t>
      </w:r>
    </w:p>
    <w:p w14:paraId="45EBF351" w14:textId="52402AD6" w:rsidR="006017B7" w:rsidRDefault="00403FB2" w:rsidP="07D162B7">
      <w:pPr>
        <w:rPr>
          <w:lang w:eastAsia="en-AU"/>
        </w:rPr>
      </w:pPr>
      <w:r>
        <w:t xml:space="preserve">b) </w:t>
      </w:r>
      <w:r w:rsidR="6F16F0F9">
        <w:t xml:space="preserve">Extend patient end support to </w:t>
      </w:r>
      <w:r w:rsidR="576C3250" w:rsidRPr="07D162B7">
        <w:rPr>
          <w:lang w:eastAsia="en-AU"/>
        </w:rPr>
        <w:t xml:space="preserve">include nurse practitioners, allied health, and Aboriginal and Torres Strait Islander Health Practitioner patient-end support for telehealth with a GP. </w:t>
      </w:r>
      <w:r w:rsidR="6F16F0F9">
        <w:t xml:space="preserve"> </w:t>
      </w:r>
    </w:p>
    <w:p w14:paraId="0AFD4964" w14:textId="62DFDFA3" w:rsidR="003B5EEC" w:rsidRDefault="006017B7" w:rsidP="00575980">
      <w:pPr>
        <w:rPr>
          <w:lang w:eastAsia="en-AU"/>
        </w:rPr>
      </w:pPr>
      <w:r w:rsidRPr="07D162B7">
        <w:rPr>
          <w:lang w:eastAsia="en-AU"/>
        </w:rPr>
        <w:t xml:space="preserve">c)  </w:t>
      </w:r>
      <w:r w:rsidR="003B5EEC" w:rsidRPr="07D162B7">
        <w:rPr>
          <w:lang w:eastAsia="en-AU"/>
        </w:rPr>
        <w:t>Introduc</w:t>
      </w:r>
      <w:r w:rsidR="18AA71AB" w:rsidRPr="07D162B7">
        <w:rPr>
          <w:lang w:eastAsia="en-AU"/>
        </w:rPr>
        <w:t>ing</w:t>
      </w:r>
      <w:r w:rsidR="003B5EEC" w:rsidRPr="07D162B7">
        <w:rPr>
          <w:lang w:eastAsia="en-AU"/>
        </w:rPr>
        <w:t xml:space="preserve"> a support type service for GP telehealth in a residential aged care setting, when GPs advise patients’ carers</w:t>
      </w:r>
      <w:r w:rsidR="25641D8D" w:rsidRPr="07D162B7">
        <w:rPr>
          <w:lang w:eastAsia="en-AU"/>
        </w:rPr>
        <w:t xml:space="preserve"> or</w:t>
      </w:r>
      <w:r w:rsidR="0019242F">
        <w:rPr>
          <w:lang w:eastAsia="en-AU"/>
        </w:rPr>
        <w:t xml:space="preserve"> a</w:t>
      </w:r>
      <w:r w:rsidR="25641D8D" w:rsidRPr="07D162B7">
        <w:rPr>
          <w:lang w:eastAsia="en-AU"/>
        </w:rPr>
        <w:t xml:space="preserve"> registered nurse in lieu of the patient (in circumstances where the patient lacks capacity)</w:t>
      </w:r>
      <w:r w:rsidR="003B5EEC" w:rsidRPr="07D162B7">
        <w:rPr>
          <w:lang w:eastAsia="en-AU"/>
        </w:rPr>
        <w:t xml:space="preserve">. </w:t>
      </w:r>
    </w:p>
    <w:p w14:paraId="7CD0DE2B" w14:textId="0110932B" w:rsidR="00C549C1" w:rsidRPr="00C549C1" w:rsidRDefault="00403FB2" w:rsidP="003B5EEC">
      <w:r>
        <w:t>If the MBS is not a suitable funding pathway for patient-end support services, explore other funding possibilities</w:t>
      </w:r>
      <w:r w:rsidR="007D26DF">
        <w:t xml:space="preserve"> (such as MyMedicare, practice incentives, Primary Health Networks, or a new funding </w:t>
      </w:r>
      <w:r w:rsidR="002A0118">
        <w:t>initiative</w:t>
      </w:r>
      <w:r w:rsidR="007D26DF">
        <w:t>)</w:t>
      </w:r>
      <w:r>
        <w:t>.</w:t>
      </w:r>
    </w:p>
    <w:p w14:paraId="3E0CD649" w14:textId="7E2342CE" w:rsidR="004679A2" w:rsidRDefault="004679A2" w:rsidP="00E15764">
      <w:pPr>
        <w:pStyle w:val="Heading1"/>
      </w:pPr>
      <w:bookmarkStart w:id="46" w:name="_Toc163814562"/>
      <w:bookmarkStart w:id="47" w:name="_Toc107920657"/>
      <w:bookmarkEnd w:id="11"/>
      <w:r>
        <w:t>Acronyms</w:t>
      </w:r>
      <w:r w:rsidR="004768C3">
        <w:t xml:space="preserve">, </w:t>
      </w:r>
      <w:r>
        <w:t>abbreviations</w:t>
      </w:r>
      <w:r w:rsidR="004768C3">
        <w:t xml:space="preserve"> and definitions</w:t>
      </w:r>
      <w:bookmarkEnd w:id="46"/>
    </w:p>
    <w:p w14:paraId="7739F91D" w14:textId="6EFF47E4" w:rsidR="00BB08BA" w:rsidRDefault="00BB08BA" w:rsidP="004679A2">
      <w:r>
        <w:t>ANU</w:t>
      </w:r>
      <w:r>
        <w:tab/>
        <w:t>Australian National University</w:t>
      </w:r>
    </w:p>
    <w:p w14:paraId="24BB11AD" w14:textId="5275EEC3" w:rsidR="00FA3708" w:rsidRDefault="46AE7B4D" w:rsidP="004679A2">
      <w:r>
        <w:t>BB</w:t>
      </w:r>
      <w:r w:rsidR="619E1F65">
        <w:t>VSR</w:t>
      </w:r>
      <w:r w:rsidR="00FA3708">
        <w:tab/>
      </w:r>
      <w:r w:rsidR="00E40118">
        <w:t>b</w:t>
      </w:r>
      <w:r>
        <w:t>loodborne virus and sexual and reproductive health</w:t>
      </w:r>
    </w:p>
    <w:p w14:paraId="7CD57003" w14:textId="11558F47" w:rsidR="007734DC" w:rsidRDefault="007734DC" w:rsidP="004679A2">
      <w:r>
        <w:t>GP</w:t>
      </w:r>
      <w:r>
        <w:tab/>
        <w:t>general practitioner</w:t>
      </w:r>
    </w:p>
    <w:p w14:paraId="2470CA53" w14:textId="5FEBB9DE" w:rsidR="004679A2" w:rsidRDefault="004679A2" w:rsidP="004679A2">
      <w:r>
        <w:t>MBS</w:t>
      </w:r>
      <w:r>
        <w:tab/>
        <w:t>Medicare Benefits Schedule</w:t>
      </w:r>
    </w:p>
    <w:p w14:paraId="160EA6F9" w14:textId="714668D7" w:rsidR="004679A2" w:rsidRDefault="004679A2" w:rsidP="004679A2">
      <w:r>
        <w:t>MM</w:t>
      </w:r>
      <w:r>
        <w:tab/>
        <w:t>Modified Monash</w:t>
      </w:r>
    </w:p>
    <w:p w14:paraId="17CE37EB" w14:textId="3530EF3A" w:rsidR="00465AB1" w:rsidRDefault="00465AB1" w:rsidP="004679A2">
      <w:r>
        <w:t>MRAC</w:t>
      </w:r>
      <w:r>
        <w:tab/>
        <w:t>MBS Review Advisory Committee</w:t>
      </w:r>
    </w:p>
    <w:p w14:paraId="686866A0" w14:textId="55C5AEB3" w:rsidR="004679A2" w:rsidRDefault="004679A2" w:rsidP="004679A2">
      <w:r>
        <w:t>PBS</w:t>
      </w:r>
      <w:r>
        <w:tab/>
        <w:t>Pharmaceutical Benefits Scheme</w:t>
      </w:r>
    </w:p>
    <w:p w14:paraId="19088D15" w14:textId="19DE9D3C" w:rsidR="00302DDD" w:rsidRDefault="00302DDD" w:rsidP="00376064">
      <w:pPr>
        <w:rPr>
          <w:rFonts w:cs="Arial"/>
          <w:b/>
          <w:bCs/>
          <w:iCs/>
          <w:sz w:val="28"/>
          <w:szCs w:val="28"/>
          <w:lang w:val="en-US"/>
        </w:rPr>
      </w:pPr>
    </w:p>
    <w:p w14:paraId="731F3026" w14:textId="24D2A6C6" w:rsidR="00351D1F" w:rsidRDefault="00351D1F" w:rsidP="00376064">
      <w:pPr>
        <w:rPr>
          <w:lang w:val="en-US"/>
        </w:rPr>
      </w:pPr>
      <w:r w:rsidRPr="002060AD">
        <w:rPr>
          <w:b/>
          <w:bCs/>
          <w:lang w:val="en-US"/>
        </w:rPr>
        <w:t>Clinician</w:t>
      </w:r>
      <w:r>
        <w:rPr>
          <w:lang w:val="en-US"/>
        </w:rPr>
        <w:t xml:space="preserve"> is any healthcare provider. In this report, it includes GPs, non-GP specialists, nurses and allied health professionals.</w:t>
      </w:r>
    </w:p>
    <w:p w14:paraId="6A687FF2" w14:textId="09C818D8" w:rsidR="00376064" w:rsidRPr="00376064" w:rsidRDefault="00376064" w:rsidP="00376064">
      <w:pPr>
        <w:rPr>
          <w:lang w:val="en-US"/>
        </w:rPr>
      </w:pPr>
      <w:r w:rsidRPr="002060AD">
        <w:rPr>
          <w:b/>
          <w:bCs/>
          <w:lang w:val="en-US"/>
        </w:rPr>
        <w:t>Telehealth</w:t>
      </w:r>
      <w:r w:rsidRPr="00376064">
        <w:rPr>
          <w:lang w:val="en-US"/>
        </w:rPr>
        <w:t xml:space="preserve"> is defined broadly by many sources as “the use of technology to deliver healthcare services at a distance”. The structural requirements of MBS items necessitate a real-time video and audio (video), or audio-only (telephone) consultation with a patient. In this report, telehealth can refer to both video and phone, with some matters identified as specific to video or phone.</w:t>
      </w:r>
    </w:p>
    <w:p w14:paraId="7974F03B" w14:textId="77777777" w:rsidR="00376064" w:rsidRPr="00376064" w:rsidRDefault="00376064" w:rsidP="00376064"/>
    <w:p w14:paraId="2259766E" w14:textId="6CB451DA" w:rsidR="000478BC" w:rsidRDefault="000478BC" w:rsidP="00E15764">
      <w:pPr>
        <w:pStyle w:val="Heading1"/>
      </w:pPr>
      <w:bookmarkStart w:id="48" w:name="_Toc163814563"/>
      <w:r>
        <w:t>Introduction</w:t>
      </w:r>
      <w:bookmarkEnd w:id="48"/>
    </w:p>
    <w:p w14:paraId="448F9859" w14:textId="557CFDF4" w:rsidR="00C517BF" w:rsidRDefault="00F77B9E" w:rsidP="07D162B7">
      <w:pPr>
        <w:rPr>
          <w:lang w:val="en-US"/>
        </w:rPr>
      </w:pPr>
      <w:r>
        <w:t>MBS items for telehealth services</w:t>
      </w:r>
      <w:r w:rsidR="05DA1FAF">
        <w:t xml:space="preserve"> have been available since </w:t>
      </w:r>
      <w:r w:rsidR="05BB4731">
        <w:t>20</w:t>
      </w:r>
      <w:r w:rsidR="51D99440">
        <w:t>0</w:t>
      </w:r>
      <w:r w:rsidR="131ECAFE">
        <w:t>2</w:t>
      </w:r>
      <w:r w:rsidR="6EF7B714">
        <w:t>, but were restricted to patients in eligible areas</w:t>
      </w:r>
      <w:r w:rsidR="38F56E82">
        <w:t>, patients of Aboriginal Community Controlled Health Organisations</w:t>
      </w:r>
      <w:r w:rsidR="000025B2">
        <w:t>,</w:t>
      </w:r>
      <w:r w:rsidR="38F56E82">
        <w:t xml:space="preserve"> and patients in aged care</w:t>
      </w:r>
      <w:r w:rsidR="001117A3">
        <w:t xml:space="preserve"> facilities</w:t>
      </w:r>
      <w:r w:rsidR="05DA1FAF">
        <w:t xml:space="preserve">. </w:t>
      </w:r>
      <w:bookmarkStart w:id="49" w:name="_Hlk146113422"/>
      <w:r w:rsidR="05DA1FAF">
        <w:t>However, due to natural disasters and public health emergencies (drought, bushfires and the COVID-19 pandemic),</w:t>
      </w:r>
      <w:r w:rsidR="42E5DFCE">
        <w:t xml:space="preserve"> additional</w:t>
      </w:r>
      <w:r w:rsidR="5C7F497B">
        <w:t xml:space="preserve"> </w:t>
      </w:r>
      <w:r w:rsidR="05DA1FAF">
        <w:t xml:space="preserve">MBS items were created to ensure </w:t>
      </w:r>
      <w:r w:rsidR="3C8A9A7D">
        <w:t xml:space="preserve">that people could still </w:t>
      </w:r>
      <w:r w:rsidR="05DA1FAF">
        <w:t xml:space="preserve">access health care when a </w:t>
      </w:r>
      <w:r w:rsidR="474ED150">
        <w:t xml:space="preserve">conventional </w:t>
      </w:r>
      <w:r w:rsidR="05DA1FAF">
        <w:t>face-to-face consultation was not possible.</w:t>
      </w:r>
      <w:r w:rsidR="3404186D">
        <w:t xml:space="preserve"> </w:t>
      </w:r>
      <w:r w:rsidR="68994D8A" w:rsidRPr="07D162B7">
        <w:rPr>
          <w:lang w:val="en-US"/>
        </w:rPr>
        <w:t xml:space="preserve">The most significant changes </w:t>
      </w:r>
      <w:r w:rsidR="007F302B" w:rsidRPr="07D162B7">
        <w:rPr>
          <w:lang w:val="en-US"/>
        </w:rPr>
        <w:t xml:space="preserve">were in 2020 in response to the COVID-19 pandemic. At </w:t>
      </w:r>
      <w:r w:rsidR="68994D8A" w:rsidRPr="07D162B7">
        <w:rPr>
          <w:lang w:val="en-US"/>
        </w:rPr>
        <w:t xml:space="preserve">this time </w:t>
      </w:r>
      <w:r w:rsidR="496E2F01" w:rsidRPr="07D162B7">
        <w:rPr>
          <w:lang w:val="en-US"/>
        </w:rPr>
        <w:t>MBS items for telehealth services for</w:t>
      </w:r>
      <w:r w:rsidR="68994D8A" w:rsidRPr="07D162B7">
        <w:rPr>
          <w:lang w:val="en-US"/>
        </w:rPr>
        <w:t xml:space="preserve"> providers and </w:t>
      </w:r>
      <w:r w:rsidR="06B77F73" w:rsidRPr="07D162B7">
        <w:rPr>
          <w:lang w:val="en-US"/>
        </w:rPr>
        <w:t>patients were</w:t>
      </w:r>
      <w:r w:rsidR="007F302B" w:rsidRPr="07D162B7">
        <w:rPr>
          <w:lang w:val="en-US"/>
        </w:rPr>
        <w:t xml:space="preserve"> broadened </w:t>
      </w:r>
      <w:r w:rsidR="68994D8A" w:rsidRPr="07D162B7">
        <w:rPr>
          <w:lang w:val="en-US"/>
        </w:rPr>
        <w:t>and services by phone</w:t>
      </w:r>
      <w:r w:rsidR="007F302B" w:rsidRPr="07D162B7">
        <w:rPr>
          <w:lang w:val="en-US"/>
        </w:rPr>
        <w:t xml:space="preserve"> were introduced</w:t>
      </w:r>
      <w:r w:rsidR="68994D8A" w:rsidRPr="07D162B7">
        <w:rPr>
          <w:lang w:val="en-US"/>
        </w:rPr>
        <w:t xml:space="preserve">. </w:t>
      </w:r>
      <w:bookmarkEnd w:id="49"/>
    </w:p>
    <w:p w14:paraId="4C1EB859" w14:textId="0A2383FF" w:rsidR="00B54AD3" w:rsidRDefault="006E27E4" w:rsidP="00B54AD3">
      <w:bookmarkStart w:id="50" w:name="_Hlk146113722"/>
      <w:r>
        <w:t>Most of the</w:t>
      </w:r>
      <w:r w:rsidR="000F60C0">
        <w:t xml:space="preserve"> telehealth items introduced in response to the COVID-19 pandemic were made permanent on 1 January 2022, superseding many items that had been part of an iterative expansion since </w:t>
      </w:r>
      <w:r w:rsidR="00A54037">
        <w:t>200</w:t>
      </w:r>
      <w:r>
        <w:t>2</w:t>
      </w:r>
      <w:r w:rsidR="00781B17">
        <w:t xml:space="preserve">, and were </w:t>
      </w:r>
      <w:r w:rsidR="00781B17" w:rsidRPr="009248E9">
        <w:t xml:space="preserve">accompanied by </w:t>
      </w:r>
      <w:r w:rsidR="001117A3" w:rsidRPr="009248E9">
        <w:t>several</w:t>
      </w:r>
      <w:r w:rsidR="00781B17" w:rsidRPr="009248E9">
        <w:t xml:space="preserve"> additional temporary items.</w:t>
      </w:r>
      <w:r w:rsidR="00781B17">
        <w:rPr>
          <w:rStyle w:val="cf01"/>
        </w:rPr>
        <w:t xml:space="preserve"> </w:t>
      </w:r>
    </w:p>
    <w:bookmarkEnd w:id="50"/>
    <w:p w14:paraId="519301E0" w14:textId="2558EC58" w:rsidR="00B54AD3" w:rsidRDefault="00B54AD3" w:rsidP="00B54AD3">
      <w:r w:rsidRPr="003E3BEB">
        <w:t xml:space="preserve">The </w:t>
      </w:r>
      <w:r w:rsidR="000F60C0">
        <w:t xml:space="preserve">COVID-19 </w:t>
      </w:r>
      <w:r w:rsidRPr="003E3BEB">
        <w:t xml:space="preserve">MBS </w:t>
      </w:r>
      <w:r>
        <w:t>t</w:t>
      </w:r>
      <w:r w:rsidRPr="003E3BEB">
        <w:t xml:space="preserve">elehealth items have </w:t>
      </w:r>
      <w:r w:rsidR="00031A34">
        <w:t>changed</w:t>
      </w:r>
      <w:r w:rsidR="00031A34" w:rsidRPr="003E3BEB">
        <w:t xml:space="preserve"> </w:t>
      </w:r>
      <w:r w:rsidRPr="003E3BEB">
        <w:t xml:space="preserve">the approach to delivering Medicare services in Australia, </w:t>
      </w:r>
      <w:r w:rsidR="006D3260">
        <w:t>shifting</w:t>
      </w:r>
      <w:r w:rsidRPr="003E3BEB">
        <w:t xml:space="preserve"> from almost entirely face-to-face service</w:t>
      </w:r>
      <w:r w:rsidR="00AE1C56">
        <w:t>s</w:t>
      </w:r>
      <w:r w:rsidRPr="003E3BEB">
        <w:t xml:space="preserve"> to an increased </w:t>
      </w:r>
      <w:r w:rsidR="002C5A4F">
        <w:t>number</w:t>
      </w:r>
      <w:r w:rsidR="002C5A4F" w:rsidRPr="003E3BEB">
        <w:t xml:space="preserve"> </w:t>
      </w:r>
      <w:r w:rsidRPr="003E3BEB">
        <w:t>of non-face-to-face services. This has also permitted more widespread use of telephone consultations without a video element</w:t>
      </w:r>
      <w:r w:rsidR="00DA57A8">
        <w:t>,</w:t>
      </w:r>
      <w:r w:rsidR="000F60C0">
        <w:t xml:space="preserve"> </w:t>
      </w:r>
      <w:r w:rsidR="00C4338D">
        <w:t xml:space="preserve">use of telehealth by people living in metropolitan areas, </w:t>
      </w:r>
      <w:r w:rsidR="000F60C0">
        <w:t xml:space="preserve">and direct phone and video services by </w:t>
      </w:r>
      <w:r w:rsidR="007734DC">
        <w:t>general practitioners (</w:t>
      </w:r>
      <w:r w:rsidR="000F60C0">
        <w:t>GPs</w:t>
      </w:r>
      <w:r w:rsidR="007734DC">
        <w:t>)</w:t>
      </w:r>
      <w:r w:rsidR="000F60C0">
        <w:t xml:space="preserve"> and other primary care </w:t>
      </w:r>
      <w:r w:rsidR="007734DC">
        <w:t xml:space="preserve">clinicians </w:t>
      </w:r>
      <w:r w:rsidR="000F60C0">
        <w:t xml:space="preserve">that had </w:t>
      </w:r>
      <w:r w:rsidR="00B826AF">
        <w:t xml:space="preserve">not </w:t>
      </w:r>
      <w:r w:rsidR="000F60C0">
        <w:t xml:space="preserve">previously offered either </w:t>
      </w:r>
      <w:r w:rsidR="005F3EB3">
        <w:t>service</w:t>
      </w:r>
      <w:r w:rsidRPr="003E3BEB">
        <w:t>.</w:t>
      </w:r>
    </w:p>
    <w:p w14:paraId="0FBBDC86" w14:textId="1504413C" w:rsidR="00B54AD3" w:rsidRPr="008E6ADB" w:rsidRDefault="00D05D4D" w:rsidP="00B54AD3">
      <w:r>
        <w:t>T</w:t>
      </w:r>
      <w:r w:rsidR="05DA1FAF">
        <w:t xml:space="preserve">elehealth </w:t>
      </w:r>
      <w:r w:rsidR="00400F6C">
        <w:t>has potential to</w:t>
      </w:r>
      <w:r w:rsidR="1EE120C6">
        <w:t xml:space="preserve"> </w:t>
      </w:r>
      <w:r w:rsidR="05DA1FAF">
        <w:t>improve access,</w:t>
      </w:r>
      <w:r>
        <w:t xml:space="preserve"> but</w:t>
      </w:r>
      <w:r w:rsidR="05DA1FAF">
        <w:t xml:space="preserve"> there is risk of decreased quality and safety</w:t>
      </w:r>
      <w:r w:rsidR="15693F17">
        <w:t xml:space="preserve"> associated with </w:t>
      </w:r>
      <w:r w:rsidR="2E5E4240">
        <w:t>non-face-to-face consultations</w:t>
      </w:r>
      <w:r w:rsidR="05DA1FAF">
        <w:t xml:space="preserve">. </w:t>
      </w:r>
      <w:r>
        <w:t>Also</w:t>
      </w:r>
      <w:r w:rsidR="05DA1FAF">
        <w:t>, commercialisation of online-only telehealth services may threaten continuity of care by providing one-off</w:t>
      </w:r>
      <w:r w:rsidR="1E14C136">
        <w:t xml:space="preserve"> </w:t>
      </w:r>
      <w:r w:rsidR="1D78DADA">
        <w:t xml:space="preserve">transactional </w:t>
      </w:r>
      <w:r w:rsidR="2A3B4758">
        <w:t>episodes or</w:t>
      </w:r>
      <w:r w:rsidR="05DA1FAF">
        <w:t xml:space="preserve"> low-value health care. These online</w:t>
      </w:r>
      <w:r w:rsidR="6EF7B714">
        <w:t>-only</w:t>
      </w:r>
      <w:r w:rsidR="05DA1FAF">
        <w:t xml:space="preserve"> services </w:t>
      </w:r>
      <w:r w:rsidR="267C44F1">
        <w:t xml:space="preserve">may </w:t>
      </w:r>
      <w:r w:rsidR="05DA1FAF">
        <w:t>also increas</w:t>
      </w:r>
      <w:r w:rsidR="56413834">
        <w:t>e</w:t>
      </w:r>
      <w:r w:rsidR="05DA1FAF">
        <w:t xml:space="preserve"> the number of </w:t>
      </w:r>
      <w:r w:rsidR="648BDFD8">
        <w:t xml:space="preserve">subsequent </w:t>
      </w:r>
      <w:r w:rsidR="05DA1FAF">
        <w:t>inappropriate referrals</w:t>
      </w:r>
      <w:r w:rsidR="4BF61B6C">
        <w:t>, consultations</w:t>
      </w:r>
      <w:r w:rsidR="05DA1FAF">
        <w:t xml:space="preserve"> and prescriptions.</w:t>
      </w:r>
    </w:p>
    <w:p w14:paraId="298F823D" w14:textId="2A4ABB70" w:rsidR="00505526" w:rsidRDefault="008E6ADB" w:rsidP="00505526">
      <w:pPr>
        <w:pStyle w:val="Heading2"/>
      </w:pPr>
      <w:bookmarkStart w:id="51" w:name="_Toc163814564"/>
      <w:r w:rsidRPr="00430941">
        <w:t>Minister</w:t>
      </w:r>
      <w:r w:rsidR="00430941">
        <w:t>’</w:t>
      </w:r>
      <w:r w:rsidRPr="00430941">
        <w:t>s request for this review</w:t>
      </w:r>
      <w:bookmarkEnd w:id="51"/>
    </w:p>
    <w:p w14:paraId="552F0ABB" w14:textId="11ACE6D8" w:rsidR="004031F8" w:rsidRDefault="000157AA" w:rsidP="002B362B">
      <w:pPr>
        <w:pStyle w:val="NormalBeforeBullet"/>
      </w:pPr>
      <w:r>
        <w:t>O</w:t>
      </w:r>
      <w:r w:rsidR="00DE51C6">
        <w:t xml:space="preserve">n </w:t>
      </w:r>
      <w:r w:rsidR="002121EE">
        <w:t>14</w:t>
      </w:r>
      <w:r w:rsidR="00C25F60">
        <w:t> </w:t>
      </w:r>
      <w:r w:rsidR="002121EE">
        <w:t>November</w:t>
      </w:r>
      <w:r w:rsidR="00713A47">
        <w:t xml:space="preserve"> </w:t>
      </w:r>
      <w:r w:rsidR="00430941">
        <w:t>2022</w:t>
      </w:r>
      <w:r w:rsidR="00713A47">
        <w:t xml:space="preserve">, the Minister for Health </w:t>
      </w:r>
      <w:r w:rsidR="00E55A55">
        <w:t>and Aged Care, the</w:t>
      </w:r>
      <w:r w:rsidR="009C21D7">
        <w:t> </w:t>
      </w:r>
      <w:r w:rsidR="00E55A55">
        <w:t>Hon</w:t>
      </w:r>
      <w:r w:rsidR="009C21D7">
        <w:t> </w:t>
      </w:r>
      <w:r w:rsidR="00E55A55">
        <w:t>Mark</w:t>
      </w:r>
      <w:r w:rsidR="009C21D7">
        <w:t> </w:t>
      </w:r>
      <w:r w:rsidR="00E55A55">
        <w:t>Butler MP</w:t>
      </w:r>
      <w:r w:rsidR="00B826AF">
        <w:t>,</w:t>
      </w:r>
      <w:r w:rsidR="00713A47">
        <w:t xml:space="preserve"> requested </w:t>
      </w:r>
      <w:r w:rsidR="00992C55">
        <w:t xml:space="preserve">that </w:t>
      </w:r>
      <w:r w:rsidR="00D8647A">
        <w:t xml:space="preserve">the </w:t>
      </w:r>
      <w:r w:rsidR="00992C55">
        <w:t>MRAC</w:t>
      </w:r>
      <w:r w:rsidR="00713A47">
        <w:t xml:space="preserve"> </w:t>
      </w:r>
      <w:r w:rsidR="00370FA2">
        <w:t>conduct a post</w:t>
      </w:r>
      <w:r w:rsidR="002463E3">
        <w:t>-</w:t>
      </w:r>
      <w:r w:rsidR="00370FA2">
        <w:t xml:space="preserve">implementation </w:t>
      </w:r>
      <w:r w:rsidR="00713A47">
        <w:t xml:space="preserve">review </w:t>
      </w:r>
      <w:r w:rsidR="00017660">
        <w:t xml:space="preserve">of </w:t>
      </w:r>
      <w:r w:rsidR="00992C55">
        <w:t>telehealth services</w:t>
      </w:r>
      <w:r w:rsidR="00ED75E5">
        <w:t>, to</w:t>
      </w:r>
      <w:r w:rsidR="004031F8">
        <w:t>:</w:t>
      </w:r>
    </w:p>
    <w:p w14:paraId="3F5DE433" w14:textId="0FA90857" w:rsidR="00772644" w:rsidRDefault="24A694B2" w:rsidP="00772644">
      <w:pPr>
        <w:pStyle w:val="Bullet"/>
      </w:pPr>
      <w:r>
        <w:t xml:space="preserve">advise on </w:t>
      </w:r>
      <w:r w:rsidR="185C4B4C">
        <w:t>the appropriateness of current settings for video and telephone consultations to ensure the right balance between access, quality and safety</w:t>
      </w:r>
    </w:p>
    <w:p w14:paraId="3F0D91AE" w14:textId="47654DC6" w:rsidR="00D935A1" w:rsidRDefault="185C4B4C" w:rsidP="00D935A1">
      <w:pPr>
        <w:pStyle w:val="Bullet"/>
      </w:pPr>
      <w:r>
        <w:t>r</w:t>
      </w:r>
      <w:r w:rsidR="4E67171B">
        <w:t>eview</w:t>
      </w:r>
      <w:r w:rsidR="24A694B2">
        <w:t>,</w:t>
      </w:r>
      <w:r w:rsidR="4E67171B">
        <w:t xml:space="preserve"> and updat</w:t>
      </w:r>
      <w:r w:rsidR="24A694B2">
        <w:t>e</w:t>
      </w:r>
      <w:r w:rsidR="4E67171B">
        <w:t xml:space="preserve"> if necessary, the MBS </w:t>
      </w:r>
      <w:r w:rsidR="3C949E38">
        <w:t>Review</w:t>
      </w:r>
      <w:r w:rsidR="4E67171B">
        <w:t xml:space="preserve"> Taskforce Telehealth Principles </w:t>
      </w:r>
      <w:r w:rsidR="7AF0CF36">
        <w:t xml:space="preserve">(first published in </w:t>
      </w:r>
      <w:r w:rsidR="322EFD41">
        <w:t xml:space="preserve">the </w:t>
      </w:r>
      <w:r w:rsidR="0505BF20">
        <w:t>T</w:t>
      </w:r>
      <w:r w:rsidR="322EFD41">
        <w:t xml:space="preserve">askforce’s </w:t>
      </w:r>
      <w:hyperlink r:id="rId14">
        <w:r w:rsidR="322EFD41" w:rsidRPr="07D162B7">
          <w:rPr>
            <w:rStyle w:val="Hyperlink"/>
          </w:rPr>
          <w:t>Telehealth Recommendations 2020</w:t>
        </w:r>
      </w:hyperlink>
      <w:r w:rsidR="322EFD41">
        <w:t xml:space="preserve">) </w:t>
      </w:r>
      <w:r w:rsidR="4E67171B">
        <w:t>to provide a framework for future consideration of MBS-funded telehealth</w:t>
      </w:r>
    </w:p>
    <w:p w14:paraId="6AE8C7BA" w14:textId="1F148E05" w:rsidR="004031F8" w:rsidRDefault="24A694B2" w:rsidP="00772644">
      <w:pPr>
        <w:pStyle w:val="BulletLast"/>
      </w:pPr>
      <w:r>
        <w:t xml:space="preserve">advise on </w:t>
      </w:r>
      <w:r w:rsidR="17ADFA19">
        <w:t>current patient eligibility setting</w:t>
      </w:r>
      <w:r w:rsidR="07D6D39D">
        <w:t>s</w:t>
      </w:r>
      <w:r w:rsidR="17ADFA19">
        <w:t xml:space="preserve"> and related exemptions</w:t>
      </w:r>
      <w:r w:rsidR="5BB46813">
        <w:t xml:space="preserve">, noting that this work will be informed by the </w:t>
      </w:r>
      <w:hyperlink r:id="rId15">
        <w:r w:rsidR="5BB46813" w:rsidRPr="07D162B7">
          <w:rPr>
            <w:rStyle w:val="Hyperlink"/>
          </w:rPr>
          <w:t>Strengthening Medicare Taskforce</w:t>
        </w:r>
      </w:hyperlink>
      <w:r w:rsidR="185C4B4C">
        <w:t>.</w:t>
      </w:r>
    </w:p>
    <w:p w14:paraId="06EFB022" w14:textId="21F0D53C" w:rsidR="00171E98" w:rsidRDefault="0097760B" w:rsidP="00171E98">
      <w:r>
        <w:t>I</w:t>
      </w:r>
      <w:r w:rsidR="00171E98">
        <w:t xml:space="preserve">nformation about the </w:t>
      </w:r>
      <w:r>
        <w:t xml:space="preserve">MBS </w:t>
      </w:r>
      <w:r w:rsidR="001211AF">
        <w:t>Continuous</w:t>
      </w:r>
      <w:r>
        <w:t xml:space="preserve"> Review and the </w:t>
      </w:r>
      <w:r w:rsidR="00171E98">
        <w:t xml:space="preserve">MRAC </w:t>
      </w:r>
      <w:r>
        <w:t>is</w:t>
      </w:r>
      <w:r w:rsidR="009E469A">
        <w:t xml:space="preserve"> in </w:t>
      </w:r>
      <w:hyperlink w:anchor="_Appendix_A_MBS" w:history="1">
        <w:r w:rsidR="009E469A" w:rsidRPr="009E469A">
          <w:rPr>
            <w:rStyle w:val="Hyperlink"/>
          </w:rPr>
          <w:t>Appendix A</w:t>
        </w:r>
      </w:hyperlink>
      <w:r w:rsidR="009E469A">
        <w:t>.</w:t>
      </w:r>
    </w:p>
    <w:p w14:paraId="691D1706" w14:textId="67F6331B" w:rsidR="00B85EA2" w:rsidRDefault="00B85EA2" w:rsidP="00E15764">
      <w:pPr>
        <w:pStyle w:val="Heading1"/>
      </w:pPr>
      <w:bookmarkStart w:id="52" w:name="_Toc163814565"/>
      <w:r>
        <w:t>Balancing access, quality and safety</w:t>
      </w:r>
      <w:bookmarkEnd w:id="52"/>
    </w:p>
    <w:p w14:paraId="2D23AB42" w14:textId="6FE20417" w:rsidR="00BC6FB9" w:rsidRPr="00BC6FB9" w:rsidRDefault="00BC6FB9" w:rsidP="00BC6FB9">
      <w:r>
        <w:t>Telehealth</w:t>
      </w:r>
      <w:r w:rsidR="00480F0C">
        <w:t xml:space="preserve"> services must balance improved access with high-quality and safe health care. Further, </w:t>
      </w:r>
      <w:r w:rsidR="00FA640E">
        <w:t>telehealth services should assist with continuity of care to deliver the best health outcomes for patients.</w:t>
      </w:r>
    </w:p>
    <w:p w14:paraId="145F9E72" w14:textId="73445672" w:rsidR="00083666" w:rsidRDefault="00083666" w:rsidP="00083666">
      <w:pPr>
        <w:pStyle w:val="Heading2"/>
      </w:pPr>
      <w:bookmarkStart w:id="53" w:name="_Toc163814566"/>
      <w:r>
        <w:t xml:space="preserve">Research and </w:t>
      </w:r>
      <w:r w:rsidR="00DE4C3A">
        <w:t xml:space="preserve">systematic </w:t>
      </w:r>
      <w:r>
        <w:t>literature reviews</w:t>
      </w:r>
      <w:bookmarkEnd w:id="53"/>
    </w:p>
    <w:p w14:paraId="54AE9BE2" w14:textId="69B2E7E4" w:rsidR="00BD326B" w:rsidRDefault="00B05EA0" w:rsidP="007F4E85">
      <w:pPr>
        <w:pStyle w:val="NormalBeforeBullet"/>
      </w:pPr>
      <w:r w:rsidRPr="00BC6FB9">
        <w:t>To inform its deliberations and recommendations,</w:t>
      </w:r>
      <w:r w:rsidR="00D8647A">
        <w:t xml:space="preserve"> the</w:t>
      </w:r>
      <w:r w:rsidRPr="00BC6FB9">
        <w:t xml:space="preserve"> MRAC was presented with data from</w:t>
      </w:r>
      <w:r w:rsidR="00BD326B">
        <w:t>:</w:t>
      </w:r>
    </w:p>
    <w:p w14:paraId="2438D538" w14:textId="0F7710CA" w:rsidR="009F4796" w:rsidRDefault="31BDE899" w:rsidP="00B440FD">
      <w:pPr>
        <w:pStyle w:val="BulletBeforeDash"/>
      </w:pPr>
      <w:r>
        <w:t>independent research</w:t>
      </w:r>
      <w:r w:rsidR="0AFDF3EE">
        <w:t>,</w:t>
      </w:r>
      <w:r>
        <w:t xml:space="preserve"> including</w:t>
      </w:r>
    </w:p>
    <w:p w14:paraId="2889F389" w14:textId="2E7B9396" w:rsidR="00940E13" w:rsidRDefault="11E56790" w:rsidP="00F516F5">
      <w:pPr>
        <w:pStyle w:val="Dash"/>
      </w:pPr>
      <w:r>
        <w:t xml:space="preserve">systematic </w:t>
      </w:r>
      <w:r w:rsidRPr="00BC6FB9">
        <w:t>literature reviews</w:t>
      </w:r>
      <w:r>
        <w:t xml:space="preserve"> from Bond University</w:t>
      </w:r>
      <w:r w:rsidR="001F0BC6">
        <w:t xml:space="preserve"> (Scott et al. 2021, 2023a, 2023b</w:t>
      </w:r>
      <w:r w:rsidR="00151CC7">
        <w:t>; Scott &amp; Gla</w:t>
      </w:r>
      <w:r w:rsidR="001350CB">
        <w:t>sziou 2023)</w:t>
      </w:r>
    </w:p>
    <w:p w14:paraId="0A9CC42B" w14:textId="29FDEB4F" w:rsidR="0016322B" w:rsidRDefault="11E56790" w:rsidP="00B440FD">
      <w:pPr>
        <w:pStyle w:val="DashLast"/>
      </w:pPr>
      <w:r>
        <w:t xml:space="preserve">case study </w:t>
      </w:r>
      <w:r w:rsidR="007F302B">
        <w:t xml:space="preserve">and linked data </w:t>
      </w:r>
      <w:r>
        <w:t>research from the Australian National University</w:t>
      </w:r>
      <w:r w:rsidR="619E1F65">
        <w:t xml:space="preserve"> (ANU)</w:t>
      </w:r>
      <w:r w:rsidR="001350CB">
        <w:t xml:space="preserve"> (</w:t>
      </w:r>
      <w:r w:rsidR="00BB1EF1">
        <w:t>Butler et al. 2023)</w:t>
      </w:r>
      <w:r>
        <w:t xml:space="preserve"> investigating telehealth in primary care</w:t>
      </w:r>
    </w:p>
    <w:p w14:paraId="121D1350" w14:textId="550962B4" w:rsidR="0016322B" w:rsidRDefault="7DAB5772" w:rsidP="007F4E85">
      <w:pPr>
        <w:pStyle w:val="Bullet"/>
      </w:pPr>
      <w:r>
        <w:t xml:space="preserve">Australian </w:t>
      </w:r>
      <w:r w:rsidR="00B8BA9F">
        <w:t xml:space="preserve">Government </w:t>
      </w:r>
      <w:r>
        <w:t>D</w:t>
      </w:r>
      <w:r w:rsidR="5A557FFF">
        <w:t>epartment</w:t>
      </w:r>
      <w:r>
        <w:t xml:space="preserve"> of Health and Aged Care (the </w:t>
      </w:r>
      <w:r w:rsidR="5A557FFF">
        <w:t>department</w:t>
      </w:r>
      <w:r>
        <w:t>)</w:t>
      </w:r>
      <w:r w:rsidR="5A557FFF">
        <w:t xml:space="preserve"> research</w:t>
      </w:r>
      <w:r w:rsidR="672C8B93">
        <w:t xml:space="preserve"> conducted by </w:t>
      </w:r>
      <w:r>
        <w:t xml:space="preserve">the </w:t>
      </w:r>
      <w:r w:rsidR="672C8B93">
        <w:t>Health Design Lab and the Medica</w:t>
      </w:r>
      <w:r w:rsidR="184056C8">
        <w:t>re</w:t>
      </w:r>
      <w:r w:rsidR="672C8B93">
        <w:t xml:space="preserve"> Benefits Division </w:t>
      </w:r>
      <w:r w:rsidR="4185ACB5">
        <w:t>(Health Design Lab, unpublished)</w:t>
      </w:r>
      <w:r>
        <w:t>,</w:t>
      </w:r>
      <w:r w:rsidR="5A557FFF">
        <w:t xml:space="preserve"> including </w:t>
      </w:r>
      <w:r w:rsidR="5D42087A">
        <w:t>stakeholder interviews and workshops with general practice clinicians and managers</w:t>
      </w:r>
    </w:p>
    <w:p w14:paraId="7CD3AF29" w14:textId="43D3C0C5" w:rsidR="004F6952" w:rsidRDefault="34C2DDD5" w:rsidP="007F4E85">
      <w:pPr>
        <w:pStyle w:val="Bullet"/>
      </w:pPr>
      <w:r>
        <w:t>consumer feedback from workshop</w:t>
      </w:r>
      <w:r w:rsidR="4A492C9F">
        <w:t>s</w:t>
      </w:r>
      <w:r>
        <w:t xml:space="preserve"> conducted by the </w:t>
      </w:r>
      <w:hyperlink w:anchor="_Consumer_Health_Forum">
        <w:r w:rsidRPr="07D162B7">
          <w:rPr>
            <w:rStyle w:val="Hyperlink"/>
          </w:rPr>
          <w:t>Consumers Health Forum (CHF)</w:t>
        </w:r>
      </w:hyperlink>
      <w:r w:rsidR="4A492C9F">
        <w:t xml:space="preserve"> on behalf of the department</w:t>
      </w:r>
    </w:p>
    <w:p w14:paraId="60A30DCE" w14:textId="4FA60AEE" w:rsidR="00B05EA0" w:rsidRDefault="0AFDF3EE" w:rsidP="007F4E85">
      <w:pPr>
        <w:pStyle w:val="BulletLast"/>
      </w:pPr>
      <w:r>
        <w:t>MBS data</w:t>
      </w:r>
      <w:r w:rsidR="12F2A368">
        <w:t xml:space="preserve">, collated </w:t>
      </w:r>
      <w:r w:rsidR="194D64FE">
        <w:t xml:space="preserve">and presented </w:t>
      </w:r>
      <w:r w:rsidR="12F2A368">
        <w:t xml:space="preserve">by </w:t>
      </w:r>
      <w:r>
        <w:t>the department</w:t>
      </w:r>
      <w:r w:rsidR="31BDE899">
        <w:t>.</w:t>
      </w:r>
    </w:p>
    <w:p w14:paraId="1A472BD1" w14:textId="77777777" w:rsidR="007B6172" w:rsidRDefault="007B6172" w:rsidP="007B6172">
      <w:pPr>
        <w:pStyle w:val="Heading3"/>
      </w:pPr>
      <w:bookmarkStart w:id="54" w:name="_Telehealth_vs_face-to-face"/>
      <w:bookmarkStart w:id="55" w:name="_Toc163814567"/>
      <w:bookmarkEnd w:id="54"/>
      <w:r>
        <w:t>Limitations of the research</w:t>
      </w:r>
      <w:bookmarkEnd w:id="55"/>
    </w:p>
    <w:p w14:paraId="3768A05B" w14:textId="56373861" w:rsidR="007B6172" w:rsidRDefault="1B5C4D1A" w:rsidP="007B6172">
      <w:r>
        <w:t xml:space="preserve">The MRAC noted </w:t>
      </w:r>
      <w:r w:rsidR="76A1A7B6">
        <w:t>the limited</w:t>
      </w:r>
      <w:r>
        <w:t xml:space="preserve"> availability and diversity of </w:t>
      </w:r>
      <w:r w:rsidR="3EAF5F3E">
        <w:t>high</w:t>
      </w:r>
      <w:r w:rsidR="6FC039E9">
        <w:t>-</w:t>
      </w:r>
      <w:r w:rsidR="3EAF5F3E">
        <w:t xml:space="preserve">quality </w:t>
      </w:r>
      <w:r>
        <w:t>evidence comparing telehealth modalities and comparing telehealth to face-to-face consultations</w:t>
      </w:r>
      <w:r w:rsidR="00E1702F">
        <w:t>.</w:t>
      </w:r>
      <w:r w:rsidR="3E2794F6">
        <w:t xml:space="preserve"> </w:t>
      </w:r>
      <w:r w:rsidR="00E1702F">
        <w:t>M</w:t>
      </w:r>
      <w:r>
        <w:t xml:space="preserve">ost studies </w:t>
      </w:r>
      <w:r w:rsidR="50FB5A6C">
        <w:t xml:space="preserve">to date </w:t>
      </w:r>
      <w:r>
        <w:t>focus on</w:t>
      </w:r>
      <w:r w:rsidR="0117BCF0">
        <w:t xml:space="preserve"> immediate or short</w:t>
      </w:r>
      <w:r w:rsidR="0828091B">
        <w:t>-</w:t>
      </w:r>
      <w:r w:rsidR="0117BCF0">
        <w:t>term</w:t>
      </w:r>
      <w:r>
        <w:t xml:space="preserve"> clinical aspects of care, with little research </w:t>
      </w:r>
      <w:r w:rsidR="50FB5A6C">
        <w:t>into</w:t>
      </w:r>
      <w:r>
        <w:t xml:space="preserve"> patient views </w:t>
      </w:r>
      <w:r w:rsidR="50FB5A6C">
        <w:t>on</w:t>
      </w:r>
      <w:r>
        <w:t xml:space="preserve"> telehealth services.</w:t>
      </w:r>
      <w:r w:rsidR="00E1702F">
        <w:t xml:space="preserve"> Further research is needed.</w:t>
      </w:r>
    </w:p>
    <w:p w14:paraId="2B702C4E" w14:textId="61684851" w:rsidR="00A927EA" w:rsidRDefault="007B6172" w:rsidP="002060AD">
      <w:r>
        <w:t>The MRAC considered the available evidence wh</w:t>
      </w:r>
      <w:r w:rsidR="0097760B">
        <w:t>ile</w:t>
      </w:r>
      <w:r>
        <w:t xml:space="preserve"> </w:t>
      </w:r>
      <w:r w:rsidR="4D2DAA77">
        <w:t>deliberating but</w:t>
      </w:r>
      <w:r>
        <w:t xml:space="preserve"> acknowledged that the gaps in evidence made it challenging to make strong, evidence-based recommendations.</w:t>
      </w:r>
      <w:r w:rsidR="008D0249">
        <w:t xml:space="preserve"> For example, evidence about the </w:t>
      </w:r>
      <w:r>
        <w:t>compari</w:t>
      </w:r>
      <w:r w:rsidR="00233F87">
        <w:t>son of</w:t>
      </w:r>
      <w:r>
        <w:t xml:space="preserve"> telehealth modalities (telephone vs video) </w:t>
      </w:r>
      <w:r w:rsidR="00174972">
        <w:t>in primary care</w:t>
      </w:r>
      <w:r w:rsidR="008D0249">
        <w:t xml:space="preserve"> remains limited.</w:t>
      </w:r>
      <w:r w:rsidR="003E04CF">
        <w:t xml:space="preserve"> There is also limited </w:t>
      </w:r>
      <w:r w:rsidR="00664B8A">
        <w:t xml:space="preserve">peer-reviewed </w:t>
      </w:r>
      <w:r w:rsidR="003E04CF">
        <w:t xml:space="preserve">evidence about </w:t>
      </w:r>
      <w:r w:rsidR="1B5C4D1A">
        <w:t xml:space="preserve">patients’ </w:t>
      </w:r>
      <w:r w:rsidR="1BB249B3">
        <w:t>understanding of risks and benefits, and drivers of</w:t>
      </w:r>
      <w:r w:rsidR="009F6D41">
        <w:t xml:space="preserve"> </w:t>
      </w:r>
      <w:r w:rsidR="1B5C4D1A">
        <w:t>choices regarding telehealth</w:t>
      </w:r>
      <w:r w:rsidR="007F302B">
        <w:t xml:space="preserve">. However, </w:t>
      </w:r>
      <w:r w:rsidR="00613CAF">
        <w:t xml:space="preserve">the CHF workshops did provide </w:t>
      </w:r>
      <w:r w:rsidR="5ED3F5A8">
        <w:t>certain insights from a range of consumer perspectives</w:t>
      </w:r>
      <w:r w:rsidR="007D4600">
        <w:t>.</w:t>
      </w:r>
    </w:p>
    <w:p w14:paraId="758B2226" w14:textId="31306BAE" w:rsidR="007B6172" w:rsidRPr="009774ED" w:rsidRDefault="007B6172" w:rsidP="00A927EA">
      <w:r>
        <w:t>The MRAC’s deliberations and recommendations were informed by the best possible data available to the committee at the time.</w:t>
      </w:r>
      <w:r w:rsidR="00C4338D">
        <w:t xml:space="preserve"> It is incumbent upon policy makers and those seeking to amend the MBS to maintain a current understanding of relevant and emerging research. </w:t>
      </w:r>
    </w:p>
    <w:p w14:paraId="43C5534D" w14:textId="229E8D40" w:rsidR="60F401CE" w:rsidRDefault="40494F19" w:rsidP="69ABD742">
      <w:pPr>
        <w:pStyle w:val="Heading3"/>
      </w:pPr>
      <w:bookmarkStart w:id="56" w:name="_Telehealth_as_a"/>
      <w:bookmarkStart w:id="57" w:name="_Toc163814568"/>
      <w:bookmarkEnd w:id="56"/>
      <w:r>
        <w:t>Telehealth as a substitute for in-person care</w:t>
      </w:r>
      <w:bookmarkEnd w:id="57"/>
    </w:p>
    <w:p w14:paraId="75B8EB78" w14:textId="58541856" w:rsidR="00E1702F" w:rsidRDefault="1951F050" w:rsidP="165431D0">
      <w:r>
        <w:t xml:space="preserve">The </w:t>
      </w:r>
      <w:r w:rsidR="3C460B64">
        <w:t xml:space="preserve">MRAC noted </w:t>
      </w:r>
      <w:r w:rsidR="4338EA4F">
        <w:t xml:space="preserve">from </w:t>
      </w:r>
      <w:r w:rsidR="3C460B64">
        <w:t>the research</w:t>
      </w:r>
      <w:r w:rsidR="3DB55897">
        <w:t xml:space="preserve"> </w:t>
      </w:r>
      <w:r w:rsidR="3C460B64">
        <w:t>that</w:t>
      </w:r>
      <w:r w:rsidR="1E1D8E78">
        <w:t xml:space="preserve"> no new </w:t>
      </w:r>
      <w:r w:rsidR="5341EAA8">
        <w:t xml:space="preserve">relevant </w:t>
      </w:r>
      <w:r w:rsidR="1E1D8E78">
        <w:t xml:space="preserve">evidence had been found since </w:t>
      </w:r>
      <w:r w:rsidR="007F302B">
        <w:t xml:space="preserve">a </w:t>
      </w:r>
      <w:r w:rsidR="1E1D8E78">
        <w:t>2021 systematic review</w:t>
      </w:r>
      <w:r w:rsidR="00BB1EF1">
        <w:t xml:space="preserve"> (Scott et al. 2021)</w:t>
      </w:r>
      <w:r w:rsidR="007F302B">
        <w:t xml:space="preserve"> which informed the transition from temporary to permanent telehealth from 1 January 2022</w:t>
      </w:r>
      <w:r w:rsidR="3E74F676">
        <w:t>.</w:t>
      </w:r>
      <w:r w:rsidR="3C460B64">
        <w:t xml:space="preserve"> </w:t>
      </w:r>
      <w:r w:rsidR="49D0D9EE">
        <w:t>O</w:t>
      </w:r>
      <w:r w:rsidR="3C460B64">
        <w:t xml:space="preserve">verall, </w:t>
      </w:r>
      <w:r w:rsidR="4D7BF65C">
        <w:t xml:space="preserve">telehealth and </w:t>
      </w:r>
      <w:r w:rsidR="3C460B64">
        <w:t>face-to-face consultations</w:t>
      </w:r>
      <w:r w:rsidR="3004C81E">
        <w:t xml:space="preserve"> </w:t>
      </w:r>
      <w:r w:rsidR="621AF350">
        <w:t xml:space="preserve">could </w:t>
      </w:r>
      <w:r w:rsidR="4D7BF65C">
        <w:t xml:space="preserve">have equal efficacy </w:t>
      </w:r>
      <w:r w:rsidR="3004C81E">
        <w:t xml:space="preserve">for ongoing management of </w:t>
      </w:r>
      <w:r w:rsidR="621AF350">
        <w:t>known condition</w:t>
      </w:r>
      <w:r w:rsidR="00CC063F">
        <w:t>s</w:t>
      </w:r>
      <w:r w:rsidR="621AF350">
        <w:t xml:space="preserve"> for </w:t>
      </w:r>
      <w:r w:rsidR="3004C81E">
        <w:t xml:space="preserve">a </w:t>
      </w:r>
      <w:r w:rsidR="621AF350">
        <w:t xml:space="preserve">known </w:t>
      </w:r>
      <w:r w:rsidR="3004C81E">
        <w:t>patient</w:t>
      </w:r>
      <w:r w:rsidR="001D1E0F">
        <w:t xml:space="preserve"> (Scott et al. 2023a)</w:t>
      </w:r>
      <w:r w:rsidR="4870F7F9">
        <w:t>.</w:t>
      </w:r>
      <w:r w:rsidR="3DB55897">
        <w:t xml:space="preserve"> It is acknowledged that the latest systematic review did not yield as much new research as anticipated</w:t>
      </w:r>
      <w:r w:rsidR="5D97E211">
        <w:t>. Also, several studies were subject to bias, had small sample sizes and were conducted overseas</w:t>
      </w:r>
      <w:r w:rsidR="3DB55897">
        <w:t xml:space="preserve">. </w:t>
      </w:r>
    </w:p>
    <w:p w14:paraId="5115A7B1" w14:textId="747C7C09" w:rsidR="007F302B" w:rsidRDefault="73647563" w:rsidP="7A78A0F3">
      <w:r>
        <w:t xml:space="preserve">The </w:t>
      </w:r>
      <w:r w:rsidR="7AAE4E98">
        <w:t xml:space="preserve">MRAC </w:t>
      </w:r>
      <w:r w:rsidR="2487A981">
        <w:t xml:space="preserve">noted </w:t>
      </w:r>
      <w:r w:rsidR="79742E92">
        <w:t>Bond</w:t>
      </w:r>
      <w:r w:rsidR="1D0E6101">
        <w:t xml:space="preserve"> University</w:t>
      </w:r>
      <w:r w:rsidR="79742E92">
        <w:t xml:space="preserve">’s </w:t>
      </w:r>
      <w:r w:rsidR="7AAE4E98">
        <w:t>research</w:t>
      </w:r>
      <w:r w:rsidR="0E160B12">
        <w:t xml:space="preserve"> conclusions</w:t>
      </w:r>
      <w:r w:rsidR="79742E92">
        <w:t xml:space="preserve"> that, </w:t>
      </w:r>
      <w:r w:rsidR="35C48D08">
        <w:t>‘w</w:t>
      </w:r>
      <w:r w:rsidR="79742E92">
        <w:t>hile history taking and verbal assessments can be done acceptably by telehealth, only some elements of physical examination are sufficiently reliable and valid</w:t>
      </w:r>
      <w:r w:rsidR="35C48D08">
        <w:t>’</w:t>
      </w:r>
      <w:r w:rsidR="4CB75862">
        <w:t xml:space="preserve"> (Scott et al. 2023a)</w:t>
      </w:r>
      <w:r w:rsidR="35C48D08">
        <w:t>.</w:t>
      </w:r>
      <w:r w:rsidR="79742E92">
        <w:t xml:space="preserve"> </w:t>
      </w:r>
      <w:r w:rsidR="03930983">
        <w:t>W</w:t>
      </w:r>
      <w:r w:rsidR="7AAE4E98">
        <w:t xml:space="preserve">hen hands-on clinical assessment was necessary for diagnosis, and especially for a new diagnosis, telehealth was unlikely to be suitable and </w:t>
      </w:r>
      <w:r w:rsidR="701D5A19">
        <w:t>a face</w:t>
      </w:r>
      <w:r w:rsidR="7AAE4E98">
        <w:t>-to-face consultation was highly preferred</w:t>
      </w:r>
      <w:r w:rsidR="4CB75862">
        <w:t xml:space="preserve"> (Scott et al. 2023a)</w:t>
      </w:r>
      <w:r w:rsidR="35C48D08">
        <w:t>.</w:t>
      </w:r>
      <w:r w:rsidR="237CD555">
        <w:t xml:space="preserve"> </w:t>
      </w:r>
      <w:r w:rsidR="5A9B352B">
        <w:t>Further, the MRAC noted that it is more difficult to diagnose via telehealth when the information requirements for that diagnosis increase – for example, additional information from pathology or imaging tests.</w:t>
      </w:r>
    </w:p>
    <w:p w14:paraId="0799E410" w14:textId="48169BF5" w:rsidR="00C4338D" w:rsidRDefault="41B872B3" w:rsidP="0A5255DE">
      <w:pPr>
        <w:spacing w:line="259" w:lineRule="auto"/>
      </w:pPr>
      <w:r>
        <w:t xml:space="preserve">Even if telehealth has potential to increase patients’ access, there were perceived risks of both lower quality of care and lower value services when telehealth is not used optimally. </w:t>
      </w:r>
      <w:r w:rsidR="4FBEFF59">
        <w:t>M</w:t>
      </w:r>
      <w:r w:rsidR="6234D026">
        <w:t xml:space="preserve">ost research </w:t>
      </w:r>
      <w:r w:rsidR="56617A1C">
        <w:t>comparing telehealth to in-person care</w:t>
      </w:r>
      <w:r w:rsidR="6234D026">
        <w:t xml:space="preserve"> </w:t>
      </w:r>
      <w:r w:rsidR="7E94036D">
        <w:t xml:space="preserve">employs </w:t>
      </w:r>
      <w:r w:rsidR="6234D026">
        <w:t>pre</w:t>
      </w:r>
      <w:r w:rsidR="41826E8C">
        <w:t>-planned</w:t>
      </w:r>
      <w:r w:rsidR="6234D026">
        <w:t xml:space="preserve"> assessments.</w:t>
      </w:r>
      <w:r w:rsidR="6791EF85">
        <w:t xml:space="preserve"> </w:t>
      </w:r>
      <w:r w:rsidR="1124862C">
        <w:t>S</w:t>
      </w:r>
      <w:r w:rsidR="47428945">
        <w:t>ome patient assessments relying on verbal assessment tools</w:t>
      </w:r>
      <w:r w:rsidR="52B93D44">
        <w:t xml:space="preserve">, such as for neurocognitive and mental health conditions were </w:t>
      </w:r>
      <w:r w:rsidR="7E3741B5">
        <w:t>equivalent</w:t>
      </w:r>
      <w:r w:rsidR="0F6266E5">
        <w:t xml:space="preserve"> to in-person services</w:t>
      </w:r>
      <w:r w:rsidR="5C7E6117">
        <w:t>.</w:t>
      </w:r>
      <w:r w:rsidR="0F6266E5">
        <w:t xml:space="preserve"> </w:t>
      </w:r>
      <w:r w:rsidR="16E54AD5">
        <w:t>In contrast, o</w:t>
      </w:r>
      <w:r w:rsidR="439A8A97">
        <w:t>ther</w:t>
      </w:r>
      <w:r w:rsidR="23573577">
        <w:t xml:space="preserve"> </w:t>
      </w:r>
      <w:r w:rsidR="370BDB08">
        <w:t xml:space="preserve">telehealth </w:t>
      </w:r>
      <w:r w:rsidR="23573577">
        <w:t xml:space="preserve">assessments and diagnoses </w:t>
      </w:r>
      <w:r w:rsidR="545622FA">
        <w:t xml:space="preserve">dependent on physical observations or </w:t>
      </w:r>
      <w:r w:rsidR="11EE8278">
        <w:t>arising from unplanned or unstructured assessments</w:t>
      </w:r>
      <w:r w:rsidR="1949F24E">
        <w:t xml:space="preserve"> often had </w:t>
      </w:r>
      <w:r w:rsidR="40829861">
        <w:t xml:space="preserve">only </w:t>
      </w:r>
      <w:r w:rsidR="1949F24E">
        <w:t xml:space="preserve">moderate </w:t>
      </w:r>
      <w:r w:rsidR="647E1724">
        <w:t xml:space="preserve">or poor </w:t>
      </w:r>
      <w:r w:rsidR="1949F24E">
        <w:t xml:space="preserve">agreement, or moderate disagreement </w:t>
      </w:r>
      <w:r w:rsidR="5BAEB5E6">
        <w:t xml:space="preserve">with assessments in-person (Scott et al. 2023a). </w:t>
      </w:r>
      <w:r w:rsidR="5E548E52">
        <w:t>While acknowledging</w:t>
      </w:r>
      <w:r w:rsidR="665BC878">
        <w:t xml:space="preserve"> this is</w:t>
      </w:r>
      <w:r w:rsidR="5E548E52">
        <w:t xml:space="preserve"> an emerging area o</w:t>
      </w:r>
      <w:r w:rsidR="54CE453F">
        <w:t>f</w:t>
      </w:r>
      <w:r w:rsidR="5E548E52">
        <w:t xml:space="preserve"> research, </w:t>
      </w:r>
      <w:r w:rsidR="0D871641">
        <w:t xml:space="preserve">the </w:t>
      </w:r>
      <w:r w:rsidR="77F7CBAD">
        <w:t xml:space="preserve">findings </w:t>
      </w:r>
      <w:r w:rsidR="691CC9E1">
        <w:t xml:space="preserve">to date </w:t>
      </w:r>
      <w:r w:rsidR="3E3E7D33">
        <w:t xml:space="preserve">emphasise </w:t>
      </w:r>
      <w:r w:rsidR="15589B45">
        <w:t xml:space="preserve">an optimal role for </w:t>
      </w:r>
      <w:r w:rsidR="31C093CE">
        <w:t xml:space="preserve">telehealth </w:t>
      </w:r>
      <w:r w:rsidR="048BAC9F">
        <w:t xml:space="preserve">for </w:t>
      </w:r>
      <w:r w:rsidR="31C093CE">
        <w:t xml:space="preserve">ongoing </w:t>
      </w:r>
      <w:r w:rsidR="0377F459">
        <w:t xml:space="preserve">care </w:t>
      </w:r>
      <w:r w:rsidR="31C093CE">
        <w:t>rather than</w:t>
      </w:r>
      <w:r w:rsidR="0B592FB4">
        <w:t xml:space="preserve"> ad-hoc </w:t>
      </w:r>
      <w:r w:rsidR="56A3D898">
        <w:t>or acute consultations</w:t>
      </w:r>
      <w:r w:rsidR="5F04AB54">
        <w:t>.</w:t>
      </w:r>
      <w:r w:rsidR="056895E1">
        <w:t xml:space="preserve"> </w:t>
      </w:r>
    </w:p>
    <w:p w14:paraId="495EB634" w14:textId="1458E38F" w:rsidR="00C4338D" w:rsidRDefault="712086CB" w:rsidP="7A78A0F3">
      <w:r>
        <w:t xml:space="preserve">Some </w:t>
      </w:r>
      <w:r w:rsidR="6DFBD173">
        <w:t xml:space="preserve">published </w:t>
      </w:r>
      <w:r>
        <w:t xml:space="preserve">observations </w:t>
      </w:r>
      <w:r w:rsidR="60AC8339">
        <w:t xml:space="preserve">following </w:t>
      </w:r>
      <w:r>
        <w:t xml:space="preserve">the expansion of MBS telehealth in 2020 </w:t>
      </w:r>
      <w:r w:rsidR="14669999">
        <w:t>also reported differences</w:t>
      </w:r>
      <w:r w:rsidR="5C7EBB04">
        <w:t xml:space="preserve"> in between telehealth and face-to-face consultations, with </w:t>
      </w:r>
      <w:r w:rsidR="40E6388D">
        <w:t xml:space="preserve">telehealth resulting in </w:t>
      </w:r>
      <w:r w:rsidR="5C7EBB04">
        <w:t xml:space="preserve">reduced prescribing </w:t>
      </w:r>
      <w:r w:rsidR="37CE5DC4">
        <w:t>(Wabe et al, 2022) and</w:t>
      </w:r>
      <w:r w:rsidR="3D97A933">
        <w:t xml:space="preserve"> pathology referrals (Hardie et al, 2022)</w:t>
      </w:r>
      <w:r w:rsidR="11A93EDC">
        <w:t xml:space="preserve">. </w:t>
      </w:r>
      <w:r w:rsidR="62C21C83">
        <w:t xml:space="preserve">Understanding the factors </w:t>
      </w:r>
      <w:r w:rsidR="351376F6">
        <w:t>behind these</w:t>
      </w:r>
      <w:r w:rsidR="1B538DE3">
        <w:t xml:space="preserve"> differences </w:t>
      </w:r>
      <w:r w:rsidR="74998F57">
        <w:t>may inform</w:t>
      </w:r>
      <w:r w:rsidR="14669999">
        <w:t xml:space="preserve"> </w:t>
      </w:r>
      <w:r w:rsidR="47C49EB1">
        <w:t xml:space="preserve">how telehealth is being </w:t>
      </w:r>
      <w:r w:rsidR="4344F2DD">
        <w:t xml:space="preserve">appropriately </w:t>
      </w:r>
      <w:r w:rsidR="47C49EB1">
        <w:t>chosen to substitute for face-to-face consultations</w:t>
      </w:r>
      <w:r w:rsidR="119AFF15">
        <w:t xml:space="preserve">, </w:t>
      </w:r>
      <w:r w:rsidR="3372C2B0">
        <w:t xml:space="preserve">or if </w:t>
      </w:r>
      <w:r w:rsidR="04A3E2BE">
        <w:t xml:space="preserve">these observations represent </w:t>
      </w:r>
      <w:r w:rsidR="30C7A1AC">
        <w:t xml:space="preserve">a </w:t>
      </w:r>
      <w:r w:rsidR="3EAD2973">
        <w:t xml:space="preserve">potential </w:t>
      </w:r>
      <w:r w:rsidR="30C7A1AC">
        <w:t xml:space="preserve">risk of </w:t>
      </w:r>
      <w:r w:rsidR="6B65BABC">
        <w:t xml:space="preserve">missed opportunities for intervention. </w:t>
      </w:r>
    </w:p>
    <w:p w14:paraId="0F9686A1" w14:textId="70A4CE06" w:rsidR="003702C0" w:rsidRDefault="239200FC" w:rsidP="165431D0">
      <w:r>
        <w:t xml:space="preserve">The MRAC </w:t>
      </w:r>
      <w:r w:rsidR="4370352A">
        <w:t xml:space="preserve">identified </w:t>
      </w:r>
      <w:r w:rsidR="3420B7D8">
        <w:t xml:space="preserve">an </w:t>
      </w:r>
      <w:r w:rsidR="4370352A">
        <w:t>option for further research that was not possible in the time of this review to evaluate whether there are differences in the clinical notes</w:t>
      </w:r>
      <w:r w:rsidR="1E2E773E">
        <w:t xml:space="preserve"> taken by service providers </w:t>
      </w:r>
      <w:r w:rsidR="4370352A">
        <w:t>for telehealth and in-person consultations, and to investigate whether differences in the reason for the consultation inform</w:t>
      </w:r>
      <w:r w:rsidR="26362D72">
        <w:t>s</w:t>
      </w:r>
      <w:r w:rsidR="4370352A">
        <w:t xml:space="preserve"> the modality of the consultation. </w:t>
      </w:r>
    </w:p>
    <w:p w14:paraId="08DA8265" w14:textId="238E338E" w:rsidR="00083666" w:rsidRDefault="4D1966C9" w:rsidP="00C06070">
      <w:pPr>
        <w:pStyle w:val="Heading3"/>
      </w:pPr>
      <w:bookmarkStart w:id="58" w:name="_Video_vs_telephone"/>
      <w:bookmarkStart w:id="59" w:name="_Toc163814569"/>
      <w:bookmarkEnd w:id="58"/>
      <w:r>
        <w:t xml:space="preserve">Comparing </w:t>
      </w:r>
      <w:r w:rsidR="1E543BD6">
        <w:t xml:space="preserve">video </w:t>
      </w:r>
      <w:r w:rsidR="124BFCB0">
        <w:t xml:space="preserve">and </w:t>
      </w:r>
      <w:r w:rsidR="29238A68">
        <w:t>telephone consultations</w:t>
      </w:r>
      <w:bookmarkEnd w:id="59"/>
    </w:p>
    <w:p w14:paraId="45DEBFA5" w14:textId="6ED5856D" w:rsidR="00F601B6" w:rsidRPr="00BC487E" w:rsidRDefault="1B381778" w:rsidP="00BC487E">
      <w:pPr>
        <w:pStyle w:val="NormalBeforeBullet"/>
      </w:pPr>
      <w:r>
        <w:t xml:space="preserve">The </w:t>
      </w:r>
      <w:r w:rsidR="50DBBF59">
        <w:t xml:space="preserve">MRAC noted </w:t>
      </w:r>
      <w:r w:rsidR="2F7882B5">
        <w:t>through Bond</w:t>
      </w:r>
      <w:r w:rsidR="725ACC91">
        <w:t xml:space="preserve"> University</w:t>
      </w:r>
      <w:r w:rsidR="2F7882B5">
        <w:t xml:space="preserve">’s systematic review that </w:t>
      </w:r>
      <w:r w:rsidR="76331DDC">
        <w:t>studies compar</w:t>
      </w:r>
      <w:r w:rsidR="3D557140">
        <w:t>ing</w:t>
      </w:r>
      <w:r w:rsidR="76331DDC">
        <w:t xml:space="preserve"> </w:t>
      </w:r>
      <w:r w:rsidR="50DBBF59">
        <w:t xml:space="preserve">video </w:t>
      </w:r>
      <w:r w:rsidR="3BDA9C5F">
        <w:t xml:space="preserve">consultations </w:t>
      </w:r>
      <w:r w:rsidR="76331DDC">
        <w:t xml:space="preserve">to </w:t>
      </w:r>
      <w:r w:rsidR="50DBBF59">
        <w:t xml:space="preserve">telephone </w:t>
      </w:r>
      <w:r w:rsidR="56F5BA21">
        <w:t xml:space="preserve">consultations </w:t>
      </w:r>
      <w:r w:rsidR="1049DED9">
        <w:t xml:space="preserve">revealed no major differences in </w:t>
      </w:r>
      <w:r w:rsidR="31C797CC">
        <w:t>patient satisfaction</w:t>
      </w:r>
      <w:r w:rsidR="55597295">
        <w:t xml:space="preserve">, </w:t>
      </w:r>
      <w:r w:rsidR="24BA35E1">
        <w:t>c</w:t>
      </w:r>
      <w:r w:rsidR="7602CD44">
        <w:t xml:space="preserve">linical effectiveness or </w:t>
      </w:r>
      <w:r w:rsidR="783FF3A6">
        <w:t>health</w:t>
      </w:r>
      <w:r w:rsidR="00646997">
        <w:t xml:space="preserve"> care</w:t>
      </w:r>
      <w:r w:rsidR="783FF3A6">
        <w:t xml:space="preserve"> use </w:t>
      </w:r>
      <w:r w:rsidR="4E407391">
        <w:t>(</w:t>
      </w:r>
      <w:r w:rsidR="79330CF3">
        <w:t>cost-effectiveness</w:t>
      </w:r>
      <w:r w:rsidR="4E407391">
        <w:t>)</w:t>
      </w:r>
      <w:r w:rsidR="001D1E0F">
        <w:t xml:space="preserve"> (Scott &amp; Glas</w:t>
      </w:r>
      <w:r w:rsidR="00E85EFC">
        <w:t>ziou 2023)</w:t>
      </w:r>
      <w:r w:rsidR="309D55A8">
        <w:t>.</w:t>
      </w:r>
      <w:r w:rsidR="79330CF3">
        <w:t xml:space="preserve"> However, these </w:t>
      </w:r>
      <w:r w:rsidR="04CB5AFC">
        <w:t xml:space="preserve">studies </w:t>
      </w:r>
      <w:r w:rsidR="2F7882B5">
        <w:t xml:space="preserve">in the systematic review </w:t>
      </w:r>
      <w:r w:rsidR="79330CF3">
        <w:t xml:space="preserve">had </w:t>
      </w:r>
      <w:r w:rsidR="7BEA5A48">
        <w:t>several limitations, including</w:t>
      </w:r>
      <w:r w:rsidR="0A9773C5">
        <w:t>:</w:t>
      </w:r>
    </w:p>
    <w:p w14:paraId="7E37C858" w14:textId="442B7C2D" w:rsidR="00D60231" w:rsidRDefault="606CBADA" w:rsidP="00D60231">
      <w:pPr>
        <w:pStyle w:val="Bullet"/>
      </w:pPr>
      <w:r>
        <w:t xml:space="preserve">lack of currency (half of the studies were conducted prior to 2012 before widespread availability of smartphones and </w:t>
      </w:r>
      <w:r w:rsidR="385AAA27">
        <w:t>‘</w:t>
      </w:r>
      <w:r>
        <w:t>used special video call devices installed in patients’ homes, which would pose a challenge for scalability of the intervention</w:t>
      </w:r>
      <w:r w:rsidR="385AAA27">
        <w:t>’</w:t>
      </w:r>
      <w:r w:rsidR="79A8B119">
        <w:t xml:space="preserve"> [Scott et al. 2023a]</w:t>
      </w:r>
      <w:r>
        <w:t>)</w:t>
      </w:r>
    </w:p>
    <w:p w14:paraId="42FF4462" w14:textId="5C0B9A4E" w:rsidR="006C32F4" w:rsidRDefault="58CACC9C" w:rsidP="006C32F4">
      <w:pPr>
        <w:pStyle w:val="Bullet"/>
      </w:pPr>
      <w:r>
        <w:t>a medium to high risk of bias</w:t>
      </w:r>
    </w:p>
    <w:p w14:paraId="7200FAED" w14:textId="566782A3" w:rsidR="00BC487E" w:rsidRDefault="5D3A5B8E" w:rsidP="00F601B6">
      <w:pPr>
        <w:pStyle w:val="Bullet"/>
      </w:pPr>
      <w:r>
        <w:t>none reported on patient safety or adverse events</w:t>
      </w:r>
    </w:p>
    <w:p w14:paraId="4D3C2AA9" w14:textId="53D96794" w:rsidR="003732F1" w:rsidRDefault="74104972" w:rsidP="003732F1">
      <w:pPr>
        <w:pStyle w:val="Bullet"/>
      </w:pPr>
      <w:r>
        <w:t>none reported on diagnosis</w:t>
      </w:r>
      <w:r w:rsidR="03E041D4">
        <w:t xml:space="preserve"> or</w:t>
      </w:r>
      <w:r>
        <w:t xml:space="preserve"> initiating new treatment</w:t>
      </w:r>
    </w:p>
    <w:p w14:paraId="097BEC2C" w14:textId="77777777" w:rsidR="00D60231" w:rsidRDefault="7005B1A3" w:rsidP="003732F1">
      <w:pPr>
        <w:pStyle w:val="BulletLast"/>
      </w:pPr>
      <w:r>
        <w:t xml:space="preserve">none </w:t>
      </w:r>
      <w:r w:rsidR="710CED2C">
        <w:t>were set</w:t>
      </w:r>
      <w:r w:rsidR="498AA2DE">
        <w:t xml:space="preserve"> in</w:t>
      </w:r>
      <w:r w:rsidR="7E7525A3">
        <w:t xml:space="preserve"> primary care</w:t>
      </w:r>
      <w:r w:rsidR="52E608F8">
        <w:t xml:space="preserve"> that directly compared video to telephone consultation.</w:t>
      </w:r>
    </w:p>
    <w:p w14:paraId="3CD52A6B" w14:textId="535B1C27" w:rsidR="00D72027" w:rsidRDefault="31E9EE00" w:rsidP="07D162B7">
      <w:pPr>
        <w:pStyle w:val="BulletLast"/>
        <w:numPr>
          <w:ilvl w:val="0"/>
          <w:numId w:val="0"/>
        </w:numPr>
        <w:spacing w:line="259" w:lineRule="auto"/>
      </w:pPr>
      <w:r>
        <w:t>O</w:t>
      </w:r>
      <w:r w:rsidR="20F8A976">
        <w:t>verall</w:t>
      </w:r>
      <w:r w:rsidR="0109B16E">
        <w:t>,</w:t>
      </w:r>
      <w:r w:rsidR="20F8A976">
        <w:t xml:space="preserve"> </w:t>
      </w:r>
      <w:r w:rsidR="0BEA728C">
        <w:t xml:space="preserve">the </w:t>
      </w:r>
      <w:r w:rsidR="20F8A976">
        <w:t xml:space="preserve">MRAC agreed with </w:t>
      </w:r>
      <w:r w:rsidR="51253163">
        <w:t xml:space="preserve">the authors </w:t>
      </w:r>
      <w:r w:rsidR="20F8A976">
        <w:t>that this is an emerging area of study that requires more research</w:t>
      </w:r>
      <w:r>
        <w:t>.</w:t>
      </w:r>
      <w:r w:rsidR="20F8A976">
        <w:t xml:space="preserve"> </w:t>
      </w:r>
      <w:r w:rsidR="4041723C">
        <w:t>While evidence</w:t>
      </w:r>
      <w:r w:rsidR="44F272D5">
        <w:t xml:space="preserve"> is </w:t>
      </w:r>
      <w:r w:rsidR="4041723C">
        <w:t>emerging (Caffery et al</w:t>
      </w:r>
      <w:r w:rsidR="48F76765">
        <w:t>.</w:t>
      </w:r>
      <w:r w:rsidR="4041723C">
        <w:t xml:space="preserve"> 2024), at present </w:t>
      </w:r>
      <w:r w:rsidR="127C85EE">
        <w:t xml:space="preserve">it is </w:t>
      </w:r>
      <w:r w:rsidR="4E6B31E4">
        <w:t xml:space="preserve">insufficient </w:t>
      </w:r>
      <w:r w:rsidR="20BB2927">
        <w:t xml:space="preserve">to restrict </w:t>
      </w:r>
      <w:r w:rsidR="692DE7BA">
        <w:t xml:space="preserve">the </w:t>
      </w:r>
      <w:r w:rsidR="20BB2927">
        <w:t xml:space="preserve">modality when telehealth is deemed appropriate by the clinician and patient. </w:t>
      </w:r>
    </w:p>
    <w:p w14:paraId="5688C3A2" w14:textId="3A2C5603" w:rsidR="00B327AB" w:rsidRDefault="58AF8665" w:rsidP="00B327AB">
      <w:pPr>
        <w:pStyle w:val="Heading3"/>
      </w:pPr>
      <w:bookmarkStart w:id="60" w:name="_Clinician_use_of"/>
      <w:bookmarkStart w:id="61" w:name="_Toc163814570"/>
      <w:bookmarkEnd w:id="60"/>
      <w:r>
        <w:t>Clinician use of telehealth services</w:t>
      </w:r>
      <w:bookmarkEnd w:id="61"/>
    </w:p>
    <w:p w14:paraId="674FA23F" w14:textId="00A61B2E" w:rsidR="008E3F8E" w:rsidRDefault="325E77E7" w:rsidP="69ABD742">
      <w:pPr>
        <w:rPr>
          <w:highlight w:val="yellow"/>
          <w:lang w:val="en-US"/>
        </w:rPr>
      </w:pPr>
      <w:r w:rsidRPr="69ABD742">
        <w:rPr>
          <w:lang w:val="en-US"/>
        </w:rPr>
        <w:t xml:space="preserve">Telehealth was rapidly adopted by most health service providers in the context of the pandemic. More than half of all telehealth providers provided their first video or telephone consultation within a month of the items commencing of telehealth services (Figure </w:t>
      </w:r>
      <w:r w:rsidR="138978EF" w:rsidRPr="69ABD742">
        <w:rPr>
          <w:lang w:val="en-US"/>
        </w:rPr>
        <w:t>1</w:t>
      </w:r>
      <w:r w:rsidRPr="69ABD742">
        <w:rPr>
          <w:lang w:val="en-US"/>
        </w:rPr>
        <w:t>).</w:t>
      </w:r>
      <w:r w:rsidR="782BF316" w:rsidRPr="69ABD742">
        <w:rPr>
          <w:lang w:val="en-US"/>
        </w:rPr>
        <w:t xml:space="preserve"> Since the beginning of COVID-19 telehealth items, GPs have been the largest </w:t>
      </w:r>
      <w:r w:rsidR="782BF316" w:rsidRPr="0096386B">
        <w:rPr>
          <w:lang w:val="en-US"/>
        </w:rPr>
        <w:t>group of telehealth providers, accounting for approximately 6 out of every 7 services (</w:t>
      </w:r>
      <w:r w:rsidR="3D49D132" w:rsidRPr="0096386B">
        <w:rPr>
          <w:lang w:val="en-US"/>
        </w:rPr>
        <w:t>F</w:t>
      </w:r>
      <w:r w:rsidR="782BF316" w:rsidRPr="0096386B">
        <w:rPr>
          <w:lang w:val="en-US"/>
        </w:rPr>
        <w:t xml:space="preserve">igure </w:t>
      </w:r>
      <w:r w:rsidR="79331A69" w:rsidRPr="0096386B">
        <w:rPr>
          <w:lang w:val="en-US"/>
        </w:rPr>
        <w:t>2</w:t>
      </w:r>
      <w:r w:rsidR="782BF316" w:rsidRPr="0096386B">
        <w:rPr>
          <w:lang w:val="en-US"/>
        </w:rPr>
        <w:t>)</w:t>
      </w:r>
      <w:r w:rsidR="005831D4" w:rsidRPr="0096386B">
        <w:rPr>
          <w:lang w:val="en-US"/>
        </w:rPr>
        <w:t>.</w:t>
      </w:r>
    </w:p>
    <w:p w14:paraId="33891B1F" w14:textId="6A4C1486" w:rsidR="005831D4" w:rsidRDefault="00AD7132" w:rsidP="69ABD742">
      <w:pPr>
        <w:rPr>
          <w:highlight w:val="yellow"/>
          <w:lang w:val="en-US"/>
        </w:rPr>
      </w:pPr>
      <w:r>
        <w:rPr>
          <w:noProof/>
        </w:rPr>
        <w:drawing>
          <wp:inline distT="0" distB="0" distL="0" distR="0" wp14:anchorId="03BC57D6" wp14:editId="7280520A">
            <wp:extent cx="5063490" cy="2800350"/>
            <wp:effectExtent l="0" t="0" r="3810" b="0"/>
            <wp:docPr id="799032932" name="Chart 1">
              <a:extLst xmlns:a="http://schemas.openxmlformats.org/drawingml/2006/main">
                <a:ext uri="{FF2B5EF4-FFF2-40B4-BE49-F238E27FC236}">
                  <a16:creationId xmlns:a16="http://schemas.microsoft.com/office/drawing/2014/main" id="{D58891A4-EE1A-417A-9A29-62A22566580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FB82934" w14:textId="790932E7" w:rsidR="008E3F8E" w:rsidRDefault="325E77E7" w:rsidP="005831D4">
      <w:pPr>
        <w:pStyle w:val="FigureNameSpace"/>
        <w:rPr>
          <w:rFonts w:eastAsia="Calibri" w:cs="Calibri"/>
          <w:lang w:val="en-US"/>
        </w:rPr>
      </w:pPr>
      <w:r w:rsidRPr="07D162B7">
        <w:rPr>
          <w:lang w:val="en-US"/>
        </w:rPr>
        <w:t xml:space="preserve">Figure </w:t>
      </w:r>
      <w:r w:rsidR="7F24E62D" w:rsidRPr="07D162B7">
        <w:rPr>
          <w:lang w:val="en-US"/>
        </w:rPr>
        <w:t>1</w:t>
      </w:r>
      <w:r>
        <w:tab/>
      </w:r>
      <w:r w:rsidR="7DFA1228" w:rsidRPr="00477ADE">
        <w:rPr>
          <w:rFonts w:asciiTheme="minorHAnsi" w:eastAsiaTheme="minorEastAsia" w:hAnsiTheme="minorHAnsi" w:cstheme="minorBidi"/>
          <w:color w:val="333333"/>
          <w:lang w:val="en-US"/>
        </w:rPr>
        <w:t>Department of Health and Aged Care analysis of MBS data -</w:t>
      </w:r>
      <w:r w:rsidR="7DFA1228" w:rsidRPr="00477ADE">
        <w:rPr>
          <w:rFonts w:asciiTheme="minorHAnsi" w:eastAsiaTheme="minorEastAsia" w:hAnsiTheme="minorHAnsi" w:cstheme="minorBidi"/>
          <w:lang w:val="en-US"/>
        </w:rPr>
        <w:t xml:space="preserve"> </w:t>
      </w:r>
      <w:r w:rsidRPr="07D162B7">
        <w:rPr>
          <w:lang w:val="en-US"/>
        </w:rPr>
        <w:t>Cumulative uptake of MBS COVID-19 telehealth services (unique service providers)</w:t>
      </w:r>
    </w:p>
    <w:p w14:paraId="70B75AF1" w14:textId="04E47789" w:rsidR="008E3F8E" w:rsidRPr="00BF2ADD" w:rsidRDefault="002F7522" w:rsidP="69ABD742">
      <w:pPr>
        <w:rPr>
          <w:highlight w:val="yellow"/>
          <w:lang w:val="en-US"/>
        </w:rPr>
      </w:pPr>
      <w:r>
        <w:rPr>
          <w:noProof/>
        </w:rPr>
        <w:drawing>
          <wp:inline distT="0" distB="0" distL="0" distR="0" wp14:anchorId="4BCA8275" wp14:editId="56784F8B">
            <wp:extent cx="5063556" cy="3070904"/>
            <wp:effectExtent l="0" t="0" r="3810" b="15240"/>
            <wp:docPr id="749256547" name="Chart 1">
              <a:extLst xmlns:a="http://schemas.openxmlformats.org/drawingml/2006/main">
                <a:ext uri="{FF2B5EF4-FFF2-40B4-BE49-F238E27FC236}">
                  <a16:creationId xmlns:a16="http://schemas.microsoft.com/office/drawing/2014/main" id="{57009A13-7402-63BE-D8A0-1F98A00FB68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67C7A3D" w14:textId="4DF97943" w:rsidR="008E3F8E" w:rsidRPr="0096386B" w:rsidRDefault="06E1A1B0" w:rsidP="002F7522">
      <w:pPr>
        <w:pStyle w:val="FigureNameSpace"/>
        <w:rPr>
          <w:rFonts w:eastAsia="Calibri" w:cs="Calibri"/>
        </w:rPr>
      </w:pPr>
      <w:r>
        <w:t xml:space="preserve">Figure </w:t>
      </w:r>
      <w:r w:rsidR="556249E0">
        <w:t>2</w:t>
      </w:r>
      <w:r>
        <w:tab/>
      </w:r>
      <w:r w:rsidR="11DA72C8" w:rsidRPr="07D162B7">
        <w:rPr>
          <w:rFonts w:asciiTheme="minorHAnsi" w:eastAsiaTheme="minorEastAsia" w:hAnsiTheme="minorHAnsi" w:cstheme="minorBidi"/>
          <w:color w:val="333333"/>
          <w:lang w:val="en-US"/>
        </w:rPr>
        <w:t>Department of Health and Aged Care analysis of MBS data -</w:t>
      </w:r>
      <w:r w:rsidR="11DA72C8" w:rsidRPr="07D162B7">
        <w:rPr>
          <w:rFonts w:asciiTheme="minorHAnsi" w:eastAsiaTheme="minorEastAsia" w:hAnsiTheme="minorHAnsi" w:cstheme="minorBidi"/>
          <w:lang w:val="en-US"/>
        </w:rPr>
        <w:t xml:space="preserve"> </w:t>
      </w:r>
      <w:r>
        <w:t xml:space="preserve">Proportion of telehealth consultations by MBS broad type of service, April 2020 </w:t>
      </w:r>
      <w:r w:rsidR="00E85EFC">
        <w:t>–</w:t>
      </w:r>
      <w:r>
        <w:t xml:space="preserve"> June 2023</w:t>
      </w:r>
    </w:p>
    <w:p w14:paraId="6F60D741" w14:textId="3C12C278" w:rsidR="008E3F8E" w:rsidRDefault="0D660463" w:rsidP="69ABD742">
      <w:pPr>
        <w:rPr>
          <w:lang w:val="en-US"/>
        </w:rPr>
      </w:pPr>
      <w:r w:rsidRPr="0096386B">
        <w:rPr>
          <w:lang w:val="en-US"/>
        </w:rPr>
        <w:t>The proportion</w:t>
      </w:r>
      <w:r w:rsidR="004D2DC6">
        <w:rPr>
          <w:lang w:val="en-US"/>
        </w:rPr>
        <w:t xml:space="preserve"> of</w:t>
      </w:r>
      <w:r w:rsidRPr="0096386B">
        <w:rPr>
          <w:lang w:val="en-US"/>
        </w:rPr>
        <w:t xml:space="preserve"> services by telehealth in 2022</w:t>
      </w:r>
      <w:r w:rsidR="0033171B">
        <w:rPr>
          <w:lang w:val="en-US"/>
        </w:rPr>
        <w:t>–</w:t>
      </w:r>
      <w:r w:rsidRPr="0096386B">
        <w:rPr>
          <w:lang w:val="en-US"/>
        </w:rPr>
        <w:t xml:space="preserve">23 was 20% for GPs, 11% for non-GP specialists, 12% for allied health and 3% for other providers including nurse practitioners and midwives (Figure </w:t>
      </w:r>
      <w:r w:rsidR="1825A424" w:rsidRPr="0096386B">
        <w:rPr>
          <w:lang w:val="en-US"/>
        </w:rPr>
        <w:t>3</w:t>
      </w:r>
      <w:r w:rsidRPr="0096386B">
        <w:rPr>
          <w:lang w:val="en-US"/>
        </w:rPr>
        <w:t>).</w:t>
      </w:r>
    </w:p>
    <w:p w14:paraId="05129893" w14:textId="455D1D9A" w:rsidR="008E3F8E" w:rsidRDefault="00B820AE" w:rsidP="69ABD742">
      <w:r>
        <w:rPr>
          <w:noProof/>
        </w:rPr>
        <w:drawing>
          <wp:inline distT="0" distB="0" distL="0" distR="0" wp14:anchorId="662E22CD" wp14:editId="091B6241">
            <wp:extent cx="5181600" cy="3251200"/>
            <wp:effectExtent l="0" t="0" r="0" b="6350"/>
            <wp:docPr id="1440359216" name="Chart 1">
              <a:extLst xmlns:a="http://schemas.openxmlformats.org/drawingml/2006/main">
                <a:ext uri="{FF2B5EF4-FFF2-40B4-BE49-F238E27FC236}">
                  <a16:creationId xmlns:a16="http://schemas.microsoft.com/office/drawing/2014/main" id="{7E91DD58-799C-F8EF-ADD4-3DED1584F22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199BC386" w14:textId="6E36733B" w:rsidR="008E3F8E" w:rsidRDefault="0D660463" w:rsidP="0050729E">
      <w:pPr>
        <w:pStyle w:val="FigureNameSpace"/>
        <w:rPr>
          <w:rFonts w:eastAsia="Calibri" w:cs="Calibri"/>
        </w:rPr>
      </w:pPr>
      <w:r>
        <w:t xml:space="preserve">Figure </w:t>
      </w:r>
      <w:r w:rsidR="3DC9CB5F">
        <w:t>3</w:t>
      </w:r>
      <w:r>
        <w:tab/>
      </w:r>
      <w:r w:rsidR="599C23FA" w:rsidRPr="07D162B7">
        <w:rPr>
          <w:rFonts w:asciiTheme="minorHAnsi" w:eastAsiaTheme="minorEastAsia" w:hAnsiTheme="minorHAnsi" w:cstheme="minorBidi"/>
          <w:color w:val="333333"/>
          <w:lang w:val="en-US"/>
        </w:rPr>
        <w:t>Department of Health and Aged Care analysis of MBS data -</w:t>
      </w:r>
      <w:r w:rsidR="599C23FA" w:rsidRPr="07D162B7">
        <w:rPr>
          <w:rFonts w:asciiTheme="minorHAnsi" w:eastAsiaTheme="minorEastAsia" w:hAnsiTheme="minorHAnsi" w:cstheme="minorBidi"/>
          <w:lang w:val="en-US"/>
        </w:rPr>
        <w:t xml:space="preserve"> </w:t>
      </w:r>
      <w:r w:rsidR="2844D71E">
        <w:t xml:space="preserve">MBS broad type of services, proportion of services by telehealth (phone and video), </w:t>
      </w:r>
      <w:r w:rsidR="0049175D">
        <w:t>1 </w:t>
      </w:r>
      <w:r w:rsidR="2844D71E">
        <w:t xml:space="preserve">April 2020 </w:t>
      </w:r>
      <w:r w:rsidR="00FC4487">
        <w:t>–</w:t>
      </w:r>
      <w:r w:rsidR="0049175D">
        <w:t xml:space="preserve"> 30 </w:t>
      </w:r>
      <w:r w:rsidR="2844D71E">
        <w:t>June 2023</w:t>
      </w:r>
    </w:p>
    <w:p w14:paraId="5299E442" w14:textId="017BA19F" w:rsidR="006B4AF5" w:rsidRDefault="7CF9C5AB" w:rsidP="69ABD742">
      <w:pPr>
        <w:rPr>
          <w:noProof/>
        </w:rPr>
      </w:pPr>
      <w:r>
        <w:t>The MRAC noted that GPs on average are using video the least of all clinician types, at</w:t>
      </w:r>
      <w:r w:rsidR="6C672A92">
        <w:t xml:space="preserve"> less than</w:t>
      </w:r>
      <w:r>
        <w:t xml:space="preserve"> 5% of all telehealth consultations claimed in 2022</w:t>
      </w:r>
      <w:r w:rsidR="00FC4487">
        <w:t>–</w:t>
      </w:r>
      <w:r>
        <w:t xml:space="preserve">23 (see Figure </w:t>
      </w:r>
      <w:r w:rsidR="5A680BCF">
        <w:t>4</w:t>
      </w:r>
      <w:r>
        <w:t>).</w:t>
      </w:r>
    </w:p>
    <w:p w14:paraId="7BDBFBFC" w14:textId="204567CD" w:rsidR="008E3F8E" w:rsidRDefault="00BD482E" w:rsidP="69ABD742">
      <w:r>
        <w:rPr>
          <w:noProof/>
        </w:rPr>
        <w:drawing>
          <wp:inline distT="0" distB="0" distL="0" distR="0" wp14:anchorId="5F2C9C03" wp14:editId="2AE1E916">
            <wp:extent cx="5210175" cy="2990850"/>
            <wp:effectExtent l="0" t="0" r="9525" b="0"/>
            <wp:docPr id="427993814" name="Chart 1">
              <a:extLst xmlns:a="http://schemas.openxmlformats.org/drawingml/2006/main">
                <a:ext uri="{FF2B5EF4-FFF2-40B4-BE49-F238E27FC236}">
                  <a16:creationId xmlns:a16="http://schemas.microsoft.com/office/drawing/2014/main" id="{C732B251-0477-8DAF-7C78-D7D3D94C98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E9C0B65" w14:textId="14181B04" w:rsidR="008E3F8E" w:rsidRDefault="7CF9C5AB" w:rsidP="69ABD742">
      <w:pPr>
        <w:pStyle w:val="FigureNameSpace"/>
      </w:pPr>
      <w:r>
        <w:t xml:space="preserve">Figure </w:t>
      </w:r>
      <w:r w:rsidR="5B8E120A">
        <w:t>4</w:t>
      </w:r>
      <w:r>
        <w:tab/>
      </w:r>
      <w:r w:rsidR="797A5625" w:rsidRPr="07D162B7">
        <w:rPr>
          <w:rFonts w:asciiTheme="minorHAnsi" w:eastAsiaTheme="minorEastAsia" w:hAnsiTheme="minorHAnsi" w:cstheme="minorBidi"/>
          <w:color w:val="333333"/>
          <w:lang w:val="en-US"/>
        </w:rPr>
        <w:t>Department of Health and Aged Care analysis of MBS data -</w:t>
      </w:r>
      <w:r w:rsidR="797A5625" w:rsidRPr="07D162B7">
        <w:rPr>
          <w:rFonts w:asciiTheme="minorHAnsi" w:eastAsiaTheme="minorEastAsia" w:hAnsiTheme="minorHAnsi" w:cstheme="minorBidi"/>
          <w:lang w:val="en-US"/>
        </w:rPr>
        <w:t xml:space="preserve"> </w:t>
      </w:r>
      <w:r>
        <w:t xml:space="preserve">Percentage of video telehealth consultations, by clinician, </w:t>
      </w:r>
      <w:r>
        <w:br/>
        <w:t>1 July 2020 – 31 March 2023</w:t>
      </w:r>
    </w:p>
    <w:p w14:paraId="2EAA8FBA" w14:textId="390F4EB3" w:rsidR="008E3F8E" w:rsidRDefault="58AF8665" w:rsidP="69ABD742">
      <w:r>
        <w:t xml:space="preserve">Referring to the </w:t>
      </w:r>
      <w:hyperlink r:id="rId20">
        <w:r w:rsidRPr="07D162B7">
          <w:rPr>
            <w:rStyle w:val="Hyperlink"/>
          </w:rPr>
          <w:t>Modified Monash (MM) Model</w:t>
        </w:r>
      </w:hyperlink>
      <w:r>
        <w:t xml:space="preserve"> for </w:t>
      </w:r>
      <w:r w:rsidR="1B381778">
        <w:t>rurality, the</w:t>
      </w:r>
      <w:r>
        <w:t xml:space="preserve"> MRAC noted </w:t>
      </w:r>
      <w:r w:rsidR="76034099">
        <w:t xml:space="preserve">from MBS data </w:t>
      </w:r>
      <w:r>
        <w:t>that</w:t>
      </w:r>
      <w:r w:rsidR="76034099">
        <w:t>,</w:t>
      </w:r>
      <w:r>
        <w:t xml:space="preserve"> </w:t>
      </w:r>
      <w:r w:rsidR="76034099">
        <w:t xml:space="preserve">since July 2021, </w:t>
      </w:r>
      <w:r w:rsidR="19E05D8D">
        <w:t>most</w:t>
      </w:r>
      <w:r>
        <w:t xml:space="preserve"> users of telehealth services </w:t>
      </w:r>
      <w:r w:rsidR="43C0644B">
        <w:t xml:space="preserve">and the highest proportion of services </w:t>
      </w:r>
      <w:r>
        <w:t>are in major cities (MM 1), and most</w:t>
      </w:r>
      <w:r w:rsidR="76034099">
        <w:t xml:space="preserve"> </w:t>
      </w:r>
      <w:r w:rsidR="71336EB0">
        <w:t xml:space="preserve">of these </w:t>
      </w:r>
      <w:r w:rsidR="76034099">
        <w:t>consultations are</w:t>
      </w:r>
      <w:r>
        <w:t xml:space="preserve"> for GP services. As rurality increases (MM 2–7), telehealth GP services decrease, but non-GP telehealth and allied health services both increase</w:t>
      </w:r>
      <w:r w:rsidR="0C8D5488">
        <w:t xml:space="preserve"> (see Figure </w:t>
      </w:r>
      <w:r w:rsidR="74F9DF6F">
        <w:t>5</w:t>
      </w:r>
      <w:r w:rsidR="0C8D5488">
        <w:t>)</w:t>
      </w:r>
      <w:r>
        <w:t>.</w:t>
      </w:r>
    </w:p>
    <w:p w14:paraId="57C60EEB" w14:textId="2DA31E4F" w:rsidR="00B327AB" w:rsidRDefault="0050687E" w:rsidP="00B327AB">
      <w:r>
        <w:rPr>
          <w:noProof/>
        </w:rPr>
        <w:drawing>
          <wp:inline distT="0" distB="0" distL="0" distR="0" wp14:anchorId="7A0D9B37" wp14:editId="25087E5A">
            <wp:extent cx="5568950" cy="3663950"/>
            <wp:effectExtent l="0" t="0" r="12700" b="12700"/>
            <wp:docPr id="759972234" name="Chart 1">
              <a:extLst xmlns:a="http://schemas.openxmlformats.org/drawingml/2006/main">
                <a:ext uri="{FF2B5EF4-FFF2-40B4-BE49-F238E27FC236}">
                  <a16:creationId xmlns:a16="http://schemas.microsoft.com/office/drawing/2014/main" id="{5DE6EFD8-CAD9-4F51-BCC9-E0D698F799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3A4F181" w14:textId="10BC6AC3" w:rsidR="008E3F8E" w:rsidRDefault="7D1C180A" w:rsidP="7A78A0F3">
      <w:pPr>
        <w:pStyle w:val="FigureNameSpace"/>
        <w:rPr>
          <w:rFonts w:ascii="Segoe UI" w:eastAsia="Segoe UI" w:hAnsi="Segoe UI" w:cs="Segoe UI"/>
          <w:color w:val="333333"/>
          <w:sz w:val="18"/>
          <w:szCs w:val="18"/>
        </w:rPr>
      </w:pPr>
      <w:r>
        <w:t>F</w:t>
      </w:r>
      <w:r w:rsidR="7637A7F8">
        <w:t>igure </w:t>
      </w:r>
      <w:r w:rsidR="673DBCF9">
        <w:t>5</w:t>
      </w:r>
      <w:r>
        <w:tab/>
      </w:r>
      <w:r w:rsidR="4A49F395" w:rsidRPr="07D162B7">
        <w:rPr>
          <w:rFonts w:asciiTheme="minorHAnsi" w:eastAsiaTheme="minorEastAsia" w:hAnsiTheme="minorHAnsi" w:cstheme="minorBidi"/>
          <w:color w:val="333333"/>
          <w:lang w:val="en-US"/>
        </w:rPr>
        <w:t>Department of Health and Aged Care analysis of MBS data -</w:t>
      </w:r>
      <w:r w:rsidR="4A49F395" w:rsidRPr="07D162B7">
        <w:rPr>
          <w:rFonts w:asciiTheme="minorHAnsi" w:eastAsiaTheme="minorEastAsia" w:hAnsiTheme="minorHAnsi" w:cstheme="minorBidi"/>
          <w:lang w:val="en-US"/>
        </w:rPr>
        <w:t xml:space="preserve"> </w:t>
      </w:r>
      <w:r w:rsidR="53756772" w:rsidRPr="07D162B7">
        <w:rPr>
          <w:rFonts w:ascii="Segoe UI" w:eastAsia="Segoe UI" w:hAnsi="Segoe UI" w:cs="Segoe UI"/>
          <w:color w:val="333333"/>
          <w:sz w:val="18"/>
          <w:szCs w:val="18"/>
        </w:rPr>
        <w:t>Proportion of services by telehealth, by broad type of service and rurality (MM 1–7)</w:t>
      </w:r>
      <w:r w:rsidR="687BBC87" w:rsidRPr="07D162B7">
        <w:rPr>
          <w:rFonts w:ascii="Segoe UI" w:eastAsia="Segoe UI" w:hAnsi="Segoe UI" w:cs="Segoe UI"/>
          <w:color w:val="333333"/>
          <w:sz w:val="18"/>
          <w:szCs w:val="18"/>
        </w:rPr>
        <w:t>, since July 2021</w:t>
      </w:r>
    </w:p>
    <w:p w14:paraId="081A1149" w14:textId="660A2847" w:rsidR="00DA38F9" w:rsidRDefault="01275DE1" w:rsidP="006A65AF">
      <w:r w:rsidRPr="07D162B7">
        <w:rPr>
          <w:rFonts w:asciiTheme="minorHAnsi" w:eastAsiaTheme="minorEastAsia" w:hAnsiTheme="minorHAnsi" w:cstheme="minorBidi"/>
        </w:rPr>
        <w:t>Informed by</w:t>
      </w:r>
      <w:r w:rsidR="69A5C954" w:rsidRPr="07D162B7">
        <w:rPr>
          <w:rFonts w:asciiTheme="minorHAnsi" w:eastAsiaTheme="minorEastAsia" w:hAnsiTheme="minorHAnsi" w:cstheme="minorBidi"/>
        </w:rPr>
        <w:t xml:space="preserve"> the Health Lab’s research</w:t>
      </w:r>
      <w:r w:rsidR="0033171B" w:rsidRPr="07D162B7">
        <w:rPr>
          <w:rFonts w:asciiTheme="minorHAnsi" w:eastAsiaTheme="minorEastAsia" w:hAnsiTheme="minorHAnsi" w:cstheme="minorBidi"/>
        </w:rPr>
        <w:t xml:space="preserve"> </w:t>
      </w:r>
      <w:r w:rsidR="2A08F0F7" w:rsidRPr="07D162B7">
        <w:rPr>
          <w:rFonts w:asciiTheme="minorHAnsi" w:eastAsiaTheme="minorEastAsia" w:hAnsiTheme="minorHAnsi" w:cstheme="minorBidi"/>
        </w:rPr>
        <w:t xml:space="preserve">that involved </w:t>
      </w:r>
      <w:r w:rsidR="2A08F0F7" w:rsidRPr="07D162B7">
        <w:rPr>
          <w:rFonts w:asciiTheme="minorHAnsi" w:eastAsiaTheme="minorEastAsia" w:hAnsiTheme="minorHAnsi" w:cstheme="minorBidi"/>
          <w:color w:val="auto"/>
        </w:rPr>
        <w:t xml:space="preserve">22 </w:t>
      </w:r>
      <w:r w:rsidR="600E0BEB" w:rsidRPr="07D162B7">
        <w:rPr>
          <w:rFonts w:asciiTheme="minorHAnsi" w:eastAsiaTheme="minorEastAsia" w:hAnsiTheme="minorHAnsi" w:cstheme="minorBidi"/>
          <w:color w:val="auto"/>
        </w:rPr>
        <w:t xml:space="preserve">primary care </w:t>
      </w:r>
      <w:r w:rsidR="2A08F0F7" w:rsidRPr="07D162B7">
        <w:rPr>
          <w:rFonts w:asciiTheme="minorHAnsi" w:eastAsiaTheme="minorEastAsia" w:hAnsiTheme="minorHAnsi" w:cstheme="minorBidi"/>
          <w:color w:val="auto"/>
        </w:rPr>
        <w:t>site visits</w:t>
      </w:r>
      <w:r w:rsidR="6C5C9477" w:rsidRPr="07D162B7">
        <w:rPr>
          <w:rFonts w:asciiTheme="minorHAnsi" w:eastAsiaTheme="minorEastAsia" w:hAnsiTheme="minorHAnsi" w:cstheme="minorBidi"/>
          <w:color w:val="auto"/>
        </w:rPr>
        <w:t xml:space="preserve"> and </w:t>
      </w:r>
      <w:r w:rsidR="2A08F0F7" w:rsidRPr="07D162B7">
        <w:rPr>
          <w:rFonts w:asciiTheme="minorHAnsi" w:eastAsiaTheme="minorEastAsia" w:hAnsiTheme="minorHAnsi" w:cstheme="minorBidi"/>
          <w:color w:val="auto"/>
        </w:rPr>
        <w:t xml:space="preserve">over 55 hours of interviews </w:t>
      </w:r>
      <w:r w:rsidR="2A08F0F7" w:rsidRPr="07D162B7">
        <w:rPr>
          <w:rFonts w:asciiTheme="minorHAnsi" w:eastAsiaTheme="minorEastAsia" w:hAnsiTheme="minorHAnsi" w:cstheme="minorBidi"/>
          <w:color w:val="000000" w:themeColor="text1"/>
        </w:rPr>
        <w:t>with GPs, practice managers, nurses, specialists and community health workers</w:t>
      </w:r>
      <w:r w:rsidR="0033171B" w:rsidRPr="07D162B7">
        <w:rPr>
          <w:rFonts w:asciiTheme="minorHAnsi" w:eastAsiaTheme="minorEastAsia" w:hAnsiTheme="minorHAnsi" w:cstheme="minorBidi"/>
        </w:rPr>
        <w:t xml:space="preserve"> (H</w:t>
      </w:r>
      <w:r w:rsidR="0033171B">
        <w:t>ealth Design Lab, unpublished)</w:t>
      </w:r>
      <w:r w:rsidR="69A5C954">
        <w:t xml:space="preserve">, </w:t>
      </w:r>
      <w:r w:rsidR="7FD20BE6">
        <w:t xml:space="preserve">the </w:t>
      </w:r>
      <w:r w:rsidR="64103B87">
        <w:t xml:space="preserve">MRAC </w:t>
      </w:r>
      <w:r w:rsidR="4D4ADA2C">
        <w:t>considered the following</w:t>
      </w:r>
      <w:r w:rsidR="14444FE2">
        <w:t xml:space="preserve"> </w:t>
      </w:r>
      <w:r w:rsidR="7748936C">
        <w:t xml:space="preserve">reasons for </w:t>
      </w:r>
      <w:r w:rsidR="383A0BEB">
        <w:t xml:space="preserve">why GPs are not </w:t>
      </w:r>
      <w:r w:rsidR="4939E293">
        <w:t xml:space="preserve">taking up </w:t>
      </w:r>
      <w:r w:rsidR="383A0BEB">
        <w:t>video as readily as some of their colleagues</w:t>
      </w:r>
      <w:r w:rsidR="7748936C">
        <w:t xml:space="preserve">, </w:t>
      </w:r>
      <w:r w:rsidR="67C37F9F">
        <w:t>including</w:t>
      </w:r>
      <w:r w:rsidR="7748936C">
        <w:t>:</w:t>
      </w:r>
    </w:p>
    <w:p w14:paraId="5F8551AE" w14:textId="0C72D17A" w:rsidR="3D42234B" w:rsidRDefault="49D04AF0" w:rsidP="69ABD742">
      <w:pPr>
        <w:pStyle w:val="Bullet"/>
      </w:pPr>
      <w:r>
        <w:t>Clinicians and patients are more likely to escalate to a face-to-face if telephone is inappropriate, rather than attempt video</w:t>
      </w:r>
      <w:r w:rsidR="500C3856">
        <w:t>.</w:t>
      </w:r>
    </w:p>
    <w:p w14:paraId="760F5983" w14:textId="480CE60F" w:rsidR="002E7FEE" w:rsidRDefault="7CAA0A91" w:rsidP="001B7C7E">
      <w:pPr>
        <w:pStyle w:val="Bullet"/>
      </w:pPr>
      <w:r>
        <w:t>GP appointments are relatively short (for example, compared to specialists and allied health appointments), making GPs reluctant to spend time dealing with potential technology issues</w:t>
      </w:r>
      <w:r w:rsidR="500C3856">
        <w:t>.</w:t>
      </w:r>
    </w:p>
    <w:p w14:paraId="4B893AD6" w14:textId="31E2ADCF" w:rsidR="004B24CA" w:rsidRDefault="58EBF871" w:rsidP="001B7C7E">
      <w:pPr>
        <w:pStyle w:val="Bullet"/>
      </w:pPr>
      <w:r>
        <w:t>G</w:t>
      </w:r>
      <w:r w:rsidR="7812D7EA">
        <w:t xml:space="preserve">eneral practice clinics </w:t>
      </w:r>
      <w:r w:rsidR="694CBCB9">
        <w:t xml:space="preserve">may not </w:t>
      </w:r>
      <w:r w:rsidR="7812D7EA">
        <w:t>have been adequately supported in updating their telehealth capabilities</w:t>
      </w:r>
      <w:r w:rsidR="34879683">
        <w:t>. Some practices may have used telehealth during COVID-</w:t>
      </w:r>
      <w:bookmarkStart w:id="62" w:name="_Int_zXXzDSst"/>
      <w:r w:rsidR="34879683">
        <w:t>19, but</w:t>
      </w:r>
      <w:bookmarkEnd w:id="62"/>
      <w:r w:rsidR="34879683">
        <w:t xml:space="preserve"> did not have</w:t>
      </w:r>
      <w:r w:rsidR="458AC8E5">
        <w:t xml:space="preserve"> a</w:t>
      </w:r>
      <w:r w:rsidR="34879683">
        <w:t xml:space="preserve"> strategy in place to continue using it after COVID-19 restrictions ended</w:t>
      </w:r>
      <w:r w:rsidR="500C3856">
        <w:t>.</w:t>
      </w:r>
    </w:p>
    <w:p w14:paraId="7604882B" w14:textId="6032A84D" w:rsidR="001B7C7E" w:rsidRDefault="58EBF871" w:rsidP="001B7C7E">
      <w:pPr>
        <w:pStyle w:val="Bullet"/>
      </w:pPr>
      <w:r>
        <w:t>G</w:t>
      </w:r>
      <w:r w:rsidR="201005F5">
        <w:t>eneral practice</w:t>
      </w:r>
      <w:r w:rsidR="6F226DD2">
        <w:t xml:space="preserve"> includes many</w:t>
      </w:r>
      <w:r w:rsidR="201005F5">
        <w:t xml:space="preserve"> </w:t>
      </w:r>
      <w:r w:rsidR="5153D8F3">
        <w:t xml:space="preserve">patients </w:t>
      </w:r>
      <w:r w:rsidR="4C310277">
        <w:t xml:space="preserve">who are </w:t>
      </w:r>
      <w:r w:rsidR="5153D8F3">
        <w:t>older, and th</w:t>
      </w:r>
      <w:r w:rsidR="09CF433F">
        <w:t xml:space="preserve">e </w:t>
      </w:r>
      <w:r w:rsidR="328E6317">
        <w:t xml:space="preserve">over </w:t>
      </w:r>
      <w:r w:rsidR="09CF433F">
        <w:t>70-year</w:t>
      </w:r>
      <w:r w:rsidR="79697D09">
        <w:t>s</w:t>
      </w:r>
      <w:r w:rsidR="5153D8F3">
        <w:t xml:space="preserve"> age group uses </w:t>
      </w:r>
      <w:r w:rsidR="0A97CE4F">
        <w:t xml:space="preserve">video </w:t>
      </w:r>
      <w:r w:rsidR="5153D8F3">
        <w:t>telehealth less often than younger age groups</w:t>
      </w:r>
      <w:r w:rsidR="500C3856">
        <w:t>.</w:t>
      </w:r>
    </w:p>
    <w:p w14:paraId="27A2D519" w14:textId="6DDE039B" w:rsidR="00AA2715" w:rsidRDefault="58EBF871" w:rsidP="001B7C7E">
      <w:pPr>
        <w:pStyle w:val="Bullet"/>
      </w:pPr>
      <w:r>
        <w:t>T</w:t>
      </w:r>
      <w:r w:rsidR="7812D7EA">
        <w:t>here are no guidelines out</w:t>
      </w:r>
      <w:r w:rsidR="567F8C3D">
        <w:t xml:space="preserve">lining </w:t>
      </w:r>
      <w:r w:rsidR="3489A376">
        <w:t>the available telehealth systems and</w:t>
      </w:r>
      <w:r w:rsidR="428E0CA6">
        <w:t xml:space="preserve"> how to make decisions regarding suitability for individual practices</w:t>
      </w:r>
      <w:r w:rsidR="79F8ADB4">
        <w:t>. S</w:t>
      </w:r>
      <w:r w:rsidR="31A6E4EF">
        <w:t xml:space="preserve">ome </w:t>
      </w:r>
      <w:r w:rsidR="23CC4478">
        <w:t xml:space="preserve">clinicians and patients </w:t>
      </w:r>
      <w:r w:rsidR="6287F0CD">
        <w:t xml:space="preserve">lack </w:t>
      </w:r>
      <w:r w:rsidR="3E0C01DE">
        <w:t xml:space="preserve">relevant </w:t>
      </w:r>
      <w:r w:rsidR="6287F0CD">
        <w:t xml:space="preserve">digital literacy or </w:t>
      </w:r>
      <w:r w:rsidR="045EE473">
        <w:t>internet access</w:t>
      </w:r>
      <w:r w:rsidR="500C3856">
        <w:t>.</w:t>
      </w:r>
    </w:p>
    <w:p w14:paraId="63F7BCEB" w14:textId="54D5AE91" w:rsidR="00217331" w:rsidRDefault="00217331" w:rsidP="07D162B7">
      <w:pPr>
        <w:pStyle w:val="BulletLast"/>
        <w:rPr>
          <w:rFonts w:asciiTheme="minorHAnsi" w:eastAsiaTheme="minorEastAsia" w:hAnsiTheme="minorHAnsi" w:cstheme="minorBidi"/>
        </w:rPr>
      </w:pPr>
      <w:r>
        <w:t>T</w:t>
      </w:r>
      <w:r w:rsidR="732BF748">
        <w:t xml:space="preserve">here may be some </w:t>
      </w:r>
      <w:r w:rsidR="3C2D131C">
        <w:t>confusion around Medicare claiming for telehealth items</w:t>
      </w:r>
      <w:r w:rsidR="4116DBAB">
        <w:t>.</w:t>
      </w:r>
    </w:p>
    <w:p w14:paraId="3C473CD0" w14:textId="2D9FE621" w:rsidR="4A33A7AC" w:rsidRDefault="53152823" w:rsidP="07D162B7">
      <w:pPr>
        <w:pStyle w:val="BulletLast"/>
        <w:numPr>
          <w:ilvl w:val="0"/>
          <w:numId w:val="0"/>
        </w:numPr>
        <w:spacing w:line="259" w:lineRule="auto"/>
        <w:rPr>
          <w:rFonts w:asciiTheme="minorHAnsi" w:eastAsiaTheme="minorEastAsia" w:hAnsiTheme="minorHAnsi" w:cstheme="minorBidi"/>
        </w:rPr>
      </w:pPr>
      <w:r w:rsidRPr="07D162B7">
        <w:rPr>
          <w:rFonts w:asciiTheme="minorHAnsi" w:eastAsiaTheme="minorEastAsia" w:hAnsiTheme="minorHAnsi" w:cstheme="minorBidi"/>
          <w:color w:val="000000" w:themeColor="text1"/>
        </w:rPr>
        <w:t xml:space="preserve">In acknowledging these reasons, </w:t>
      </w:r>
      <w:r w:rsidR="3EA458D3" w:rsidRPr="07D162B7">
        <w:rPr>
          <w:rFonts w:asciiTheme="minorHAnsi" w:eastAsiaTheme="minorEastAsia" w:hAnsiTheme="minorHAnsi" w:cstheme="minorBidi"/>
          <w:color w:val="000000" w:themeColor="text1"/>
        </w:rPr>
        <w:t>t</w:t>
      </w:r>
      <w:r w:rsidR="032EC2EE" w:rsidRPr="07D162B7">
        <w:rPr>
          <w:rFonts w:asciiTheme="minorHAnsi" w:eastAsiaTheme="minorEastAsia" w:hAnsiTheme="minorHAnsi" w:cstheme="minorBidi"/>
          <w:color w:val="000000" w:themeColor="text1"/>
        </w:rPr>
        <w:t xml:space="preserve">he MRAC also noted that </w:t>
      </w:r>
      <w:r w:rsidR="5E9F8E26" w:rsidRPr="07D162B7">
        <w:rPr>
          <w:rFonts w:asciiTheme="minorHAnsi" w:eastAsiaTheme="minorEastAsia" w:hAnsiTheme="minorHAnsi" w:cstheme="minorBidi"/>
          <w:color w:val="000000" w:themeColor="text1"/>
        </w:rPr>
        <w:t xml:space="preserve">other provider groups </w:t>
      </w:r>
      <w:r w:rsidR="55370FD8" w:rsidRPr="07D162B7">
        <w:rPr>
          <w:rFonts w:asciiTheme="minorHAnsi" w:eastAsiaTheme="minorEastAsia" w:hAnsiTheme="minorHAnsi" w:cstheme="minorBidi"/>
          <w:color w:val="000000" w:themeColor="text1"/>
        </w:rPr>
        <w:t>(such as</w:t>
      </w:r>
      <w:r w:rsidR="13B9A784" w:rsidRPr="07D162B7">
        <w:rPr>
          <w:rFonts w:asciiTheme="minorHAnsi" w:eastAsiaTheme="minorEastAsia" w:hAnsiTheme="minorHAnsi" w:cstheme="minorBidi"/>
          <w:color w:val="000000" w:themeColor="text1"/>
        </w:rPr>
        <w:t xml:space="preserve"> allied health and non-GP specialists) </w:t>
      </w:r>
      <w:r w:rsidR="032EC2EE" w:rsidRPr="07D162B7">
        <w:rPr>
          <w:rFonts w:asciiTheme="minorHAnsi" w:eastAsiaTheme="minorEastAsia" w:hAnsiTheme="minorHAnsi" w:cstheme="minorBidi"/>
          <w:color w:val="000000" w:themeColor="text1"/>
        </w:rPr>
        <w:t>have variably overcome these challenges</w:t>
      </w:r>
      <w:r w:rsidR="3FB191B3" w:rsidRPr="07D162B7">
        <w:rPr>
          <w:rFonts w:asciiTheme="minorHAnsi" w:eastAsiaTheme="minorEastAsia" w:hAnsiTheme="minorHAnsi" w:cstheme="minorBidi"/>
          <w:color w:val="000000" w:themeColor="text1"/>
        </w:rPr>
        <w:t>,</w:t>
      </w:r>
      <w:r w:rsidR="69EF7842" w:rsidRPr="07D162B7">
        <w:rPr>
          <w:rFonts w:asciiTheme="minorHAnsi" w:eastAsiaTheme="minorEastAsia" w:hAnsiTheme="minorHAnsi" w:cstheme="minorBidi"/>
          <w:color w:val="000000" w:themeColor="text1"/>
        </w:rPr>
        <w:t xml:space="preserve"> and </w:t>
      </w:r>
      <w:r w:rsidR="107AC95F" w:rsidRPr="07D162B7">
        <w:rPr>
          <w:rFonts w:asciiTheme="minorHAnsi" w:eastAsiaTheme="minorEastAsia" w:hAnsiTheme="minorHAnsi" w:cstheme="minorBidi"/>
          <w:color w:val="000000" w:themeColor="text1"/>
        </w:rPr>
        <w:t xml:space="preserve">that </w:t>
      </w:r>
      <w:r w:rsidR="69EF7842" w:rsidRPr="07D162B7">
        <w:rPr>
          <w:rFonts w:asciiTheme="minorHAnsi" w:eastAsiaTheme="minorEastAsia" w:hAnsiTheme="minorHAnsi" w:cstheme="minorBidi"/>
          <w:color w:val="000000" w:themeColor="text1"/>
        </w:rPr>
        <w:t xml:space="preserve">in many instances </w:t>
      </w:r>
      <w:r w:rsidR="0EFA81AC" w:rsidRPr="07D162B7">
        <w:rPr>
          <w:rFonts w:asciiTheme="minorHAnsi" w:eastAsiaTheme="minorEastAsia" w:hAnsiTheme="minorHAnsi" w:cstheme="minorBidi"/>
          <w:color w:val="000000" w:themeColor="text1"/>
        </w:rPr>
        <w:t xml:space="preserve">this has been </w:t>
      </w:r>
      <w:r w:rsidR="69EF7842" w:rsidRPr="07D162B7">
        <w:rPr>
          <w:rFonts w:asciiTheme="minorHAnsi" w:eastAsiaTheme="minorEastAsia" w:hAnsiTheme="minorHAnsi" w:cstheme="minorBidi"/>
          <w:color w:val="000000" w:themeColor="text1"/>
        </w:rPr>
        <w:t xml:space="preserve">without </w:t>
      </w:r>
      <w:r w:rsidR="0D2E2338" w:rsidRPr="07D162B7">
        <w:rPr>
          <w:rFonts w:asciiTheme="minorHAnsi" w:eastAsiaTheme="minorEastAsia" w:hAnsiTheme="minorHAnsi" w:cstheme="minorBidi"/>
          <w:color w:val="000000" w:themeColor="text1"/>
        </w:rPr>
        <w:t xml:space="preserve">the </w:t>
      </w:r>
      <w:r w:rsidR="69EF7842" w:rsidRPr="07D162B7">
        <w:rPr>
          <w:rFonts w:asciiTheme="minorHAnsi" w:eastAsiaTheme="minorEastAsia" w:hAnsiTheme="minorHAnsi" w:cstheme="minorBidi"/>
          <w:color w:val="000000" w:themeColor="text1"/>
        </w:rPr>
        <w:t>kind</w:t>
      </w:r>
      <w:r w:rsidR="77663EE0" w:rsidRPr="07D162B7">
        <w:rPr>
          <w:rFonts w:asciiTheme="minorHAnsi" w:eastAsiaTheme="minorEastAsia" w:hAnsiTheme="minorHAnsi" w:cstheme="minorBidi"/>
          <w:color w:val="000000" w:themeColor="text1"/>
        </w:rPr>
        <w:t>s</w:t>
      </w:r>
      <w:r w:rsidR="69EF7842" w:rsidRPr="07D162B7">
        <w:rPr>
          <w:rFonts w:asciiTheme="minorHAnsi" w:eastAsiaTheme="minorEastAsia" w:hAnsiTheme="minorHAnsi" w:cstheme="minorBidi"/>
          <w:color w:val="000000" w:themeColor="text1"/>
        </w:rPr>
        <w:t xml:space="preserve"> of incentives and grant payments directed </w:t>
      </w:r>
      <w:r w:rsidR="2AF44962" w:rsidRPr="07D162B7">
        <w:rPr>
          <w:rFonts w:asciiTheme="minorHAnsi" w:eastAsiaTheme="minorEastAsia" w:hAnsiTheme="minorHAnsi" w:cstheme="minorBidi"/>
          <w:color w:val="000000" w:themeColor="text1"/>
        </w:rPr>
        <w:t xml:space="preserve">to </w:t>
      </w:r>
      <w:bookmarkStart w:id="63" w:name="_Int_WteJy8Bb"/>
      <w:r w:rsidR="69EF7842" w:rsidRPr="07D162B7">
        <w:rPr>
          <w:rFonts w:asciiTheme="minorHAnsi" w:eastAsiaTheme="minorEastAsia" w:hAnsiTheme="minorHAnsi" w:cstheme="minorBidi"/>
          <w:color w:val="000000" w:themeColor="text1"/>
        </w:rPr>
        <w:t>general practices</w:t>
      </w:r>
      <w:bookmarkEnd w:id="63"/>
      <w:r w:rsidR="69EF7842" w:rsidRPr="07D162B7">
        <w:rPr>
          <w:rFonts w:asciiTheme="minorHAnsi" w:eastAsiaTheme="minorEastAsia" w:hAnsiTheme="minorHAnsi" w:cstheme="minorBidi"/>
          <w:color w:val="000000" w:themeColor="text1"/>
        </w:rPr>
        <w:t xml:space="preserve"> to obtain current technology and develop rel</w:t>
      </w:r>
      <w:r w:rsidR="77F2D9B8" w:rsidRPr="07D162B7">
        <w:rPr>
          <w:rFonts w:asciiTheme="minorHAnsi" w:eastAsiaTheme="minorEastAsia" w:hAnsiTheme="minorHAnsi" w:cstheme="minorBidi"/>
          <w:color w:val="000000" w:themeColor="text1"/>
        </w:rPr>
        <w:t>e</w:t>
      </w:r>
      <w:r w:rsidR="69EF7842" w:rsidRPr="07D162B7">
        <w:rPr>
          <w:rFonts w:asciiTheme="minorHAnsi" w:eastAsiaTheme="minorEastAsia" w:hAnsiTheme="minorHAnsi" w:cstheme="minorBidi"/>
          <w:color w:val="000000" w:themeColor="text1"/>
        </w:rPr>
        <w:t>v</w:t>
      </w:r>
      <w:r w:rsidR="07C03073" w:rsidRPr="07D162B7">
        <w:rPr>
          <w:rFonts w:asciiTheme="minorHAnsi" w:eastAsiaTheme="minorEastAsia" w:hAnsiTheme="minorHAnsi" w:cstheme="minorBidi"/>
          <w:color w:val="000000" w:themeColor="text1"/>
        </w:rPr>
        <w:t>a</w:t>
      </w:r>
      <w:r w:rsidR="69EF7842" w:rsidRPr="07D162B7">
        <w:rPr>
          <w:rFonts w:asciiTheme="minorHAnsi" w:eastAsiaTheme="minorEastAsia" w:hAnsiTheme="minorHAnsi" w:cstheme="minorBidi"/>
          <w:color w:val="000000" w:themeColor="text1"/>
        </w:rPr>
        <w:t>nt skills</w:t>
      </w:r>
      <w:r w:rsidR="66E86457" w:rsidRPr="07D162B7">
        <w:rPr>
          <w:rFonts w:asciiTheme="minorHAnsi" w:eastAsiaTheme="minorEastAsia" w:hAnsiTheme="minorHAnsi" w:cstheme="minorBidi"/>
          <w:color w:val="000000" w:themeColor="text1"/>
        </w:rPr>
        <w:t xml:space="preserve">. </w:t>
      </w:r>
      <w:r w:rsidR="032EC2EE" w:rsidRPr="07D162B7">
        <w:rPr>
          <w:rFonts w:asciiTheme="minorHAnsi" w:eastAsiaTheme="minorEastAsia" w:hAnsiTheme="minorHAnsi" w:cstheme="minorBidi"/>
          <w:color w:val="000000" w:themeColor="text1"/>
        </w:rPr>
        <w:t xml:space="preserve"> </w:t>
      </w:r>
    </w:p>
    <w:p w14:paraId="64E9A0EC" w14:textId="0FF6B6DF" w:rsidR="000E137D" w:rsidRDefault="00F062B8" w:rsidP="00075CBC">
      <w:pPr>
        <w:pStyle w:val="Heading3"/>
      </w:pPr>
      <w:bookmarkStart w:id="64" w:name="_Toc163814571"/>
      <w:r>
        <w:t xml:space="preserve">Patient use of </w:t>
      </w:r>
      <w:r w:rsidR="000E137D">
        <w:t xml:space="preserve">telehealth </w:t>
      </w:r>
      <w:r>
        <w:t>services for</w:t>
      </w:r>
      <w:r w:rsidR="000E137D">
        <w:t xml:space="preserve"> primary health care</w:t>
      </w:r>
      <w:bookmarkEnd w:id="64"/>
    </w:p>
    <w:p w14:paraId="2B65F34F" w14:textId="263A50CA" w:rsidR="00F8341B" w:rsidRDefault="2D85C468" w:rsidP="00D12C06">
      <w:pPr>
        <w:pStyle w:val="NormalBeforeBullet"/>
      </w:pPr>
      <w:r>
        <w:t xml:space="preserve">The </w:t>
      </w:r>
      <w:r w:rsidR="736B2CA1">
        <w:t>MRAC noted that</w:t>
      </w:r>
      <w:r w:rsidR="52308F9A">
        <w:t>,</w:t>
      </w:r>
      <w:r w:rsidR="71A138B6">
        <w:t xml:space="preserve"> during </w:t>
      </w:r>
      <w:r w:rsidR="7B303B63">
        <w:t>the first quarter of 2020</w:t>
      </w:r>
      <w:r w:rsidR="3D9AE4E0">
        <w:t xml:space="preserve"> </w:t>
      </w:r>
      <w:r w:rsidR="4A6757C1">
        <w:t>before</w:t>
      </w:r>
      <w:r w:rsidR="3D9AE4E0">
        <w:t xml:space="preserve"> the implementation of COVID-19 MBS telehealth </w:t>
      </w:r>
      <w:r w:rsidR="73C49D05">
        <w:t>o</w:t>
      </w:r>
      <w:r w:rsidR="3D9AE4E0">
        <w:t>n 13 March of 2020</w:t>
      </w:r>
      <w:r w:rsidR="736B2CA1">
        <w:t xml:space="preserve">, </w:t>
      </w:r>
      <w:r w:rsidR="37802D25">
        <w:t xml:space="preserve">the </w:t>
      </w:r>
      <w:r w:rsidR="5CCE741D">
        <w:t xml:space="preserve">use of </w:t>
      </w:r>
      <w:r w:rsidR="736B2CA1">
        <w:t xml:space="preserve">telehealth </w:t>
      </w:r>
      <w:r w:rsidR="69699AB1">
        <w:t>services increased</w:t>
      </w:r>
      <w:r w:rsidR="6934CBF5">
        <w:t xml:space="preserve"> </w:t>
      </w:r>
      <w:bookmarkStart w:id="65" w:name="_Int_sGELDFeI"/>
      <w:r w:rsidR="6934CBF5">
        <w:t>substantially</w:t>
      </w:r>
      <w:r w:rsidR="69699AB1">
        <w:t xml:space="preserve"> </w:t>
      </w:r>
      <w:r w:rsidR="27943975">
        <w:t>from</w:t>
      </w:r>
      <w:bookmarkEnd w:id="65"/>
      <w:r w:rsidR="27943975">
        <w:t xml:space="preserve"> pre</w:t>
      </w:r>
      <w:r w:rsidR="00877BF5">
        <w:t>-pandemic</w:t>
      </w:r>
      <w:r w:rsidR="27943975">
        <w:t xml:space="preserve"> levels</w:t>
      </w:r>
      <w:r w:rsidR="4C363505">
        <w:t xml:space="preserve">. Within weeks, telehealth transitioned from just over 1 million services to </w:t>
      </w:r>
      <w:r w:rsidR="007F302B">
        <w:t xml:space="preserve">nearly </w:t>
      </w:r>
      <w:r w:rsidR="3E7777C1">
        <w:t>6 million services</w:t>
      </w:r>
      <w:r w:rsidR="4C363505">
        <w:t xml:space="preserve"> </w:t>
      </w:r>
      <w:r w:rsidR="56578D91">
        <w:t>(see Figure </w:t>
      </w:r>
      <w:r w:rsidR="5E1965C9">
        <w:t>6</w:t>
      </w:r>
      <w:r w:rsidR="56578D91">
        <w:t>)</w:t>
      </w:r>
      <w:r w:rsidR="3E2D30E8">
        <w:t xml:space="preserve">. Since then, </w:t>
      </w:r>
      <w:r w:rsidR="46E72A8C">
        <w:t xml:space="preserve">use of </w:t>
      </w:r>
      <w:r w:rsidR="3E2D30E8">
        <w:t>telehealth services ha</w:t>
      </w:r>
      <w:r w:rsidR="46E72A8C">
        <w:t>s</w:t>
      </w:r>
      <w:r w:rsidR="3E2D30E8">
        <w:t xml:space="preserve"> been declining</w:t>
      </w:r>
      <w:r w:rsidR="41C3EFD1">
        <w:t xml:space="preserve">, </w:t>
      </w:r>
      <w:bookmarkStart w:id="66" w:name="_Int_rBKydnQf"/>
      <w:r w:rsidR="41C3EFD1">
        <w:t>likely reflecting</w:t>
      </w:r>
      <w:bookmarkEnd w:id="66"/>
      <w:r w:rsidR="41C3EFD1">
        <w:t xml:space="preserve"> the </w:t>
      </w:r>
      <w:r w:rsidR="27E6106F">
        <w:t>removal of COVID-19</w:t>
      </w:r>
      <w:r w:rsidR="07E6133C">
        <w:t>-</w:t>
      </w:r>
      <w:r w:rsidR="27E6106F">
        <w:t>related social distancing restrictions</w:t>
      </w:r>
      <w:r w:rsidR="6C3C4470">
        <w:t xml:space="preserve"> and a return to conventional face-to-face consultations</w:t>
      </w:r>
      <w:r w:rsidR="3E2D30E8">
        <w:t>.</w:t>
      </w:r>
    </w:p>
    <w:p w14:paraId="34ECA947" w14:textId="40663775" w:rsidR="00F8341B" w:rsidRDefault="00F0438D" w:rsidP="69ABD742">
      <w:r>
        <w:rPr>
          <w:noProof/>
        </w:rPr>
        <w:drawing>
          <wp:inline distT="0" distB="0" distL="0" distR="0" wp14:anchorId="2C6A5FD1" wp14:editId="6F1FF4B5">
            <wp:extent cx="5011420" cy="3112770"/>
            <wp:effectExtent l="0" t="0" r="17780" b="11430"/>
            <wp:docPr id="1091854448" name="Chart 1">
              <a:extLst xmlns:a="http://schemas.openxmlformats.org/drawingml/2006/main">
                <a:ext uri="{FF2B5EF4-FFF2-40B4-BE49-F238E27FC236}">
                  <a16:creationId xmlns:a16="http://schemas.microsoft.com/office/drawing/2014/main" id="{EEC45670-DEE5-33F8-DDA8-05F969B18C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4DB99EA" w14:textId="62A7F093" w:rsidR="00F8341B" w:rsidRDefault="79F3193B" w:rsidP="69ABD742">
      <w:pPr>
        <w:pStyle w:val="FigureNameSpace"/>
      </w:pPr>
      <w:r>
        <w:t>Figure 6</w:t>
      </w:r>
      <w:r>
        <w:tab/>
      </w:r>
      <w:r w:rsidR="7A7D8EFC" w:rsidRPr="07D162B7">
        <w:rPr>
          <w:rFonts w:asciiTheme="minorHAnsi" w:eastAsiaTheme="minorEastAsia" w:hAnsiTheme="minorHAnsi" w:cstheme="minorBidi"/>
          <w:color w:val="333333"/>
          <w:lang w:val="en-US"/>
        </w:rPr>
        <w:t>Department of Health and Aged Care analysis of MBS data -</w:t>
      </w:r>
      <w:r w:rsidR="7A7D8EFC" w:rsidRPr="07D162B7">
        <w:rPr>
          <w:rFonts w:asciiTheme="minorHAnsi" w:eastAsiaTheme="minorEastAsia" w:hAnsiTheme="minorHAnsi" w:cstheme="minorBidi"/>
          <w:lang w:val="en-US"/>
        </w:rPr>
        <w:t xml:space="preserve"> </w:t>
      </w:r>
      <w:r>
        <w:t xml:space="preserve">Patient use of telephone and video services, January 2020 </w:t>
      </w:r>
      <w:r w:rsidR="21FFB528">
        <w:t>–</w:t>
      </w:r>
      <w:r>
        <w:t xml:space="preserve"> June 2023</w:t>
      </w:r>
    </w:p>
    <w:p w14:paraId="2441A8CD" w14:textId="0C0FA74E" w:rsidR="00F8341B" w:rsidRDefault="38EA5CBE" w:rsidP="07D162B7">
      <w:pPr>
        <w:pStyle w:val="NormalBeforeBullet"/>
        <w:rPr>
          <w:color w:val="auto"/>
        </w:rPr>
      </w:pPr>
      <w:r w:rsidRPr="07D162B7">
        <w:rPr>
          <w:rFonts w:eastAsia="Calibri" w:cs="Calibri"/>
          <w:color w:val="auto"/>
          <w:lang w:val="en-US"/>
        </w:rPr>
        <w:t>Patients’ use of telehealth is also variable. According to analysis of linked Australian Government data on health, education, government payments, personal income tax, and population demographics from 2020,</w:t>
      </w:r>
      <w:r w:rsidR="32D60303" w:rsidRPr="07D162B7">
        <w:rPr>
          <w:rFonts w:eastAsia="Calibri" w:cs="Calibri"/>
          <w:color w:val="auto"/>
          <w:lang w:val="en-US"/>
        </w:rPr>
        <w:t xml:space="preserve"> (Butler et al. 2023)</w:t>
      </w:r>
      <w:r w:rsidRPr="07D162B7">
        <w:rPr>
          <w:rFonts w:eastAsia="Calibri" w:cs="Calibri"/>
          <w:color w:val="auto"/>
          <w:lang w:val="en-US"/>
        </w:rPr>
        <w:t xml:space="preserve"> telehealth is used less (as a proportion of all services) </w:t>
      </w:r>
      <w:r w:rsidR="42C7802D" w:rsidRPr="07D162B7">
        <w:rPr>
          <w:rFonts w:eastAsia="Calibri" w:cs="Calibri"/>
          <w:color w:val="auto"/>
          <w:lang w:val="en-US"/>
        </w:rPr>
        <w:t>by</w:t>
      </w:r>
      <w:r w:rsidRPr="07D162B7">
        <w:rPr>
          <w:rFonts w:eastAsia="Calibri" w:cs="Calibri"/>
          <w:color w:val="auto"/>
          <w:lang w:val="en-US"/>
        </w:rPr>
        <w:t xml:space="preserve"> </w:t>
      </w:r>
      <w:r w:rsidR="34D8AEF6" w:rsidRPr="07D162B7">
        <w:rPr>
          <w:color w:val="auto"/>
        </w:rPr>
        <w:t>:</w:t>
      </w:r>
    </w:p>
    <w:p w14:paraId="53E8F451" w14:textId="77777777" w:rsidR="00D12C06" w:rsidRDefault="021B2F4D" w:rsidP="00D12C06">
      <w:pPr>
        <w:pStyle w:val="Bullet"/>
      </w:pPr>
      <w:r>
        <w:t>older people</w:t>
      </w:r>
    </w:p>
    <w:p w14:paraId="25DF72C2" w14:textId="77777777" w:rsidR="00D12C06" w:rsidRDefault="021B2F4D" w:rsidP="00D12C06">
      <w:pPr>
        <w:pStyle w:val="Bullet"/>
      </w:pPr>
      <w:r>
        <w:t>males</w:t>
      </w:r>
    </w:p>
    <w:p w14:paraId="5C63672F" w14:textId="77777777" w:rsidR="00D12C06" w:rsidRDefault="021B2F4D" w:rsidP="00D12C06">
      <w:pPr>
        <w:pStyle w:val="Bullet"/>
      </w:pPr>
      <w:r>
        <w:t>those with low education</w:t>
      </w:r>
      <w:r w:rsidR="1E96CE4C">
        <w:t xml:space="preserve"> or</w:t>
      </w:r>
      <w:r>
        <w:t xml:space="preserve"> low income</w:t>
      </w:r>
    </w:p>
    <w:p w14:paraId="366ADAE4" w14:textId="7014AE29" w:rsidR="00D12C06" w:rsidRDefault="1E96CE4C" w:rsidP="00D12C06">
      <w:pPr>
        <w:pStyle w:val="Bullet"/>
      </w:pPr>
      <w:r>
        <w:t xml:space="preserve">those </w:t>
      </w:r>
      <w:r w:rsidR="021B2F4D">
        <w:t>living in outer regional/remote areas</w:t>
      </w:r>
    </w:p>
    <w:p w14:paraId="30127F35" w14:textId="347B8C1D" w:rsidR="000E137D" w:rsidRDefault="46D7F532" w:rsidP="2701F994">
      <w:pPr>
        <w:pStyle w:val="BulletLast"/>
      </w:pPr>
      <w:r>
        <w:t xml:space="preserve">those who are </w:t>
      </w:r>
      <w:r w:rsidR="3A5AA486">
        <w:t>not proficient in English.</w:t>
      </w:r>
    </w:p>
    <w:p w14:paraId="7FC65777" w14:textId="20610A40" w:rsidR="115BE9A1" w:rsidRDefault="7277DB27" w:rsidP="2701F994">
      <w:pPr>
        <w:rPr>
          <w:lang w:val="en-US"/>
        </w:rPr>
      </w:pPr>
      <w:r>
        <w:t xml:space="preserve">The proportion of claimed GP telehealth services is stabilising at around 20% of all GP services in </w:t>
      </w:r>
      <w:bookmarkStart w:id="67" w:name="_Int_NEE2u8gB"/>
      <w:r w:rsidRPr="07D162B7">
        <w:rPr>
          <w:rFonts w:asciiTheme="minorHAnsi" w:eastAsiaTheme="minorEastAsia" w:hAnsiTheme="minorHAnsi" w:cstheme="minorBidi"/>
          <w:color w:val="000000" w:themeColor="text1"/>
        </w:rPr>
        <w:t>financial year</w:t>
      </w:r>
      <w:bookmarkEnd w:id="67"/>
      <w:r w:rsidRPr="07D162B7">
        <w:rPr>
          <w:rFonts w:asciiTheme="minorHAnsi" w:eastAsiaTheme="minorEastAsia" w:hAnsiTheme="minorHAnsi" w:cstheme="minorBidi"/>
          <w:color w:val="000000" w:themeColor="text1"/>
        </w:rPr>
        <w:t xml:space="preserve"> 2022–23. </w:t>
      </w:r>
      <w:r w:rsidR="5E2D1C80" w:rsidRPr="07D162B7">
        <w:rPr>
          <w:rFonts w:asciiTheme="minorHAnsi" w:eastAsiaTheme="minorEastAsia" w:hAnsiTheme="minorHAnsi" w:cstheme="minorBidi"/>
          <w:color w:val="000000" w:themeColor="text1"/>
          <w:lang w:val="en-US"/>
        </w:rPr>
        <w:t>Large self-report surveys in 2021-22 and 2022-23 by the Australian Bureau of Statistics (ABS) complement some of the research findings. While telehealth was a lower proportion of services for people aged over 70, the ABS reports that older patients were more positive about their telehealth use than younger people (ABS 2023). This could reflect that older patients use health services more in absolute terms, and their lower proportion of telehealth is in the context of other care received. Alternatively, older patients are more likely to have chronic conditions, and as such, a continuing relationship with a provider. Therefore telehealth may be viewed more positively because it is used for monitoring an existing condition.</w:t>
      </w:r>
    </w:p>
    <w:p w14:paraId="58AA1967" w14:textId="1DF59324" w:rsidR="000A7B25" w:rsidRDefault="5E404C78" w:rsidP="2701F994">
      <w:pPr>
        <w:rPr>
          <w:lang w:val="en-US"/>
        </w:rPr>
      </w:pPr>
      <w:r w:rsidRPr="07D162B7">
        <w:rPr>
          <w:lang w:val="en-US"/>
        </w:rPr>
        <w:t>Patients have historically used telehealth differently outside major cities, and may have had more experience with video services, with access to most non-GP specialist consultations by video since 2011</w:t>
      </w:r>
      <w:r w:rsidR="32E803AC" w:rsidRPr="07D162B7">
        <w:rPr>
          <w:lang w:val="en-US"/>
        </w:rPr>
        <w:t xml:space="preserve"> (see Figure </w:t>
      </w:r>
      <w:r w:rsidR="00D37CE5" w:rsidRPr="07D162B7">
        <w:rPr>
          <w:lang w:val="en-US"/>
        </w:rPr>
        <w:t>5</w:t>
      </w:r>
      <w:r w:rsidR="32E803AC" w:rsidRPr="07D162B7">
        <w:rPr>
          <w:lang w:val="en-US"/>
        </w:rPr>
        <w:t>)</w:t>
      </w:r>
      <w:r w:rsidRPr="07D162B7">
        <w:rPr>
          <w:lang w:val="en-US"/>
        </w:rPr>
        <w:t>.</w:t>
      </w:r>
    </w:p>
    <w:p w14:paraId="0F4C9131" w14:textId="2F38868F" w:rsidR="000A7B25" w:rsidRDefault="3F26B8BB" w:rsidP="69ABD742">
      <w:r>
        <w:t xml:space="preserve">The MRAC also noted that use of telehealth requires consideration of privacy in </w:t>
      </w:r>
      <w:bookmarkStart w:id="68" w:name="_Int_VWNS9E08"/>
      <w:r>
        <w:t>a different way</w:t>
      </w:r>
      <w:bookmarkEnd w:id="68"/>
      <w:r>
        <w:t xml:space="preserve"> compared to services in-person, in consulting rooms. </w:t>
      </w:r>
      <w:r w:rsidR="6F195227">
        <w:t>This relates to both the online environment and ensuring that technology solutions are secure</w:t>
      </w:r>
      <w:r w:rsidR="10A4BF11">
        <w:t xml:space="preserve">, and the physical environments of the patient and practitioner respectively. </w:t>
      </w:r>
      <w:r w:rsidR="0DCCBCF5">
        <w:t>T</w:t>
      </w:r>
      <w:r w:rsidR="03C05434">
        <w:t xml:space="preserve">elehealth </w:t>
      </w:r>
      <w:r w:rsidR="53C7C510">
        <w:t xml:space="preserve">improves the flexibility of accessing care with </w:t>
      </w:r>
      <w:r w:rsidR="03C05434">
        <w:t xml:space="preserve">respect to patient and provider locations, </w:t>
      </w:r>
      <w:r w:rsidR="4915502C">
        <w:t xml:space="preserve">but it is critical that </w:t>
      </w:r>
      <w:r w:rsidR="03C05434">
        <w:t xml:space="preserve">consultation participants are aware of their surroundings and </w:t>
      </w:r>
      <w:r w:rsidR="1606EC06">
        <w:t xml:space="preserve">consider </w:t>
      </w:r>
      <w:r w:rsidR="03C05434">
        <w:t xml:space="preserve">whether </w:t>
      </w:r>
      <w:r w:rsidR="5A451FBB">
        <w:t xml:space="preserve">non-participants </w:t>
      </w:r>
      <w:r w:rsidR="03C05434">
        <w:t xml:space="preserve">can hear or view </w:t>
      </w:r>
      <w:r w:rsidR="465D00C1">
        <w:t>the</w:t>
      </w:r>
      <w:r w:rsidR="24993A0E">
        <w:t>ir private</w:t>
      </w:r>
      <w:r w:rsidR="465D00C1">
        <w:t xml:space="preserve"> consultation</w:t>
      </w:r>
      <w:r w:rsidR="177BAA85">
        <w:t>. This is also referenced in the updated telehealth guidelines from the Medical Board of Australia.</w:t>
      </w:r>
      <w:r w:rsidR="36F263D2">
        <w:t xml:space="preserve">  </w:t>
      </w:r>
      <w:r w:rsidR="6AE139CD">
        <w:t xml:space="preserve">The </w:t>
      </w:r>
      <w:r w:rsidR="3B6DF86D">
        <w:t>MRAC also noted additional research being undertaken about culturally safe telehealth services</w:t>
      </w:r>
      <w:r w:rsidR="2CF8AAAC">
        <w:t xml:space="preserve"> (results not yet available)</w:t>
      </w:r>
      <w:r w:rsidR="790A2B6A">
        <w:t>.</w:t>
      </w:r>
      <w:r w:rsidR="6E56DE4E">
        <w:t xml:space="preserve"> </w:t>
      </w:r>
    </w:p>
    <w:p w14:paraId="32D610A9" w14:textId="6BD8ADB4" w:rsidR="004D0368" w:rsidRDefault="004D0368" w:rsidP="004D0368">
      <w:pPr>
        <w:pStyle w:val="Heading3"/>
      </w:pPr>
      <w:bookmarkStart w:id="69" w:name="_Toc163814572"/>
      <w:r>
        <w:t>Initial telehealth consultations for non-GP Specialists</w:t>
      </w:r>
      <w:bookmarkEnd w:id="69"/>
      <w:r>
        <w:t xml:space="preserve"> </w:t>
      </w:r>
    </w:p>
    <w:p w14:paraId="41E2CB7D" w14:textId="2067D04B" w:rsidR="004D0368" w:rsidRDefault="004D0368" w:rsidP="004D0368">
      <w:r>
        <w:t xml:space="preserve">The MRAC noted </w:t>
      </w:r>
      <w:r w:rsidR="007A0907">
        <w:t xml:space="preserve">from MBS data </w:t>
      </w:r>
      <w:r>
        <w:t>that in 2022-23, more than 8.5 million individual patients across Australia received non-GP specialist consultations (See Figure 7). Most of these patients received either face to face (6.7 million; 7</w:t>
      </w:r>
      <w:r w:rsidR="7DBC85B0">
        <w:t>9</w:t>
      </w:r>
      <w:r>
        <w:t xml:space="preserve">%) or a mixed care with face to face and telehealth (1.5 million; 18%). In comparison, a relatively smaller group of patients received these services exclusively through telehealth (308,453, </w:t>
      </w:r>
      <w:r w:rsidR="15D82141">
        <w:t>4</w:t>
      </w:r>
      <w:r>
        <w:t>%). The use of telehealth increased with rurality</w:t>
      </w:r>
      <w:r w:rsidR="007F302B">
        <w:t xml:space="preserve"> as did the proportion that received telehealth exclusively (</w:t>
      </w:r>
      <w:r>
        <w:t xml:space="preserve">see Table 1).   </w:t>
      </w:r>
    </w:p>
    <w:p w14:paraId="1C8A360A" w14:textId="0F2EE6A8" w:rsidR="004D0368" w:rsidRDefault="004D0368" w:rsidP="07D162B7">
      <w:pPr>
        <w:keepNext/>
        <w:keepLines/>
        <w:rPr>
          <w:rFonts w:asciiTheme="minorHAnsi" w:hAnsiTheme="minorHAnsi"/>
          <w:b/>
          <w:bCs/>
          <w:color w:val="auto"/>
          <w:sz w:val="24"/>
          <w:szCs w:val="24"/>
        </w:rPr>
      </w:pPr>
      <w:r w:rsidRPr="07D162B7">
        <w:rPr>
          <w:b/>
          <w:bCs/>
          <w:sz w:val="24"/>
          <w:szCs w:val="24"/>
        </w:rPr>
        <w:t xml:space="preserve">Figure 7: </w:t>
      </w:r>
      <w:r w:rsidR="145FCFEE" w:rsidRPr="07D162B7">
        <w:rPr>
          <w:rFonts w:asciiTheme="minorHAnsi" w:eastAsiaTheme="minorEastAsia" w:hAnsiTheme="minorHAnsi" w:cstheme="minorBidi"/>
          <w:b/>
          <w:bCs/>
          <w:color w:val="333333"/>
          <w:lang w:val="en-US"/>
        </w:rPr>
        <w:t>Department of Health and Aged Care analysis of MBS data -</w:t>
      </w:r>
      <w:r w:rsidR="145FCFEE" w:rsidRPr="07D162B7">
        <w:rPr>
          <w:rFonts w:asciiTheme="minorHAnsi" w:eastAsiaTheme="minorEastAsia" w:hAnsiTheme="minorHAnsi" w:cstheme="minorBidi"/>
          <w:b/>
          <w:bCs/>
          <w:lang w:val="en-US"/>
        </w:rPr>
        <w:t xml:space="preserve"> </w:t>
      </w:r>
      <w:r w:rsidRPr="07D162B7">
        <w:rPr>
          <w:b/>
          <w:bCs/>
          <w:sz w:val="24"/>
          <w:szCs w:val="24"/>
        </w:rPr>
        <w:t xml:space="preserve">Overall patient use of total non-GP specialist services by delivery type and rurality. </w:t>
      </w:r>
    </w:p>
    <w:p w14:paraId="7D47E9E8" w14:textId="152D9016" w:rsidR="004D0368" w:rsidRDefault="004D0368" w:rsidP="004D0368">
      <w:pPr>
        <w:keepNext/>
        <w:keepLines/>
        <w:rPr>
          <w:sz w:val="24"/>
          <w:szCs w:val="24"/>
        </w:rPr>
      </w:pPr>
      <w:r>
        <w:rPr>
          <w:noProof/>
        </w:rPr>
        <w:drawing>
          <wp:inline distT="0" distB="0" distL="0" distR="0" wp14:anchorId="53988098" wp14:editId="5C5A144B">
            <wp:extent cx="4937760" cy="2243797"/>
            <wp:effectExtent l="0" t="0" r="15240" b="4445"/>
            <wp:docPr id="23" name="Chart 1">
              <a:extLst xmlns:a="http://schemas.openxmlformats.org/drawingml/2006/main">
                <a:ext uri="{FF2B5EF4-FFF2-40B4-BE49-F238E27FC236}">
                  <a16:creationId xmlns:a16="http://schemas.microsoft.com/office/drawing/2014/main" id="{3FF419FB-A982-D59B-0BB1-F3E2F05BF97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9FA65B8" w14:textId="79564D95" w:rsidR="004D0368" w:rsidRPr="004D0368" w:rsidRDefault="004D0368" w:rsidP="004D0368">
      <w:pPr>
        <w:rPr>
          <w:b/>
          <w:bCs/>
        </w:rPr>
      </w:pPr>
      <w:r>
        <w:rPr>
          <w:sz w:val="24"/>
          <w:szCs w:val="24"/>
        </w:rPr>
        <w:br/>
      </w:r>
      <w:r w:rsidRPr="004D0368">
        <w:rPr>
          <w:b/>
          <w:bCs/>
        </w:rPr>
        <w:t xml:space="preserve">Table </w:t>
      </w:r>
      <w:r w:rsidRPr="004D0368">
        <w:rPr>
          <w:b/>
          <w:bCs/>
        </w:rPr>
        <w:fldChar w:fldCharType="begin"/>
      </w:r>
      <w:r w:rsidRPr="004D0368">
        <w:rPr>
          <w:b/>
          <w:bCs/>
        </w:rPr>
        <w:instrText xml:space="preserve"> SEQ Table \* ARABIC </w:instrText>
      </w:r>
      <w:r w:rsidRPr="004D0368">
        <w:rPr>
          <w:b/>
          <w:bCs/>
        </w:rPr>
        <w:fldChar w:fldCharType="separate"/>
      </w:r>
      <w:r w:rsidR="0019242F">
        <w:rPr>
          <w:b/>
          <w:bCs/>
          <w:noProof/>
        </w:rPr>
        <w:t>1</w:t>
      </w:r>
      <w:r w:rsidRPr="004D0368">
        <w:fldChar w:fldCharType="end"/>
      </w:r>
      <w:r w:rsidRPr="004D0368">
        <w:rPr>
          <w:b/>
          <w:bCs/>
        </w:rPr>
        <w:t>: Number of non-GP Specialist patients’ use of services by rurality and modality</w:t>
      </w:r>
    </w:p>
    <w:tbl>
      <w:tblPr>
        <w:tblStyle w:val="PlainTable3"/>
        <w:tblW w:w="0" w:type="auto"/>
        <w:tblLook w:val="04A0" w:firstRow="1" w:lastRow="0" w:firstColumn="1" w:lastColumn="0" w:noHBand="0" w:noVBand="1"/>
      </w:tblPr>
      <w:tblGrid>
        <w:gridCol w:w="2294"/>
        <w:gridCol w:w="2250"/>
        <w:gridCol w:w="2250"/>
        <w:gridCol w:w="2232"/>
      </w:tblGrid>
      <w:tr w:rsidR="005C59D4" w:rsidRPr="004D0368" w14:paraId="4A8D3E91" w14:textId="77777777" w:rsidTr="004D0368">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434" w:type="dxa"/>
            <w:tcBorders>
              <w:top w:val="nil"/>
              <w:left w:val="nil"/>
            </w:tcBorders>
            <w:hideMark/>
          </w:tcPr>
          <w:p w14:paraId="561D1331" w14:textId="77777777" w:rsidR="004D0368" w:rsidRPr="004D0368" w:rsidRDefault="004D0368" w:rsidP="004D0368">
            <w:r w:rsidRPr="004D0368">
              <w:t>Number of patients</w:t>
            </w:r>
          </w:p>
        </w:tc>
        <w:tc>
          <w:tcPr>
            <w:tcW w:w="2434" w:type="dxa"/>
            <w:tcBorders>
              <w:top w:val="nil"/>
              <w:left w:val="nil"/>
              <w:right w:val="nil"/>
            </w:tcBorders>
            <w:hideMark/>
          </w:tcPr>
          <w:p w14:paraId="3476265A" w14:textId="77777777" w:rsidR="004D0368" w:rsidRPr="004D0368" w:rsidRDefault="004D0368" w:rsidP="004D0368">
            <w:pPr>
              <w:cnfStyle w:val="100000000000" w:firstRow="1" w:lastRow="0" w:firstColumn="0" w:lastColumn="0" w:oddVBand="0" w:evenVBand="0" w:oddHBand="0" w:evenHBand="0" w:firstRowFirstColumn="0" w:firstRowLastColumn="0" w:lastRowFirstColumn="0" w:lastRowLastColumn="0"/>
            </w:pPr>
            <w:r w:rsidRPr="004D0368">
              <w:t>MMM1</w:t>
            </w:r>
          </w:p>
        </w:tc>
        <w:tc>
          <w:tcPr>
            <w:tcW w:w="2434" w:type="dxa"/>
            <w:tcBorders>
              <w:top w:val="nil"/>
              <w:left w:val="nil"/>
              <w:right w:val="nil"/>
            </w:tcBorders>
            <w:hideMark/>
          </w:tcPr>
          <w:p w14:paraId="33AA2596" w14:textId="77777777" w:rsidR="004D0368" w:rsidRPr="004D0368" w:rsidRDefault="004D0368" w:rsidP="004D0368">
            <w:pPr>
              <w:cnfStyle w:val="100000000000" w:firstRow="1" w:lastRow="0" w:firstColumn="0" w:lastColumn="0" w:oddVBand="0" w:evenVBand="0" w:oddHBand="0" w:evenHBand="0" w:firstRowFirstColumn="0" w:firstRowLastColumn="0" w:lastRowFirstColumn="0" w:lastRowLastColumn="0"/>
            </w:pPr>
            <w:r w:rsidRPr="004D0368">
              <w:t>MMM2-4</w:t>
            </w:r>
          </w:p>
        </w:tc>
        <w:tc>
          <w:tcPr>
            <w:tcW w:w="2434" w:type="dxa"/>
            <w:tcBorders>
              <w:top w:val="nil"/>
              <w:left w:val="nil"/>
              <w:right w:val="nil"/>
            </w:tcBorders>
            <w:hideMark/>
          </w:tcPr>
          <w:p w14:paraId="2170ABA2" w14:textId="77777777" w:rsidR="004D0368" w:rsidRPr="004D0368" w:rsidRDefault="004D0368" w:rsidP="004D0368">
            <w:pPr>
              <w:cnfStyle w:val="100000000000" w:firstRow="1" w:lastRow="0" w:firstColumn="0" w:lastColumn="0" w:oddVBand="0" w:evenVBand="0" w:oddHBand="0" w:evenHBand="0" w:firstRowFirstColumn="0" w:firstRowLastColumn="0" w:lastRowFirstColumn="0" w:lastRowLastColumn="0"/>
            </w:pPr>
            <w:r w:rsidRPr="004D0368">
              <w:t>MMM5-7</w:t>
            </w:r>
          </w:p>
        </w:tc>
      </w:tr>
      <w:tr w:rsidR="005C59D4" w:rsidRPr="004D0368" w14:paraId="76C582E4" w14:textId="77777777" w:rsidTr="004D03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4" w:type="dxa"/>
            <w:tcBorders>
              <w:top w:val="nil"/>
              <w:left w:val="nil"/>
              <w:bottom w:val="nil"/>
            </w:tcBorders>
            <w:hideMark/>
          </w:tcPr>
          <w:p w14:paraId="7C225D1C" w14:textId="77777777" w:rsidR="004D0368" w:rsidRPr="004D0368" w:rsidRDefault="004D0368" w:rsidP="004D0368">
            <w:r w:rsidRPr="004D0368">
              <w:t>Face to Face only</w:t>
            </w:r>
          </w:p>
        </w:tc>
        <w:tc>
          <w:tcPr>
            <w:tcW w:w="2434" w:type="dxa"/>
            <w:hideMark/>
          </w:tcPr>
          <w:p w14:paraId="4D5B08DC"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4,972,405</w:t>
            </w:r>
          </w:p>
        </w:tc>
        <w:tc>
          <w:tcPr>
            <w:tcW w:w="2434" w:type="dxa"/>
            <w:hideMark/>
          </w:tcPr>
          <w:p w14:paraId="386FCC58"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1,246,510</w:t>
            </w:r>
          </w:p>
        </w:tc>
        <w:tc>
          <w:tcPr>
            <w:tcW w:w="2434" w:type="dxa"/>
            <w:hideMark/>
          </w:tcPr>
          <w:p w14:paraId="33FF1F71"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489,420</w:t>
            </w:r>
          </w:p>
        </w:tc>
      </w:tr>
      <w:tr w:rsidR="005C59D4" w:rsidRPr="004D0368" w14:paraId="6889AAC8" w14:textId="77777777" w:rsidTr="004D0368">
        <w:tc>
          <w:tcPr>
            <w:cnfStyle w:val="001000000000" w:firstRow="0" w:lastRow="0" w:firstColumn="1" w:lastColumn="0" w:oddVBand="0" w:evenVBand="0" w:oddHBand="0" w:evenHBand="0" w:firstRowFirstColumn="0" w:firstRowLastColumn="0" w:lastRowFirstColumn="0" w:lastRowLastColumn="0"/>
            <w:tcW w:w="2434" w:type="dxa"/>
            <w:tcBorders>
              <w:top w:val="nil"/>
              <w:left w:val="nil"/>
              <w:bottom w:val="nil"/>
            </w:tcBorders>
            <w:hideMark/>
          </w:tcPr>
          <w:p w14:paraId="2B22E6B2" w14:textId="77777777" w:rsidR="004D0368" w:rsidRPr="004D0368" w:rsidRDefault="004D0368" w:rsidP="004D0368">
            <w:r w:rsidRPr="004D0368">
              <w:t xml:space="preserve">Mixed </w:t>
            </w:r>
          </w:p>
        </w:tc>
        <w:tc>
          <w:tcPr>
            <w:tcW w:w="2434" w:type="dxa"/>
            <w:hideMark/>
          </w:tcPr>
          <w:p w14:paraId="74F90F68" w14:textId="77777777" w:rsidR="004D0368" w:rsidRPr="004D0368" w:rsidRDefault="004D0368" w:rsidP="004D0368">
            <w:pPr>
              <w:cnfStyle w:val="000000000000" w:firstRow="0" w:lastRow="0" w:firstColumn="0" w:lastColumn="0" w:oddVBand="0" w:evenVBand="0" w:oddHBand="0" w:evenHBand="0" w:firstRowFirstColumn="0" w:firstRowLastColumn="0" w:lastRowFirstColumn="0" w:lastRowLastColumn="0"/>
            </w:pPr>
            <w:r w:rsidRPr="004D0368">
              <w:t>1,085,626</w:t>
            </w:r>
          </w:p>
        </w:tc>
        <w:tc>
          <w:tcPr>
            <w:tcW w:w="2434" w:type="dxa"/>
            <w:hideMark/>
          </w:tcPr>
          <w:p w14:paraId="11D0F355" w14:textId="77777777" w:rsidR="004D0368" w:rsidRPr="004D0368" w:rsidRDefault="004D0368" w:rsidP="004D0368">
            <w:pPr>
              <w:cnfStyle w:val="000000000000" w:firstRow="0" w:lastRow="0" w:firstColumn="0" w:lastColumn="0" w:oddVBand="0" w:evenVBand="0" w:oddHBand="0" w:evenHBand="0" w:firstRowFirstColumn="0" w:firstRowLastColumn="0" w:lastRowFirstColumn="0" w:lastRowLastColumn="0"/>
            </w:pPr>
            <w:r w:rsidRPr="004D0368">
              <w:t>317,789</w:t>
            </w:r>
          </w:p>
        </w:tc>
        <w:tc>
          <w:tcPr>
            <w:tcW w:w="2434" w:type="dxa"/>
            <w:hideMark/>
          </w:tcPr>
          <w:p w14:paraId="1813C2BF" w14:textId="77777777" w:rsidR="004D0368" w:rsidRPr="004D0368" w:rsidRDefault="004D0368" w:rsidP="004D0368">
            <w:pPr>
              <w:cnfStyle w:val="000000000000" w:firstRow="0" w:lastRow="0" w:firstColumn="0" w:lastColumn="0" w:oddVBand="0" w:evenVBand="0" w:oddHBand="0" w:evenHBand="0" w:firstRowFirstColumn="0" w:firstRowLastColumn="0" w:lastRowFirstColumn="0" w:lastRowLastColumn="0"/>
            </w:pPr>
            <w:r w:rsidRPr="004D0368">
              <w:t>136,677</w:t>
            </w:r>
          </w:p>
        </w:tc>
      </w:tr>
      <w:tr w:rsidR="005C59D4" w:rsidRPr="004D0368" w14:paraId="5FA4A4CF" w14:textId="77777777" w:rsidTr="004D03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4" w:type="dxa"/>
            <w:tcBorders>
              <w:top w:val="nil"/>
              <w:left w:val="nil"/>
              <w:bottom w:val="nil"/>
            </w:tcBorders>
            <w:hideMark/>
          </w:tcPr>
          <w:p w14:paraId="596191B4" w14:textId="77777777" w:rsidR="004D0368" w:rsidRPr="004D0368" w:rsidRDefault="004D0368" w:rsidP="004D0368">
            <w:r w:rsidRPr="004D0368">
              <w:t>Telehealth-only</w:t>
            </w:r>
          </w:p>
        </w:tc>
        <w:tc>
          <w:tcPr>
            <w:tcW w:w="2434" w:type="dxa"/>
            <w:hideMark/>
          </w:tcPr>
          <w:p w14:paraId="0F1F8734"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186,359</w:t>
            </w:r>
          </w:p>
        </w:tc>
        <w:tc>
          <w:tcPr>
            <w:tcW w:w="2434" w:type="dxa"/>
            <w:hideMark/>
          </w:tcPr>
          <w:p w14:paraId="47927D14"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83,282</w:t>
            </w:r>
          </w:p>
        </w:tc>
        <w:tc>
          <w:tcPr>
            <w:tcW w:w="2434" w:type="dxa"/>
            <w:hideMark/>
          </w:tcPr>
          <w:p w14:paraId="59D54207" w14:textId="77777777" w:rsidR="004D0368" w:rsidRPr="004D0368" w:rsidRDefault="004D0368" w:rsidP="004D0368">
            <w:pPr>
              <w:cnfStyle w:val="000000100000" w:firstRow="0" w:lastRow="0" w:firstColumn="0" w:lastColumn="0" w:oddVBand="0" w:evenVBand="0" w:oddHBand="1" w:evenHBand="0" w:firstRowFirstColumn="0" w:firstRowLastColumn="0" w:lastRowFirstColumn="0" w:lastRowLastColumn="0"/>
            </w:pPr>
            <w:r w:rsidRPr="004D0368">
              <w:t>40,318</w:t>
            </w:r>
          </w:p>
        </w:tc>
      </w:tr>
    </w:tbl>
    <w:p w14:paraId="7B9DDD47" w14:textId="3AF1F92F" w:rsidR="004D0368" w:rsidRPr="00500379" w:rsidRDefault="004D0368" w:rsidP="004D0368">
      <w:pPr>
        <w:rPr>
          <w:szCs w:val="22"/>
        </w:rPr>
      </w:pPr>
    </w:p>
    <w:p w14:paraId="5516D9DD" w14:textId="1204C39C" w:rsidR="004D0368" w:rsidRDefault="715E809A" w:rsidP="004D0368">
      <w:r>
        <w:t>Of these 8.5 million patients in 2022-23,</w:t>
      </w:r>
      <w:r w:rsidR="4E993314">
        <w:t xml:space="preserve"> r</w:t>
      </w:r>
      <w:r>
        <w:t xml:space="preserve">ural patients </w:t>
      </w:r>
      <w:r w:rsidR="4E993314">
        <w:t>were</w:t>
      </w:r>
      <w:r>
        <w:t xml:space="preserve"> more likely to have an initial consultation by telehealth, although in all regions face-to-face account</w:t>
      </w:r>
      <w:r w:rsidR="4E993314">
        <w:t>ed</w:t>
      </w:r>
      <w:r>
        <w:t xml:space="preserve"> for the majority of initial consultations. The average annual services </w:t>
      </w:r>
      <w:r w:rsidR="33518F19">
        <w:t>were</w:t>
      </w:r>
      <w:r>
        <w:t xml:space="preserve"> highest for patients that use</w:t>
      </w:r>
      <w:r w:rsidR="248D7A93">
        <w:t>d</w:t>
      </w:r>
      <w:r>
        <w:t xml:space="preserve"> both face-to-face and telehealth</w:t>
      </w:r>
      <w:r w:rsidR="65F273BE">
        <w:t>, consistent with broader trends that patients who use more services are more likely to use telehealth for some of their care</w:t>
      </w:r>
      <w:r>
        <w:t>. Most (7</w:t>
      </w:r>
      <w:r w:rsidR="4AB92568">
        <w:t>1</w:t>
      </w:r>
      <w:r>
        <w:t xml:space="preserve">%) patients who received an initial consultation via telehealth received follow-up within 12-months. </w:t>
      </w:r>
      <w:r w:rsidR="36E6D774">
        <w:t>P</w:t>
      </w:r>
      <w:r>
        <w:t xml:space="preserve">atients who used more services and a mix of service types </w:t>
      </w:r>
      <w:r w:rsidR="2C118CDB">
        <w:t xml:space="preserve">(telehealth and in-person) </w:t>
      </w:r>
      <w:r>
        <w:t>generally were more likely to see different providers. Continuity of care for patients who commenced with telehealth was higher when subsequent services were also by telehealth, compared to either a subsequent mix of telehealth and face-to-face or by face-to-face only. The transition from telehealth to face-to-face was a scenario most likely to result in subsequent services with a different provider.</w:t>
      </w:r>
    </w:p>
    <w:p w14:paraId="4DDBC591" w14:textId="613DFB17" w:rsidR="00103F36" w:rsidRDefault="5207D7FD" w:rsidP="00103F36">
      <w:pPr>
        <w:pStyle w:val="Heading3"/>
      </w:pPr>
      <w:bookmarkStart w:id="70" w:name="_Toc163814573"/>
      <w:bookmarkStart w:id="71" w:name="_Hlk161911088"/>
      <w:r>
        <w:t xml:space="preserve">Telehealth consultations for nurse practitioners and midwives  </w:t>
      </w:r>
      <w:bookmarkEnd w:id="70"/>
    </w:p>
    <w:bookmarkEnd w:id="71"/>
    <w:p w14:paraId="6410CB86" w14:textId="439D32A0" w:rsidR="00072C55" w:rsidRDefault="54168C98" w:rsidP="7A78A0F3">
      <w:pPr>
        <w:tabs>
          <w:tab w:val="left" w:pos="360"/>
        </w:tabs>
        <w:autoSpaceDE w:val="0"/>
        <w:autoSpaceDN w:val="0"/>
        <w:adjustRightInd w:val="0"/>
        <w:rPr>
          <w:rFonts w:eastAsia="Calibri" w:cs="Calibri"/>
        </w:rPr>
      </w:pPr>
      <w:r w:rsidRPr="07D162B7">
        <w:rPr>
          <w:rFonts w:eastAsiaTheme="minorEastAsia" w:cs="Calibri"/>
          <w:color w:val="auto"/>
        </w:rPr>
        <w:t xml:space="preserve">MRAC noted that MBS data from 2022-23, 374,476 Australians received a total 1,025,929 MBS nurse practitioner services, delivered by 854 providers. Of these services, 27% </w:t>
      </w:r>
      <w:r w:rsidR="0808812B" w:rsidRPr="07D162B7">
        <w:rPr>
          <w:rFonts w:eastAsiaTheme="minorEastAsia" w:cs="Calibri"/>
          <w:color w:val="auto"/>
        </w:rPr>
        <w:t xml:space="preserve">of total Nurse Practitioner services </w:t>
      </w:r>
      <w:r w:rsidRPr="07D162B7">
        <w:rPr>
          <w:rFonts w:eastAsiaTheme="minorEastAsia" w:cs="Calibri"/>
          <w:color w:val="auto"/>
        </w:rPr>
        <w:t xml:space="preserve">were </w:t>
      </w:r>
      <w:r w:rsidR="767E975D" w:rsidRPr="07D162B7">
        <w:rPr>
          <w:rFonts w:eastAsiaTheme="minorEastAsia" w:cs="Calibri"/>
          <w:color w:val="auto"/>
        </w:rPr>
        <w:t xml:space="preserve">by </w:t>
      </w:r>
      <w:r w:rsidRPr="07D162B7">
        <w:rPr>
          <w:rFonts w:eastAsiaTheme="minorEastAsia" w:cs="Calibri"/>
          <w:color w:val="auto"/>
        </w:rPr>
        <w:t>telehealth (video and telephone)</w:t>
      </w:r>
      <w:r w:rsidR="209C0C3A" w:rsidRPr="07D162B7">
        <w:rPr>
          <w:rFonts w:eastAsiaTheme="minorEastAsia" w:cs="Calibri"/>
          <w:color w:val="auto"/>
        </w:rPr>
        <w:t xml:space="preserve">. </w:t>
      </w:r>
      <w:r w:rsidR="4B513A1F" w:rsidRPr="07D162B7">
        <w:rPr>
          <w:rFonts w:eastAsiaTheme="minorEastAsia" w:cs="Calibri"/>
          <w:color w:val="auto"/>
        </w:rPr>
        <w:t>Claiming patterns during this timeframe show that</w:t>
      </w:r>
      <w:r w:rsidR="68D11A56" w:rsidRPr="07D162B7">
        <w:rPr>
          <w:rFonts w:eastAsia="Calibri" w:cs="Calibri"/>
        </w:rPr>
        <w:t xml:space="preserve"> 15% of </w:t>
      </w:r>
      <w:r w:rsidR="0E50908D" w:rsidRPr="07D162B7">
        <w:rPr>
          <w:rFonts w:eastAsia="Calibri" w:cs="Calibri"/>
        </w:rPr>
        <w:t xml:space="preserve">total </w:t>
      </w:r>
      <w:r w:rsidR="61988768" w:rsidRPr="07D162B7">
        <w:rPr>
          <w:rFonts w:eastAsia="Calibri" w:cs="Calibri"/>
        </w:rPr>
        <w:t>N</w:t>
      </w:r>
      <w:r w:rsidR="68D11A56" w:rsidRPr="07D162B7">
        <w:rPr>
          <w:rFonts w:eastAsia="Calibri" w:cs="Calibri"/>
        </w:rPr>
        <w:t xml:space="preserve">urse </w:t>
      </w:r>
      <w:r w:rsidR="16388BB8" w:rsidRPr="07D162B7">
        <w:rPr>
          <w:rFonts w:eastAsia="Calibri" w:cs="Calibri"/>
        </w:rPr>
        <w:t>P</w:t>
      </w:r>
      <w:r w:rsidR="68D11A56" w:rsidRPr="07D162B7">
        <w:rPr>
          <w:rFonts w:eastAsia="Calibri" w:cs="Calibri"/>
        </w:rPr>
        <w:t xml:space="preserve">ractitioner </w:t>
      </w:r>
      <w:r w:rsidR="2F467CE0" w:rsidRPr="07D162B7">
        <w:rPr>
          <w:rFonts w:eastAsia="Calibri" w:cs="Calibri"/>
        </w:rPr>
        <w:t xml:space="preserve">services </w:t>
      </w:r>
      <w:r w:rsidR="68D11A56" w:rsidRPr="07D162B7">
        <w:rPr>
          <w:rFonts w:eastAsia="Calibri" w:cs="Calibri"/>
        </w:rPr>
        <w:t xml:space="preserve">were </w:t>
      </w:r>
      <w:r w:rsidR="655A4493" w:rsidRPr="07D162B7">
        <w:rPr>
          <w:rFonts w:eastAsia="Calibri" w:cs="Calibri"/>
        </w:rPr>
        <w:t>telehealth consultations provided to patients that only received telehealth from their Nurse Practitioner</w:t>
      </w:r>
      <w:r w:rsidR="2C47E857" w:rsidRPr="07D162B7">
        <w:rPr>
          <w:rFonts w:eastAsia="Calibri" w:cs="Calibri"/>
        </w:rPr>
        <w:t xml:space="preserve">. </w:t>
      </w:r>
      <w:r w:rsidR="4A528ABF" w:rsidRPr="07D162B7">
        <w:rPr>
          <w:rFonts w:eastAsia="Calibri" w:cs="Calibri"/>
        </w:rPr>
        <w:t>Nearly a third (3</w:t>
      </w:r>
      <w:r w:rsidR="5AD70D0F" w:rsidRPr="07D162B7">
        <w:rPr>
          <w:rFonts w:eastAsia="Calibri" w:cs="Calibri"/>
        </w:rPr>
        <w:t>3</w:t>
      </w:r>
      <w:r w:rsidR="4A528ABF" w:rsidRPr="07D162B7">
        <w:rPr>
          <w:rFonts w:eastAsia="Calibri" w:cs="Calibri"/>
        </w:rPr>
        <w:t xml:space="preserve">%) of Nurse Practitioners’ MBS services went to patients that received a mix of telehealth and face-to-face, and </w:t>
      </w:r>
      <w:r w:rsidR="68D11A56" w:rsidRPr="07D162B7">
        <w:rPr>
          <w:rFonts w:eastAsia="Calibri" w:cs="Calibri"/>
        </w:rPr>
        <w:t>54% were face -to-face</w:t>
      </w:r>
      <w:r w:rsidR="29A4FD58" w:rsidRPr="07D162B7">
        <w:rPr>
          <w:rFonts w:eastAsia="Calibri" w:cs="Calibri"/>
        </w:rPr>
        <w:t xml:space="preserve"> only</w:t>
      </w:r>
      <w:r w:rsidR="68D11A56" w:rsidRPr="07D162B7">
        <w:rPr>
          <w:rFonts w:eastAsia="Calibri" w:cs="Calibri"/>
        </w:rPr>
        <w:t>.</w:t>
      </w:r>
      <w:r w:rsidR="2DA25482" w:rsidRPr="07D162B7">
        <w:rPr>
          <w:rFonts w:eastAsia="Calibri" w:cs="Calibri"/>
        </w:rPr>
        <w:t xml:space="preserve"> </w:t>
      </w:r>
    </w:p>
    <w:p w14:paraId="6785766F" w14:textId="3D1B8B86" w:rsidR="00CE2A98" w:rsidRPr="000E137D" w:rsidRDefault="54168C98" w:rsidP="7A78A0F3">
      <w:pPr>
        <w:autoSpaceDE w:val="0"/>
        <w:autoSpaceDN w:val="0"/>
        <w:adjustRightInd w:val="0"/>
        <w:spacing w:after="0"/>
        <w:rPr>
          <w:rFonts w:eastAsia="Calibri" w:cs="Calibri"/>
        </w:rPr>
      </w:pPr>
      <w:r w:rsidRPr="07D162B7">
        <w:rPr>
          <w:rFonts w:eastAsiaTheme="minorEastAsia" w:cs="Calibri"/>
          <w:color w:val="auto"/>
        </w:rPr>
        <w:t xml:space="preserve">There were 221,357 MBS participating midwifery items claimed, delivered to 43,114 patients by 641 providers for the same period. </w:t>
      </w:r>
      <w:r w:rsidR="2DE08502" w:rsidRPr="07D162B7">
        <w:rPr>
          <w:rFonts w:eastAsiaTheme="minorEastAsia" w:cs="Calibri"/>
          <w:color w:val="auto"/>
        </w:rPr>
        <w:t xml:space="preserve">Of these services, </w:t>
      </w:r>
      <w:r w:rsidRPr="07D162B7">
        <w:rPr>
          <w:rFonts w:eastAsiaTheme="minorEastAsia" w:cs="Calibri"/>
          <w:color w:val="auto"/>
        </w:rPr>
        <w:t>18</w:t>
      </w:r>
      <w:r w:rsidR="1077A004" w:rsidRPr="07D162B7">
        <w:rPr>
          <w:rFonts w:eastAsiaTheme="minorEastAsia" w:cs="Calibri"/>
          <w:color w:val="auto"/>
        </w:rPr>
        <w:t>% were</w:t>
      </w:r>
      <w:r w:rsidR="1EE653FE" w:rsidRPr="07D162B7">
        <w:rPr>
          <w:rFonts w:eastAsiaTheme="minorEastAsia" w:cs="Calibri"/>
          <w:color w:val="auto"/>
        </w:rPr>
        <w:t xml:space="preserve"> </w:t>
      </w:r>
      <w:r w:rsidR="4F6B477C" w:rsidRPr="07D162B7">
        <w:rPr>
          <w:rFonts w:eastAsiaTheme="minorEastAsia" w:cs="Calibri"/>
          <w:color w:val="auto"/>
        </w:rPr>
        <w:t xml:space="preserve">by </w:t>
      </w:r>
      <w:r w:rsidR="1EE653FE" w:rsidRPr="07D162B7">
        <w:rPr>
          <w:rFonts w:eastAsiaTheme="minorEastAsia" w:cs="Calibri"/>
          <w:color w:val="auto"/>
        </w:rPr>
        <w:t xml:space="preserve">telehealth. </w:t>
      </w:r>
      <w:r w:rsidR="7FED6772" w:rsidRPr="07D162B7">
        <w:rPr>
          <w:rFonts w:eastAsia="Calibri" w:cs="Calibri"/>
        </w:rPr>
        <w:t xml:space="preserve"> </w:t>
      </w:r>
      <w:r w:rsidR="5C87819E" w:rsidRPr="07D162B7">
        <w:rPr>
          <w:rFonts w:eastAsia="Calibri" w:cs="Calibri"/>
        </w:rPr>
        <w:t>A</w:t>
      </w:r>
      <w:r w:rsidR="7FED6772" w:rsidRPr="07D162B7">
        <w:rPr>
          <w:rFonts w:eastAsia="Calibri" w:cs="Calibri"/>
        </w:rPr>
        <w:t xml:space="preserve">pproximately 5% of all midwifery MBS </w:t>
      </w:r>
      <w:r w:rsidR="51BA410E" w:rsidRPr="07D162B7">
        <w:rPr>
          <w:rFonts w:eastAsia="Calibri" w:cs="Calibri"/>
        </w:rPr>
        <w:t xml:space="preserve">services </w:t>
      </w:r>
      <w:r w:rsidR="7FED6772" w:rsidRPr="07D162B7">
        <w:rPr>
          <w:rFonts w:eastAsia="Calibri" w:cs="Calibri"/>
        </w:rPr>
        <w:t xml:space="preserve">were delivered </w:t>
      </w:r>
      <w:r w:rsidR="3722FF46" w:rsidRPr="07D162B7">
        <w:rPr>
          <w:rFonts w:eastAsia="Calibri" w:cs="Calibri"/>
        </w:rPr>
        <w:t>as telehealth to patients that only received telehealth from their midwife</w:t>
      </w:r>
      <w:r w:rsidR="7FED6772" w:rsidRPr="07D162B7">
        <w:rPr>
          <w:rFonts w:eastAsia="Calibri" w:cs="Calibri"/>
        </w:rPr>
        <w:t xml:space="preserve">, </w:t>
      </w:r>
      <w:r w:rsidR="4090160C" w:rsidRPr="07D162B7">
        <w:rPr>
          <w:rFonts w:eastAsia="Calibri" w:cs="Calibri"/>
        </w:rPr>
        <w:t xml:space="preserve">while </w:t>
      </w:r>
      <w:r w:rsidR="7FED6772" w:rsidRPr="07D162B7">
        <w:rPr>
          <w:rFonts w:eastAsia="Calibri" w:cs="Calibri"/>
        </w:rPr>
        <w:t>53% were face</w:t>
      </w:r>
      <w:r w:rsidR="1108B19F" w:rsidRPr="07D162B7">
        <w:rPr>
          <w:rFonts w:eastAsia="Calibri" w:cs="Calibri"/>
        </w:rPr>
        <w:t>-</w:t>
      </w:r>
      <w:r w:rsidR="7FED6772" w:rsidRPr="07D162B7">
        <w:rPr>
          <w:rFonts w:eastAsia="Calibri" w:cs="Calibri"/>
        </w:rPr>
        <w:t>to</w:t>
      </w:r>
      <w:r w:rsidR="0B19D637" w:rsidRPr="07D162B7">
        <w:rPr>
          <w:rFonts w:eastAsia="Calibri" w:cs="Calibri"/>
        </w:rPr>
        <w:t>-</w:t>
      </w:r>
      <w:r w:rsidR="7FED6772" w:rsidRPr="07D162B7">
        <w:rPr>
          <w:rFonts w:eastAsia="Calibri" w:cs="Calibri"/>
        </w:rPr>
        <w:t>face</w:t>
      </w:r>
      <w:r w:rsidR="0A0A6FCC" w:rsidRPr="07D162B7">
        <w:rPr>
          <w:rFonts w:eastAsia="Calibri" w:cs="Calibri"/>
        </w:rPr>
        <w:t xml:space="preserve"> only</w:t>
      </w:r>
      <w:r w:rsidR="7FED6772" w:rsidRPr="07D162B7">
        <w:rPr>
          <w:rFonts w:eastAsia="Calibri" w:cs="Calibri"/>
        </w:rPr>
        <w:t xml:space="preserve">, and 42% </w:t>
      </w:r>
      <w:r w:rsidR="5820D772" w:rsidRPr="07D162B7">
        <w:rPr>
          <w:rFonts w:eastAsia="Calibri" w:cs="Calibri"/>
        </w:rPr>
        <w:t xml:space="preserve">of services were provided to patients as a mix of </w:t>
      </w:r>
      <w:r w:rsidR="7FED6772" w:rsidRPr="07D162B7">
        <w:rPr>
          <w:rFonts w:eastAsia="Calibri" w:cs="Calibri"/>
        </w:rPr>
        <w:t>both telehealth and face to face</w:t>
      </w:r>
      <w:r w:rsidR="105F2640" w:rsidRPr="07D162B7">
        <w:rPr>
          <w:rFonts w:eastAsia="Calibri" w:cs="Calibri"/>
        </w:rPr>
        <w:t xml:space="preserve"> consultations</w:t>
      </w:r>
      <w:r w:rsidR="7FED6772" w:rsidRPr="07D162B7">
        <w:rPr>
          <w:rFonts w:eastAsia="Calibri" w:cs="Calibri"/>
        </w:rPr>
        <w:t>.</w:t>
      </w:r>
    </w:p>
    <w:p w14:paraId="6A31447A" w14:textId="31AE4C8C" w:rsidR="00570733" w:rsidRDefault="009774ED" w:rsidP="07D162B7">
      <w:pPr>
        <w:pStyle w:val="Heading3"/>
        <w:spacing w:after="0"/>
        <w:rPr>
          <w:rFonts w:eastAsia="Calibri" w:cs="Calibri"/>
        </w:rPr>
      </w:pPr>
      <w:bookmarkStart w:id="72" w:name="_Toc163814574"/>
      <w:r>
        <w:t>Online-only telehealth models</w:t>
      </w:r>
      <w:bookmarkEnd w:id="72"/>
    </w:p>
    <w:p w14:paraId="10049FB9" w14:textId="7D2EAC2A" w:rsidR="00854337" w:rsidRDefault="5472842F" w:rsidP="07D162B7">
      <w:pPr>
        <w:rPr>
          <w:lang w:val="en-US"/>
        </w:rPr>
      </w:pPr>
      <w:r w:rsidRPr="07D162B7">
        <w:rPr>
          <w:lang w:val="en-US"/>
        </w:rPr>
        <w:t xml:space="preserve">The </w:t>
      </w:r>
      <w:r w:rsidR="378702CB" w:rsidRPr="07D162B7">
        <w:rPr>
          <w:lang w:val="en-US"/>
        </w:rPr>
        <w:t>MRAC discussed</w:t>
      </w:r>
      <w:r w:rsidR="26040678" w:rsidRPr="07D162B7">
        <w:rPr>
          <w:lang w:val="en-US"/>
        </w:rPr>
        <w:t xml:space="preserve"> the</w:t>
      </w:r>
      <w:r w:rsidR="6D844788" w:rsidRPr="07D162B7">
        <w:rPr>
          <w:lang w:val="en-US"/>
        </w:rPr>
        <w:t xml:space="preserve"> growth in online-only GP business models that offer telehealth services for medical certificates, prescriptions and referrals. These services are marketed as a convenient way to access health</w:t>
      </w:r>
      <w:r w:rsidR="160CE06E" w:rsidRPr="07D162B7">
        <w:rPr>
          <w:lang w:val="en-US"/>
        </w:rPr>
        <w:t xml:space="preserve"> care</w:t>
      </w:r>
      <w:r w:rsidR="6D844788" w:rsidRPr="07D162B7">
        <w:rPr>
          <w:lang w:val="en-US"/>
        </w:rPr>
        <w:t xml:space="preserve"> where the outcomes are pre</w:t>
      </w:r>
      <w:r w:rsidR="3E9E08B3" w:rsidRPr="07D162B7">
        <w:rPr>
          <w:lang w:val="en-US"/>
        </w:rPr>
        <w:t>-determined</w:t>
      </w:r>
      <w:r w:rsidR="6D844788" w:rsidRPr="07D162B7">
        <w:rPr>
          <w:lang w:val="en-US"/>
        </w:rPr>
        <w:t xml:space="preserve"> and patient</w:t>
      </w:r>
      <w:r w:rsidR="561B2BAA" w:rsidRPr="07D162B7">
        <w:rPr>
          <w:lang w:val="en-US"/>
        </w:rPr>
        <w:t>-</w:t>
      </w:r>
      <w:r w:rsidR="6D844788" w:rsidRPr="07D162B7">
        <w:rPr>
          <w:lang w:val="en-US"/>
        </w:rPr>
        <w:t>led. However, given they are generally provided as a quick once-off consultation, where the patient is unknown to the clinician and without access to the patient’s medical records, they do not support safe, quality or continuous care</w:t>
      </w:r>
      <w:r w:rsidR="548D13FE" w:rsidRPr="07D162B7">
        <w:rPr>
          <w:lang w:val="en-US"/>
        </w:rPr>
        <w:t>.</w:t>
      </w:r>
      <w:r w:rsidR="15B459E9" w:rsidRPr="07D162B7">
        <w:rPr>
          <w:lang w:val="en-US"/>
        </w:rPr>
        <w:t xml:space="preserve"> </w:t>
      </w:r>
    </w:p>
    <w:p w14:paraId="19CE3C35" w14:textId="7859BA56" w:rsidR="00854337" w:rsidRDefault="6D844788" w:rsidP="07D162B7">
      <w:pPr>
        <w:rPr>
          <w:lang w:val="en-US"/>
        </w:rPr>
      </w:pPr>
      <w:r w:rsidRPr="07D162B7">
        <w:rPr>
          <w:lang w:val="en-US"/>
        </w:rPr>
        <w:t>While these private services are not Medicare claimed, they may have downstream effects on the volume and clinical appropriateness of P</w:t>
      </w:r>
      <w:r w:rsidR="16379496" w:rsidRPr="07D162B7">
        <w:rPr>
          <w:lang w:val="en-US"/>
        </w:rPr>
        <w:t>BS</w:t>
      </w:r>
      <w:r w:rsidRPr="07D162B7">
        <w:rPr>
          <w:lang w:val="en-US"/>
        </w:rPr>
        <w:t xml:space="preserve"> prescriptions and MBS referrals </w:t>
      </w:r>
      <w:r w:rsidR="3158D395" w:rsidRPr="07D162B7">
        <w:rPr>
          <w:lang w:val="en-US"/>
        </w:rPr>
        <w:t>(</w:t>
      </w:r>
      <w:r w:rsidR="66EB3ABE" w:rsidRPr="07D162B7">
        <w:rPr>
          <w:lang w:val="en-US"/>
        </w:rPr>
        <w:t>for example,</w:t>
      </w:r>
      <w:r w:rsidRPr="07D162B7">
        <w:rPr>
          <w:lang w:val="en-US"/>
        </w:rPr>
        <w:t xml:space="preserve"> for pathology, imaging or non-GP specialist review</w:t>
      </w:r>
      <w:r w:rsidR="4AD8F61C" w:rsidRPr="07D162B7">
        <w:rPr>
          <w:lang w:val="en-US"/>
        </w:rPr>
        <w:t>)</w:t>
      </w:r>
      <w:r w:rsidR="5B68C64E" w:rsidRPr="07D162B7">
        <w:rPr>
          <w:lang w:val="en-US"/>
        </w:rPr>
        <w:t xml:space="preserve"> and implications for patient safety</w:t>
      </w:r>
      <w:r w:rsidRPr="07D162B7">
        <w:rPr>
          <w:lang w:val="en-US"/>
        </w:rPr>
        <w:t>. In addition, a patient’s care may be further fragmented as they do not have their regular GP</w:t>
      </w:r>
      <w:r w:rsidR="11A24740" w:rsidRPr="07D162B7">
        <w:rPr>
          <w:lang w:val="en-US"/>
        </w:rPr>
        <w:t xml:space="preserve"> or nurse practitioner</w:t>
      </w:r>
      <w:r w:rsidRPr="07D162B7">
        <w:rPr>
          <w:lang w:val="en-US"/>
        </w:rPr>
        <w:t xml:space="preserve"> coordinating this care.</w:t>
      </w:r>
      <w:bookmarkStart w:id="73" w:name="_Populations_and_services"/>
      <w:bookmarkEnd w:id="73"/>
    </w:p>
    <w:p w14:paraId="10CE52EA" w14:textId="123F171D" w:rsidR="002B7469" w:rsidRDefault="51537F39" w:rsidP="005D219A">
      <w:pPr>
        <w:pStyle w:val="Heading2"/>
      </w:pPr>
      <w:bookmarkStart w:id="74" w:name="_Populations_and_services_1"/>
      <w:bookmarkStart w:id="75" w:name="_Toc163814575"/>
      <w:bookmarkEnd w:id="74"/>
      <w:r>
        <w:t>P</w:t>
      </w:r>
      <w:r w:rsidR="2509A374">
        <w:t>opulations and services where access can be optimised with telehealth</w:t>
      </w:r>
      <w:bookmarkEnd w:id="75"/>
    </w:p>
    <w:p w14:paraId="69414190" w14:textId="3FF2C31E" w:rsidR="00DA6718" w:rsidRDefault="76E0497B" w:rsidP="001E3BA3">
      <w:pPr>
        <w:pStyle w:val="NormalBeforeBullet"/>
      </w:pPr>
      <w:r>
        <w:t xml:space="preserve">The </w:t>
      </w:r>
      <w:r w:rsidR="6A4AA015">
        <w:t xml:space="preserve">MRAC agreed that face-to-face consultation was still the preferred standard of </w:t>
      </w:r>
      <w:r w:rsidR="3E053642">
        <w:t xml:space="preserve">health </w:t>
      </w:r>
      <w:r w:rsidR="6A4AA015">
        <w:t>care</w:t>
      </w:r>
      <w:r w:rsidR="3E053642">
        <w:t xml:space="preserve">, but also </w:t>
      </w:r>
      <w:r w:rsidR="40C72699">
        <w:t>considered</w:t>
      </w:r>
      <w:r w:rsidR="3E053642">
        <w:t xml:space="preserve"> that telehealth could complement this care for some patients</w:t>
      </w:r>
      <w:r w:rsidR="1CB5BC4A">
        <w:t xml:space="preserve"> in certain circumstances</w:t>
      </w:r>
      <w:r w:rsidR="3E053642">
        <w:t>.</w:t>
      </w:r>
      <w:r w:rsidR="119AD21A">
        <w:t xml:space="preserve"> Specifically, telehealth could improve access for some patients, such as those with disability who are largely housebound, </w:t>
      </w:r>
      <w:r w:rsidR="51F2CA3F">
        <w:t xml:space="preserve">by </w:t>
      </w:r>
      <w:r w:rsidR="092DC8C0">
        <w:t xml:space="preserve">providing access to an increased </w:t>
      </w:r>
      <w:r w:rsidR="51F2CA3F">
        <w:t>frequency of consultations</w:t>
      </w:r>
      <w:r w:rsidR="3311FCB3">
        <w:t xml:space="preserve"> and more timely access</w:t>
      </w:r>
      <w:r w:rsidR="51F2CA3F">
        <w:t xml:space="preserve">. However, the MRAC considered it </w:t>
      </w:r>
      <w:r w:rsidR="420C845B">
        <w:t xml:space="preserve">important that patients with complex conditions are not relegated to telehealth-only consultations, </w:t>
      </w:r>
      <w:r w:rsidR="11F5D515">
        <w:t>as this could result in inferior care</w:t>
      </w:r>
      <w:r w:rsidR="3AAA77AE">
        <w:t xml:space="preserve"> in the longer term</w:t>
      </w:r>
      <w:r w:rsidR="11F5D515">
        <w:t>.</w:t>
      </w:r>
      <w:r w:rsidR="00854337">
        <w:t xml:space="preserve"> </w:t>
      </w:r>
    </w:p>
    <w:p w14:paraId="3912C897" w14:textId="0CAF89C6" w:rsidR="002E5DA4" w:rsidRDefault="00A20366" w:rsidP="001E3BA3">
      <w:pPr>
        <w:pStyle w:val="NormalBeforeBullet"/>
      </w:pPr>
      <w:r>
        <w:t xml:space="preserve">The </w:t>
      </w:r>
      <w:r w:rsidR="002E5DA4">
        <w:t xml:space="preserve">MRAC referred to </w:t>
      </w:r>
      <w:r w:rsidR="00CC7F8C">
        <w:t xml:space="preserve">its review of </w:t>
      </w:r>
      <w:r w:rsidR="00103DE1">
        <w:t xml:space="preserve">the MBS items for </w:t>
      </w:r>
      <w:r w:rsidR="0088662B">
        <w:t xml:space="preserve">mental health, </w:t>
      </w:r>
      <w:r w:rsidR="002E5DA4">
        <w:t>smoking cessation,</w:t>
      </w:r>
      <w:r w:rsidR="0088662B">
        <w:t xml:space="preserve"> and</w:t>
      </w:r>
      <w:r w:rsidR="002E5DA4">
        <w:t xml:space="preserve"> bloodborne virus and sexual and reproductive health (BBVSR) </w:t>
      </w:r>
      <w:r w:rsidR="00544E98">
        <w:t>to</w:t>
      </w:r>
      <w:r w:rsidR="002E5DA4">
        <w:t xml:space="preserve"> frame its discussion and recommendations </w:t>
      </w:r>
      <w:r w:rsidR="0000688A">
        <w:t xml:space="preserve">for improved access </w:t>
      </w:r>
      <w:r w:rsidR="002E5DA4">
        <w:t xml:space="preserve">(see </w:t>
      </w:r>
      <w:hyperlink w:anchor="_Eligibility_requirements_and" w:history="1">
        <w:r w:rsidR="002E5DA4" w:rsidRPr="00380D56">
          <w:rPr>
            <w:rStyle w:val="Hyperlink"/>
          </w:rPr>
          <w:t>Eligibility requirements and exemptions</w:t>
        </w:r>
      </w:hyperlink>
      <w:r w:rsidR="00A957C9">
        <w:rPr>
          <w:rStyle w:val="CommentReference"/>
        </w:rPr>
        <w:t xml:space="preserve"> </w:t>
      </w:r>
      <w:r w:rsidR="00A957C9" w:rsidRPr="002060AD">
        <w:rPr>
          <w:szCs w:val="22"/>
        </w:rPr>
        <w:t xml:space="preserve">for recommendations regarding these </w:t>
      </w:r>
      <w:r w:rsidR="00105159" w:rsidRPr="002060AD">
        <w:rPr>
          <w:szCs w:val="22"/>
        </w:rPr>
        <w:t>MBS items</w:t>
      </w:r>
      <w:r w:rsidR="002E5DA4">
        <w:t>).</w:t>
      </w:r>
      <w:r w:rsidR="00E10BDD">
        <w:t xml:space="preserve"> </w:t>
      </w:r>
    </w:p>
    <w:p w14:paraId="181B9691" w14:textId="3E959061" w:rsidR="00CB4AFB" w:rsidRDefault="00CB4AFB" w:rsidP="00CB4AFB">
      <w:pPr>
        <w:pStyle w:val="NormalBeforeBullet"/>
      </w:pPr>
      <w:r>
        <w:t xml:space="preserve">Proponents of telehealth often cite equity of access for people in rural and remote regions as justification for the services. </w:t>
      </w:r>
      <w:r w:rsidR="00A20366">
        <w:t xml:space="preserve">The </w:t>
      </w:r>
      <w:r>
        <w:t xml:space="preserve">MRAC agreed with </w:t>
      </w:r>
      <w:r w:rsidR="5AB52FF4">
        <w:t>the importance of equity of appropriate access</w:t>
      </w:r>
      <w:r>
        <w:t>, but also noted that non-clinical barriers exist for those settings, including:</w:t>
      </w:r>
    </w:p>
    <w:p w14:paraId="756C039A" w14:textId="615A5EF7" w:rsidR="00CB4AFB" w:rsidRDefault="62418A34" w:rsidP="00CB4AFB">
      <w:pPr>
        <w:pStyle w:val="Bullet"/>
      </w:pPr>
      <w:r>
        <w:t>technology and infrastructure limitations</w:t>
      </w:r>
    </w:p>
    <w:p w14:paraId="19D2C091" w14:textId="394D30EA" w:rsidR="00FC4555" w:rsidRDefault="795479DF" w:rsidP="00CB4AFB">
      <w:pPr>
        <w:pStyle w:val="Bullet"/>
      </w:pPr>
      <w:r>
        <w:t>poor digital literacy for both patients and clinicians</w:t>
      </w:r>
    </w:p>
    <w:p w14:paraId="26C8DB64" w14:textId="36501548" w:rsidR="00FC4555" w:rsidRDefault="795479DF" w:rsidP="00CB4AFB">
      <w:pPr>
        <w:pStyle w:val="Bullet"/>
      </w:pPr>
      <w:r>
        <w:t xml:space="preserve">patient education on </w:t>
      </w:r>
      <w:r w:rsidR="2393E16B">
        <w:t>how to optimise their telehealth consultation</w:t>
      </w:r>
    </w:p>
    <w:p w14:paraId="1C886524" w14:textId="2BECCBB8" w:rsidR="00497590" w:rsidRDefault="2393E16B" w:rsidP="00CB4AFB">
      <w:pPr>
        <w:pStyle w:val="Bullet"/>
      </w:pPr>
      <w:r>
        <w:t>previous poor experiences in using telehealth, for both patients and clinicians</w:t>
      </w:r>
    </w:p>
    <w:p w14:paraId="4BD31D5C" w14:textId="4D482567" w:rsidR="00CB4AFB" w:rsidRDefault="62418A34" w:rsidP="00CB4AFB">
      <w:pPr>
        <w:pStyle w:val="Bullet"/>
      </w:pPr>
      <w:r>
        <w:t>clinicians’ understanding of the facilities available to the patient</w:t>
      </w:r>
      <w:r w:rsidR="6C3B59D1">
        <w:t xml:space="preserve"> </w:t>
      </w:r>
    </w:p>
    <w:p w14:paraId="7D1A3A58" w14:textId="77777777" w:rsidR="00CB4AFB" w:rsidRDefault="62418A34" w:rsidP="00CB4AFB">
      <w:pPr>
        <w:pStyle w:val="BulletLast"/>
      </w:pPr>
      <w:r>
        <w:t>the lack of culturally appropriate health services for First Nations people.</w:t>
      </w:r>
    </w:p>
    <w:p w14:paraId="723D3FB2" w14:textId="792D447F" w:rsidR="00CB4AFB" w:rsidRDefault="00A20366" w:rsidP="00CB4AFB">
      <w:r>
        <w:t xml:space="preserve">The </w:t>
      </w:r>
      <w:r w:rsidR="00CB4AFB">
        <w:t>MRAC considered that some types of health care services and workflows likely conform to telehealth better than others. For example, a face-to-face consultation may be preferred for initial diagnoses and assessments, whereas telehealth may better suit treatment-based or follow-up consultations.</w:t>
      </w:r>
      <w:r w:rsidR="006203E8">
        <w:t xml:space="preserve"> </w:t>
      </w:r>
    </w:p>
    <w:p w14:paraId="060568AA" w14:textId="0A95D83A" w:rsidR="00982D5E" w:rsidRPr="001E3BA3" w:rsidRDefault="001151B1" w:rsidP="001E3BA3">
      <w:pPr>
        <w:pStyle w:val="NormalBeforeBullet"/>
      </w:pPr>
      <w:r>
        <w:t xml:space="preserve">Considering the research presented to the committee, </w:t>
      </w:r>
      <w:r w:rsidR="00A20366">
        <w:t xml:space="preserve">the </w:t>
      </w:r>
      <w:r w:rsidR="00982D5E">
        <w:t xml:space="preserve">MRAC </w:t>
      </w:r>
      <w:r w:rsidR="0061393D">
        <w:t xml:space="preserve">suggested </w:t>
      </w:r>
      <w:r w:rsidR="00982D5E">
        <w:t xml:space="preserve">criteria </w:t>
      </w:r>
      <w:r w:rsidR="00700210">
        <w:t>for</w:t>
      </w:r>
      <w:r w:rsidR="00982D5E">
        <w:t xml:space="preserve"> the assessment of new requests</w:t>
      </w:r>
      <w:r w:rsidR="0061393D">
        <w:t xml:space="preserve"> for telehealth</w:t>
      </w:r>
      <w:r w:rsidR="00C521F2">
        <w:t xml:space="preserve"> items and exemptions </w:t>
      </w:r>
      <w:r w:rsidR="00CE00D4">
        <w:t>to eligibility</w:t>
      </w:r>
      <w:r w:rsidR="00982D5E">
        <w:t>. Items that are exempt from the established clinical relationship should:</w:t>
      </w:r>
    </w:p>
    <w:p w14:paraId="188D0379" w14:textId="255C3170" w:rsidR="00982D5E" w:rsidRDefault="13318F6E" w:rsidP="00021C75">
      <w:pPr>
        <w:pStyle w:val="Bullet"/>
      </w:pPr>
      <w:r>
        <w:t xml:space="preserve">represent situations where there is a </w:t>
      </w:r>
      <w:r w:rsidR="2B8B42DB">
        <w:t>relatively high acuity presentation or issue, where the immediacy of the service</w:t>
      </w:r>
      <w:r w:rsidR="3C96C9BD">
        <w:t>(</w:t>
      </w:r>
      <w:r w:rsidR="2B8B42DB">
        <w:t>s</w:t>
      </w:r>
      <w:r w:rsidR="3C96C9BD">
        <w:t>)</w:t>
      </w:r>
      <w:r w:rsidR="2B8B42DB">
        <w:t xml:space="preserve"> is critical</w:t>
      </w:r>
    </w:p>
    <w:p w14:paraId="74CAF7E5" w14:textId="0AF3B012" w:rsidR="00982D5E" w:rsidRDefault="2B8B42DB" w:rsidP="00021C75">
      <w:pPr>
        <w:pStyle w:val="Bullet"/>
      </w:pPr>
      <w:r>
        <w:t xml:space="preserve">represent a </w:t>
      </w:r>
      <w:r w:rsidR="3ACDDC33">
        <w:t xml:space="preserve">clear </w:t>
      </w:r>
      <w:r>
        <w:t xml:space="preserve">public health advantage </w:t>
      </w:r>
      <w:r w:rsidR="64F5A159">
        <w:t xml:space="preserve">when </w:t>
      </w:r>
      <w:r w:rsidR="78BC8830">
        <w:t>providing ‘</w:t>
      </w:r>
      <w:r>
        <w:t>unrestricted’ access</w:t>
      </w:r>
      <w:r w:rsidR="70F64174">
        <w:t xml:space="preserve"> to care</w:t>
      </w:r>
    </w:p>
    <w:p w14:paraId="2994FC36" w14:textId="3194ED55" w:rsidR="00982D5E" w:rsidRDefault="2B8B42DB" w:rsidP="00021C75">
      <w:pPr>
        <w:pStyle w:val="Bullet"/>
      </w:pPr>
      <w:r>
        <w:t xml:space="preserve">have a low likelihood of </w:t>
      </w:r>
      <w:r w:rsidR="13318F6E">
        <w:t>misuse</w:t>
      </w:r>
      <w:r>
        <w:t xml:space="preserve"> by patients and providers</w:t>
      </w:r>
    </w:p>
    <w:p w14:paraId="539C6C5F" w14:textId="41B6538B" w:rsidR="00982D5E" w:rsidRDefault="2B8B42DB" w:rsidP="00021C75">
      <w:pPr>
        <w:pStyle w:val="BulletLast"/>
      </w:pPr>
      <w:r>
        <w:t>refer to care where a single episode or consultation is sufficient and unlikely to adversely affect outcomes or fragment care.</w:t>
      </w:r>
    </w:p>
    <w:p w14:paraId="32F660AA" w14:textId="1B95AA94" w:rsidR="00982D5E" w:rsidRDefault="005E5F6E" w:rsidP="001E3BA3">
      <w:pPr>
        <w:pStyle w:val="NormalBeforeBullet"/>
      </w:pPr>
      <w:r>
        <w:t xml:space="preserve">In addition, several risks should be considered, </w:t>
      </w:r>
      <w:r w:rsidR="008334A4">
        <w:t>including</w:t>
      </w:r>
      <w:r>
        <w:t>:</w:t>
      </w:r>
    </w:p>
    <w:p w14:paraId="2AB04605" w14:textId="77777777" w:rsidR="002E7FEE" w:rsidRDefault="2B8B42DB">
      <w:pPr>
        <w:pStyle w:val="Bullet"/>
      </w:pPr>
      <w:r>
        <w:t>overservicing and</w:t>
      </w:r>
      <w:r w:rsidR="1FC070A0">
        <w:t xml:space="preserve"> enabling</w:t>
      </w:r>
      <w:r>
        <w:t xml:space="preserve"> adverse commercial models of care</w:t>
      </w:r>
    </w:p>
    <w:p w14:paraId="5370FE16" w14:textId="39619B90" w:rsidR="00982D5E" w:rsidRDefault="7CAA0A91">
      <w:pPr>
        <w:pStyle w:val="Bullet"/>
      </w:pPr>
      <w:r>
        <w:t xml:space="preserve">the </w:t>
      </w:r>
      <w:r w:rsidR="2B8B42DB">
        <w:t>efficacy of telehealth-only solutions</w:t>
      </w:r>
    </w:p>
    <w:p w14:paraId="7DD8D17E" w14:textId="45A1346A" w:rsidR="008E5F27" w:rsidRDefault="6E67315B" w:rsidP="005D219A">
      <w:pPr>
        <w:pStyle w:val="Bullet"/>
      </w:pPr>
      <w:r>
        <w:t>privacy</w:t>
      </w:r>
      <w:r w:rsidR="4F86357C">
        <w:t xml:space="preserve"> </w:t>
      </w:r>
      <w:r w:rsidR="60434EB4">
        <w:t>risks</w:t>
      </w:r>
      <w:r w:rsidR="347E59D7">
        <w:t xml:space="preserve"> of sensitive or condition-specific items on patients’ MBS claims records</w:t>
      </w:r>
    </w:p>
    <w:p w14:paraId="2B3095D8" w14:textId="50833726" w:rsidR="1FB0729F" w:rsidRDefault="3C56CDBB" w:rsidP="165431D0">
      <w:pPr>
        <w:pStyle w:val="BulletLast"/>
      </w:pPr>
      <w:r>
        <w:t xml:space="preserve">impacts to </w:t>
      </w:r>
      <w:r w:rsidR="2444E9A0">
        <w:t>equity</w:t>
      </w:r>
      <w:r w:rsidR="62BF34B0">
        <w:t xml:space="preserve"> of access</w:t>
      </w:r>
      <w:r w:rsidR="2444E9A0">
        <w:t xml:space="preserve">, </w:t>
      </w:r>
      <w:r w:rsidR="35C6C50C">
        <w:t xml:space="preserve">including </w:t>
      </w:r>
      <w:r w:rsidR="61847532">
        <w:t xml:space="preserve">potential interactions with technology literacy and culturally and linguistically diverse groups, and </w:t>
      </w:r>
      <w:r w:rsidR="157CF413">
        <w:t>people with vision or hearing impairments</w:t>
      </w:r>
      <w:r w:rsidR="58F3C693">
        <w:t>.</w:t>
      </w:r>
    </w:p>
    <w:p w14:paraId="296A82C2" w14:textId="628C43D5" w:rsidR="00441F51" w:rsidRDefault="2D85C468" w:rsidP="00441F51">
      <w:pPr>
        <w:pStyle w:val="NormalBeforeBullet"/>
      </w:pPr>
      <w:r>
        <w:t xml:space="preserve">The </w:t>
      </w:r>
      <w:r w:rsidR="65CAE613">
        <w:t xml:space="preserve">MRAC </w:t>
      </w:r>
      <w:r w:rsidR="230D93DA">
        <w:t xml:space="preserve">noted that telehealth could help improve access to </w:t>
      </w:r>
      <w:r w:rsidR="1B70668E">
        <w:t xml:space="preserve">high-quality </w:t>
      </w:r>
      <w:r w:rsidR="230D93DA">
        <w:t xml:space="preserve">health care for some groups of people. </w:t>
      </w:r>
      <w:r>
        <w:t xml:space="preserve">The </w:t>
      </w:r>
      <w:r w:rsidR="5C174227">
        <w:t xml:space="preserve">MRAC considered that telehealth items and exemptions </w:t>
      </w:r>
      <w:r w:rsidR="7C9BDC4C">
        <w:t>c</w:t>
      </w:r>
      <w:r w:rsidR="5C174227">
        <w:t xml:space="preserve">ould </w:t>
      </w:r>
      <w:r w:rsidR="72C04056">
        <w:t>enable access</w:t>
      </w:r>
      <w:r w:rsidR="1DC25BBC">
        <w:t xml:space="preserve"> for</w:t>
      </w:r>
      <w:r w:rsidR="08A4FACD">
        <w:t xml:space="preserve"> several populations</w:t>
      </w:r>
      <w:r w:rsidR="38B6575C">
        <w:t xml:space="preserve"> or situations</w:t>
      </w:r>
      <w:r w:rsidR="08A4FACD">
        <w:t>, such as</w:t>
      </w:r>
      <w:r w:rsidR="1DC25BBC">
        <w:t>:</w:t>
      </w:r>
    </w:p>
    <w:p w14:paraId="5E4C7476" w14:textId="39B5FAA3" w:rsidR="00204FE5" w:rsidRDefault="68F67B33" w:rsidP="00441F51">
      <w:pPr>
        <w:pStyle w:val="Bullet"/>
      </w:pPr>
      <w:r>
        <w:t xml:space="preserve">people with a </w:t>
      </w:r>
      <w:r w:rsidR="1FA9DBAF">
        <w:t>health concern that need</w:t>
      </w:r>
      <w:r>
        <w:t>s</w:t>
      </w:r>
      <w:r w:rsidR="1FA9DBAF">
        <w:t xml:space="preserve"> urgent attention</w:t>
      </w:r>
      <w:r w:rsidR="38C8362D">
        <w:t xml:space="preserve"> (</w:t>
      </w:r>
      <w:r w:rsidR="56673563">
        <w:t>although</w:t>
      </w:r>
      <w:r w:rsidR="623E7FCF">
        <w:t xml:space="preserve"> the</w:t>
      </w:r>
      <w:r w:rsidR="38C8362D">
        <w:t xml:space="preserve"> MRAC noted </w:t>
      </w:r>
      <w:r w:rsidR="71889BDC">
        <w:t xml:space="preserve">that </w:t>
      </w:r>
      <w:r w:rsidR="38C8362D">
        <w:t>this may need to be defined, as ‘urgent’ may differ for different people)</w:t>
      </w:r>
    </w:p>
    <w:p w14:paraId="05AC8680" w14:textId="665777BB" w:rsidR="00164D7E" w:rsidRDefault="63AA38C5" w:rsidP="00441F51">
      <w:pPr>
        <w:pStyle w:val="Bullet"/>
      </w:pPr>
      <w:r>
        <w:t xml:space="preserve">people in </w:t>
      </w:r>
      <w:r w:rsidR="51FF21FF">
        <w:t xml:space="preserve">rural and </w:t>
      </w:r>
      <w:r w:rsidR="67FD0CE6">
        <w:t xml:space="preserve">remote settings where </w:t>
      </w:r>
      <w:r w:rsidR="675EB9DE">
        <w:t xml:space="preserve">the </w:t>
      </w:r>
      <w:r w:rsidR="3E028942">
        <w:t>health</w:t>
      </w:r>
      <w:r w:rsidR="529724C1">
        <w:t xml:space="preserve"> care</w:t>
      </w:r>
      <w:r w:rsidR="3E028942">
        <w:t xml:space="preserve"> </w:t>
      </w:r>
      <w:r w:rsidR="67FD0CE6">
        <w:t>workforce may be limited</w:t>
      </w:r>
    </w:p>
    <w:p w14:paraId="06E338E8" w14:textId="34D9EA85" w:rsidR="006F33DF" w:rsidRDefault="68F67B33" w:rsidP="00441F51">
      <w:pPr>
        <w:pStyle w:val="Bullet"/>
      </w:pPr>
      <w:r>
        <w:t xml:space="preserve">when </w:t>
      </w:r>
      <w:r w:rsidR="08C6B56D">
        <w:t xml:space="preserve">delayed access </w:t>
      </w:r>
      <w:r w:rsidR="7B02ECE0">
        <w:t>may result in adverse health outcomes</w:t>
      </w:r>
    </w:p>
    <w:p w14:paraId="4B9191B2" w14:textId="6897258C" w:rsidR="00252436" w:rsidRDefault="5A9C9B60" w:rsidP="002474D4">
      <w:pPr>
        <w:pStyle w:val="BulletLast"/>
      </w:pPr>
      <w:r>
        <w:t>paediatric patients</w:t>
      </w:r>
      <w:r w:rsidR="27291518">
        <w:t xml:space="preserve"> with behavioural issues</w:t>
      </w:r>
      <w:r w:rsidR="46EC984C">
        <w:t xml:space="preserve"> that impede face-to-face consultations</w:t>
      </w:r>
      <w:r w:rsidR="215C18BA">
        <w:t>.</w:t>
      </w:r>
    </w:p>
    <w:p w14:paraId="1B372FD1" w14:textId="74190AC9" w:rsidR="000E278A" w:rsidRDefault="00A20366" w:rsidP="000E278A">
      <w:r>
        <w:t xml:space="preserve">The </w:t>
      </w:r>
      <w:r w:rsidR="003B3CE1">
        <w:t xml:space="preserve">MRAC </w:t>
      </w:r>
      <w:r w:rsidR="009535B1">
        <w:t xml:space="preserve">considered situations involving </w:t>
      </w:r>
      <w:r w:rsidR="00C561E0">
        <w:t>care plans</w:t>
      </w:r>
      <w:r w:rsidR="00100B1B">
        <w:t xml:space="preserve"> – for example, </w:t>
      </w:r>
      <w:r w:rsidR="000F17E9">
        <w:t xml:space="preserve">for </w:t>
      </w:r>
      <w:r w:rsidR="00256B1F">
        <w:t>patients</w:t>
      </w:r>
      <w:r w:rsidR="000F17E9">
        <w:t xml:space="preserve"> with complex and chronic health conditions –</w:t>
      </w:r>
      <w:r w:rsidR="00C561E0">
        <w:t xml:space="preserve"> and the importance of face-to-face </w:t>
      </w:r>
      <w:r w:rsidR="00D802BF">
        <w:t>consultations for ongoing care.</w:t>
      </w:r>
      <w:r w:rsidR="007C11DC">
        <w:t xml:space="preserve"> </w:t>
      </w:r>
      <w:r w:rsidR="000F17E9">
        <w:t xml:space="preserve">However, </w:t>
      </w:r>
      <w:r>
        <w:t xml:space="preserve">the </w:t>
      </w:r>
      <w:r w:rsidR="000F17E9">
        <w:t xml:space="preserve">MRAC also considered </w:t>
      </w:r>
      <w:r w:rsidR="001632C3">
        <w:t xml:space="preserve">that </w:t>
      </w:r>
      <w:r w:rsidR="000F17E9">
        <w:t xml:space="preserve">there may be situations where </w:t>
      </w:r>
      <w:r w:rsidR="005F59BA">
        <w:t xml:space="preserve">such </w:t>
      </w:r>
      <w:r w:rsidR="000F17E9">
        <w:t>patients</w:t>
      </w:r>
      <w:r w:rsidR="00256B1F">
        <w:t xml:space="preserve"> benefit from telehealth</w:t>
      </w:r>
      <w:r w:rsidR="000A57CB">
        <w:t xml:space="preserve">, such as those in residential aged care </w:t>
      </w:r>
      <w:r w:rsidR="00CC3E2C">
        <w:t xml:space="preserve">facilities </w:t>
      </w:r>
      <w:r w:rsidR="000A57CB">
        <w:t>or a</w:t>
      </w:r>
      <w:r w:rsidR="00A3207F">
        <w:t>s</w:t>
      </w:r>
      <w:r w:rsidR="000A57CB">
        <w:t xml:space="preserve"> part of the National Disability Insurance Scheme.</w:t>
      </w:r>
      <w:r w:rsidR="00C8563F">
        <w:t xml:space="preserve"> </w:t>
      </w:r>
      <w:r>
        <w:t xml:space="preserve">The </w:t>
      </w:r>
      <w:r w:rsidR="002D7F4D">
        <w:t>M</w:t>
      </w:r>
      <w:r w:rsidR="002E7FEE">
        <w:t>RAC</w:t>
      </w:r>
      <w:r w:rsidR="002D7F4D">
        <w:t xml:space="preserve"> acknowledged th</w:t>
      </w:r>
      <w:r w:rsidR="00A51FBA">
        <w:t>at these are</w:t>
      </w:r>
      <w:r w:rsidR="002D7F4D">
        <w:t xml:space="preserve"> complex area</w:t>
      </w:r>
      <w:r w:rsidR="00A51FBA">
        <w:t>s</w:t>
      </w:r>
      <w:r w:rsidR="002D7F4D">
        <w:t xml:space="preserve"> of health care.</w:t>
      </w:r>
      <w:r w:rsidR="000E78D0">
        <w:t xml:space="preserve"> </w:t>
      </w:r>
      <w:r w:rsidR="00872B53">
        <w:t xml:space="preserve">The </w:t>
      </w:r>
      <w:r w:rsidR="000E78D0">
        <w:t>MRAC advised that t</w:t>
      </w:r>
      <w:r w:rsidR="000E78D0" w:rsidRPr="000E78D0">
        <w:t>elehealth</w:t>
      </w:r>
      <w:r w:rsidR="000E78D0">
        <w:t>,</w:t>
      </w:r>
      <w:r w:rsidR="000E78D0" w:rsidRPr="000E78D0">
        <w:t xml:space="preserve"> in its current framework</w:t>
      </w:r>
      <w:r w:rsidR="000E78D0">
        <w:t>,</w:t>
      </w:r>
      <w:r w:rsidR="000E78D0" w:rsidRPr="000E78D0">
        <w:t xml:space="preserve"> is not fit for purpose for </w:t>
      </w:r>
      <w:r w:rsidR="003630CB">
        <w:t>residents in</w:t>
      </w:r>
      <w:r w:rsidR="000E78D0" w:rsidRPr="000E78D0">
        <w:t xml:space="preserve"> aged care and requires further committee discussion.</w:t>
      </w:r>
    </w:p>
    <w:p w14:paraId="64718910" w14:textId="71F33578" w:rsidR="003E2263" w:rsidRDefault="002A6785" w:rsidP="008C38B9">
      <w:pPr>
        <w:pStyle w:val="NormalBeforeBullet"/>
      </w:pPr>
      <w:r>
        <w:t xml:space="preserve">Importantly, </w:t>
      </w:r>
      <w:r w:rsidR="00A20366">
        <w:t xml:space="preserve">the </w:t>
      </w:r>
      <w:r>
        <w:t xml:space="preserve">MRAC acknowledged the importance of vulnerable patients </w:t>
      </w:r>
      <w:r w:rsidR="00B2508F">
        <w:t>receiving value-based health care</w:t>
      </w:r>
      <w:r w:rsidR="00F70014">
        <w:t xml:space="preserve">, but also </w:t>
      </w:r>
      <w:r w:rsidR="00061311">
        <w:t xml:space="preserve">noted </w:t>
      </w:r>
      <w:r w:rsidR="00F70014">
        <w:t xml:space="preserve">that exemptions should not result in </w:t>
      </w:r>
      <w:r w:rsidR="00127388">
        <w:t>fragmentation of health care.</w:t>
      </w:r>
      <w:r w:rsidR="00A20366">
        <w:t xml:space="preserve"> The</w:t>
      </w:r>
      <w:r w:rsidR="00127388">
        <w:t xml:space="preserve"> </w:t>
      </w:r>
      <w:r w:rsidR="003E2263">
        <w:t xml:space="preserve">MRAC suggested </w:t>
      </w:r>
      <w:r w:rsidR="6F19C2B5">
        <w:t>two</w:t>
      </w:r>
      <w:r w:rsidR="00373632">
        <w:t xml:space="preserve"> criteria </w:t>
      </w:r>
      <w:r w:rsidR="00F57D3D">
        <w:t xml:space="preserve">that could be used </w:t>
      </w:r>
      <w:r w:rsidR="008A7D5D">
        <w:t>to help identify vulnerable populations:</w:t>
      </w:r>
    </w:p>
    <w:p w14:paraId="0124E965" w14:textId="66E2BF52" w:rsidR="008A7D5D" w:rsidRDefault="235F404D" w:rsidP="00E72FA5">
      <w:pPr>
        <w:pStyle w:val="Bullet"/>
      </w:pPr>
      <w:r>
        <w:t xml:space="preserve">where </w:t>
      </w:r>
      <w:r w:rsidR="6F7CE2D5">
        <w:t>inequality of service is widely acknowledged</w:t>
      </w:r>
    </w:p>
    <w:p w14:paraId="63210B01" w14:textId="12718697" w:rsidR="00A50B22" w:rsidRDefault="3ECA7A9A" w:rsidP="00AB3892">
      <w:pPr>
        <w:pStyle w:val="BulletLast"/>
      </w:pPr>
      <w:r>
        <w:t xml:space="preserve">where </w:t>
      </w:r>
      <w:r w:rsidR="7CAA0A91">
        <w:t>lack of access would be highly detrimental for the patient</w:t>
      </w:r>
      <w:r w:rsidR="350DC503">
        <w:t>.</w:t>
      </w:r>
    </w:p>
    <w:p w14:paraId="6C27A33B" w14:textId="3DA20F89" w:rsidR="00DC199B" w:rsidRDefault="4DC3D6E8" w:rsidP="69ABD742">
      <w:pPr>
        <w:rPr>
          <w:rFonts w:ascii="Arial" w:eastAsia="Arial" w:hAnsi="Arial" w:cs="Arial"/>
          <w:color w:val="4D5156"/>
          <w:sz w:val="21"/>
          <w:szCs w:val="21"/>
        </w:rPr>
      </w:pPr>
      <w:r>
        <w:t xml:space="preserve">The </w:t>
      </w:r>
      <w:r w:rsidR="5036D757">
        <w:t xml:space="preserve">MRAC considered it appropriate for the </w:t>
      </w:r>
      <w:r w:rsidR="0506DE82">
        <w:t>d</w:t>
      </w:r>
      <w:r w:rsidR="5036D757">
        <w:t xml:space="preserve">epartment to better support uptake of telehealth. </w:t>
      </w:r>
      <w:r>
        <w:t xml:space="preserve">The </w:t>
      </w:r>
      <w:r w:rsidR="5036D757">
        <w:t xml:space="preserve">MRAC noted that </w:t>
      </w:r>
      <w:r w:rsidR="35710B34">
        <w:t xml:space="preserve">while </w:t>
      </w:r>
      <w:r w:rsidR="5036D757">
        <w:t xml:space="preserve">the </w:t>
      </w:r>
      <w:r w:rsidR="0506DE82">
        <w:t>d</w:t>
      </w:r>
      <w:r w:rsidR="5036D757">
        <w:t>epartment cannot promote certain systems or set</w:t>
      </w:r>
      <w:r w:rsidR="61B93ABE">
        <w:t>-ups</w:t>
      </w:r>
      <w:r w:rsidR="5036D757">
        <w:t xml:space="preserve">, </w:t>
      </w:r>
      <w:r w:rsidR="750205D9">
        <w:t>accreditation requirements</w:t>
      </w:r>
      <w:r w:rsidR="42A6511E">
        <w:t xml:space="preserve"> and standards</w:t>
      </w:r>
      <w:r w:rsidR="750205D9">
        <w:t xml:space="preserve"> for telehealth </w:t>
      </w:r>
      <w:r w:rsidR="6819C16B">
        <w:t xml:space="preserve">and </w:t>
      </w:r>
      <w:r w:rsidR="25A20142">
        <w:t xml:space="preserve">associated </w:t>
      </w:r>
      <w:r w:rsidR="6819C16B">
        <w:t>te</w:t>
      </w:r>
      <w:r w:rsidR="301DD20D">
        <w:t xml:space="preserve">chnology </w:t>
      </w:r>
      <w:r w:rsidR="4CC49621">
        <w:t xml:space="preserve">would </w:t>
      </w:r>
      <w:r w:rsidR="2060B34C">
        <w:t xml:space="preserve">guide </w:t>
      </w:r>
      <w:r w:rsidR="5036D757">
        <w:t xml:space="preserve">clinicians </w:t>
      </w:r>
      <w:r w:rsidR="3A9D6637">
        <w:t>towards</w:t>
      </w:r>
      <w:r w:rsidR="4C917E22">
        <w:t xml:space="preserve"> overall</w:t>
      </w:r>
      <w:r w:rsidR="3A9D6637">
        <w:t xml:space="preserve"> best practice as well as </w:t>
      </w:r>
      <w:r w:rsidR="5036D757">
        <w:t>a telehealth system that best works for their practice and patients.</w:t>
      </w:r>
      <w:r w:rsidR="5A695940">
        <w:t xml:space="preserve"> MRAC pointed out that the Australian Digital Health Agency and the Australian Commission on Safety and Quality in Health </w:t>
      </w:r>
      <w:r w:rsidR="55240D77">
        <w:t xml:space="preserve">Care </w:t>
      </w:r>
      <w:r w:rsidR="5A5849ED">
        <w:t xml:space="preserve">may </w:t>
      </w:r>
      <w:r w:rsidR="5A695940">
        <w:t xml:space="preserve">have a role to play in </w:t>
      </w:r>
      <w:r w:rsidR="49454056">
        <w:t xml:space="preserve">the development of telehealth standards that support best practice, </w:t>
      </w:r>
      <w:r w:rsidR="26BD6631">
        <w:t>noting that neither agency is a regulator</w:t>
      </w:r>
      <w:r w:rsidR="014B6894">
        <w:t>.</w:t>
      </w:r>
    </w:p>
    <w:p w14:paraId="2999695D" w14:textId="77777777" w:rsidR="00AB3892" w:rsidRPr="00982D5E" w:rsidRDefault="00AB3892" w:rsidP="00AB3892"/>
    <w:p w14:paraId="29301F1D" w14:textId="71FE0E37" w:rsidR="00865DF4" w:rsidRDefault="00B85EA2" w:rsidP="00C10A2B">
      <w:pPr>
        <w:pStyle w:val="Heading1"/>
      </w:pPr>
      <w:bookmarkStart w:id="76" w:name="_Toc163814576"/>
      <w:r>
        <w:t xml:space="preserve">MBS Telehealth Principles </w:t>
      </w:r>
      <w:r w:rsidR="00E932FD">
        <w:t>review</w:t>
      </w:r>
      <w:bookmarkEnd w:id="76"/>
    </w:p>
    <w:p w14:paraId="3823E837" w14:textId="2D39D298" w:rsidR="00051862" w:rsidRDefault="29F04502" w:rsidP="002635C0">
      <w:r>
        <w:t xml:space="preserve">In </w:t>
      </w:r>
      <w:r w:rsidR="1A370CEC">
        <w:t>2020</w:t>
      </w:r>
      <w:r>
        <w:t>, t</w:t>
      </w:r>
      <w:r w:rsidR="58322835" w:rsidRPr="00F146B0">
        <w:t xml:space="preserve">he MBS </w:t>
      </w:r>
      <w:r w:rsidR="1A7C2751">
        <w:t>Review Taskforce</w:t>
      </w:r>
      <w:r w:rsidR="58322835" w:rsidRPr="00F146B0">
        <w:t xml:space="preserve"> </w:t>
      </w:r>
      <w:r w:rsidR="06A08862">
        <w:t>developed</w:t>
      </w:r>
      <w:r w:rsidR="58322835" w:rsidRPr="00F146B0">
        <w:t xml:space="preserve"> Telehealth Principles </w:t>
      </w:r>
      <w:r w:rsidR="5B4C5113">
        <w:t xml:space="preserve">to </w:t>
      </w:r>
      <w:r w:rsidR="480264BD">
        <w:t xml:space="preserve">guide </w:t>
      </w:r>
      <w:r w:rsidR="58322835" w:rsidRPr="00F146B0">
        <w:t>future consideration of telehealth items</w:t>
      </w:r>
      <w:r w:rsidR="18D233CF">
        <w:t xml:space="preserve"> in the MBS</w:t>
      </w:r>
      <w:r w:rsidR="0033171B">
        <w:t xml:space="preserve"> (MBS Taskforce 2020a)</w:t>
      </w:r>
      <w:r w:rsidR="58322835" w:rsidRPr="00F146B0">
        <w:t>.</w:t>
      </w:r>
    </w:p>
    <w:p w14:paraId="5789F98E" w14:textId="72826A49" w:rsidR="00F146B0" w:rsidRDefault="00051862" w:rsidP="002635C0">
      <w:r>
        <w:t>As part of its post</w:t>
      </w:r>
      <w:r w:rsidR="00877BF5">
        <w:t>-</w:t>
      </w:r>
      <w:r>
        <w:t>implementation review, t</w:t>
      </w:r>
      <w:r w:rsidR="00A20366">
        <w:t>he</w:t>
      </w:r>
      <w:r w:rsidR="00F146B0" w:rsidRPr="00F146B0">
        <w:t xml:space="preserve"> MRAC reviewed </w:t>
      </w:r>
      <w:r>
        <w:t xml:space="preserve">these </w:t>
      </w:r>
      <w:r w:rsidR="00D3781A">
        <w:t>P</w:t>
      </w:r>
      <w:r>
        <w:t>rinciples and proposed updates</w:t>
      </w:r>
      <w:r w:rsidR="00F146B0" w:rsidRPr="00F146B0">
        <w:t>, taking into account</w:t>
      </w:r>
      <w:r w:rsidR="00AF2B99">
        <w:t xml:space="preserve"> stakeholder</w:t>
      </w:r>
      <w:r w:rsidR="00F146B0" w:rsidRPr="00F146B0">
        <w:t xml:space="preserve"> feedback</w:t>
      </w:r>
      <w:r w:rsidR="006A06D2">
        <w:t xml:space="preserve"> (see </w:t>
      </w:r>
      <w:hyperlink w:anchor="_Consultation_and_feedback" w:history="1">
        <w:r w:rsidR="006A06D2" w:rsidRPr="006A06D2">
          <w:rPr>
            <w:rStyle w:val="Hyperlink"/>
          </w:rPr>
          <w:t>Consultation and feedback review process</w:t>
        </w:r>
      </w:hyperlink>
      <w:r w:rsidR="006A06D2">
        <w:t>)</w:t>
      </w:r>
      <w:r w:rsidR="00F146B0" w:rsidRPr="00F146B0">
        <w:t>.</w:t>
      </w:r>
    </w:p>
    <w:p w14:paraId="75F13F17" w14:textId="77777777" w:rsidR="00C27A89" w:rsidRPr="0008690A" w:rsidRDefault="00C27A89" w:rsidP="00C27A89">
      <w:pPr>
        <w:pStyle w:val="Heading2"/>
      </w:pPr>
      <w:bookmarkStart w:id="77" w:name="_Toc163814577"/>
      <w:r w:rsidRPr="0008690A">
        <w:t>Preamble</w:t>
      </w:r>
      <w:bookmarkEnd w:id="77"/>
    </w:p>
    <w:p w14:paraId="4B7357EB" w14:textId="77777777" w:rsidR="00AB4BAB" w:rsidRDefault="00C27A89" w:rsidP="00AB4BAB">
      <w:pPr>
        <w:ind w:hanging="11"/>
        <w:rPr>
          <w:bCs/>
        </w:rPr>
      </w:pPr>
      <w:r w:rsidRPr="00AB4BAB">
        <w:rPr>
          <w:bCs/>
        </w:rPr>
        <w:t xml:space="preserve">The MBS Telehealth Principles (the Principles) are intended to guide the development and implementation of MBS telehealth policy, including the creation and amendment of MBS items. The Principles were developed under the premise that telehealth should not completely replace face to face consultations, which remain the preferred standard of care. Consultations provided in-person present greater opportunities for more comprehensive investigations and are likely to be more satisfactory for patients and providers. However, there are many scenarios where telehealth – both video and phone – can be equivalent to in-person care and has potential to add value with increased flexibility and frequency of care. </w:t>
      </w:r>
    </w:p>
    <w:p w14:paraId="26460C86" w14:textId="6030CE9D" w:rsidR="00C27A89" w:rsidRPr="00AB4BAB" w:rsidRDefault="00C27A89" w:rsidP="00AB4BAB">
      <w:pPr>
        <w:ind w:hanging="11"/>
        <w:rPr>
          <w:bCs/>
        </w:rPr>
      </w:pPr>
      <w:r w:rsidRPr="00AB4BAB">
        <w:rPr>
          <w:bCs/>
        </w:rPr>
        <w:t>Adherence to these Principles is expected to achieve a necessary balance between facilitating access to care while ensuring that the quality of care and patient safety are not compromised. The current range of MBS telehealth services have been created as equivalent substitutes for in-person consultation, including in relation to their fees and rebates. The best available evidence for telehealth in this context relates to its use as part of continuous care – to known patients for known health conditions. This is critical for maintaining the safety and value of MBS telehealth services.</w:t>
      </w:r>
    </w:p>
    <w:p w14:paraId="1113C240" w14:textId="77777777" w:rsidR="00C27A89" w:rsidRDefault="00C27A89" w:rsidP="002635C0"/>
    <w:p w14:paraId="6337AAE1" w14:textId="77777777" w:rsidR="00F146B0" w:rsidRPr="00F146B0" w:rsidRDefault="00F146B0" w:rsidP="0047297A">
      <w:pPr>
        <w:pStyle w:val="Heading2"/>
      </w:pPr>
      <w:bookmarkStart w:id="78" w:name="_Toc163814578"/>
      <w:r w:rsidRPr="00F146B0">
        <w:t>Principle 1</w:t>
      </w:r>
      <w:bookmarkEnd w:id="78"/>
    </w:p>
    <w:tbl>
      <w:tblPr>
        <w:tblStyle w:val="TableGrid"/>
        <w:tblW w:w="7938"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969"/>
        <w:gridCol w:w="3969"/>
      </w:tblGrid>
      <w:tr w:rsidR="00F146B0" w:rsidRPr="00F146B0" w14:paraId="5000DB15" w14:textId="77777777" w:rsidTr="69ABD742">
        <w:tc>
          <w:tcPr>
            <w:tcW w:w="3969" w:type="dxa"/>
            <w:shd w:val="clear" w:color="auto" w:fill="F2F2F2" w:themeFill="background1" w:themeFillShade="F2"/>
          </w:tcPr>
          <w:p w14:paraId="69A361F6" w14:textId="77777777" w:rsidR="00F146B0" w:rsidRPr="00956B83" w:rsidRDefault="00F146B0" w:rsidP="002635C0">
            <w:pPr>
              <w:spacing w:after="0"/>
              <w:rPr>
                <w:rFonts w:asciiTheme="minorHAnsi" w:hAnsiTheme="minorHAnsi" w:cstheme="minorHAnsi"/>
                <w:b/>
                <w:bCs/>
              </w:rPr>
            </w:pPr>
            <w:r w:rsidRPr="00956B83">
              <w:rPr>
                <w:rFonts w:asciiTheme="minorHAnsi" w:hAnsiTheme="minorHAnsi" w:cstheme="minorHAnsi"/>
                <w:b/>
                <w:bCs/>
              </w:rPr>
              <w:t>Original</w:t>
            </w:r>
          </w:p>
        </w:tc>
        <w:tc>
          <w:tcPr>
            <w:tcW w:w="3969" w:type="dxa"/>
            <w:shd w:val="clear" w:color="auto" w:fill="F2F2F2" w:themeFill="background1" w:themeFillShade="F2"/>
          </w:tcPr>
          <w:p w14:paraId="3BF20D9C" w14:textId="6CC0F95F" w:rsidR="00F146B0" w:rsidRPr="00956B83" w:rsidRDefault="007F302B" w:rsidP="002635C0">
            <w:pPr>
              <w:spacing w:after="0"/>
              <w:rPr>
                <w:rFonts w:asciiTheme="minorHAnsi" w:hAnsiTheme="minorHAnsi" w:cstheme="minorHAnsi"/>
                <w:b/>
                <w:bCs/>
              </w:rPr>
            </w:pPr>
            <w:r>
              <w:rPr>
                <w:rFonts w:asciiTheme="minorHAnsi" w:hAnsiTheme="minorHAnsi" w:cstheme="minorHAnsi"/>
                <w:b/>
                <w:bCs/>
              </w:rPr>
              <w:t>R</w:t>
            </w:r>
            <w:r w:rsidR="00F146B0" w:rsidRPr="00956B83">
              <w:rPr>
                <w:rFonts w:asciiTheme="minorHAnsi" w:hAnsiTheme="minorHAnsi" w:cstheme="minorHAnsi"/>
                <w:b/>
                <w:bCs/>
              </w:rPr>
              <w:t>evision</w:t>
            </w:r>
          </w:p>
        </w:tc>
      </w:tr>
      <w:tr w:rsidR="00F146B0" w:rsidRPr="00F146B0" w14:paraId="4A3B330E" w14:textId="77777777" w:rsidTr="69ABD742">
        <w:trPr>
          <w:trHeight w:val="276"/>
        </w:trPr>
        <w:tc>
          <w:tcPr>
            <w:tcW w:w="3969" w:type="dxa"/>
          </w:tcPr>
          <w:p w14:paraId="4BE1A46C" w14:textId="413EC354" w:rsidR="00F146B0" w:rsidRPr="00956B83" w:rsidRDefault="00F146B0" w:rsidP="002635C0">
            <w:pPr>
              <w:spacing w:after="0"/>
              <w:rPr>
                <w:rFonts w:asciiTheme="minorHAnsi" w:hAnsiTheme="minorHAnsi" w:cstheme="minorHAnsi"/>
              </w:rPr>
            </w:pPr>
            <w:r w:rsidRPr="00956B83">
              <w:rPr>
                <w:rFonts w:asciiTheme="minorHAnsi" w:hAnsiTheme="minorHAnsi" w:cstheme="minorHAnsi"/>
              </w:rPr>
              <w:t>Should be patient-focused, and based on patient need, rather than geographical location</w:t>
            </w:r>
            <w:r w:rsidR="00E33EAC">
              <w:rPr>
                <w:rFonts w:asciiTheme="minorHAnsi" w:hAnsiTheme="minorHAnsi" w:cstheme="minorHAnsi"/>
              </w:rPr>
              <w:t>.</w:t>
            </w:r>
          </w:p>
        </w:tc>
        <w:tc>
          <w:tcPr>
            <w:tcW w:w="3969" w:type="dxa"/>
          </w:tcPr>
          <w:p w14:paraId="2A6D9D60" w14:textId="4DF3360E" w:rsidR="00F146B0" w:rsidRPr="00956B83" w:rsidRDefault="58322835" w:rsidP="69ABD742">
            <w:pPr>
              <w:spacing w:after="0"/>
              <w:rPr>
                <w:rFonts w:asciiTheme="minorHAnsi" w:hAnsiTheme="minorHAnsi" w:cstheme="minorBidi"/>
              </w:rPr>
            </w:pPr>
            <w:r w:rsidRPr="69ABD742">
              <w:rPr>
                <w:rFonts w:asciiTheme="minorHAnsi" w:hAnsiTheme="minorHAnsi" w:cstheme="minorBidi"/>
              </w:rPr>
              <w:t>Should be patient-focused and based on patient need, as determined by</w:t>
            </w:r>
            <w:r w:rsidR="00942C56">
              <w:rPr>
                <w:rFonts w:asciiTheme="minorHAnsi" w:hAnsiTheme="minorHAnsi" w:cstheme="minorBidi"/>
              </w:rPr>
              <w:t xml:space="preserve"> shared decision making between</w:t>
            </w:r>
            <w:r w:rsidRPr="69ABD742">
              <w:rPr>
                <w:rFonts w:asciiTheme="minorHAnsi" w:hAnsiTheme="minorHAnsi" w:cstheme="minorBidi"/>
              </w:rPr>
              <w:t xml:space="preserve"> the </w:t>
            </w:r>
            <w:r w:rsidR="4D15A310" w:rsidRPr="69ABD742">
              <w:rPr>
                <w:rFonts w:asciiTheme="minorHAnsi" w:hAnsiTheme="minorHAnsi" w:cstheme="minorBidi"/>
              </w:rPr>
              <w:t xml:space="preserve">clinician </w:t>
            </w:r>
            <w:r w:rsidRPr="69ABD742">
              <w:rPr>
                <w:rFonts w:asciiTheme="minorHAnsi" w:hAnsiTheme="minorHAnsi" w:cstheme="minorBidi"/>
              </w:rPr>
              <w:t>and the patient</w:t>
            </w:r>
            <w:r w:rsidR="00E33EAC">
              <w:rPr>
                <w:rFonts w:asciiTheme="minorHAnsi" w:hAnsiTheme="minorHAnsi" w:cstheme="minorBidi"/>
              </w:rPr>
              <w:t>.</w:t>
            </w:r>
          </w:p>
        </w:tc>
      </w:tr>
    </w:tbl>
    <w:p w14:paraId="5C228F5A" w14:textId="62C57DA8" w:rsidR="00F146B0" w:rsidRPr="00F146B0" w:rsidRDefault="00A20366" w:rsidP="002635C0">
      <w:pPr>
        <w:spacing w:before="240"/>
      </w:pPr>
      <w:r>
        <w:t xml:space="preserve">The </w:t>
      </w:r>
      <w:r w:rsidR="00F146B0" w:rsidRPr="00F146B0">
        <w:t xml:space="preserve">MRAC discussed whether Principle 1 should be amended to refer </w:t>
      </w:r>
      <w:r w:rsidR="00E65AC3">
        <w:t>exclusively</w:t>
      </w:r>
      <w:r w:rsidR="00F146B0" w:rsidRPr="00F146B0">
        <w:t xml:space="preserve"> to patient </w:t>
      </w:r>
      <w:r w:rsidR="00F146B0" w:rsidRPr="00E65AC3">
        <w:rPr>
          <w:b/>
          <w:bCs/>
        </w:rPr>
        <w:t>clinical</w:t>
      </w:r>
      <w:r w:rsidR="00F146B0" w:rsidRPr="00F146B0">
        <w:t xml:space="preserve"> need. However, </w:t>
      </w:r>
      <w:r>
        <w:t xml:space="preserve">the </w:t>
      </w:r>
      <w:r w:rsidR="00F146B0" w:rsidRPr="00F146B0">
        <w:t xml:space="preserve">MRAC noted that patients’ needs may be both clinical and non-clinical. For example, a patient may need to use telehealth for access-related reasons. </w:t>
      </w:r>
      <w:r w:rsidR="00C747A8">
        <w:t xml:space="preserve">Provided </w:t>
      </w:r>
      <w:r w:rsidR="00CD2C9A">
        <w:t xml:space="preserve">that </w:t>
      </w:r>
      <w:r w:rsidR="00C747A8">
        <w:t>telehealth is clinically appropriate (</w:t>
      </w:r>
      <w:r w:rsidR="000F60C0">
        <w:t xml:space="preserve">refer </w:t>
      </w:r>
      <w:r w:rsidR="00C747A8">
        <w:t xml:space="preserve">Principle 2), </w:t>
      </w:r>
      <w:r w:rsidR="00F146B0" w:rsidRPr="00F146B0">
        <w:t xml:space="preserve">Principle 1 need not preclude </w:t>
      </w:r>
      <w:r w:rsidR="000F2E82">
        <w:t xml:space="preserve">consideration of </w:t>
      </w:r>
      <w:r w:rsidR="00F146B0" w:rsidRPr="00F146B0">
        <w:t>non-clinical needs.</w:t>
      </w:r>
    </w:p>
    <w:p w14:paraId="34E265C9" w14:textId="4D727484" w:rsidR="00F146B0" w:rsidRDefault="6CE7841E" w:rsidP="002635C0">
      <w:r>
        <w:t xml:space="preserve">The </w:t>
      </w:r>
      <w:r w:rsidR="5F22ABDA">
        <w:t>MRAC considered that both the clinician and patient have a role in identifying the patient’s needs</w:t>
      </w:r>
      <w:r w:rsidR="621AF350">
        <w:t>. A</w:t>
      </w:r>
      <w:r w:rsidR="5F22ABDA">
        <w:t>cknowledg</w:t>
      </w:r>
      <w:r w:rsidR="00646997">
        <w:t>ment</w:t>
      </w:r>
      <w:r w:rsidR="5F22ABDA">
        <w:t xml:space="preserve"> of the patient’s role could discourage inappropriate</w:t>
      </w:r>
      <w:r w:rsidR="621AF350">
        <w:t xml:space="preserve"> behaviour such as cold-calling patients to initiate consultations and generating MBS claims of limited clinical value. </w:t>
      </w:r>
      <w:r w:rsidR="54BB2C4F">
        <w:t xml:space="preserve">Patients would also benefit from education on how to optimise care when choosing telehealth, </w:t>
      </w:r>
      <w:r w:rsidR="6C46AEC4">
        <w:t xml:space="preserve">including joining from a quiet and private space, without </w:t>
      </w:r>
      <w:r w:rsidR="36E7CC37">
        <w:t xml:space="preserve">distractions. </w:t>
      </w:r>
    </w:p>
    <w:p w14:paraId="6C678DAF" w14:textId="77777777" w:rsidR="00F146B0" w:rsidRPr="00F146B0" w:rsidRDefault="00F146B0" w:rsidP="0047297A">
      <w:pPr>
        <w:pStyle w:val="Heading2"/>
      </w:pPr>
      <w:bookmarkStart w:id="79" w:name="_Toc163814579"/>
      <w:r w:rsidRPr="00F146B0">
        <w:t>Principle 2</w:t>
      </w:r>
      <w:bookmarkEnd w:id="79"/>
    </w:p>
    <w:tbl>
      <w:tblPr>
        <w:tblStyle w:val="TableGrid"/>
        <w:tblW w:w="7938"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969"/>
        <w:gridCol w:w="3969"/>
      </w:tblGrid>
      <w:tr w:rsidR="00F146B0" w:rsidRPr="00F146B0" w14:paraId="692B6065" w14:textId="77777777" w:rsidTr="69ABD742">
        <w:tc>
          <w:tcPr>
            <w:tcW w:w="3969" w:type="dxa"/>
            <w:shd w:val="clear" w:color="auto" w:fill="F2F2F2" w:themeFill="background1" w:themeFillShade="F2"/>
          </w:tcPr>
          <w:p w14:paraId="5BB35F38" w14:textId="77777777" w:rsidR="00F146B0" w:rsidRPr="00603EC9" w:rsidRDefault="00F146B0" w:rsidP="00603EC9">
            <w:pPr>
              <w:spacing w:after="0"/>
              <w:rPr>
                <w:rFonts w:asciiTheme="minorHAnsi" w:hAnsiTheme="minorHAnsi" w:cstheme="minorHAnsi"/>
                <w:b/>
                <w:bCs/>
              </w:rPr>
            </w:pPr>
            <w:r w:rsidRPr="00603EC9">
              <w:rPr>
                <w:rFonts w:asciiTheme="minorHAnsi" w:hAnsiTheme="minorHAnsi" w:cstheme="minorHAnsi"/>
                <w:b/>
                <w:bCs/>
              </w:rPr>
              <w:t>Original</w:t>
            </w:r>
          </w:p>
        </w:tc>
        <w:tc>
          <w:tcPr>
            <w:tcW w:w="3969" w:type="dxa"/>
            <w:shd w:val="clear" w:color="auto" w:fill="F2F2F2" w:themeFill="background1" w:themeFillShade="F2"/>
          </w:tcPr>
          <w:p w14:paraId="0B58CFDF" w14:textId="422B9C5C" w:rsidR="00F146B0" w:rsidRPr="00603EC9" w:rsidRDefault="007F302B" w:rsidP="00603EC9">
            <w:pPr>
              <w:spacing w:after="0"/>
              <w:rPr>
                <w:rFonts w:asciiTheme="minorHAnsi" w:hAnsiTheme="minorHAnsi" w:cstheme="minorHAnsi"/>
                <w:b/>
                <w:bCs/>
              </w:rPr>
            </w:pPr>
            <w:r>
              <w:rPr>
                <w:rFonts w:asciiTheme="minorHAnsi" w:hAnsiTheme="minorHAnsi" w:cstheme="minorHAnsi"/>
                <w:b/>
                <w:bCs/>
              </w:rPr>
              <w:t>R</w:t>
            </w:r>
            <w:r w:rsidR="00F146B0" w:rsidRPr="00603EC9">
              <w:rPr>
                <w:rFonts w:asciiTheme="minorHAnsi" w:hAnsiTheme="minorHAnsi" w:cstheme="minorHAnsi"/>
                <w:b/>
                <w:bCs/>
              </w:rPr>
              <w:t>evision</w:t>
            </w:r>
          </w:p>
        </w:tc>
      </w:tr>
      <w:tr w:rsidR="00F146B0" w:rsidRPr="00F146B0" w14:paraId="5208D364" w14:textId="77777777" w:rsidTr="69ABD742">
        <w:tc>
          <w:tcPr>
            <w:tcW w:w="3969" w:type="dxa"/>
          </w:tcPr>
          <w:p w14:paraId="401E0059" w14:textId="48FC6B4C" w:rsidR="00F146B0" w:rsidRPr="00603EC9" w:rsidRDefault="00F146B0" w:rsidP="00603EC9">
            <w:pPr>
              <w:spacing w:after="0"/>
              <w:rPr>
                <w:rFonts w:asciiTheme="minorHAnsi" w:hAnsiTheme="minorHAnsi" w:cstheme="minorHAnsi"/>
              </w:rPr>
            </w:pPr>
            <w:r w:rsidRPr="00603EC9">
              <w:rPr>
                <w:rFonts w:asciiTheme="minorHAnsi" w:hAnsiTheme="minorHAnsi" w:cstheme="minorHAnsi"/>
              </w:rPr>
              <w:t>Must support and facilitate safe and quality services that demonstrate clinical efficacy for patients</w:t>
            </w:r>
            <w:r w:rsidR="00E33EAC">
              <w:rPr>
                <w:rFonts w:asciiTheme="minorHAnsi" w:hAnsiTheme="minorHAnsi" w:cstheme="minorHAnsi"/>
              </w:rPr>
              <w:t>.</w:t>
            </w:r>
          </w:p>
        </w:tc>
        <w:tc>
          <w:tcPr>
            <w:tcW w:w="3969" w:type="dxa"/>
          </w:tcPr>
          <w:p w14:paraId="5A002142" w14:textId="343BB98F" w:rsidR="00F146B0" w:rsidRPr="00603EC9" w:rsidRDefault="58322835" w:rsidP="69ABD742">
            <w:pPr>
              <w:spacing w:after="0"/>
              <w:rPr>
                <w:rFonts w:asciiTheme="minorHAnsi" w:hAnsiTheme="minorHAnsi" w:cstheme="minorBidi"/>
              </w:rPr>
            </w:pPr>
            <w:r w:rsidRPr="69ABD742">
              <w:rPr>
                <w:rFonts w:asciiTheme="minorHAnsi" w:hAnsiTheme="minorHAnsi" w:cstheme="minorBidi"/>
              </w:rPr>
              <w:t>Must support safe</w:t>
            </w:r>
            <w:r w:rsidR="0094295F">
              <w:rPr>
                <w:rFonts w:asciiTheme="minorHAnsi" w:hAnsiTheme="minorHAnsi" w:cstheme="minorBidi"/>
              </w:rPr>
              <w:t>, private,</w:t>
            </w:r>
            <w:r w:rsidRPr="69ABD742">
              <w:rPr>
                <w:rFonts w:asciiTheme="minorHAnsi" w:hAnsiTheme="minorHAnsi" w:cstheme="minorBidi"/>
              </w:rPr>
              <w:t xml:space="preserve"> and quality services</w:t>
            </w:r>
            <w:r w:rsidR="1697DE65" w:rsidRPr="69ABD742">
              <w:rPr>
                <w:rFonts w:asciiTheme="minorHAnsi" w:hAnsiTheme="minorHAnsi" w:cstheme="minorBidi"/>
              </w:rPr>
              <w:t xml:space="preserve"> for patients</w:t>
            </w:r>
            <w:r w:rsidRPr="69ABD742">
              <w:rPr>
                <w:rFonts w:asciiTheme="minorHAnsi" w:hAnsiTheme="minorHAnsi" w:cstheme="minorBidi"/>
              </w:rPr>
              <w:t>, aligning with the clinical requirements of the equivalent face-to-face service</w:t>
            </w:r>
            <w:r w:rsidR="0BC9EA9E" w:rsidRPr="69ABD742">
              <w:rPr>
                <w:rFonts w:asciiTheme="minorHAnsi" w:hAnsiTheme="minorHAnsi" w:cstheme="minorBidi"/>
              </w:rPr>
              <w:t>,</w:t>
            </w:r>
            <w:r w:rsidRPr="69ABD742">
              <w:rPr>
                <w:rFonts w:asciiTheme="minorHAnsi" w:hAnsiTheme="minorHAnsi" w:cstheme="minorBidi"/>
              </w:rPr>
              <w:t xml:space="preserve"> and </w:t>
            </w:r>
            <w:r w:rsidR="6DC2625D" w:rsidRPr="69ABD742">
              <w:rPr>
                <w:rFonts w:asciiTheme="minorHAnsi" w:hAnsiTheme="minorHAnsi" w:cstheme="minorBidi"/>
              </w:rPr>
              <w:t>demonstrating</w:t>
            </w:r>
            <w:r w:rsidR="30BC6403" w:rsidRPr="69ABD742">
              <w:rPr>
                <w:rFonts w:asciiTheme="minorHAnsi" w:hAnsiTheme="minorHAnsi" w:cstheme="minorBidi"/>
              </w:rPr>
              <w:t xml:space="preserve"> </w:t>
            </w:r>
            <w:r w:rsidRPr="69ABD742">
              <w:rPr>
                <w:rFonts w:asciiTheme="minorHAnsi" w:hAnsiTheme="minorHAnsi" w:cstheme="minorBidi"/>
              </w:rPr>
              <w:t>clinical efficacy</w:t>
            </w:r>
            <w:r w:rsidR="00E33EAC">
              <w:rPr>
                <w:rFonts w:asciiTheme="minorHAnsi" w:hAnsiTheme="minorHAnsi" w:cstheme="minorBidi"/>
              </w:rPr>
              <w:t>.</w:t>
            </w:r>
          </w:p>
        </w:tc>
      </w:tr>
    </w:tbl>
    <w:p w14:paraId="689B9120" w14:textId="307305D0" w:rsidR="0035345D" w:rsidRDefault="00DF5BB8" w:rsidP="002E7FEE">
      <w:pPr>
        <w:spacing w:before="240"/>
      </w:pPr>
      <w:r w:rsidRPr="00D10B7B">
        <w:t xml:space="preserve">Principle 2 </w:t>
      </w:r>
      <w:r w:rsidR="001A7257" w:rsidRPr="00D10B7B">
        <w:t xml:space="preserve">emphasises that telehealth </w:t>
      </w:r>
      <w:r w:rsidR="009431B0" w:rsidRPr="00D10B7B">
        <w:t xml:space="preserve">services must </w:t>
      </w:r>
      <w:r w:rsidR="00453BFA">
        <w:t xml:space="preserve">meet </w:t>
      </w:r>
      <w:r w:rsidR="00BD5C8D" w:rsidRPr="00D10B7B">
        <w:t>quality and safety standards</w:t>
      </w:r>
      <w:r w:rsidR="00D10B7B" w:rsidRPr="00D10B7B">
        <w:t xml:space="preserve">. </w:t>
      </w:r>
      <w:r w:rsidR="00A20366">
        <w:t xml:space="preserve">The </w:t>
      </w:r>
      <w:r w:rsidR="00D10B7B" w:rsidRPr="00D10B7B">
        <w:t xml:space="preserve">MRAC considered that Principle 2 remains especially important </w:t>
      </w:r>
      <w:r w:rsidR="00D10B7B">
        <w:t xml:space="preserve">in light of the </w:t>
      </w:r>
      <w:r w:rsidR="008354AA">
        <w:t xml:space="preserve">emergence of </w:t>
      </w:r>
      <w:r w:rsidR="0009385C">
        <w:t xml:space="preserve">new asynchronous telehealth models that do not deliver </w:t>
      </w:r>
      <w:r w:rsidR="00EE30F2">
        <w:t>the</w:t>
      </w:r>
      <w:r w:rsidR="00032837">
        <w:t xml:space="preserve"> same level of service and risk bypassing </w:t>
      </w:r>
      <w:r w:rsidR="00B55390">
        <w:t>necessary clinical examination</w:t>
      </w:r>
      <w:r w:rsidR="00032837">
        <w:t>.</w:t>
      </w:r>
    </w:p>
    <w:p w14:paraId="0A5F85EC" w14:textId="4A0ADA33" w:rsidR="008F2963" w:rsidRDefault="00A20366" w:rsidP="00E77844">
      <w:r>
        <w:t xml:space="preserve">The </w:t>
      </w:r>
      <w:r w:rsidR="0035345D">
        <w:t>MRAC considered that</w:t>
      </w:r>
      <w:r w:rsidR="004627D6">
        <w:t xml:space="preserve"> </w:t>
      </w:r>
      <w:r w:rsidR="0035345D">
        <w:t xml:space="preserve">telehealth services must be </w:t>
      </w:r>
      <w:r w:rsidR="00CD35CD">
        <w:t xml:space="preserve">clinically </w:t>
      </w:r>
      <w:r w:rsidR="0035345D">
        <w:t xml:space="preserve">efficacious and align with the requirements of the equivalent face-to-face services. </w:t>
      </w:r>
      <w:r w:rsidR="0006657C">
        <w:t xml:space="preserve">When scheduling telehealth appointments, clinicians </w:t>
      </w:r>
      <w:r w:rsidR="005D0A74">
        <w:t xml:space="preserve">should feel </w:t>
      </w:r>
      <w:r w:rsidR="004627D6">
        <w:t xml:space="preserve">confident </w:t>
      </w:r>
      <w:r w:rsidR="005D0A74">
        <w:t xml:space="preserve">that these </w:t>
      </w:r>
      <w:r w:rsidR="00C85E39">
        <w:t xml:space="preserve">MBS item descriptor </w:t>
      </w:r>
      <w:r w:rsidR="00CD35CD">
        <w:t xml:space="preserve">criteria can be fulfilled </w:t>
      </w:r>
      <w:r w:rsidR="008F2963">
        <w:t>(</w:t>
      </w:r>
      <w:r w:rsidR="00404C47">
        <w:t xml:space="preserve">although it may become apparent during a telehealth </w:t>
      </w:r>
      <w:r w:rsidR="00D27CCD">
        <w:t>consultation that a face-to-face consultation</w:t>
      </w:r>
      <w:r w:rsidR="00D66E3D">
        <w:t xml:space="preserve"> is </w:t>
      </w:r>
      <w:r w:rsidR="003A0BAA">
        <w:t>needed).</w:t>
      </w:r>
    </w:p>
    <w:p w14:paraId="56391E29" w14:textId="170A4B2D" w:rsidR="00E77844" w:rsidRPr="008F2963" w:rsidRDefault="00A20366" w:rsidP="00E77844">
      <w:r>
        <w:rPr>
          <w:lang w:val="en-US"/>
        </w:rPr>
        <w:t xml:space="preserve">The </w:t>
      </w:r>
      <w:r w:rsidR="00E77844">
        <w:rPr>
          <w:lang w:val="en-US"/>
        </w:rPr>
        <w:t xml:space="preserve">MRAC noted external feedback that Principle 2 should refer to ‘all aspects of safe and quality services’. However, </w:t>
      </w:r>
      <w:r>
        <w:rPr>
          <w:lang w:val="en-US"/>
        </w:rPr>
        <w:t xml:space="preserve">the </w:t>
      </w:r>
      <w:r w:rsidR="00E77844">
        <w:rPr>
          <w:lang w:val="en-US"/>
        </w:rPr>
        <w:t>MRAC considered that this ‘absolutist’ phrasing w</w:t>
      </w:r>
      <w:r w:rsidR="002C7109">
        <w:rPr>
          <w:lang w:val="en-US"/>
        </w:rPr>
        <w:t xml:space="preserve">as </w:t>
      </w:r>
      <w:r w:rsidR="00632295">
        <w:rPr>
          <w:lang w:val="en-US"/>
        </w:rPr>
        <w:t>unhelpful.</w:t>
      </w:r>
    </w:p>
    <w:p w14:paraId="53E94E12" w14:textId="77777777" w:rsidR="00F146B0" w:rsidRPr="00F146B0" w:rsidRDefault="00F146B0" w:rsidP="0047297A">
      <w:pPr>
        <w:pStyle w:val="Heading2"/>
      </w:pPr>
      <w:bookmarkStart w:id="80" w:name="_Toc163814580"/>
      <w:r w:rsidRPr="00F146B0">
        <w:t>Principle 3</w:t>
      </w:r>
      <w:bookmarkEnd w:id="80"/>
    </w:p>
    <w:tbl>
      <w:tblPr>
        <w:tblStyle w:val="TableGrid"/>
        <w:tblW w:w="7371"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685"/>
        <w:gridCol w:w="3686"/>
      </w:tblGrid>
      <w:tr w:rsidR="00F146B0" w:rsidRPr="00F146B0" w14:paraId="65B0064F" w14:textId="77777777" w:rsidTr="69ABD742">
        <w:tc>
          <w:tcPr>
            <w:tcW w:w="3685" w:type="dxa"/>
            <w:shd w:val="clear" w:color="auto" w:fill="F2F2F2" w:themeFill="background1" w:themeFillShade="F2"/>
          </w:tcPr>
          <w:p w14:paraId="3864DB56" w14:textId="77777777" w:rsidR="00F146B0" w:rsidRPr="0004778E" w:rsidRDefault="00F146B0" w:rsidP="00F233F9">
            <w:pPr>
              <w:spacing w:after="0"/>
              <w:rPr>
                <w:rFonts w:asciiTheme="minorHAnsi" w:hAnsiTheme="minorHAnsi" w:cstheme="minorHAnsi"/>
                <w:b/>
                <w:bCs/>
              </w:rPr>
            </w:pPr>
            <w:r w:rsidRPr="0004778E">
              <w:rPr>
                <w:rFonts w:asciiTheme="minorHAnsi" w:hAnsiTheme="minorHAnsi" w:cstheme="minorHAnsi"/>
                <w:b/>
                <w:bCs/>
              </w:rPr>
              <w:t>Original</w:t>
            </w:r>
          </w:p>
        </w:tc>
        <w:tc>
          <w:tcPr>
            <w:tcW w:w="3686" w:type="dxa"/>
            <w:shd w:val="clear" w:color="auto" w:fill="F2F2F2" w:themeFill="background1" w:themeFillShade="F2"/>
          </w:tcPr>
          <w:p w14:paraId="103F4112" w14:textId="1E1A502A" w:rsidR="00F146B0" w:rsidRPr="0004778E" w:rsidRDefault="001F5049" w:rsidP="00F233F9">
            <w:pPr>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1262339A" w14:textId="77777777" w:rsidTr="69ABD742">
        <w:trPr>
          <w:trHeight w:val="456"/>
        </w:trPr>
        <w:tc>
          <w:tcPr>
            <w:tcW w:w="3685" w:type="dxa"/>
          </w:tcPr>
          <w:p w14:paraId="2CEEFC70" w14:textId="1C8314EE" w:rsidR="00F146B0" w:rsidRPr="00603EC9" w:rsidRDefault="00F146B0" w:rsidP="00F233F9">
            <w:pPr>
              <w:spacing w:after="0"/>
              <w:rPr>
                <w:rFonts w:asciiTheme="minorHAnsi" w:hAnsiTheme="minorHAnsi" w:cstheme="minorHAnsi"/>
              </w:rPr>
            </w:pPr>
            <w:r w:rsidRPr="00603EC9">
              <w:rPr>
                <w:rFonts w:asciiTheme="minorHAnsi" w:hAnsiTheme="minorHAnsi" w:cstheme="minorHAnsi"/>
              </w:rPr>
              <w:t>Should be provided in the context of continuity of care between patient and clinician</w:t>
            </w:r>
            <w:r w:rsidR="00E33EAC">
              <w:rPr>
                <w:rFonts w:asciiTheme="minorHAnsi" w:hAnsiTheme="minorHAnsi" w:cstheme="minorHAnsi"/>
              </w:rPr>
              <w:t>.</w:t>
            </w:r>
          </w:p>
        </w:tc>
        <w:tc>
          <w:tcPr>
            <w:tcW w:w="3686" w:type="dxa"/>
          </w:tcPr>
          <w:p w14:paraId="67571234" w14:textId="60BD0105" w:rsidR="00F146B0" w:rsidRPr="00603EC9" w:rsidRDefault="58322835" w:rsidP="69ABD742">
            <w:pPr>
              <w:spacing w:after="0"/>
              <w:rPr>
                <w:rFonts w:asciiTheme="minorHAnsi" w:hAnsiTheme="minorHAnsi" w:cstheme="minorBidi"/>
              </w:rPr>
            </w:pPr>
            <w:r w:rsidRPr="69ABD742">
              <w:rPr>
                <w:rFonts w:asciiTheme="minorHAnsi" w:hAnsiTheme="minorHAnsi" w:cstheme="minorBidi"/>
              </w:rPr>
              <w:t xml:space="preserve">Should be provided in the context of coordinated and continuous care between patient and </w:t>
            </w:r>
            <w:r w:rsidR="102CBE6B" w:rsidRPr="69ABD742">
              <w:rPr>
                <w:rFonts w:asciiTheme="minorHAnsi" w:hAnsiTheme="minorHAnsi" w:cstheme="minorBidi"/>
              </w:rPr>
              <w:t>clinician</w:t>
            </w:r>
            <w:r w:rsidR="00E33EAC">
              <w:rPr>
                <w:rFonts w:asciiTheme="minorHAnsi" w:hAnsiTheme="minorHAnsi" w:cstheme="minorBidi"/>
              </w:rPr>
              <w:t>.</w:t>
            </w:r>
            <w:r w:rsidR="0166BD80" w:rsidRPr="69ABD742">
              <w:rPr>
                <w:rFonts w:asciiTheme="minorHAnsi" w:hAnsiTheme="minorHAnsi" w:cstheme="minorBidi"/>
              </w:rPr>
              <w:t xml:space="preserve"> </w:t>
            </w:r>
          </w:p>
        </w:tc>
      </w:tr>
    </w:tbl>
    <w:p w14:paraId="45D12F97" w14:textId="3AECC7AA" w:rsidR="00F146B0" w:rsidRPr="00F146B0" w:rsidRDefault="00F146B0" w:rsidP="00F233F9">
      <w:pPr>
        <w:spacing w:before="240"/>
      </w:pPr>
      <w:r w:rsidRPr="00F146B0">
        <w:t>Principle 3 support</w:t>
      </w:r>
      <w:r w:rsidR="00B012CB">
        <w:t>s</w:t>
      </w:r>
      <w:r w:rsidRPr="00F146B0">
        <w:t xml:space="preserve"> continuity of care</w:t>
      </w:r>
      <w:r w:rsidR="00C72B20">
        <w:t xml:space="preserve">. </w:t>
      </w:r>
      <w:r w:rsidR="00A20366">
        <w:t xml:space="preserve">The </w:t>
      </w:r>
      <w:r w:rsidRPr="00F146B0">
        <w:t xml:space="preserve">MRAC discussed whether the principle should focus exclusively on the relationship between the patient and their primary clinician, or if it should </w:t>
      </w:r>
      <w:r w:rsidR="00CF3F19" w:rsidRPr="00F146B0">
        <w:t>refer</w:t>
      </w:r>
      <w:r w:rsidRPr="00F146B0">
        <w:t xml:space="preserve"> to effective clinical handover after episodes of care with another clinician.</w:t>
      </w:r>
    </w:p>
    <w:p w14:paraId="0F00615B" w14:textId="61304715" w:rsidR="00F146B0" w:rsidRPr="00F146B0" w:rsidRDefault="00A20366" w:rsidP="00F146B0">
      <w:r>
        <w:t xml:space="preserve">The </w:t>
      </w:r>
      <w:r w:rsidR="00F146B0" w:rsidRPr="00F146B0">
        <w:t xml:space="preserve">MRAC considered that an important purpose of the principle is to discourage </w:t>
      </w:r>
      <w:r w:rsidR="004B1703">
        <w:t>opportunistic and aggressively commercial service</w:t>
      </w:r>
      <w:r w:rsidR="00F146B0" w:rsidRPr="00F146B0">
        <w:t xml:space="preserve"> models </w:t>
      </w:r>
      <w:r w:rsidR="000F60C0">
        <w:t xml:space="preserve">and those </w:t>
      </w:r>
      <w:r w:rsidR="00F146B0" w:rsidRPr="00F146B0">
        <w:t xml:space="preserve">that offer telehealth-only consultations focused on a single disease or medicine. However, </w:t>
      </w:r>
      <w:r>
        <w:t xml:space="preserve">the </w:t>
      </w:r>
      <w:r w:rsidR="00F146B0" w:rsidRPr="00F146B0">
        <w:t xml:space="preserve">MRAC also acknowledged the need for coordination where there are episodes of care (such as </w:t>
      </w:r>
      <w:r w:rsidR="00E63CDC">
        <w:t>medical termination</w:t>
      </w:r>
      <w:r w:rsidR="00F146B0" w:rsidRPr="00F146B0">
        <w:t xml:space="preserve"> care) with a different clinician. </w:t>
      </w:r>
      <w:r>
        <w:t xml:space="preserve">The </w:t>
      </w:r>
      <w:r w:rsidR="00F146B0" w:rsidRPr="00F146B0">
        <w:t xml:space="preserve">MRAC decided to largely retain the original wording, adding the concept of ‘coordinated’ care. Given that different clinicians are covered by different codes of conduct, </w:t>
      </w:r>
      <w:r>
        <w:t xml:space="preserve">the </w:t>
      </w:r>
      <w:r w:rsidR="00F146B0" w:rsidRPr="00F146B0">
        <w:t xml:space="preserve">MRAC decided </w:t>
      </w:r>
      <w:r w:rsidR="00803F44">
        <w:t>against</w:t>
      </w:r>
      <w:r w:rsidR="00F146B0" w:rsidRPr="00F146B0">
        <w:t xml:space="preserve"> referenc</w:t>
      </w:r>
      <w:r w:rsidR="00803F44">
        <w:t>ing</w:t>
      </w:r>
      <w:r w:rsidR="00F146B0" w:rsidRPr="00F146B0">
        <w:t xml:space="preserve"> any specific code governing clinical handover. </w:t>
      </w:r>
      <w:r>
        <w:t xml:space="preserve">The </w:t>
      </w:r>
      <w:r w:rsidR="00F146B0" w:rsidRPr="00F146B0">
        <w:t>MRAC noted that in relation to general practice,</w:t>
      </w:r>
      <w:r w:rsidR="00427F9F">
        <w:t xml:space="preserve"> the introduction of</w:t>
      </w:r>
      <w:r w:rsidR="00F146B0" w:rsidRPr="00F146B0">
        <w:t xml:space="preserve"> MyMedicare </w:t>
      </w:r>
      <w:r w:rsidR="00B27C01">
        <w:t xml:space="preserve">has the potential </w:t>
      </w:r>
      <w:r w:rsidR="003F10D2">
        <w:t xml:space="preserve">to further </w:t>
      </w:r>
      <w:r w:rsidR="00301661">
        <w:t>impro</w:t>
      </w:r>
      <w:r w:rsidR="007D3875">
        <w:t xml:space="preserve">ve </w:t>
      </w:r>
      <w:r w:rsidR="001F7611">
        <w:t>continuity of care, and to replace and imp</w:t>
      </w:r>
      <w:r w:rsidR="003F10D2">
        <w:t>ro</w:t>
      </w:r>
      <w:r w:rsidR="001F7611">
        <w:t xml:space="preserve">ve upon current arrangements </w:t>
      </w:r>
      <w:r w:rsidR="003F10D2">
        <w:t>through broader links to telehealth services</w:t>
      </w:r>
      <w:r w:rsidR="00427F9F">
        <w:t>.</w:t>
      </w:r>
    </w:p>
    <w:p w14:paraId="1CA3890C" w14:textId="77777777" w:rsidR="00F146B0" w:rsidRPr="00F146B0" w:rsidRDefault="00F146B0" w:rsidP="0047297A">
      <w:pPr>
        <w:pStyle w:val="Heading2"/>
      </w:pPr>
      <w:bookmarkStart w:id="81" w:name="_Toc163814581"/>
      <w:r w:rsidRPr="00F146B0">
        <w:t>Principle 4</w:t>
      </w:r>
      <w:bookmarkEnd w:id="81"/>
    </w:p>
    <w:tbl>
      <w:tblPr>
        <w:tblStyle w:val="TableGrid"/>
        <w:tblW w:w="7371"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685"/>
        <w:gridCol w:w="3686"/>
      </w:tblGrid>
      <w:tr w:rsidR="00F146B0" w:rsidRPr="00F146B0" w14:paraId="68D148E3" w14:textId="77777777" w:rsidTr="00F233F9">
        <w:tc>
          <w:tcPr>
            <w:tcW w:w="3685" w:type="dxa"/>
            <w:shd w:val="clear" w:color="auto" w:fill="F2F2F2" w:themeFill="background1" w:themeFillShade="F2"/>
          </w:tcPr>
          <w:p w14:paraId="48CD528C" w14:textId="77777777" w:rsidR="00F146B0" w:rsidRPr="0004778E" w:rsidRDefault="00F146B0" w:rsidP="00F233F9">
            <w:pPr>
              <w:spacing w:after="0"/>
              <w:rPr>
                <w:rFonts w:asciiTheme="minorHAnsi" w:hAnsiTheme="minorHAnsi" w:cstheme="minorHAnsi"/>
                <w:b/>
                <w:bCs/>
              </w:rPr>
            </w:pPr>
            <w:r w:rsidRPr="0004778E">
              <w:rPr>
                <w:rFonts w:asciiTheme="minorHAnsi" w:hAnsiTheme="minorHAnsi" w:cstheme="minorHAnsi"/>
                <w:b/>
                <w:bCs/>
              </w:rPr>
              <w:t>Original</w:t>
            </w:r>
          </w:p>
        </w:tc>
        <w:tc>
          <w:tcPr>
            <w:tcW w:w="3686" w:type="dxa"/>
            <w:shd w:val="clear" w:color="auto" w:fill="F2F2F2" w:themeFill="background1" w:themeFillShade="F2"/>
          </w:tcPr>
          <w:p w14:paraId="07E49FC0" w14:textId="72820D75" w:rsidR="00F146B0" w:rsidRPr="0004778E" w:rsidRDefault="001F5049" w:rsidP="00F233F9">
            <w:pPr>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627FAB00" w14:textId="77777777" w:rsidTr="00F233F9">
        <w:trPr>
          <w:trHeight w:val="456"/>
        </w:trPr>
        <w:tc>
          <w:tcPr>
            <w:tcW w:w="3685" w:type="dxa"/>
          </w:tcPr>
          <w:p w14:paraId="3FE618E3" w14:textId="0A40386B" w:rsidR="00F146B0" w:rsidRPr="00F233F9" w:rsidRDefault="00F146B0" w:rsidP="00F233F9">
            <w:pPr>
              <w:spacing w:after="0"/>
              <w:rPr>
                <w:rFonts w:asciiTheme="minorHAnsi" w:hAnsiTheme="minorHAnsi" w:cstheme="minorHAnsi"/>
              </w:rPr>
            </w:pPr>
            <w:r w:rsidRPr="00F233F9">
              <w:rPr>
                <w:rFonts w:asciiTheme="minorHAnsi" w:hAnsiTheme="minorHAnsi" w:cstheme="minorHAnsi"/>
              </w:rPr>
              <w:t>Must not create unintended consequences or perverse incentives that undermine the role of face-to-face care</w:t>
            </w:r>
            <w:r w:rsidR="00E33EAC">
              <w:rPr>
                <w:rFonts w:asciiTheme="minorHAnsi" w:hAnsiTheme="minorHAnsi" w:cstheme="minorHAnsi"/>
              </w:rPr>
              <w:t>.</w:t>
            </w:r>
          </w:p>
        </w:tc>
        <w:tc>
          <w:tcPr>
            <w:tcW w:w="3686" w:type="dxa"/>
          </w:tcPr>
          <w:p w14:paraId="0CBAB1B3" w14:textId="66EE9723" w:rsidR="00F46845" w:rsidRPr="008C1AEB" w:rsidRDefault="00336D36" w:rsidP="00F46845">
            <w:pPr>
              <w:spacing w:after="0"/>
              <w:textAlignment w:val="baseline"/>
              <w:rPr>
                <w:rFonts w:asciiTheme="minorHAnsi" w:hAnsiTheme="minorHAnsi" w:cstheme="minorHAnsi"/>
              </w:rPr>
            </w:pPr>
            <w:r>
              <w:rPr>
                <w:rFonts w:asciiTheme="minorHAnsi" w:hAnsiTheme="minorHAnsi" w:cstheme="minorHAnsi"/>
              </w:rPr>
              <w:t>[Retain without amendment]</w:t>
            </w:r>
          </w:p>
          <w:p w14:paraId="79558FEF" w14:textId="14532ED9" w:rsidR="00F146B0" w:rsidRPr="00F233F9" w:rsidRDefault="00F146B0" w:rsidP="00F233F9">
            <w:pPr>
              <w:spacing w:after="0"/>
              <w:rPr>
                <w:rFonts w:asciiTheme="minorHAnsi" w:hAnsiTheme="minorHAnsi" w:cstheme="minorHAnsi"/>
              </w:rPr>
            </w:pPr>
          </w:p>
        </w:tc>
      </w:tr>
    </w:tbl>
    <w:p w14:paraId="56CFFD7C" w14:textId="28B4AB30" w:rsidR="00F146B0" w:rsidRPr="00F51001" w:rsidRDefault="00A20366" w:rsidP="0004778E">
      <w:pPr>
        <w:spacing w:before="240"/>
      </w:pPr>
      <w:r>
        <w:t xml:space="preserve">The </w:t>
      </w:r>
      <w:r w:rsidR="00F146B0" w:rsidRPr="00F51001">
        <w:t xml:space="preserve">MRAC considered revising Principle 4 to designate telehealth as ‘complementary’ rather than </w:t>
      </w:r>
      <w:r w:rsidR="00AD4040" w:rsidRPr="00F51001">
        <w:t xml:space="preserve">as </w:t>
      </w:r>
      <w:r w:rsidR="00F146B0" w:rsidRPr="00F51001">
        <w:t>a ‘substitute’</w:t>
      </w:r>
      <w:r w:rsidR="00AD4040" w:rsidRPr="00F51001">
        <w:t xml:space="preserve"> for face-to-face consultations</w:t>
      </w:r>
      <w:r w:rsidR="00F146B0" w:rsidRPr="00F51001">
        <w:t>, and to identify f</w:t>
      </w:r>
      <w:r w:rsidR="00F146B0" w:rsidRPr="00F51001">
        <w:rPr>
          <w:lang w:val="en-US"/>
        </w:rPr>
        <w:t>ace-to-face consultation</w:t>
      </w:r>
      <w:r w:rsidR="00F146B0" w:rsidRPr="00F51001">
        <w:t xml:space="preserve"> as the</w:t>
      </w:r>
      <w:r w:rsidR="00F146B0" w:rsidRPr="00F51001">
        <w:rPr>
          <w:lang w:val="en-US"/>
        </w:rPr>
        <w:t xml:space="preserve"> preferred modality</w:t>
      </w:r>
      <w:r w:rsidR="00F146B0" w:rsidRPr="00F51001">
        <w:t xml:space="preserve"> because it allows </w:t>
      </w:r>
      <w:r w:rsidR="00AD4040" w:rsidRPr="00F51001">
        <w:t xml:space="preserve">for </w:t>
      </w:r>
      <w:r w:rsidR="00F146B0" w:rsidRPr="00F51001">
        <w:t>comprehensive physical assessment. However,</w:t>
      </w:r>
      <w:r>
        <w:t xml:space="preserve"> the</w:t>
      </w:r>
      <w:r w:rsidR="00F146B0" w:rsidRPr="00F51001">
        <w:t xml:space="preserve"> MRAC </w:t>
      </w:r>
      <w:r w:rsidR="006F10B0" w:rsidRPr="00F51001">
        <w:t>noted that</w:t>
      </w:r>
      <w:r w:rsidR="007A09B4" w:rsidRPr="00F51001">
        <w:t xml:space="preserve"> </w:t>
      </w:r>
      <w:r w:rsidR="00C2180F" w:rsidRPr="00F51001">
        <w:t xml:space="preserve">when </w:t>
      </w:r>
      <w:r w:rsidR="00F146B0" w:rsidRPr="00F51001">
        <w:t xml:space="preserve">comprehensive physical assessment is </w:t>
      </w:r>
      <w:r w:rsidR="00AB1201" w:rsidRPr="00F51001">
        <w:t>unnecessary</w:t>
      </w:r>
      <w:r w:rsidR="00C2180F" w:rsidRPr="00F51001">
        <w:t>,</w:t>
      </w:r>
      <w:r w:rsidR="00312420" w:rsidRPr="00F51001">
        <w:t xml:space="preserve"> </w:t>
      </w:r>
      <w:r w:rsidR="00F146B0" w:rsidRPr="00F51001">
        <w:t xml:space="preserve">telehealth </w:t>
      </w:r>
      <w:r w:rsidR="00C2180F" w:rsidRPr="00F51001">
        <w:t>can be</w:t>
      </w:r>
      <w:r w:rsidR="00F146B0" w:rsidRPr="00F51001">
        <w:t xml:space="preserve"> an effective substitute. </w:t>
      </w:r>
      <w:r>
        <w:t xml:space="preserve">The </w:t>
      </w:r>
      <w:r w:rsidR="00F146B0" w:rsidRPr="00F51001">
        <w:t xml:space="preserve">MRAC considered that more prescriptive wording risked devaluing </w:t>
      </w:r>
      <w:r w:rsidR="00403B60" w:rsidRPr="00F51001">
        <w:t xml:space="preserve">and undermining </w:t>
      </w:r>
      <w:r w:rsidR="00F146B0" w:rsidRPr="00F51001">
        <w:t>telehealth.</w:t>
      </w:r>
    </w:p>
    <w:p w14:paraId="043C59C3" w14:textId="36180F87" w:rsidR="00F146B0" w:rsidRPr="00F146B0" w:rsidRDefault="2D85C468" w:rsidP="00F51001">
      <w:r>
        <w:t xml:space="preserve">The </w:t>
      </w:r>
      <w:r w:rsidR="3031A641">
        <w:t xml:space="preserve">MRAC </w:t>
      </w:r>
      <w:r w:rsidR="64D837FF">
        <w:t>agreed t</w:t>
      </w:r>
      <w:r w:rsidR="475A1F4F">
        <w:t>o retain the original wording, noting that</w:t>
      </w:r>
      <w:r w:rsidR="64D837FF">
        <w:t xml:space="preserve"> </w:t>
      </w:r>
      <w:r w:rsidR="58DF19DA">
        <w:t xml:space="preserve">the intent of Principle 4 is to ensure that </w:t>
      </w:r>
      <w:r w:rsidR="2BFF326A">
        <w:t>patients continue to have access to face-to-face care</w:t>
      </w:r>
      <w:r w:rsidR="58DF19DA">
        <w:t>.</w:t>
      </w:r>
    </w:p>
    <w:p w14:paraId="1A4C4DE8" w14:textId="77777777" w:rsidR="00F146B0" w:rsidRPr="00F146B0" w:rsidRDefault="00F146B0" w:rsidP="00383EF4">
      <w:pPr>
        <w:pStyle w:val="Heading2"/>
      </w:pPr>
      <w:bookmarkStart w:id="82" w:name="_Toc163814582"/>
      <w:r w:rsidRPr="00F146B0">
        <w:t>Principle 5</w:t>
      </w:r>
      <w:bookmarkEnd w:id="82"/>
    </w:p>
    <w:tbl>
      <w:tblPr>
        <w:tblStyle w:val="TableGrid"/>
        <w:tblW w:w="7797"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898"/>
        <w:gridCol w:w="3899"/>
      </w:tblGrid>
      <w:tr w:rsidR="00F146B0" w:rsidRPr="00F146B0" w14:paraId="38896C53" w14:textId="77777777" w:rsidTr="07D162B7">
        <w:trPr>
          <w:cantSplit/>
        </w:trPr>
        <w:tc>
          <w:tcPr>
            <w:tcW w:w="3898" w:type="dxa"/>
            <w:shd w:val="clear" w:color="auto" w:fill="F2F2F2" w:themeFill="background1" w:themeFillShade="F2"/>
          </w:tcPr>
          <w:p w14:paraId="7C557C5E" w14:textId="77777777" w:rsidR="00F146B0" w:rsidRPr="0004778E" w:rsidRDefault="00F146B0" w:rsidP="0004778E">
            <w:pPr>
              <w:keepNext/>
              <w:spacing w:after="0"/>
              <w:rPr>
                <w:rFonts w:asciiTheme="minorHAnsi" w:hAnsiTheme="minorHAnsi" w:cstheme="minorHAnsi"/>
                <w:b/>
                <w:bCs/>
              </w:rPr>
            </w:pPr>
            <w:r w:rsidRPr="0004778E">
              <w:rPr>
                <w:rFonts w:asciiTheme="minorHAnsi" w:hAnsiTheme="minorHAnsi" w:cstheme="minorHAnsi"/>
                <w:b/>
                <w:bCs/>
              </w:rPr>
              <w:t>Original</w:t>
            </w:r>
          </w:p>
        </w:tc>
        <w:tc>
          <w:tcPr>
            <w:tcW w:w="3899" w:type="dxa"/>
            <w:shd w:val="clear" w:color="auto" w:fill="F2F2F2" w:themeFill="background1" w:themeFillShade="F2"/>
          </w:tcPr>
          <w:p w14:paraId="7691201A" w14:textId="024B362C" w:rsidR="00F146B0" w:rsidRPr="0004778E" w:rsidRDefault="001F5049" w:rsidP="0004778E">
            <w:pPr>
              <w:keepNext/>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649D0D32" w14:textId="77777777" w:rsidTr="07D162B7">
        <w:trPr>
          <w:cantSplit/>
          <w:trHeight w:val="456"/>
        </w:trPr>
        <w:tc>
          <w:tcPr>
            <w:tcW w:w="3898" w:type="dxa"/>
          </w:tcPr>
          <w:p w14:paraId="0B0D6EC4" w14:textId="27203A02" w:rsidR="00F146B0" w:rsidRPr="00F233F9" w:rsidRDefault="00F146B0" w:rsidP="00F233F9">
            <w:pPr>
              <w:spacing w:after="0"/>
              <w:rPr>
                <w:rFonts w:asciiTheme="minorHAnsi" w:hAnsiTheme="minorHAnsi" w:cstheme="minorHAnsi"/>
              </w:rPr>
            </w:pPr>
            <w:r w:rsidRPr="00F233F9">
              <w:rPr>
                <w:rFonts w:asciiTheme="minorHAnsi" w:hAnsiTheme="minorHAnsi" w:cstheme="minorHAnsi"/>
              </w:rPr>
              <w:t>Should prefer video over phone, as video offers richer information transfer, with fewer limited exceptions being allowed over time</w:t>
            </w:r>
            <w:r w:rsidR="00E33EAC">
              <w:rPr>
                <w:rFonts w:asciiTheme="minorHAnsi" w:hAnsiTheme="minorHAnsi" w:cstheme="minorHAnsi"/>
              </w:rPr>
              <w:t>.</w:t>
            </w:r>
          </w:p>
        </w:tc>
        <w:tc>
          <w:tcPr>
            <w:tcW w:w="3899" w:type="dxa"/>
          </w:tcPr>
          <w:p w14:paraId="1D5F1B0A" w14:textId="2BCFB968" w:rsidR="00F146B0" w:rsidRPr="00F233F9" w:rsidRDefault="62BE862A" w:rsidP="07D162B7">
            <w:pPr>
              <w:spacing w:after="0"/>
              <w:textAlignment w:val="baseline"/>
              <w:rPr>
                <w:rFonts w:asciiTheme="minorHAnsi" w:hAnsiTheme="minorHAnsi" w:cstheme="minorBidi"/>
              </w:rPr>
            </w:pPr>
            <w:r w:rsidRPr="07D162B7">
              <w:rPr>
                <w:rFonts w:asciiTheme="minorHAnsi" w:hAnsiTheme="minorHAnsi" w:cstheme="minorBidi"/>
              </w:rPr>
              <w:t>Options of</w:t>
            </w:r>
            <w:r w:rsidR="4975D5B1" w:rsidRPr="07D162B7">
              <w:rPr>
                <w:rFonts w:asciiTheme="minorHAnsi" w:hAnsiTheme="minorHAnsi" w:cstheme="minorBidi"/>
              </w:rPr>
              <w:t xml:space="preserve"> telephone</w:t>
            </w:r>
            <w:r w:rsidRPr="07D162B7">
              <w:rPr>
                <w:rFonts w:asciiTheme="minorHAnsi" w:hAnsiTheme="minorHAnsi" w:cstheme="minorBidi"/>
              </w:rPr>
              <w:t xml:space="preserve">, </w:t>
            </w:r>
            <w:r w:rsidR="4975D5B1" w:rsidRPr="07D162B7">
              <w:rPr>
                <w:rFonts w:asciiTheme="minorHAnsi" w:hAnsiTheme="minorHAnsi" w:cstheme="minorBidi"/>
              </w:rPr>
              <w:t>video</w:t>
            </w:r>
            <w:r w:rsidR="4C706867" w:rsidRPr="07D162B7">
              <w:rPr>
                <w:rFonts w:asciiTheme="minorHAnsi" w:hAnsiTheme="minorHAnsi" w:cstheme="minorBidi"/>
              </w:rPr>
              <w:t xml:space="preserve"> </w:t>
            </w:r>
            <w:r w:rsidRPr="07D162B7">
              <w:rPr>
                <w:rFonts w:asciiTheme="minorHAnsi" w:hAnsiTheme="minorHAnsi" w:cstheme="minorBidi"/>
              </w:rPr>
              <w:t xml:space="preserve">and </w:t>
            </w:r>
            <w:r w:rsidR="4C706867" w:rsidRPr="07D162B7">
              <w:rPr>
                <w:rFonts w:asciiTheme="minorHAnsi" w:hAnsiTheme="minorHAnsi" w:cstheme="minorBidi"/>
              </w:rPr>
              <w:t>face-to-face consultations</w:t>
            </w:r>
            <w:r w:rsidRPr="07D162B7">
              <w:rPr>
                <w:rFonts w:asciiTheme="minorHAnsi" w:hAnsiTheme="minorHAnsi" w:cstheme="minorBidi"/>
              </w:rPr>
              <w:t xml:space="preserve"> must be offered to patients</w:t>
            </w:r>
            <w:r w:rsidR="4975D5B1" w:rsidRPr="07D162B7">
              <w:rPr>
                <w:rFonts w:asciiTheme="minorHAnsi" w:hAnsiTheme="minorHAnsi" w:cstheme="minorBidi"/>
              </w:rPr>
              <w:t xml:space="preserve">, though </w:t>
            </w:r>
            <w:r w:rsidR="25DE2AE6" w:rsidRPr="07D162B7">
              <w:rPr>
                <w:rFonts w:asciiTheme="minorHAnsi" w:hAnsiTheme="minorHAnsi" w:cstheme="minorBidi"/>
              </w:rPr>
              <w:t xml:space="preserve">the </w:t>
            </w:r>
            <w:r w:rsidRPr="07D162B7">
              <w:rPr>
                <w:rFonts w:asciiTheme="minorHAnsi" w:hAnsiTheme="minorHAnsi" w:cstheme="minorBidi"/>
              </w:rPr>
              <w:t xml:space="preserve">type of </w:t>
            </w:r>
            <w:r w:rsidR="4975D5B1" w:rsidRPr="07D162B7">
              <w:rPr>
                <w:rFonts w:asciiTheme="minorHAnsi" w:hAnsiTheme="minorHAnsi" w:cstheme="minorBidi"/>
              </w:rPr>
              <w:t xml:space="preserve">service is subject to Principles 1 and 2. Video should be encouraged </w:t>
            </w:r>
            <w:r w:rsidR="2E72EFB0" w:rsidRPr="07D162B7">
              <w:rPr>
                <w:rFonts w:asciiTheme="minorHAnsi" w:hAnsiTheme="minorHAnsi" w:cstheme="minorBidi"/>
              </w:rPr>
              <w:t>over</w:t>
            </w:r>
            <w:r w:rsidR="4975D5B1" w:rsidRPr="07D162B7">
              <w:rPr>
                <w:rFonts w:asciiTheme="minorHAnsi" w:hAnsiTheme="minorHAnsi" w:cstheme="minorBidi"/>
              </w:rPr>
              <w:t xml:space="preserve"> phone </w:t>
            </w:r>
            <w:r w:rsidR="2E72EFB0" w:rsidRPr="07D162B7">
              <w:rPr>
                <w:rFonts w:asciiTheme="minorHAnsi" w:hAnsiTheme="minorHAnsi" w:cstheme="minorBidi"/>
              </w:rPr>
              <w:t xml:space="preserve">where it </w:t>
            </w:r>
            <w:r w:rsidR="4975D5B1" w:rsidRPr="07D162B7">
              <w:rPr>
                <w:rFonts w:asciiTheme="minorHAnsi" w:hAnsiTheme="minorHAnsi" w:cstheme="minorBidi"/>
              </w:rPr>
              <w:t>will provide a better patient and</w:t>
            </w:r>
            <w:r w:rsidR="2E72EFB0" w:rsidRPr="07D162B7">
              <w:rPr>
                <w:rFonts w:asciiTheme="minorHAnsi" w:hAnsiTheme="minorHAnsi" w:cstheme="minorBidi"/>
              </w:rPr>
              <w:t>/</w:t>
            </w:r>
            <w:r w:rsidR="4975D5B1" w:rsidRPr="07D162B7">
              <w:rPr>
                <w:rFonts w:asciiTheme="minorHAnsi" w:hAnsiTheme="minorHAnsi" w:cstheme="minorBidi"/>
              </w:rPr>
              <w:t xml:space="preserve">or </w:t>
            </w:r>
            <w:r w:rsidRPr="07D162B7">
              <w:rPr>
                <w:rFonts w:asciiTheme="minorHAnsi" w:hAnsiTheme="minorHAnsi" w:cstheme="minorBidi"/>
              </w:rPr>
              <w:t xml:space="preserve">provider </w:t>
            </w:r>
            <w:r w:rsidR="4975D5B1" w:rsidRPr="07D162B7">
              <w:rPr>
                <w:rFonts w:asciiTheme="minorHAnsi" w:hAnsiTheme="minorHAnsi" w:cstheme="minorBidi"/>
              </w:rPr>
              <w:t>experience</w:t>
            </w:r>
            <w:r w:rsidR="792E3924" w:rsidRPr="07D162B7">
              <w:rPr>
                <w:rFonts w:asciiTheme="minorHAnsi" w:hAnsiTheme="minorHAnsi" w:cstheme="minorBidi"/>
              </w:rPr>
              <w:t>.</w:t>
            </w:r>
          </w:p>
        </w:tc>
      </w:tr>
    </w:tbl>
    <w:p w14:paraId="78102AB3" w14:textId="541885A2" w:rsidR="00F146B0" w:rsidRPr="00F146B0" w:rsidRDefault="00F146B0" w:rsidP="00F233F9">
      <w:pPr>
        <w:spacing w:before="240"/>
      </w:pPr>
      <w:r w:rsidRPr="00F146B0">
        <w:t xml:space="preserve">The intent of Principle 5 </w:t>
      </w:r>
      <w:r w:rsidR="00A8568B">
        <w:t>i</w:t>
      </w:r>
      <w:r w:rsidRPr="00F146B0">
        <w:t>s to give guidance on which telehealth modality (video or telephone) is preferred. Principle 5 builds on Principles 1 and 2, which set out when telehealth is an acceptable alternative to face-to-face consultation.</w:t>
      </w:r>
    </w:p>
    <w:p w14:paraId="1F4318AE" w14:textId="4BCB7EA7" w:rsidR="00F146B0" w:rsidRPr="00F146B0" w:rsidRDefault="2D85C468" w:rsidP="69ABD742">
      <w:r>
        <w:t xml:space="preserve">The </w:t>
      </w:r>
      <w:r w:rsidR="58322835">
        <w:t xml:space="preserve">MRAC discussed whether practices using telehealth items </w:t>
      </w:r>
      <w:r w:rsidR="18AB3658">
        <w:t>(a</w:t>
      </w:r>
      <w:r w:rsidR="08932F63">
        <w:t>s well as</w:t>
      </w:r>
      <w:r w:rsidR="18AB3658">
        <w:t xml:space="preserve"> face-to-face consultations) </w:t>
      </w:r>
      <w:r w:rsidR="58322835">
        <w:t xml:space="preserve">should be encouraged or even required to offer both telephone and video modalities to patients to discourage </w:t>
      </w:r>
      <w:r w:rsidR="1E9065C5">
        <w:t>lack of</w:t>
      </w:r>
      <w:r w:rsidR="58322835">
        <w:t xml:space="preserve"> invest</w:t>
      </w:r>
      <w:r w:rsidR="1E9065C5">
        <w:t>ment</w:t>
      </w:r>
      <w:r w:rsidR="58322835">
        <w:t xml:space="preserve"> in video capability. However, it was noted that such a requirement could have unintended consequences for practices that operate almost entirely face-to-face, complemented with occasional telephone consultations.</w:t>
      </w:r>
    </w:p>
    <w:p w14:paraId="6C16843B" w14:textId="58C6AE99" w:rsidR="00F146B0" w:rsidRPr="00F146B0" w:rsidRDefault="00A20366" w:rsidP="00F146B0">
      <w:r>
        <w:t xml:space="preserve">The </w:t>
      </w:r>
      <w:r w:rsidR="00F146B0" w:rsidRPr="00F146B0">
        <w:t xml:space="preserve">MRAC acknowledged that video more closely approximates face-to-face consultation, giving the clinician access to both verbal and non-verbal information. However, </w:t>
      </w:r>
      <w:r>
        <w:t xml:space="preserve">the </w:t>
      </w:r>
      <w:r w:rsidR="00F146B0" w:rsidRPr="00F146B0">
        <w:t xml:space="preserve">MRAC considered that the research evidence about any difference in clinical effectiveness was not strong enough to justify a blanket preference for video. </w:t>
      </w:r>
      <w:r>
        <w:t xml:space="preserve">The </w:t>
      </w:r>
      <w:r w:rsidR="00F146B0" w:rsidRPr="00F146B0">
        <w:t xml:space="preserve">MRAC noted strong feedback from stakeholders that in many cases, there is no discernible difference in outcome between video or telephone consultations. Additionally, non-clinical issues (such as </w:t>
      </w:r>
      <w:r w:rsidR="00EA2AE6">
        <w:t>the patient’s access to and</w:t>
      </w:r>
      <w:r w:rsidR="00F41307">
        <w:t xml:space="preserve"> ability to use the </w:t>
      </w:r>
      <w:r w:rsidR="00635EC1">
        <w:t>technolo</w:t>
      </w:r>
      <w:r w:rsidR="008B7A66">
        <w:t>gy</w:t>
      </w:r>
      <w:r w:rsidR="00F146B0" w:rsidRPr="00F146B0">
        <w:t xml:space="preserve">) can mean telephone offers a better </w:t>
      </w:r>
      <w:r w:rsidR="00D71482">
        <w:t xml:space="preserve">experience for the </w:t>
      </w:r>
      <w:r w:rsidR="00F146B0" w:rsidRPr="00F146B0">
        <w:t>patient and/or provider</w:t>
      </w:r>
      <w:r w:rsidR="009C2C1F">
        <w:t xml:space="preserve"> in some circumstances</w:t>
      </w:r>
      <w:r w:rsidR="00F146B0" w:rsidRPr="00F146B0">
        <w:t xml:space="preserve">. Therefore, </w:t>
      </w:r>
      <w:r>
        <w:t xml:space="preserve">the </w:t>
      </w:r>
      <w:r w:rsidR="00F146B0" w:rsidRPr="00F146B0">
        <w:t>MRAC considered that clinicians should weigh factors and choose the most clinically appropriate modality for each consultation.</w:t>
      </w:r>
    </w:p>
    <w:p w14:paraId="36DBAE0A" w14:textId="77777777" w:rsidR="00F146B0" w:rsidRPr="00F146B0" w:rsidRDefault="00F146B0" w:rsidP="00383EF4">
      <w:pPr>
        <w:pStyle w:val="Heading2"/>
      </w:pPr>
      <w:bookmarkStart w:id="83" w:name="_Toc163814583"/>
      <w:r w:rsidRPr="00F146B0">
        <w:t>Principle 6</w:t>
      </w:r>
      <w:bookmarkEnd w:id="83"/>
    </w:p>
    <w:tbl>
      <w:tblPr>
        <w:tblStyle w:val="TableGrid"/>
        <w:tblW w:w="7655"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827"/>
        <w:gridCol w:w="3828"/>
      </w:tblGrid>
      <w:tr w:rsidR="00F146B0" w:rsidRPr="00F146B0" w14:paraId="0428CDB2" w14:textId="77777777" w:rsidTr="69ABD742">
        <w:tc>
          <w:tcPr>
            <w:tcW w:w="3827" w:type="dxa"/>
            <w:shd w:val="clear" w:color="auto" w:fill="F2F2F2" w:themeFill="background1" w:themeFillShade="F2"/>
          </w:tcPr>
          <w:p w14:paraId="24B090F9" w14:textId="77777777" w:rsidR="00F146B0" w:rsidRPr="0004778E" w:rsidRDefault="00F146B0" w:rsidP="0004778E">
            <w:pPr>
              <w:spacing w:after="0"/>
              <w:rPr>
                <w:rFonts w:asciiTheme="minorHAnsi" w:hAnsiTheme="minorHAnsi" w:cstheme="minorHAnsi"/>
                <w:b/>
                <w:bCs/>
              </w:rPr>
            </w:pPr>
            <w:r w:rsidRPr="0004778E">
              <w:rPr>
                <w:rFonts w:asciiTheme="minorHAnsi" w:hAnsiTheme="minorHAnsi" w:cstheme="minorHAnsi"/>
                <w:b/>
                <w:bCs/>
              </w:rPr>
              <w:t>Original</w:t>
            </w:r>
          </w:p>
        </w:tc>
        <w:tc>
          <w:tcPr>
            <w:tcW w:w="3828" w:type="dxa"/>
            <w:shd w:val="clear" w:color="auto" w:fill="F2F2F2" w:themeFill="background1" w:themeFillShade="F2"/>
          </w:tcPr>
          <w:p w14:paraId="24B6640B" w14:textId="1A69E26B" w:rsidR="00F146B0" w:rsidRPr="0004778E" w:rsidRDefault="001F5049" w:rsidP="0004778E">
            <w:pPr>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6368DE27" w14:textId="77777777" w:rsidTr="69ABD742">
        <w:trPr>
          <w:trHeight w:val="456"/>
        </w:trPr>
        <w:tc>
          <w:tcPr>
            <w:tcW w:w="3827" w:type="dxa"/>
          </w:tcPr>
          <w:p w14:paraId="2C67D505" w14:textId="1C8FDF9F" w:rsidR="00F146B0" w:rsidRPr="0004778E" w:rsidRDefault="00F146B0" w:rsidP="0004778E">
            <w:pPr>
              <w:spacing w:after="0"/>
              <w:rPr>
                <w:rFonts w:asciiTheme="minorHAnsi" w:hAnsiTheme="minorHAnsi" w:cstheme="minorHAnsi"/>
              </w:rPr>
            </w:pPr>
            <w:r w:rsidRPr="0004778E">
              <w:rPr>
                <w:rFonts w:asciiTheme="minorHAnsi" w:hAnsiTheme="minorHAnsi" w:cstheme="minorHAnsi"/>
              </w:rPr>
              <w:t>Support optimal clinical engagement with the patient by allowing clinician participation at both ends of the MBS telehealth consultation</w:t>
            </w:r>
            <w:r w:rsidR="00E33EAC">
              <w:rPr>
                <w:rFonts w:asciiTheme="minorHAnsi" w:hAnsiTheme="minorHAnsi" w:cstheme="minorHAnsi"/>
              </w:rPr>
              <w:t>.</w:t>
            </w:r>
          </w:p>
        </w:tc>
        <w:tc>
          <w:tcPr>
            <w:tcW w:w="3828" w:type="dxa"/>
          </w:tcPr>
          <w:p w14:paraId="2663F2DD" w14:textId="1EAEBAAD" w:rsidR="00F146B0" w:rsidRPr="0004778E" w:rsidRDefault="58322835" w:rsidP="69ABD742">
            <w:pPr>
              <w:spacing w:after="0"/>
              <w:rPr>
                <w:rFonts w:asciiTheme="minorHAnsi" w:hAnsiTheme="minorHAnsi" w:cstheme="minorBidi"/>
              </w:rPr>
            </w:pPr>
            <w:r w:rsidRPr="69ABD742">
              <w:rPr>
                <w:rFonts w:asciiTheme="minorHAnsi" w:hAnsiTheme="minorHAnsi" w:cstheme="minorBidi"/>
              </w:rPr>
              <w:t>S</w:t>
            </w:r>
            <w:r w:rsidR="2E3633AD" w:rsidRPr="69ABD742">
              <w:rPr>
                <w:rFonts w:asciiTheme="minorHAnsi" w:hAnsiTheme="minorHAnsi" w:cstheme="minorBidi"/>
              </w:rPr>
              <w:t>hould s</w:t>
            </w:r>
            <w:r w:rsidRPr="69ABD742">
              <w:rPr>
                <w:rFonts w:asciiTheme="minorHAnsi" w:hAnsiTheme="minorHAnsi" w:cstheme="minorBidi"/>
              </w:rPr>
              <w:t xml:space="preserve">upport optimal clinical engagement with the patient by allowing clinician participation at both ends of the MBS telehealth consultation, </w:t>
            </w:r>
            <w:r w:rsidR="00F55A4D">
              <w:rPr>
                <w:rFonts w:asciiTheme="minorHAnsi" w:hAnsiTheme="minorHAnsi" w:cstheme="minorBidi"/>
              </w:rPr>
              <w:t xml:space="preserve">if appropriate, </w:t>
            </w:r>
            <w:r w:rsidRPr="69ABD742">
              <w:rPr>
                <w:rFonts w:asciiTheme="minorHAnsi" w:hAnsiTheme="minorHAnsi" w:cstheme="minorBidi"/>
              </w:rPr>
              <w:t xml:space="preserve">enabling </w:t>
            </w:r>
            <w:r w:rsidR="00F55A4D">
              <w:rPr>
                <w:rFonts w:asciiTheme="minorHAnsi" w:hAnsiTheme="minorHAnsi" w:cstheme="minorBidi"/>
              </w:rPr>
              <w:t>rebates for support by</w:t>
            </w:r>
            <w:r w:rsidRPr="69ABD742">
              <w:rPr>
                <w:rFonts w:asciiTheme="minorHAnsi" w:hAnsiTheme="minorHAnsi" w:cstheme="minorBidi"/>
              </w:rPr>
              <w:t xml:space="preserve"> both the treating </w:t>
            </w:r>
            <w:r w:rsidR="0446A397" w:rsidRPr="69ABD742">
              <w:rPr>
                <w:rFonts w:asciiTheme="minorHAnsi" w:hAnsiTheme="minorHAnsi" w:cstheme="minorBidi"/>
              </w:rPr>
              <w:t>clinician</w:t>
            </w:r>
            <w:r w:rsidR="349E2043" w:rsidRPr="69ABD742">
              <w:rPr>
                <w:rFonts w:asciiTheme="minorHAnsi" w:hAnsiTheme="minorHAnsi" w:cstheme="minorBidi"/>
              </w:rPr>
              <w:t xml:space="preserve"> </w:t>
            </w:r>
            <w:r w:rsidRPr="69ABD742">
              <w:rPr>
                <w:rFonts w:asciiTheme="minorHAnsi" w:hAnsiTheme="minorHAnsi" w:cstheme="minorBidi"/>
              </w:rPr>
              <w:t xml:space="preserve">and patient-end </w:t>
            </w:r>
            <w:r w:rsidR="36A8DE79" w:rsidRPr="69ABD742">
              <w:rPr>
                <w:rFonts w:asciiTheme="minorHAnsi" w:hAnsiTheme="minorHAnsi" w:cstheme="minorBidi"/>
              </w:rPr>
              <w:t>clinician</w:t>
            </w:r>
            <w:r w:rsidR="00E33EAC">
              <w:rPr>
                <w:rFonts w:asciiTheme="minorHAnsi" w:hAnsiTheme="minorHAnsi" w:cstheme="minorBidi"/>
              </w:rPr>
              <w:t>.</w:t>
            </w:r>
          </w:p>
        </w:tc>
      </w:tr>
    </w:tbl>
    <w:p w14:paraId="5A9BC5DB" w14:textId="7FC9BB6C" w:rsidR="00F60221" w:rsidRDefault="00A20366" w:rsidP="00F233F9">
      <w:pPr>
        <w:spacing w:before="240"/>
      </w:pPr>
      <w:r>
        <w:t xml:space="preserve">The </w:t>
      </w:r>
      <w:r w:rsidR="00F146B0" w:rsidRPr="00F146B0">
        <w:t xml:space="preserve">MRAC noted that the intent of Principle 6 was to </w:t>
      </w:r>
      <w:r w:rsidR="00C30F17">
        <w:t>expand</w:t>
      </w:r>
      <w:r w:rsidR="00F146B0" w:rsidRPr="00F146B0">
        <w:t xml:space="preserve"> and better recognise the engagement of clinicians</w:t>
      </w:r>
      <w:r w:rsidR="00B80073">
        <w:t xml:space="preserve"> </w:t>
      </w:r>
      <w:r w:rsidR="00500DDE">
        <w:t xml:space="preserve">that </w:t>
      </w:r>
      <w:r w:rsidR="00B546E6">
        <w:t xml:space="preserve">support </w:t>
      </w:r>
      <w:r w:rsidR="00500DDE">
        <w:t xml:space="preserve">the patient face-to-face </w:t>
      </w:r>
      <w:r w:rsidR="00B546E6">
        <w:t>during a telehealth cons</w:t>
      </w:r>
      <w:r w:rsidR="000B39C1">
        <w:t>ultation with another (remote) clinician</w:t>
      </w:r>
      <w:r w:rsidR="00B80073">
        <w:t>.</w:t>
      </w:r>
      <w:r w:rsidR="00F146B0" w:rsidRPr="00F146B0">
        <w:t xml:space="preserve"> </w:t>
      </w:r>
      <w:r>
        <w:t xml:space="preserve">The </w:t>
      </w:r>
      <w:r w:rsidR="00F60221">
        <w:t>MRAC consi</w:t>
      </w:r>
      <w:r w:rsidR="000A0DD9">
        <w:t xml:space="preserve">dered that </w:t>
      </w:r>
      <w:r w:rsidR="00CB686B">
        <w:t>Principle 6 should be retained, with additional explanatory detail.</w:t>
      </w:r>
    </w:p>
    <w:p w14:paraId="491F5E27" w14:textId="59250CEE" w:rsidR="00F146B0" w:rsidRPr="00F146B0" w:rsidRDefault="58322835" w:rsidP="00F233F9">
      <w:pPr>
        <w:spacing w:before="240"/>
      </w:pPr>
      <w:r>
        <w:t>In Principle 6 (and others), the term ‘clinician’ includes allied health professionals</w:t>
      </w:r>
      <w:r w:rsidR="31278E81">
        <w:t xml:space="preserve"> and pharmacists</w:t>
      </w:r>
      <w:r>
        <w:t>.</w:t>
      </w:r>
    </w:p>
    <w:p w14:paraId="536BCBCB" w14:textId="77777777" w:rsidR="00F146B0" w:rsidRPr="00F146B0" w:rsidRDefault="00F146B0" w:rsidP="00383EF4">
      <w:pPr>
        <w:pStyle w:val="Heading2"/>
      </w:pPr>
      <w:bookmarkStart w:id="84" w:name="_Toc163814584"/>
      <w:r w:rsidRPr="00F146B0">
        <w:t>Principle 7</w:t>
      </w:r>
      <w:bookmarkEnd w:id="84"/>
    </w:p>
    <w:tbl>
      <w:tblPr>
        <w:tblStyle w:val="TableGrid"/>
        <w:tblW w:w="7938"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969"/>
        <w:gridCol w:w="3969"/>
      </w:tblGrid>
      <w:tr w:rsidR="00F146B0" w:rsidRPr="00F146B0" w14:paraId="4018F297" w14:textId="77777777" w:rsidTr="69ABD742">
        <w:tc>
          <w:tcPr>
            <w:tcW w:w="3969" w:type="dxa"/>
            <w:shd w:val="clear" w:color="auto" w:fill="F2F2F2" w:themeFill="background1" w:themeFillShade="F2"/>
          </w:tcPr>
          <w:p w14:paraId="69760B7A" w14:textId="77777777" w:rsidR="00F146B0" w:rsidRPr="0004778E" w:rsidRDefault="00F146B0" w:rsidP="0004778E">
            <w:pPr>
              <w:spacing w:after="0"/>
              <w:rPr>
                <w:rFonts w:asciiTheme="minorHAnsi" w:hAnsiTheme="minorHAnsi" w:cstheme="minorHAnsi"/>
                <w:b/>
                <w:bCs/>
              </w:rPr>
            </w:pPr>
            <w:r w:rsidRPr="0004778E">
              <w:rPr>
                <w:rFonts w:asciiTheme="minorHAnsi" w:hAnsiTheme="minorHAnsi" w:cstheme="minorHAnsi"/>
                <w:b/>
                <w:bCs/>
              </w:rPr>
              <w:t>Original</w:t>
            </w:r>
          </w:p>
        </w:tc>
        <w:tc>
          <w:tcPr>
            <w:tcW w:w="3969" w:type="dxa"/>
            <w:shd w:val="clear" w:color="auto" w:fill="F2F2F2" w:themeFill="background1" w:themeFillShade="F2"/>
          </w:tcPr>
          <w:p w14:paraId="70A33443" w14:textId="43882DCE" w:rsidR="00F146B0" w:rsidRPr="0004778E" w:rsidRDefault="001F5049" w:rsidP="0004778E">
            <w:pPr>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51F6D127" w14:textId="77777777" w:rsidTr="69ABD742">
        <w:trPr>
          <w:trHeight w:val="456"/>
        </w:trPr>
        <w:tc>
          <w:tcPr>
            <w:tcW w:w="3969" w:type="dxa"/>
          </w:tcPr>
          <w:p w14:paraId="181F5543" w14:textId="6DCE13AF" w:rsidR="00F146B0" w:rsidRPr="0004778E" w:rsidRDefault="00F146B0" w:rsidP="0004778E">
            <w:pPr>
              <w:spacing w:after="0"/>
              <w:rPr>
                <w:rFonts w:asciiTheme="minorHAnsi" w:hAnsiTheme="minorHAnsi" w:cstheme="minorHAnsi"/>
              </w:rPr>
            </w:pPr>
            <w:r w:rsidRPr="0004778E">
              <w:rPr>
                <w:rFonts w:asciiTheme="minorHAnsi" w:hAnsiTheme="minorHAnsi" w:cstheme="minorHAnsi"/>
              </w:rPr>
              <w:t>Should be implemented and modified through time-limited transition arrangements</w:t>
            </w:r>
            <w:r w:rsidR="00E33EAC">
              <w:rPr>
                <w:rFonts w:asciiTheme="minorHAnsi" w:hAnsiTheme="minorHAnsi" w:cstheme="minorHAnsi"/>
              </w:rPr>
              <w:t>.</w:t>
            </w:r>
          </w:p>
        </w:tc>
        <w:tc>
          <w:tcPr>
            <w:tcW w:w="3969" w:type="dxa"/>
          </w:tcPr>
          <w:p w14:paraId="0516ACFB" w14:textId="54E56004" w:rsidR="00F146B0" w:rsidRPr="0004778E" w:rsidRDefault="00D4126B" w:rsidP="69ABD742">
            <w:pPr>
              <w:spacing w:after="0"/>
              <w:rPr>
                <w:rFonts w:asciiTheme="minorHAnsi" w:hAnsiTheme="minorHAnsi" w:cstheme="minorBidi"/>
              </w:rPr>
            </w:pPr>
            <w:r>
              <w:rPr>
                <w:rFonts w:asciiTheme="minorHAnsi" w:hAnsiTheme="minorHAnsi" w:cstheme="minorBidi"/>
              </w:rPr>
              <w:t>Amendments to MBS telehealth s</w:t>
            </w:r>
            <w:r w:rsidR="540B624D" w:rsidRPr="69ABD742">
              <w:rPr>
                <w:rFonts w:asciiTheme="minorHAnsi" w:hAnsiTheme="minorHAnsi" w:cstheme="minorBidi"/>
              </w:rPr>
              <w:t xml:space="preserve">hould </w:t>
            </w:r>
            <w:r>
              <w:rPr>
                <w:rFonts w:asciiTheme="minorHAnsi" w:hAnsiTheme="minorHAnsi" w:cstheme="minorBidi"/>
              </w:rPr>
              <w:t xml:space="preserve">follow </w:t>
            </w:r>
            <w:r w:rsidR="540B624D" w:rsidRPr="69ABD742">
              <w:rPr>
                <w:rFonts w:asciiTheme="minorHAnsi" w:hAnsiTheme="minorHAnsi" w:cstheme="minorBidi"/>
              </w:rPr>
              <w:t xml:space="preserve">sufficient </w:t>
            </w:r>
            <w:r>
              <w:rPr>
                <w:rFonts w:asciiTheme="minorHAnsi" w:hAnsiTheme="minorHAnsi" w:cstheme="minorBidi"/>
              </w:rPr>
              <w:t xml:space="preserve">advance </w:t>
            </w:r>
            <w:r w:rsidR="540B624D" w:rsidRPr="69ABD742">
              <w:rPr>
                <w:rFonts w:asciiTheme="minorHAnsi" w:hAnsiTheme="minorHAnsi" w:cstheme="minorBidi"/>
              </w:rPr>
              <w:t>notice of c</w:t>
            </w:r>
            <w:r w:rsidR="56FA95A0" w:rsidRPr="69ABD742">
              <w:rPr>
                <w:rFonts w:asciiTheme="minorHAnsi" w:hAnsiTheme="minorHAnsi" w:cstheme="minorBidi"/>
              </w:rPr>
              <w:t xml:space="preserve">hanges to MBS items </w:t>
            </w:r>
            <w:r w:rsidR="58322835" w:rsidRPr="69ABD742">
              <w:rPr>
                <w:rFonts w:asciiTheme="minorHAnsi" w:hAnsiTheme="minorHAnsi" w:cstheme="minorBidi"/>
              </w:rPr>
              <w:t xml:space="preserve">for </w:t>
            </w:r>
            <w:r w:rsidR="11BED6B6" w:rsidRPr="69ABD742">
              <w:rPr>
                <w:rFonts w:asciiTheme="minorHAnsi" w:hAnsiTheme="minorHAnsi" w:cstheme="minorBidi"/>
              </w:rPr>
              <w:t>clinicians</w:t>
            </w:r>
            <w:r w:rsidR="62FC2233" w:rsidRPr="69ABD742">
              <w:rPr>
                <w:rFonts w:asciiTheme="minorHAnsi" w:hAnsiTheme="minorHAnsi" w:cstheme="minorBidi"/>
              </w:rPr>
              <w:t xml:space="preserve"> and </w:t>
            </w:r>
            <w:r w:rsidR="1EE8103A" w:rsidRPr="69ABD742">
              <w:rPr>
                <w:rFonts w:asciiTheme="minorHAnsi" w:hAnsiTheme="minorHAnsi" w:cstheme="minorBidi"/>
              </w:rPr>
              <w:t>patien</w:t>
            </w:r>
            <w:r w:rsidR="7668C46F" w:rsidRPr="69ABD742">
              <w:rPr>
                <w:rFonts w:asciiTheme="minorHAnsi" w:hAnsiTheme="minorHAnsi" w:cstheme="minorBidi"/>
              </w:rPr>
              <w:t>t</w:t>
            </w:r>
            <w:r w:rsidR="1EE8103A" w:rsidRPr="69ABD742">
              <w:rPr>
                <w:rFonts w:asciiTheme="minorHAnsi" w:hAnsiTheme="minorHAnsi" w:cstheme="minorBidi"/>
              </w:rPr>
              <w:t>s</w:t>
            </w:r>
            <w:r w:rsidR="62FC2233" w:rsidRPr="69ABD742">
              <w:rPr>
                <w:rFonts w:asciiTheme="minorHAnsi" w:hAnsiTheme="minorHAnsi" w:cstheme="minorBidi"/>
              </w:rPr>
              <w:t xml:space="preserve"> </w:t>
            </w:r>
            <w:r w:rsidR="58322835" w:rsidRPr="69ABD742">
              <w:rPr>
                <w:rFonts w:asciiTheme="minorHAnsi" w:hAnsiTheme="minorHAnsi" w:cstheme="minorBidi"/>
              </w:rPr>
              <w:t>to</w:t>
            </w:r>
            <w:r w:rsidR="0308AE0A" w:rsidRPr="69ABD742">
              <w:rPr>
                <w:rFonts w:asciiTheme="minorHAnsi" w:hAnsiTheme="minorHAnsi" w:cstheme="minorBidi"/>
              </w:rPr>
              <w:t xml:space="preserve"> </w:t>
            </w:r>
            <w:r w:rsidR="61D0E22E" w:rsidRPr="69ABD742">
              <w:rPr>
                <w:rFonts w:asciiTheme="minorHAnsi" w:hAnsiTheme="minorHAnsi" w:cstheme="minorBidi"/>
              </w:rPr>
              <w:t>adjust</w:t>
            </w:r>
            <w:r>
              <w:rPr>
                <w:rFonts w:asciiTheme="minorHAnsi" w:hAnsiTheme="minorHAnsi" w:cstheme="minorBidi"/>
              </w:rPr>
              <w:t xml:space="preserve">. </w:t>
            </w:r>
          </w:p>
        </w:tc>
      </w:tr>
    </w:tbl>
    <w:p w14:paraId="04C2B950" w14:textId="7D6DEF22" w:rsidR="00F146B0" w:rsidRPr="00F146B0" w:rsidRDefault="00F146B0" w:rsidP="0004778E">
      <w:pPr>
        <w:spacing w:before="240"/>
      </w:pPr>
      <w:r w:rsidRPr="00F146B0">
        <w:t xml:space="preserve">Principle 7 signals the </w:t>
      </w:r>
      <w:r w:rsidR="00437199">
        <w:t>d</w:t>
      </w:r>
      <w:r w:rsidRPr="00F146B0">
        <w:t>epartment’s intention to give</w:t>
      </w:r>
      <w:r w:rsidR="00871B61">
        <w:t xml:space="preserve"> </w:t>
      </w:r>
      <w:r w:rsidRPr="00F146B0">
        <w:t xml:space="preserve">notice of changes to telehealth items. The principle was introduced in </w:t>
      </w:r>
      <w:r>
        <w:t>re</w:t>
      </w:r>
      <w:r w:rsidR="5F8C5F0E">
        <w:t>s</w:t>
      </w:r>
      <w:r>
        <w:t>ponse</w:t>
      </w:r>
      <w:r w:rsidRPr="00F146B0">
        <w:t xml:space="preserve"> to stakeholder feedback that during the MBS Review, practices had not been given enough time to adjust to item changes.</w:t>
      </w:r>
    </w:p>
    <w:p w14:paraId="3D4BD401" w14:textId="7D7BE209" w:rsidR="00F146B0" w:rsidRPr="00F146B0" w:rsidRDefault="66620D81" w:rsidP="00F146B0">
      <w:r>
        <w:t xml:space="preserve">The </w:t>
      </w:r>
      <w:r w:rsidR="1DF8E088">
        <w:t xml:space="preserve">MRAC noted stakeholder feedback that the wording of </w:t>
      </w:r>
      <w:r w:rsidR="16972FFB">
        <w:t>P</w:t>
      </w:r>
      <w:r w:rsidR="1DF8E088">
        <w:t xml:space="preserve">rinciple 7 was confusing. </w:t>
      </w:r>
      <w:r>
        <w:t xml:space="preserve">The </w:t>
      </w:r>
      <w:r w:rsidR="1DF8E088">
        <w:t xml:space="preserve">MRAC considered that the </w:t>
      </w:r>
      <w:r w:rsidR="16972FFB">
        <w:t xml:space="preserve">intent of the </w:t>
      </w:r>
      <w:r w:rsidR="1DF8E088">
        <w:t>principle should be retained, but rewritten in plain language.</w:t>
      </w:r>
    </w:p>
    <w:p w14:paraId="21110F12" w14:textId="36879A1A" w:rsidR="00F146B0" w:rsidRPr="00F146B0" w:rsidRDefault="00F146B0" w:rsidP="00383EF4">
      <w:pPr>
        <w:pStyle w:val="Heading2"/>
      </w:pPr>
      <w:bookmarkStart w:id="85" w:name="_Toc163814585"/>
      <w:r w:rsidRPr="00F146B0">
        <w:t>Principle</w:t>
      </w:r>
      <w:r w:rsidR="0045134B">
        <w:t>s</w:t>
      </w:r>
      <w:r w:rsidRPr="00F146B0">
        <w:t xml:space="preserve"> 8</w:t>
      </w:r>
      <w:r w:rsidR="0045134B">
        <w:t>, 9 and 10</w:t>
      </w:r>
      <w:bookmarkEnd w:id="85"/>
    </w:p>
    <w:tbl>
      <w:tblPr>
        <w:tblStyle w:val="TableGrid"/>
        <w:tblW w:w="7938" w:type="dxa"/>
        <w:tblBorders>
          <w:top w:val="none" w:sz="0" w:space="0" w:color="auto"/>
          <w:left w:val="none" w:sz="0" w:space="0" w:color="auto"/>
          <w:bottom w:val="none" w:sz="0" w:space="0" w:color="auto"/>
          <w:right w:val="none" w:sz="0" w:space="0" w:color="auto"/>
          <w:insideH w:val="none" w:sz="0" w:space="0" w:color="auto"/>
        </w:tblBorders>
        <w:tblCellMar>
          <w:top w:w="113" w:type="dxa"/>
          <w:bottom w:w="113" w:type="dxa"/>
        </w:tblCellMar>
        <w:tblLook w:val="04A0" w:firstRow="1" w:lastRow="0" w:firstColumn="1" w:lastColumn="0" w:noHBand="0" w:noVBand="1"/>
      </w:tblPr>
      <w:tblGrid>
        <w:gridCol w:w="3969"/>
        <w:gridCol w:w="3969"/>
      </w:tblGrid>
      <w:tr w:rsidR="00F146B0" w:rsidRPr="00F146B0" w14:paraId="0BE05E05" w14:textId="77777777" w:rsidTr="0004778E">
        <w:tc>
          <w:tcPr>
            <w:tcW w:w="3969" w:type="dxa"/>
            <w:shd w:val="clear" w:color="auto" w:fill="F2F2F2" w:themeFill="background1" w:themeFillShade="F2"/>
          </w:tcPr>
          <w:p w14:paraId="267BDDD0" w14:textId="77777777" w:rsidR="00F146B0" w:rsidRPr="0004778E" w:rsidRDefault="00F146B0" w:rsidP="0004778E">
            <w:pPr>
              <w:spacing w:after="0"/>
              <w:rPr>
                <w:rFonts w:asciiTheme="minorHAnsi" w:hAnsiTheme="minorHAnsi" w:cstheme="minorHAnsi"/>
                <w:b/>
                <w:bCs/>
              </w:rPr>
            </w:pPr>
            <w:r w:rsidRPr="0004778E">
              <w:rPr>
                <w:rFonts w:asciiTheme="minorHAnsi" w:hAnsiTheme="minorHAnsi" w:cstheme="minorHAnsi"/>
                <w:b/>
                <w:bCs/>
              </w:rPr>
              <w:t>Original</w:t>
            </w:r>
          </w:p>
        </w:tc>
        <w:tc>
          <w:tcPr>
            <w:tcW w:w="3969" w:type="dxa"/>
            <w:shd w:val="clear" w:color="auto" w:fill="F2F2F2" w:themeFill="background1" w:themeFillShade="F2"/>
          </w:tcPr>
          <w:p w14:paraId="78F937D8" w14:textId="5A52004A" w:rsidR="00F146B0" w:rsidRPr="0004778E" w:rsidRDefault="001F5049" w:rsidP="0004778E">
            <w:pPr>
              <w:spacing w:after="0"/>
              <w:rPr>
                <w:rFonts w:asciiTheme="minorHAnsi" w:hAnsiTheme="minorHAnsi" w:cstheme="minorHAnsi"/>
                <w:b/>
                <w:bCs/>
              </w:rPr>
            </w:pPr>
            <w:r>
              <w:rPr>
                <w:rFonts w:asciiTheme="minorHAnsi" w:hAnsiTheme="minorHAnsi" w:cstheme="minorHAnsi"/>
                <w:b/>
                <w:bCs/>
              </w:rPr>
              <w:t>R</w:t>
            </w:r>
            <w:r w:rsidR="00F146B0" w:rsidRPr="0004778E">
              <w:rPr>
                <w:rFonts w:asciiTheme="minorHAnsi" w:hAnsiTheme="minorHAnsi" w:cstheme="minorHAnsi"/>
                <w:b/>
                <w:bCs/>
              </w:rPr>
              <w:t>evision</w:t>
            </w:r>
          </w:p>
        </w:tc>
      </w:tr>
      <w:tr w:rsidR="00F146B0" w:rsidRPr="00F146B0" w14:paraId="7DF1F19B" w14:textId="77777777" w:rsidTr="0004778E">
        <w:trPr>
          <w:trHeight w:val="683"/>
        </w:trPr>
        <w:tc>
          <w:tcPr>
            <w:tcW w:w="3969" w:type="dxa"/>
          </w:tcPr>
          <w:p w14:paraId="3983A5BB" w14:textId="49CC93AA" w:rsidR="00F146B0" w:rsidRPr="0004778E" w:rsidRDefault="00F146B0" w:rsidP="0004778E">
            <w:pPr>
              <w:spacing w:after="0"/>
              <w:rPr>
                <w:rFonts w:asciiTheme="minorHAnsi" w:hAnsiTheme="minorHAnsi" w:cstheme="minorHAnsi"/>
              </w:rPr>
            </w:pPr>
            <w:r w:rsidRPr="0004778E">
              <w:rPr>
                <w:rFonts w:asciiTheme="minorHAnsi" w:hAnsiTheme="minorHAnsi" w:cstheme="minorHAnsi"/>
              </w:rPr>
              <w:t>Supports different funding models consistent with patients’ need, clinical specialty and purpose</w:t>
            </w:r>
            <w:r w:rsidR="00E33EAC">
              <w:rPr>
                <w:rFonts w:asciiTheme="minorHAnsi" w:hAnsiTheme="minorHAnsi" w:cstheme="minorHAnsi"/>
              </w:rPr>
              <w:t>.</w:t>
            </w:r>
          </w:p>
        </w:tc>
        <w:tc>
          <w:tcPr>
            <w:tcW w:w="3969" w:type="dxa"/>
          </w:tcPr>
          <w:p w14:paraId="0A79CE74" w14:textId="7FFBCDFA" w:rsidR="00F146B0" w:rsidRPr="0004778E" w:rsidRDefault="00CF6633" w:rsidP="0004778E">
            <w:pPr>
              <w:spacing w:after="0"/>
              <w:rPr>
                <w:rFonts w:asciiTheme="minorHAnsi" w:hAnsiTheme="minorHAnsi" w:cstheme="minorHAnsi"/>
              </w:rPr>
            </w:pPr>
            <w:r w:rsidRPr="002635C0">
              <w:rPr>
                <w:rFonts w:asciiTheme="minorHAnsi" w:hAnsiTheme="minorHAnsi" w:cstheme="minorHAnsi"/>
              </w:rPr>
              <w:t xml:space="preserve"> [</w:t>
            </w:r>
            <w:r w:rsidR="004A7988">
              <w:rPr>
                <w:rFonts w:asciiTheme="minorHAnsi" w:hAnsiTheme="minorHAnsi" w:cstheme="minorHAnsi"/>
              </w:rPr>
              <w:t>R</w:t>
            </w:r>
            <w:r w:rsidRPr="002635C0">
              <w:rPr>
                <w:rFonts w:asciiTheme="minorHAnsi" w:hAnsiTheme="minorHAnsi" w:cstheme="minorHAnsi"/>
              </w:rPr>
              <w:t>emove]</w:t>
            </w:r>
          </w:p>
        </w:tc>
      </w:tr>
      <w:tr w:rsidR="0045134B" w:rsidRPr="00F146B0" w14:paraId="316C7B69" w14:textId="77777777" w:rsidTr="0004778E">
        <w:trPr>
          <w:trHeight w:val="683"/>
        </w:trPr>
        <w:tc>
          <w:tcPr>
            <w:tcW w:w="3969" w:type="dxa"/>
          </w:tcPr>
          <w:p w14:paraId="4002F3FA" w14:textId="58B940E7" w:rsidR="0045134B" w:rsidRPr="0004778E" w:rsidRDefault="0045134B" w:rsidP="0045134B">
            <w:pPr>
              <w:spacing w:after="0"/>
              <w:rPr>
                <w:rFonts w:cstheme="minorHAnsi"/>
              </w:rPr>
            </w:pPr>
            <w:r w:rsidRPr="002635C0">
              <w:rPr>
                <w:rFonts w:asciiTheme="minorHAnsi" w:hAnsiTheme="minorHAnsi" w:cstheme="minorHAnsi"/>
              </w:rPr>
              <w:t xml:space="preserve">Should take into account contemporary evidenced-based relevant guidelines and </w:t>
            </w:r>
            <w:r w:rsidR="00E33EAC">
              <w:rPr>
                <w:rFonts w:asciiTheme="minorHAnsi" w:hAnsiTheme="minorHAnsi" w:cstheme="minorHAnsi"/>
              </w:rPr>
              <w:t>p</w:t>
            </w:r>
            <w:r w:rsidRPr="002635C0">
              <w:rPr>
                <w:rFonts w:asciiTheme="minorHAnsi" w:hAnsiTheme="minorHAnsi" w:cstheme="minorHAnsi"/>
              </w:rPr>
              <w:t>rinciples</w:t>
            </w:r>
            <w:r w:rsidR="00E33EAC">
              <w:rPr>
                <w:rFonts w:asciiTheme="minorHAnsi" w:hAnsiTheme="minorHAnsi" w:cstheme="minorHAnsi"/>
              </w:rPr>
              <w:t>.</w:t>
            </w:r>
          </w:p>
        </w:tc>
        <w:tc>
          <w:tcPr>
            <w:tcW w:w="3969" w:type="dxa"/>
          </w:tcPr>
          <w:p w14:paraId="4C569A5B" w14:textId="26D4076E" w:rsidR="0045134B" w:rsidRPr="002635C0" w:rsidRDefault="0045134B" w:rsidP="0045134B">
            <w:pPr>
              <w:spacing w:after="0"/>
              <w:rPr>
                <w:rFonts w:cstheme="minorHAnsi"/>
              </w:rPr>
            </w:pPr>
            <w:r w:rsidRPr="002635C0">
              <w:rPr>
                <w:rFonts w:asciiTheme="minorHAnsi" w:hAnsiTheme="minorHAnsi" w:cstheme="minorHAnsi"/>
              </w:rPr>
              <w:t>[</w:t>
            </w:r>
            <w:r w:rsidR="004A7988">
              <w:rPr>
                <w:rFonts w:asciiTheme="minorHAnsi" w:hAnsiTheme="minorHAnsi" w:cstheme="minorHAnsi"/>
              </w:rPr>
              <w:t>R</w:t>
            </w:r>
            <w:r w:rsidRPr="002635C0">
              <w:rPr>
                <w:rFonts w:asciiTheme="minorHAnsi" w:hAnsiTheme="minorHAnsi" w:cstheme="minorHAnsi"/>
              </w:rPr>
              <w:t>emove]</w:t>
            </w:r>
          </w:p>
        </w:tc>
      </w:tr>
      <w:tr w:rsidR="0045134B" w:rsidRPr="00F146B0" w14:paraId="45736FFA" w14:textId="77777777" w:rsidTr="0004778E">
        <w:trPr>
          <w:trHeight w:val="683"/>
        </w:trPr>
        <w:tc>
          <w:tcPr>
            <w:tcW w:w="3969" w:type="dxa"/>
          </w:tcPr>
          <w:p w14:paraId="6B610D22" w14:textId="4FFE2BF3" w:rsidR="0045134B" w:rsidRPr="0004778E" w:rsidRDefault="0045134B" w:rsidP="0045134B">
            <w:pPr>
              <w:spacing w:after="0"/>
              <w:rPr>
                <w:rFonts w:cstheme="minorHAnsi"/>
              </w:rPr>
            </w:pPr>
            <w:r w:rsidRPr="00956B83">
              <w:rPr>
                <w:rFonts w:asciiTheme="minorHAnsi" w:hAnsiTheme="minorHAnsi" w:cstheme="minorHAnsi"/>
              </w:rPr>
              <w:t>Require ongoing data collection, research and evaluation into outcomes and utility</w:t>
            </w:r>
            <w:r w:rsidR="00E33EAC">
              <w:rPr>
                <w:rFonts w:asciiTheme="minorHAnsi" w:hAnsiTheme="minorHAnsi" w:cstheme="minorHAnsi"/>
              </w:rPr>
              <w:t>.</w:t>
            </w:r>
          </w:p>
        </w:tc>
        <w:tc>
          <w:tcPr>
            <w:tcW w:w="3969" w:type="dxa"/>
          </w:tcPr>
          <w:p w14:paraId="0541B96E" w14:textId="2EF12929" w:rsidR="0045134B" w:rsidRPr="002635C0" w:rsidRDefault="0045134B" w:rsidP="0045134B">
            <w:pPr>
              <w:spacing w:after="0"/>
              <w:rPr>
                <w:rFonts w:cstheme="minorHAnsi"/>
              </w:rPr>
            </w:pPr>
            <w:r w:rsidRPr="00956B83">
              <w:rPr>
                <w:rFonts w:asciiTheme="minorHAnsi" w:hAnsiTheme="minorHAnsi" w:cstheme="minorHAnsi"/>
              </w:rPr>
              <w:t>[</w:t>
            </w:r>
            <w:r w:rsidR="004A7988">
              <w:rPr>
                <w:rFonts w:asciiTheme="minorHAnsi" w:hAnsiTheme="minorHAnsi" w:cstheme="minorHAnsi"/>
              </w:rPr>
              <w:t>R</w:t>
            </w:r>
            <w:r>
              <w:rPr>
                <w:rFonts w:asciiTheme="minorHAnsi" w:hAnsiTheme="minorHAnsi" w:cstheme="minorHAnsi"/>
              </w:rPr>
              <w:t>emove</w:t>
            </w:r>
            <w:r w:rsidRPr="00956B83">
              <w:rPr>
                <w:rFonts w:asciiTheme="minorHAnsi" w:hAnsiTheme="minorHAnsi" w:cstheme="minorHAnsi"/>
              </w:rPr>
              <w:t>]</w:t>
            </w:r>
          </w:p>
        </w:tc>
      </w:tr>
    </w:tbl>
    <w:p w14:paraId="457A3CD0" w14:textId="5D700375" w:rsidR="00147742" w:rsidRDefault="00A20366" w:rsidP="00147742">
      <w:r>
        <w:t xml:space="preserve">The </w:t>
      </w:r>
      <w:r w:rsidR="00CF6633" w:rsidRPr="00F146B0">
        <w:t xml:space="preserve">MRAC noted that unlike </w:t>
      </w:r>
      <w:r w:rsidR="0045134B">
        <w:t xml:space="preserve">the first 7 </w:t>
      </w:r>
      <w:r w:rsidR="006931A3">
        <w:t>P</w:t>
      </w:r>
      <w:r w:rsidR="0045134B">
        <w:t>rinciples</w:t>
      </w:r>
      <w:r w:rsidR="00CF6633" w:rsidRPr="00F146B0">
        <w:t>, Principle</w:t>
      </w:r>
      <w:r w:rsidR="0045134B">
        <w:t>s</w:t>
      </w:r>
      <w:r w:rsidR="00CF6633" w:rsidRPr="00F146B0">
        <w:t xml:space="preserve"> </w:t>
      </w:r>
      <w:r w:rsidR="00CF6633">
        <w:t>8</w:t>
      </w:r>
      <w:r w:rsidR="0045134B">
        <w:t>, 9 and 10</w:t>
      </w:r>
      <w:r w:rsidR="00CF6633" w:rsidRPr="00F146B0">
        <w:t xml:space="preserve"> appl</w:t>
      </w:r>
      <w:r w:rsidR="0045134B">
        <w:t>y</w:t>
      </w:r>
      <w:r w:rsidR="00CF6633" w:rsidRPr="00F146B0">
        <w:t xml:space="preserve"> to Medicare as a whole, rather than being specific to telehealth. </w:t>
      </w:r>
      <w:r w:rsidR="00B04292">
        <w:t>The MRAC also not</w:t>
      </w:r>
      <w:r w:rsidR="00856F15">
        <w:t xml:space="preserve">ed that the overarching MBS </w:t>
      </w:r>
      <w:r w:rsidR="00CF1544">
        <w:t>rule</w:t>
      </w:r>
      <w:r w:rsidR="00856F15">
        <w:t xml:space="preserve">s </w:t>
      </w:r>
      <w:r w:rsidR="00D55AEE">
        <w:t xml:space="preserve">apply equally to telehealth. While </w:t>
      </w:r>
      <w:r w:rsidR="00E96FD9">
        <w:t>strongly supportin</w:t>
      </w:r>
      <w:r w:rsidR="000C012D">
        <w:t xml:space="preserve">g </w:t>
      </w:r>
      <w:r w:rsidR="00BC2667">
        <w:t xml:space="preserve">best </w:t>
      </w:r>
      <w:r w:rsidR="005146A2">
        <w:t xml:space="preserve">practice </w:t>
      </w:r>
      <w:r w:rsidR="00D55AEE">
        <w:t xml:space="preserve">and ongoing research, the </w:t>
      </w:r>
      <w:r w:rsidR="00CF1544">
        <w:t xml:space="preserve">MRAC therefore recommended the removal of </w:t>
      </w:r>
      <w:r w:rsidR="006931A3">
        <w:t>P</w:t>
      </w:r>
      <w:r w:rsidR="00CF1544">
        <w:t>rinciples 8, 9 and 10.</w:t>
      </w:r>
    </w:p>
    <w:p w14:paraId="7D7BC99B" w14:textId="20EB0764" w:rsidR="00147742" w:rsidRDefault="00147742" w:rsidP="00147742">
      <w:pPr>
        <w:pStyle w:val="BoxHeading"/>
      </w:pPr>
      <w:r>
        <w:t xml:space="preserve">Recommendation </w:t>
      </w:r>
      <w:r w:rsidR="00A74017">
        <w:t>1</w:t>
      </w:r>
      <w:r>
        <w:t xml:space="preserve">: </w:t>
      </w:r>
      <w:r w:rsidR="00A74017" w:rsidRPr="00C8077C">
        <w:t xml:space="preserve">Adopt the revised MBS Telehealth </w:t>
      </w:r>
      <w:r w:rsidR="006931A3">
        <w:t>P</w:t>
      </w:r>
      <w:r w:rsidR="00A74017" w:rsidRPr="00C8077C">
        <w:t>rinciples.</w:t>
      </w:r>
    </w:p>
    <w:p w14:paraId="56D6B315" w14:textId="5D3CD2C9" w:rsidR="00E932FD" w:rsidRDefault="00E07660" w:rsidP="00EA40C1">
      <w:pPr>
        <w:pStyle w:val="Heading1"/>
      </w:pPr>
      <w:bookmarkStart w:id="86" w:name="_Toc163814586"/>
      <w:r>
        <w:t>T</w:t>
      </w:r>
      <w:r w:rsidR="001F763D">
        <w:t>elehealth services</w:t>
      </w:r>
      <w:r>
        <w:t xml:space="preserve"> review</w:t>
      </w:r>
      <w:bookmarkEnd w:id="86"/>
    </w:p>
    <w:p w14:paraId="0C42B33F" w14:textId="30CEA3FF" w:rsidR="16A77D03" w:rsidRDefault="16A77D03" w:rsidP="69ABD742">
      <w:pPr>
        <w:pStyle w:val="Heading2"/>
      </w:pPr>
      <w:bookmarkStart w:id="87" w:name="_Toc163814587"/>
      <w:r>
        <w:t>Optimal telehealth care, and phone and video services</w:t>
      </w:r>
      <w:bookmarkEnd w:id="87"/>
    </w:p>
    <w:p w14:paraId="55A7F381" w14:textId="02AC0AA1" w:rsidR="00DA0C58" w:rsidRDefault="2D85C468" w:rsidP="00DA0C58">
      <w:pPr>
        <w:pStyle w:val="NormalBeforeBullet"/>
      </w:pPr>
      <w:r>
        <w:t xml:space="preserve">The </w:t>
      </w:r>
      <w:r w:rsidR="352DE5DB">
        <w:t xml:space="preserve">MRAC </w:t>
      </w:r>
      <w:r w:rsidR="789D2C9C">
        <w:t>recalled the</w:t>
      </w:r>
      <w:r w:rsidR="352DE5DB">
        <w:t xml:space="preserve"> evidence </w:t>
      </w:r>
      <w:r w:rsidR="7FF6CCE9">
        <w:t>for</w:t>
      </w:r>
      <w:r w:rsidR="352DE5DB">
        <w:t xml:space="preserve"> comparing </w:t>
      </w:r>
      <w:r w:rsidR="7832A7DB">
        <w:t>telehealth modalities (see</w:t>
      </w:r>
      <w:r w:rsidR="0721185D">
        <w:t xml:space="preserve"> </w:t>
      </w:r>
      <w:hyperlink w:anchor="_Telehealth_vs_face-to-face">
        <w:r w:rsidR="0721185D" w:rsidRPr="69ABD742">
          <w:rPr>
            <w:rStyle w:val="Hyperlink"/>
          </w:rPr>
          <w:t>Telehealth vs face-to-face consultations</w:t>
        </w:r>
      </w:hyperlink>
      <w:r w:rsidR="0721185D">
        <w:t xml:space="preserve"> </w:t>
      </w:r>
      <w:hyperlink w:anchor="_Telehealth_as_a" w:history="1">
        <w:r w:rsidR="001D0CDA" w:rsidRPr="001D0CDA">
          <w:rPr>
            <w:rStyle w:val="Hyperlink"/>
          </w:rPr>
          <w:t>Telehealth as a substitute for in-person care</w:t>
        </w:r>
      </w:hyperlink>
      <w:r w:rsidR="001D0CDA">
        <w:t xml:space="preserve"> </w:t>
      </w:r>
      <w:r w:rsidR="0721185D">
        <w:t>and</w:t>
      </w:r>
      <w:r w:rsidR="7832A7DB">
        <w:t xml:space="preserve"> </w:t>
      </w:r>
      <w:hyperlink w:anchor="_Video_vs_telephone">
        <w:r w:rsidR="53007806" w:rsidRPr="69ABD742">
          <w:rPr>
            <w:rStyle w:val="Hyperlink"/>
          </w:rPr>
          <w:t>Video vs telephone consultations</w:t>
        </w:r>
      </w:hyperlink>
      <w:r w:rsidR="53007806">
        <w:t>)</w:t>
      </w:r>
      <w:r w:rsidR="7FF6CCE9">
        <w:t>.</w:t>
      </w:r>
      <w:r w:rsidR="2F8E7EA3">
        <w:t xml:space="preserve"> </w:t>
      </w:r>
      <w:r>
        <w:t xml:space="preserve">The </w:t>
      </w:r>
      <w:r w:rsidR="7967494C">
        <w:t xml:space="preserve">MRAC </w:t>
      </w:r>
      <w:r w:rsidR="20E765C1">
        <w:t>considered that changes to telehealth services over time resulted in a</w:t>
      </w:r>
      <w:r w:rsidR="008E580B">
        <w:t>n</w:t>
      </w:r>
      <w:r w:rsidR="20E765C1">
        <w:t xml:space="preserve"> </w:t>
      </w:r>
      <w:r w:rsidR="6B9A2DCC">
        <w:t xml:space="preserve">increase of </w:t>
      </w:r>
      <w:r w:rsidR="20E765C1">
        <w:t xml:space="preserve">telehealth </w:t>
      </w:r>
      <w:r w:rsidR="00BC53E2">
        <w:t>consultations</w:t>
      </w:r>
      <w:r w:rsidR="44385071">
        <w:t xml:space="preserve"> </w:t>
      </w:r>
      <w:r w:rsidR="20E765C1">
        <w:t>by video, but it had potentially resulted in inequitable access to telehealth for some populations.</w:t>
      </w:r>
    </w:p>
    <w:p w14:paraId="24E6803B" w14:textId="1B6B4D71" w:rsidR="008E239D" w:rsidRDefault="00E23B19" w:rsidP="00DA0C58">
      <w:pPr>
        <w:pStyle w:val="NormalBeforeBullet"/>
      </w:pPr>
      <w:r>
        <w:t>Some re</w:t>
      </w:r>
      <w:r w:rsidR="20E765C1">
        <w:t xml:space="preserve">search </w:t>
      </w:r>
      <w:r>
        <w:t xml:space="preserve">has </w:t>
      </w:r>
      <w:r w:rsidR="20E765C1">
        <w:t>been published on video-based telehealth,</w:t>
      </w:r>
      <w:r>
        <w:t xml:space="preserve"> but</w:t>
      </w:r>
      <w:r w:rsidR="20E765C1">
        <w:t xml:space="preserve"> evidence from direct comparison of outcomes from video and telephone services remains scarce. E</w:t>
      </w:r>
      <w:r w:rsidR="5230A391">
        <w:t xml:space="preserve">xpert opinion and anecdotal evidence suggested that video would be preferable </w:t>
      </w:r>
      <w:r w:rsidR="69944364">
        <w:t xml:space="preserve">to telephone </w:t>
      </w:r>
      <w:r w:rsidR="5230A391">
        <w:t>and result in better care, especially when:</w:t>
      </w:r>
    </w:p>
    <w:p w14:paraId="39D226C9" w14:textId="6258225D" w:rsidR="008E239D" w:rsidRDefault="3861B6C1" w:rsidP="008E239D">
      <w:pPr>
        <w:pStyle w:val="Bullet"/>
      </w:pPr>
      <w:r>
        <w:t xml:space="preserve">diagnosing a condition with visual </w:t>
      </w:r>
      <w:r w:rsidR="3064A819">
        <w:t xml:space="preserve">signs </w:t>
      </w:r>
      <w:r w:rsidR="7CEF10BA">
        <w:t xml:space="preserve">or </w:t>
      </w:r>
      <w:r w:rsidR="577C9947">
        <w:t>if measurements need to be validated</w:t>
      </w:r>
    </w:p>
    <w:p w14:paraId="6FEC6700" w14:textId="1D3BC082" w:rsidR="00AC6529" w:rsidRDefault="3861B6C1" w:rsidP="69ABD742">
      <w:pPr>
        <w:pStyle w:val="Bullet"/>
      </w:pPr>
      <w:r>
        <w:t xml:space="preserve">consulting about </w:t>
      </w:r>
      <w:r w:rsidR="397B6CF6">
        <w:t xml:space="preserve">a condition where it </w:t>
      </w:r>
      <w:r w:rsidR="61BA325A">
        <w:t>i</w:t>
      </w:r>
      <w:r w:rsidR="397B6CF6">
        <w:t>s important to observe the patient (for example, a</w:t>
      </w:r>
      <w:r w:rsidR="7D1BD487">
        <w:t xml:space="preserve"> patient experiencing a psychotic episode or a patient who has an eating disorde</w:t>
      </w:r>
      <w:r w:rsidR="1BD29C64">
        <w:t>r</w:t>
      </w:r>
      <w:r w:rsidR="397B6CF6">
        <w:t>)</w:t>
      </w:r>
    </w:p>
    <w:p w14:paraId="4E26AE35" w14:textId="1C207CF2" w:rsidR="008E239D" w:rsidRDefault="146AAC52" w:rsidP="008E239D">
      <w:pPr>
        <w:pStyle w:val="BulletLast"/>
      </w:pPr>
      <w:r>
        <w:t>paediatric patients are involved.</w:t>
      </w:r>
    </w:p>
    <w:p w14:paraId="3D9B24D0" w14:textId="1310767E" w:rsidR="004C5C8B" w:rsidRDefault="004C5C8B" w:rsidP="002060AD">
      <w:r>
        <w:t xml:space="preserve">Consistent with Principles 1 and 2, </w:t>
      </w:r>
      <w:r w:rsidRPr="69ABD742">
        <w:rPr>
          <w:lang w:val="en-US"/>
        </w:rPr>
        <w:t xml:space="preserve">clinicians must balance patient needs and preferences with regulatory requirements, clinical safety and effectiveness when deciding whether to offer a telehealth consultation </w:t>
      </w:r>
      <w:r w:rsidR="00DF5E1D">
        <w:rPr>
          <w:lang w:val="en-US"/>
        </w:rPr>
        <w:t>(</w:t>
      </w:r>
      <w:r w:rsidRPr="69ABD742">
        <w:rPr>
          <w:lang w:val="en-US"/>
        </w:rPr>
        <w:t>and which modality to use</w:t>
      </w:r>
      <w:r w:rsidR="00DF5E1D">
        <w:rPr>
          <w:lang w:val="en-US"/>
        </w:rPr>
        <w:t>)</w:t>
      </w:r>
      <w:r>
        <w:t xml:space="preserve">. For example, if a patient requested a phone consultation but the clinician felt </w:t>
      </w:r>
      <w:r w:rsidR="00AA1EDD">
        <w:t>it</w:t>
      </w:r>
      <w:r>
        <w:t xml:space="preserve"> was</w:t>
      </w:r>
      <w:r w:rsidR="00070A49">
        <w:t xml:space="preserve"> not</w:t>
      </w:r>
      <w:r>
        <w:t xml:space="preserve"> clinically inappropriate, then the clinician would reserve the right to refuse to provide that type of service.</w:t>
      </w:r>
      <w:r w:rsidR="00DF0E14">
        <w:t xml:space="preserve"> These decisions should be clearly communicated to the patient. On the other hand, patients should be able to access telehealth if it is clinically appropriate.</w:t>
      </w:r>
      <w:r w:rsidR="00E112E3">
        <w:t xml:space="preserve"> </w:t>
      </w:r>
    </w:p>
    <w:p w14:paraId="23FCB8B0" w14:textId="1D913166" w:rsidR="00596124" w:rsidRDefault="007F302B" w:rsidP="002060AD">
      <w:pPr>
        <w:pStyle w:val="NormalBeforeBullet"/>
      </w:pPr>
      <w:r>
        <w:t>T</w:t>
      </w:r>
      <w:r w:rsidR="009475A5">
        <w:t xml:space="preserve">he MRAC </w:t>
      </w:r>
      <w:r>
        <w:t xml:space="preserve">identified </w:t>
      </w:r>
      <w:r w:rsidR="00930427">
        <w:t>the following</w:t>
      </w:r>
      <w:r w:rsidR="008415BF">
        <w:t xml:space="preserve"> telehealth</w:t>
      </w:r>
      <w:r w:rsidR="00D92320">
        <w:t xml:space="preserve"> services to be in scope</w:t>
      </w:r>
      <w:r w:rsidR="008415BF">
        <w:t xml:space="preserve"> for reintroduction</w:t>
      </w:r>
      <w:r w:rsidR="00D92320">
        <w:t xml:space="preserve">: </w:t>
      </w:r>
    </w:p>
    <w:p w14:paraId="0BC65A86" w14:textId="46564A9F" w:rsidR="009B05BD" w:rsidRDefault="3E2534E5" w:rsidP="002060AD">
      <w:pPr>
        <w:pStyle w:val="Bullet"/>
      </w:pPr>
      <w:r>
        <w:t xml:space="preserve">GP </w:t>
      </w:r>
      <w:r w:rsidR="2600113D">
        <w:t>C</w:t>
      </w:r>
      <w:r w:rsidR="1A294BF9">
        <w:t>hronic</w:t>
      </w:r>
      <w:r w:rsidR="2600113D">
        <w:t xml:space="preserve"> Disease</w:t>
      </w:r>
      <w:r w:rsidR="1A294BF9">
        <w:t xml:space="preserve"> </w:t>
      </w:r>
      <w:r w:rsidR="2600113D">
        <w:t>M</w:t>
      </w:r>
      <w:r w:rsidR="1A294BF9">
        <w:t>anagement plans</w:t>
      </w:r>
      <w:r w:rsidR="33E8B630">
        <w:t xml:space="preserve"> and reviews</w:t>
      </w:r>
    </w:p>
    <w:p w14:paraId="1F1C962A" w14:textId="22F156F1" w:rsidR="008B654D" w:rsidRDefault="1A294BF9" w:rsidP="00BF2874">
      <w:pPr>
        <w:pStyle w:val="BulletBeforeDash"/>
      </w:pPr>
      <w:r>
        <w:t xml:space="preserve">subsequent </w:t>
      </w:r>
      <w:r w:rsidR="3E2534E5">
        <w:t xml:space="preserve">consultations </w:t>
      </w:r>
      <w:r w:rsidR="51E604C6">
        <w:t>for consultant physicians</w:t>
      </w:r>
      <w:r w:rsidR="3E2534E5">
        <w:t xml:space="preserve"> as part of ongoing care</w:t>
      </w:r>
      <w:r w:rsidR="68915ED5">
        <w:t xml:space="preserve"> (see Table 2)</w:t>
      </w:r>
      <w:r>
        <w:br/>
      </w:r>
      <w:r w:rsidR="68915ED5">
        <w:t xml:space="preserve"> </w:t>
      </w:r>
      <w:r>
        <w:br/>
      </w:r>
      <w:r w:rsidR="68915ED5" w:rsidRPr="07D162B7">
        <w:rPr>
          <w:u w:val="single"/>
        </w:rPr>
        <w:t>Table 2.</w:t>
      </w:r>
      <w:r w:rsidR="516056E1" w:rsidRPr="07D162B7">
        <w:rPr>
          <w:u w:val="single"/>
        </w:rPr>
        <w:t>Subsequent consultations</w:t>
      </w:r>
    </w:p>
    <w:tbl>
      <w:tblPr>
        <w:tblpPr w:leftFromText="180" w:rightFromText="180" w:vertAnchor="text"/>
        <w:tblW w:w="8921" w:type="dxa"/>
        <w:tblCellMar>
          <w:left w:w="0" w:type="dxa"/>
          <w:right w:w="0" w:type="dxa"/>
        </w:tblCellMar>
        <w:tblLook w:val="04A0" w:firstRow="1" w:lastRow="0" w:firstColumn="1" w:lastColumn="0" w:noHBand="0" w:noVBand="1"/>
      </w:tblPr>
      <w:tblGrid>
        <w:gridCol w:w="4810"/>
        <w:gridCol w:w="1134"/>
        <w:gridCol w:w="1276"/>
        <w:gridCol w:w="1701"/>
      </w:tblGrid>
      <w:tr w:rsidR="008B654D" w14:paraId="322AF002" w14:textId="77777777" w:rsidTr="005A4430">
        <w:trPr>
          <w:trHeight w:val="553"/>
          <w:tblHeader/>
        </w:trPr>
        <w:tc>
          <w:tcPr>
            <w:tcW w:w="4810" w:type="dxa"/>
            <w:tcBorders>
              <w:top w:val="single" w:sz="8" w:space="0" w:color="67A19D"/>
              <w:left w:val="single" w:sz="8" w:space="0" w:color="67A19D"/>
              <w:bottom w:val="single" w:sz="8" w:space="0" w:color="67A19D"/>
              <w:right w:val="nil"/>
            </w:tcBorders>
            <w:shd w:val="clear" w:color="auto" w:fill="008080"/>
            <w:tcMar>
              <w:top w:w="0" w:type="dxa"/>
              <w:left w:w="108" w:type="dxa"/>
              <w:bottom w:w="0" w:type="dxa"/>
              <w:right w:w="108" w:type="dxa"/>
            </w:tcMar>
            <w:vAlign w:val="center"/>
            <w:hideMark/>
          </w:tcPr>
          <w:p w14:paraId="26B98E45" w14:textId="77777777" w:rsidR="008B654D" w:rsidRDefault="008B654D" w:rsidP="005A4430">
            <w:pPr>
              <w:spacing w:after="0"/>
              <w:rPr>
                <w:rFonts w:ascii="Arial" w:hAnsi="Arial"/>
                <w:b/>
                <w:bCs/>
                <w:color w:val="FFFFFF"/>
                <w:sz w:val="20"/>
                <w:lang w:eastAsia="en-AU"/>
              </w:rPr>
            </w:pPr>
            <w:bookmarkStart w:id="88" w:name="_Hlk124767516"/>
            <w:r>
              <w:rPr>
                <w:b/>
                <w:bCs/>
                <w:color w:val="FFFFFF"/>
                <w:sz w:val="20"/>
                <w:lang w:eastAsia="en-AU"/>
              </w:rPr>
              <w:t>Service</w:t>
            </w:r>
          </w:p>
        </w:tc>
        <w:tc>
          <w:tcPr>
            <w:tcW w:w="1134" w:type="dxa"/>
            <w:tcBorders>
              <w:top w:val="single" w:sz="8" w:space="0" w:color="67A19D"/>
              <w:left w:val="nil"/>
              <w:bottom w:val="single" w:sz="8" w:space="0" w:color="67A19D"/>
              <w:right w:val="nil"/>
            </w:tcBorders>
            <w:shd w:val="clear" w:color="auto" w:fill="008080"/>
            <w:tcMar>
              <w:top w:w="0" w:type="dxa"/>
              <w:left w:w="108" w:type="dxa"/>
              <w:bottom w:w="0" w:type="dxa"/>
              <w:right w:w="108" w:type="dxa"/>
            </w:tcMar>
            <w:vAlign w:val="center"/>
            <w:hideMark/>
          </w:tcPr>
          <w:p w14:paraId="3793ABB5" w14:textId="19816F44" w:rsidR="008B654D" w:rsidRDefault="008B654D" w:rsidP="005A4430">
            <w:pPr>
              <w:spacing w:after="0"/>
              <w:rPr>
                <w:b/>
                <w:bCs/>
                <w:color w:val="FFFFFF"/>
                <w:sz w:val="20"/>
                <w:lang w:eastAsia="en-AU"/>
              </w:rPr>
            </w:pPr>
            <w:r>
              <w:rPr>
                <w:b/>
                <w:bCs/>
                <w:color w:val="FFFFFF"/>
                <w:sz w:val="20"/>
                <w:lang w:eastAsia="en-AU"/>
              </w:rPr>
              <w:t>Face-to-face</w:t>
            </w:r>
            <w:r w:rsidR="007F0CEA">
              <w:rPr>
                <w:b/>
                <w:bCs/>
                <w:color w:val="FFFFFF"/>
                <w:sz w:val="20"/>
                <w:lang w:eastAsia="en-AU"/>
              </w:rPr>
              <w:t xml:space="preserve"> item</w:t>
            </w:r>
          </w:p>
        </w:tc>
        <w:tc>
          <w:tcPr>
            <w:tcW w:w="1276" w:type="dxa"/>
            <w:tcBorders>
              <w:top w:val="single" w:sz="8" w:space="0" w:color="67A19D"/>
              <w:left w:val="nil"/>
              <w:bottom w:val="single" w:sz="8" w:space="0" w:color="67A19D"/>
              <w:right w:val="nil"/>
            </w:tcBorders>
            <w:shd w:val="clear" w:color="auto" w:fill="008080"/>
            <w:tcMar>
              <w:top w:w="0" w:type="dxa"/>
              <w:left w:w="108" w:type="dxa"/>
              <w:bottom w:w="0" w:type="dxa"/>
              <w:right w:w="108" w:type="dxa"/>
            </w:tcMar>
            <w:vAlign w:val="center"/>
            <w:hideMark/>
          </w:tcPr>
          <w:p w14:paraId="372F12E6" w14:textId="6584E55C" w:rsidR="008B654D" w:rsidRDefault="008B654D" w:rsidP="005A4430">
            <w:pPr>
              <w:spacing w:after="0"/>
              <w:rPr>
                <w:b/>
                <w:bCs/>
                <w:color w:val="FFFFFF"/>
                <w:sz w:val="20"/>
                <w:lang w:eastAsia="en-AU"/>
              </w:rPr>
            </w:pPr>
            <w:r>
              <w:rPr>
                <w:b/>
                <w:bCs/>
                <w:color w:val="FFFFFF"/>
                <w:sz w:val="20"/>
                <w:lang w:eastAsia="en-AU"/>
              </w:rPr>
              <w:t xml:space="preserve">Video </w:t>
            </w:r>
            <w:r w:rsidR="007F0CEA">
              <w:rPr>
                <w:b/>
                <w:bCs/>
                <w:color w:val="FFFFFF"/>
                <w:sz w:val="20"/>
                <w:lang w:eastAsia="en-AU"/>
              </w:rPr>
              <w:t>item</w:t>
            </w:r>
          </w:p>
        </w:tc>
        <w:tc>
          <w:tcPr>
            <w:tcW w:w="1701" w:type="dxa"/>
            <w:tcBorders>
              <w:top w:val="single" w:sz="8" w:space="0" w:color="67A19D"/>
              <w:left w:val="nil"/>
              <w:bottom w:val="single" w:sz="8" w:space="0" w:color="67A19D"/>
              <w:right w:val="single" w:sz="8" w:space="0" w:color="67A19D"/>
            </w:tcBorders>
            <w:shd w:val="clear" w:color="auto" w:fill="008080"/>
            <w:tcMar>
              <w:top w:w="0" w:type="dxa"/>
              <w:left w:w="108" w:type="dxa"/>
              <w:bottom w:w="0" w:type="dxa"/>
              <w:right w:w="108" w:type="dxa"/>
            </w:tcMar>
            <w:vAlign w:val="center"/>
            <w:hideMark/>
          </w:tcPr>
          <w:p w14:paraId="23F4DAB9" w14:textId="77777777" w:rsidR="008B654D" w:rsidRDefault="008B654D" w:rsidP="005A4430">
            <w:pPr>
              <w:spacing w:after="0"/>
              <w:rPr>
                <w:b/>
                <w:bCs/>
                <w:color w:val="FFFFFF"/>
                <w:sz w:val="20"/>
                <w:lang w:eastAsia="en-AU"/>
              </w:rPr>
            </w:pPr>
            <w:r>
              <w:rPr>
                <w:b/>
                <w:bCs/>
                <w:color w:val="FFFFFF"/>
                <w:sz w:val="20"/>
                <w:lang w:eastAsia="en-AU"/>
              </w:rPr>
              <w:t>Telephone items</w:t>
            </w:r>
          </w:p>
        </w:tc>
        <w:bookmarkEnd w:id="88"/>
      </w:tr>
      <w:tr w:rsidR="008B654D" w14:paraId="44BCC3B8" w14:textId="77777777" w:rsidTr="00BF2874">
        <w:trPr>
          <w:trHeight w:val="325"/>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vAlign w:val="center"/>
            <w:hideMark/>
          </w:tcPr>
          <w:p w14:paraId="1FEFA729" w14:textId="77777777" w:rsidR="008B654D" w:rsidRPr="00BF2874" w:rsidRDefault="008B654D" w:rsidP="00072C55">
            <w:pPr>
              <w:spacing w:after="0"/>
              <w:rPr>
                <w:sz w:val="20"/>
                <w:lang w:eastAsia="en-AU"/>
              </w:rPr>
            </w:pPr>
            <w:r w:rsidRPr="00BF2874">
              <w:rPr>
                <w:sz w:val="20"/>
                <w:lang w:eastAsia="en-AU"/>
              </w:rPr>
              <w:t>Consultant physician. Subsequent attendance</w:t>
            </w:r>
          </w:p>
        </w:tc>
        <w:tc>
          <w:tcPr>
            <w:tcW w:w="1134" w:type="dxa"/>
            <w:tcBorders>
              <w:top w:val="nil"/>
              <w:left w:val="nil"/>
              <w:bottom w:val="single" w:sz="8" w:space="0" w:color="67A19D"/>
              <w:right w:val="single" w:sz="8" w:space="0" w:color="67A19D"/>
            </w:tcBorders>
            <w:tcMar>
              <w:top w:w="0" w:type="dxa"/>
              <w:left w:w="108" w:type="dxa"/>
              <w:bottom w:w="0" w:type="dxa"/>
              <w:right w:w="108" w:type="dxa"/>
            </w:tcMar>
            <w:vAlign w:val="center"/>
            <w:hideMark/>
          </w:tcPr>
          <w:p w14:paraId="47EC9ABF" w14:textId="77777777" w:rsidR="008B654D" w:rsidRDefault="008B654D" w:rsidP="00BF2874">
            <w:pPr>
              <w:spacing w:after="0"/>
              <w:jc w:val="center"/>
              <w:rPr>
                <w:sz w:val="20"/>
                <w:lang w:eastAsia="en-AU"/>
              </w:rPr>
            </w:pPr>
            <w:r>
              <w:rPr>
                <w:sz w:val="20"/>
                <w:lang w:eastAsia="en-AU"/>
              </w:rPr>
              <w:t>116</w:t>
            </w:r>
          </w:p>
        </w:tc>
        <w:tc>
          <w:tcPr>
            <w:tcW w:w="1276" w:type="dxa"/>
            <w:tcBorders>
              <w:top w:val="nil"/>
              <w:left w:val="nil"/>
              <w:bottom w:val="single" w:sz="8" w:space="0" w:color="67A19D"/>
              <w:right w:val="single" w:sz="8" w:space="0" w:color="67A19D"/>
            </w:tcBorders>
            <w:tcMar>
              <w:top w:w="0" w:type="dxa"/>
              <w:left w:w="108" w:type="dxa"/>
              <w:bottom w:w="0" w:type="dxa"/>
              <w:right w:w="108" w:type="dxa"/>
            </w:tcMar>
            <w:vAlign w:val="center"/>
            <w:hideMark/>
          </w:tcPr>
          <w:p w14:paraId="5AF97CD5" w14:textId="77777777" w:rsidR="008B654D" w:rsidRDefault="008B654D" w:rsidP="00BF2874">
            <w:pPr>
              <w:spacing w:after="0"/>
              <w:jc w:val="center"/>
              <w:rPr>
                <w:sz w:val="20"/>
                <w:lang w:eastAsia="en-AU"/>
              </w:rPr>
            </w:pPr>
            <w:r>
              <w:rPr>
                <w:sz w:val="20"/>
                <w:lang w:eastAsia="en-AU"/>
              </w:rPr>
              <w:t>91825</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3036E35A" w14:textId="77777777" w:rsidR="008B654D" w:rsidRPr="00BF2874" w:rsidRDefault="008B654D" w:rsidP="00BF2874">
            <w:pPr>
              <w:spacing w:after="0"/>
              <w:jc w:val="center"/>
              <w:rPr>
                <w:b/>
                <w:bCs/>
                <w:sz w:val="20"/>
                <w:lang w:eastAsia="en-AU"/>
              </w:rPr>
            </w:pPr>
            <w:r w:rsidRPr="00BF2874">
              <w:rPr>
                <w:b/>
                <w:bCs/>
                <w:sz w:val="20"/>
                <w:lang w:eastAsia="en-AU"/>
              </w:rPr>
              <w:t>New Item</w:t>
            </w:r>
          </w:p>
        </w:tc>
      </w:tr>
      <w:tr w:rsidR="008B654D" w14:paraId="16E09C19" w14:textId="77777777" w:rsidTr="00BF2874">
        <w:trPr>
          <w:trHeight w:val="399"/>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18AD4363" w14:textId="0CE3E80A" w:rsidR="008B654D" w:rsidRPr="00BF2874" w:rsidRDefault="008B654D" w:rsidP="00072C55">
            <w:pPr>
              <w:spacing w:after="0"/>
              <w:rPr>
                <w:sz w:val="20"/>
                <w:lang w:eastAsia="en-AU"/>
              </w:rPr>
            </w:pPr>
            <w:r w:rsidRPr="00BF2874">
              <w:rPr>
                <w:sz w:val="20"/>
                <w:lang w:eastAsia="en-AU"/>
              </w:rPr>
              <w:t>Consultant physician, Subsequent assessment</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49FEE2C3" w14:textId="77777777" w:rsidR="008B654D" w:rsidRDefault="008B654D" w:rsidP="00BF2874">
            <w:pPr>
              <w:spacing w:after="0"/>
              <w:jc w:val="center"/>
              <w:rPr>
                <w:sz w:val="20"/>
                <w:lang w:eastAsia="en-AU"/>
              </w:rPr>
            </w:pPr>
            <w:r>
              <w:rPr>
                <w:sz w:val="20"/>
                <w:lang w:eastAsia="en-AU"/>
              </w:rPr>
              <w:t>133</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524E3CB6" w14:textId="77777777" w:rsidR="008B654D" w:rsidRDefault="008B654D" w:rsidP="00BF2874">
            <w:pPr>
              <w:spacing w:after="0"/>
              <w:jc w:val="center"/>
              <w:rPr>
                <w:sz w:val="20"/>
                <w:lang w:eastAsia="en-AU"/>
              </w:rPr>
            </w:pPr>
            <w:r>
              <w:rPr>
                <w:sz w:val="20"/>
                <w:lang w:eastAsia="en-AU"/>
              </w:rPr>
              <w:t>92423</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1E7C0536"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2E3E173A" w14:textId="77777777" w:rsidTr="00BF2874">
        <w:trPr>
          <w:trHeight w:val="405"/>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41D11664" w14:textId="591C86E9" w:rsidR="008B654D" w:rsidRDefault="008B654D" w:rsidP="00072C55">
            <w:pPr>
              <w:spacing w:after="0"/>
              <w:rPr>
                <w:sz w:val="20"/>
                <w:lang w:eastAsia="en-AU"/>
              </w:rPr>
            </w:pPr>
            <w:r w:rsidRPr="00BF2874">
              <w:rPr>
                <w:sz w:val="20"/>
                <w:lang w:eastAsia="en-AU"/>
              </w:rPr>
              <w:t>Neurosurgeon, subsequent attendance</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0D54D3B9" w14:textId="77777777" w:rsidR="008B654D" w:rsidRDefault="008B654D" w:rsidP="00BF2874">
            <w:pPr>
              <w:spacing w:after="0"/>
              <w:jc w:val="center"/>
              <w:rPr>
                <w:sz w:val="20"/>
                <w:lang w:eastAsia="en-AU"/>
              </w:rPr>
            </w:pPr>
            <w:r>
              <w:rPr>
                <w:sz w:val="20"/>
                <w:lang w:eastAsia="en-AU"/>
              </w:rPr>
              <w:t>6011</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0A4B0813" w14:textId="77777777" w:rsidR="008B654D" w:rsidRDefault="008B654D" w:rsidP="00BF2874">
            <w:pPr>
              <w:spacing w:after="0"/>
              <w:jc w:val="center"/>
              <w:rPr>
                <w:sz w:val="20"/>
                <w:lang w:eastAsia="en-AU"/>
              </w:rPr>
            </w:pPr>
            <w:r>
              <w:rPr>
                <w:sz w:val="20"/>
                <w:lang w:eastAsia="en-AU"/>
              </w:rPr>
              <w:t>92612</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7B81664A"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5672A74A" w14:textId="77777777" w:rsidTr="00BF2874">
        <w:trPr>
          <w:trHeight w:val="411"/>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1F0DC6BE" w14:textId="007DAB9E" w:rsidR="008B654D" w:rsidRDefault="008B654D" w:rsidP="00072C55">
            <w:pPr>
              <w:spacing w:after="0"/>
              <w:rPr>
                <w:sz w:val="20"/>
                <w:lang w:eastAsia="en-AU"/>
              </w:rPr>
            </w:pPr>
            <w:r w:rsidRPr="00BF2874">
              <w:rPr>
                <w:sz w:val="20"/>
                <w:lang w:eastAsia="en-AU"/>
              </w:rPr>
              <w:t>Neurosurgeon, subsequent attendance</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6E8E231D" w14:textId="77777777" w:rsidR="008B654D" w:rsidRDefault="008B654D" w:rsidP="00BF2874">
            <w:pPr>
              <w:spacing w:after="0"/>
              <w:jc w:val="center"/>
              <w:rPr>
                <w:sz w:val="20"/>
                <w:lang w:eastAsia="en-AU"/>
              </w:rPr>
            </w:pPr>
            <w:r>
              <w:rPr>
                <w:sz w:val="20"/>
                <w:lang w:eastAsia="en-AU"/>
              </w:rPr>
              <w:t>6013</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5DE6034C" w14:textId="77777777" w:rsidR="008B654D" w:rsidRDefault="008B654D" w:rsidP="00BF2874">
            <w:pPr>
              <w:spacing w:after="0"/>
              <w:jc w:val="center"/>
              <w:rPr>
                <w:sz w:val="20"/>
                <w:lang w:eastAsia="en-AU"/>
              </w:rPr>
            </w:pPr>
            <w:r>
              <w:rPr>
                <w:sz w:val="20"/>
                <w:lang w:eastAsia="en-AU"/>
              </w:rPr>
              <w:t>92613</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5C196CE0"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7F1569D4" w14:textId="77777777" w:rsidTr="00BF2874">
        <w:trPr>
          <w:trHeight w:val="393"/>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07889A87" w14:textId="3FA99FFD" w:rsidR="008B654D" w:rsidRDefault="008B654D" w:rsidP="00072C55">
            <w:pPr>
              <w:spacing w:after="0"/>
              <w:rPr>
                <w:sz w:val="20"/>
                <w:lang w:eastAsia="en-AU"/>
              </w:rPr>
            </w:pPr>
            <w:r w:rsidRPr="00BF2874">
              <w:rPr>
                <w:sz w:val="20"/>
                <w:lang w:eastAsia="en-AU"/>
              </w:rPr>
              <w:t>Neurosurgeon, subsequent attendance</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1E9CDBF3" w14:textId="77777777" w:rsidR="008B654D" w:rsidRDefault="008B654D" w:rsidP="00BF2874">
            <w:pPr>
              <w:spacing w:after="0"/>
              <w:jc w:val="center"/>
              <w:rPr>
                <w:sz w:val="20"/>
                <w:lang w:eastAsia="en-AU"/>
              </w:rPr>
            </w:pPr>
            <w:r>
              <w:rPr>
                <w:sz w:val="20"/>
                <w:lang w:eastAsia="en-AU"/>
              </w:rPr>
              <w:t>6015</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02AEC7E2" w14:textId="77777777" w:rsidR="008B654D" w:rsidRDefault="008B654D" w:rsidP="00BF2874">
            <w:pPr>
              <w:spacing w:after="0"/>
              <w:jc w:val="center"/>
              <w:rPr>
                <w:sz w:val="20"/>
                <w:lang w:eastAsia="en-AU"/>
              </w:rPr>
            </w:pPr>
            <w:r>
              <w:rPr>
                <w:sz w:val="20"/>
                <w:lang w:eastAsia="en-AU"/>
              </w:rPr>
              <w:t>92614</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0636CAF9"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79A2B5C7" w14:textId="77777777" w:rsidTr="00BF2874">
        <w:trPr>
          <w:trHeight w:val="413"/>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7389E3C3" w14:textId="77193C4E" w:rsidR="008B654D" w:rsidRDefault="008B654D" w:rsidP="00072C55">
            <w:pPr>
              <w:spacing w:after="0"/>
              <w:rPr>
                <w:sz w:val="20"/>
                <w:lang w:eastAsia="en-AU"/>
              </w:rPr>
            </w:pPr>
            <w:r w:rsidRPr="00BF2874">
              <w:rPr>
                <w:sz w:val="20"/>
                <w:lang w:eastAsia="en-AU"/>
              </w:rPr>
              <w:t>Geriatrician, review a management plan,</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0BF3A734" w14:textId="77777777" w:rsidR="008B654D" w:rsidRDefault="008B654D" w:rsidP="00BF2874">
            <w:pPr>
              <w:spacing w:after="0"/>
              <w:jc w:val="center"/>
              <w:rPr>
                <w:sz w:val="20"/>
                <w:lang w:eastAsia="en-AU"/>
              </w:rPr>
            </w:pPr>
            <w:r>
              <w:rPr>
                <w:sz w:val="20"/>
                <w:lang w:eastAsia="en-AU"/>
              </w:rPr>
              <w:t>143</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1D623701" w14:textId="77777777" w:rsidR="008B654D" w:rsidRDefault="008B654D" w:rsidP="00BF2874">
            <w:pPr>
              <w:spacing w:after="0"/>
              <w:jc w:val="center"/>
              <w:rPr>
                <w:sz w:val="20"/>
                <w:lang w:eastAsia="en-AU"/>
              </w:rPr>
            </w:pPr>
            <w:r>
              <w:rPr>
                <w:sz w:val="20"/>
                <w:lang w:eastAsia="en-AU"/>
              </w:rPr>
              <w:t>92624</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5BE4F548"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1CC86E4A" w14:textId="77777777" w:rsidTr="00BF2874">
        <w:trPr>
          <w:trHeight w:val="405"/>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72247F56" w14:textId="4D113EFD" w:rsidR="008B654D" w:rsidRDefault="008B654D" w:rsidP="00072C55">
            <w:pPr>
              <w:spacing w:after="0"/>
              <w:rPr>
                <w:sz w:val="20"/>
                <w:lang w:eastAsia="en-AU"/>
              </w:rPr>
            </w:pPr>
            <w:r w:rsidRPr="00BF2874">
              <w:rPr>
                <w:sz w:val="20"/>
                <w:lang w:eastAsia="en-AU"/>
              </w:rPr>
              <w:t>Consultant psychiatrist, review management plan</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7D3603BE" w14:textId="77777777" w:rsidR="008B654D" w:rsidRDefault="008B654D" w:rsidP="00BF2874">
            <w:pPr>
              <w:spacing w:after="0"/>
              <w:jc w:val="center"/>
              <w:rPr>
                <w:sz w:val="20"/>
                <w:lang w:eastAsia="en-AU"/>
              </w:rPr>
            </w:pPr>
            <w:r>
              <w:rPr>
                <w:sz w:val="20"/>
                <w:lang w:eastAsia="en-AU"/>
              </w:rPr>
              <w:t>293</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1C3A99D2" w14:textId="77777777" w:rsidR="008B654D" w:rsidRDefault="008B654D" w:rsidP="00BF2874">
            <w:pPr>
              <w:spacing w:after="0"/>
              <w:jc w:val="center"/>
              <w:rPr>
                <w:sz w:val="20"/>
                <w:lang w:eastAsia="en-AU"/>
              </w:rPr>
            </w:pPr>
            <w:r>
              <w:rPr>
                <w:sz w:val="20"/>
                <w:lang w:eastAsia="en-AU"/>
              </w:rPr>
              <w:t>92436</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0F2BC244"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272B1EA1" w14:textId="77777777" w:rsidTr="00BF2874">
        <w:trPr>
          <w:trHeight w:val="279"/>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503BE094" w14:textId="1F7AC1CC" w:rsidR="008B654D" w:rsidRDefault="008B654D" w:rsidP="00072C55">
            <w:pPr>
              <w:spacing w:after="0"/>
              <w:rPr>
                <w:sz w:val="20"/>
                <w:lang w:eastAsia="en-AU"/>
              </w:rPr>
            </w:pPr>
            <w:r w:rsidRPr="00BF2874">
              <w:rPr>
                <w:sz w:val="20"/>
                <w:lang w:eastAsia="en-AU"/>
              </w:rPr>
              <w:t>Consultant psychiatrist, review management plan</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2423637C" w14:textId="77777777" w:rsidR="008B654D" w:rsidRDefault="008B654D" w:rsidP="00BF2874">
            <w:pPr>
              <w:spacing w:after="0"/>
              <w:jc w:val="center"/>
              <w:rPr>
                <w:sz w:val="20"/>
                <w:lang w:eastAsia="en-AU"/>
              </w:rPr>
            </w:pPr>
            <w:r>
              <w:rPr>
                <w:sz w:val="20"/>
                <w:lang w:eastAsia="en-AU"/>
              </w:rPr>
              <w:t>293</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7CAC5E17" w14:textId="77777777" w:rsidR="008B654D" w:rsidRDefault="008B654D" w:rsidP="00BF2874">
            <w:pPr>
              <w:spacing w:after="0"/>
              <w:jc w:val="center"/>
              <w:rPr>
                <w:sz w:val="20"/>
                <w:lang w:eastAsia="en-AU"/>
              </w:rPr>
            </w:pPr>
            <w:r>
              <w:rPr>
                <w:sz w:val="20"/>
                <w:lang w:eastAsia="en-AU"/>
              </w:rPr>
              <w:t>92436</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7BA29495"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r w:rsidR="008B654D" w14:paraId="2D14B335" w14:textId="77777777" w:rsidTr="00BF2874">
        <w:trPr>
          <w:trHeight w:val="317"/>
        </w:trPr>
        <w:tc>
          <w:tcPr>
            <w:tcW w:w="4810" w:type="dxa"/>
            <w:tcBorders>
              <w:top w:val="nil"/>
              <w:left w:val="single" w:sz="8" w:space="0" w:color="67A19D"/>
              <w:bottom w:val="single" w:sz="8" w:space="0" w:color="67A19D"/>
              <w:right w:val="single" w:sz="8" w:space="0" w:color="67A19D"/>
            </w:tcBorders>
            <w:tcMar>
              <w:top w:w="0" w:type="dxa"/>
              <w:left w:w="108" w:type="dxa"/>
              <w:bottom w:w="0" w:type="dxa"/>
              <w:right w:w="108" w:type="dxa"/>
            </w:tcMar>
            <w:hideMark/>
          </w:tcPr>
          <w:p w14:paraId="3C42BBC3" w14:textId="782F05A0" w:rsidR="008B654D" w:rsidRDefault="008B654D" w:rsidP="00072C55">
            <w:pPr>
              <w:spacing w:after="0"/>
              <w:rPr>
                <w:sz w:val="20"/>
                <w:lang w:eastAsia="en-AU"/>
              </w:rPr>
            </w:pPr>
            <w:r w:rsidRPr="00BF2874">
              <w:rPr>
                <w:sz w:val="20"/>
                <w:lang w:eastAsia="en-AU"/>
              </w:rPr>
              <w:t>Paediatrician, to review an eating disorder plan</w:t>
            </w:r>
          </w:p>
        </w:tc>
        <w:tc>
          <w:tcPr>
            <w:tcW w:w="1134" w:type="dxa"/>
            <w:tcBorders>
              <w:top w:val="nil"/>
              <w:left w:val="nil"/>
              <w:bottom w:val="single" w:sz="8" w:space="0" w:color="67A19D"/>
              <w:right w:val="single" w:sz="8" w:space="0" w:color="67A19D"/>
            </w:tcBorders>
            <w:tcMar>
              <w:top w:w="0" w:type="dxa"/>
              <w:left w:w="108" w:type="dxa"/>
              <w:bottom w:w="0" w:type="dxa"/>
              <w:right w:w="108" w:type="dxa"/>
            </w:tcMar>
            <w:hideMark/>
          </w:tcPr>
          <w:p w14:paraId="672A074C" w14:textId="77777777" w:rsidR="008B654D" w:rsidRDefault="008B654D" w:rsidP="00BF2874">
            <w:pPr>
              <w:spacing w:after="0"/>
              <w:jc w:val="center"/>
              <w:rPr>
                <w:sz w:val="20"/>
                <w:lang w:eastAsia="en-AU"/>
              </w:rPr>
            </w:pPr>
            <w:r>
              <w:rPr>
                <w:sz w:val="20"/>
                <w:lang w:eastAsia="en-AU"/>
              </w:rPr>
              <w:t>90267</w:t>
            </w:r>
          </w:p>
        </w:tc>
        <w:tc>
          <w:tcPr>
            <w:tcW w:w="1276" w:type="dxa"/>
            <w:tcBorders>
              <w:top w:val="nil"/>
              <w:left w:val="nil"/>
              <w:bottom w:val="single" w:sz="8" w:space="0" w:color="67A19D"/>
              <w:right w:val="single" w:sz="8" w:space="0" w:color="67A19D"/>
            </w:tcBorders>
            <w:tcMar>
              <w:top w:w="0" w:type="dxa"/>
              <w:left w:w="108" w:type="dxa"/>
              <w:bottom w:w="0" w:type="dxa"/>
              <w:right w:w="108" w:type="dxa"/>
            </w:tcMar>
            <w:hideMark/>
          </w:tcPr>
          <w:p w14:paraId="5266D82F" w14:textId="77777777" w:rsidR="008B654D" w:rsidRDefault="008B654D" w:rsidP="00BF2874">
            <w:pPr>
              <w:spacing w:after="0"/>
              <w:jc w:val="center"/>
              <w:rPr>
                <w:sz w:val="20"/>
                <w:lang w:eastAsia="en-AU"/>
              </w:rPr>
            </w:pPr>
            <w:r>
              <w:rPr>
                <w:sz w:val="20"/>
                <w:lang w:eastAsia="en-AU"/>
              </w:rPr>
              <w:t>92173</w:t>
            </w:r>
          </w:p>
        </w:tc>
        <w:tc>
          <w:tcPr>
            <w:tcW w:w="1701" w:type="dxa"/>
            <w:tcBorders>
              <w:top w:val="nil"/>
              <w:left w:val="nil"/>
              <w:bottom w:val="single" w:sz="8" w:space="0" w:color="67A19D"/>
              <w:right w:val="single" w:sz="8" w:space="0" w:color="67A19D"/>
            </w:tcBorders>
            <w:tcMar>
              <w:top w:w="0" w:type="dxa"/>
              <w:left w:w="108" w:type="dxa"/>
              <w:bottom w:w="0" w:type="dxa"/>
              <w:right w:w="108" w:type="dxa"/>
            </w:tcMar>
            <w:hideMark/>
          </w:tcPr>
          <w:p w14:paraId="4E805A4A" w14:textId="77777777" w:rsidR="008B654D" w:rsidRPr="00BF2874" w:rsidRDefault="008B654D" w:rsidP="00BF2874">
            <w:pPr>
              <w:pStyle w:val="Tabletextleft"/>
              <w:spacing w:before="0" w:after="0"/>
              <w:jc w:val="center"/>
              <w:rPr>
                <w:rFonts w:ascii="Calibri" w:eastAsia="Times New Roman" w:hAnsi="Calibri" w:cs="Times New Roman"/>
                <w:sz w:val="20"/>
                <w:szCs w:val="20"/>
                <w:lang w:eastAsia="en-AU"/>
              </w:rPr>
            </w:pPr>
            <w:r w:rsidRPr="00BF2874">
              <w:rPr>
                <w:rFonts w:ascii="Calibri" w:eastAsia="Times New Roman" w:hAnsi="Calibri" w:cs="Times New Roman"/>
                <w:sz w:val="20"/>
                <w:szCs w:val="20"/>
                <w:lang w:eastAsia="en-AU"/>
              </w:rPr>
              <w:t>New Item</w:t>
            </w:r>
          </w:p>
        </w:tc>
      </w:tr>
    </w:tbl>
    <w:p w14:paraId="2A858E27" w14:textId="2FE5D4AC" w:rsidR="009B05BD" w:rsidRDefault="009B05BD" w:rsidP="002060AD">
      <w:pPr>
        <w:pStyle w:val="DashLastSpace"/>
      </w:pPr>
    </w:p>
    <w:p w14:paraId="55BF055F" w14:textId="7B2AFEA9" w:rsidR="00842426" w:rsidRDefault="00842426" w:rsidP="69ABD742">
      <w:r>
        <w:t>The MRAC also pointed to</w:t>
      </w:r>
      <w:r w:rsidR="006A2AC8">
        <w:t xml:space="preserve"> </w:t>
      </w:r>
      <w:r>
        <w:t xml:space="preserve">MyMedicare as a </w:t>
      </w:r>
      <w:r w:rsidR="3D827F4E">
        <w:t>potential eligibility criterion</w:t>
      </w:r>
      <w:r w:rsidR="006B3CFE">
        <w:t xml:space="preserve"> </w:t>
      </w:r>
      <w:r w:rsidR="000C3A31">
        <w:t xml:space="preserve">that could be applied to </w:t>
      </w:r>
      <w:r w:rsidR="006C79E7">
        <w:t>GP items involving complex care and planning</w:t>
      </w:r>
      <w:r w:rsidR="00E13BC0">
        <w:t xml:space="preserve">, to </w:t>
      </w:r>
      <w:r w:rsidR="006B3CFE">
        <w:t>ensure the existence of</w:t>
      </w:r>
      <w:r w:rsidR="00825354">
        <w:t xml:space="preserve"> an ongoing </w:t>
      </w:r>
      <w:r w:rsidR="003C7B5B">
        <w:t xml:space="preserve">clinical </w:t>
      </w:r>
      <w:r w:rsidR="00825354">
        <w:t>relationship</w:t>
      </w:r>
      <w:r w:rsidR="006B3CFE">
        <w:t xml:space="preserve"> between a patient and their </w:t>
      </w:r>
      <w:r w:rsidR="003C7B5B">
        <w:t xml:space="preserve">GP and practice. </w:t>
      </w:r>
    </w:p>
    <w:p w14:paraId="1364A8B3" w14:textId="5C3C4610" w:rsidR="005648BB" w:rsidRDefault="00D84442" w:rsidP="69ABD742">
      <w:r>
        <w:t>Also s</w:t>
      </w:r>
      <w:r w:rsidR="00236CB6">
        <w:t xml:space="preserve">ee </w:t>
      </w:r>
      <w:hyperlink w:anchor="_Non-GP_specialist_attendances" w:history="1">
        <w:r w:rsidR="00DE5DBE">
          <w:rPr>
            <w:rStyle w:val="Hyperlink"/>
          </w:rPr>
          <w:t>n</w:t>
        </w:r>
        <w:r w:rsidR="00236CB6" w:rsidRPr="00D84442">
          <w:rPr>
            <w:rStyle w:val="Hyperlink"/>
          </w:rPr>
          <w:t>on-GP specialist attendances</w:t>
        </w:r>
      </w:hyperlink>
      <w:r w:rsidR="00236CB6">
        <w:t xml:space="preserve"> for additional information</w:t>
      </w:r>
      <w:r>
        <w:t xml:space="preserve"> and recommendations</w:t>
      </w:r>
      <w:r w:rsidR="00236CB6">
        <w:t xml:space="preserve"> regarding </w:t>
      </w:r>
      <w:r>
        <w:t>telehealth items for this group of clinicians.</w:t>
      </w:r>
    </w:p>
    <w:p w14:paraId="5673E462" w14:textId="2713D793" w:rsidR="00941C6A" w:rsidRPr="00417EA9" w:rsidRDefault="00C8424A" w:rsidP="0013320D">
      <w:pPr>
        <w:pStyle w:val="BoxHeading"/>
      </w:pPr>
      <w:r>
        <w:t xml:space="preserve">Recommendation </w:t>
      </w:r>
      <w:r w:rsidR="00417EA9">
        <w:t>2</w:t>
      </w:r>
      <w:r w:rsidRPr="00417EA9">
        <w:t xml:space="preserve">: </w:t>
      </w:r>
      <w:r w:rsidR="00604AD9" w:rsidRPr="00C8077C">
        <w:t>Reintroduce</w:t>
      </w:r>
      <w:r w:rsidR="0013320D">
        <w:t xml:space="preserve"> a)</w:t>
      </w:r>
      <w:r w:rsidR="004C1712">
        <w:t> </w:t>
      </w:r>
      <w:r w:rsidR="00992589">
        <w:t xml:space="preserve">GP </w:t>
      </w:r>
      <w:r w:rsidR="00941C6A">
        <w:t>telephone services with a known clinician</w:t>
      </w:r>
      <w:r w:rsidR="004A1A04">
        <w:t>;</w:t>
      </w:r>
      <w:r w:rsidR="0013320D">
        <w:t xml:space="preserve"> and b)</w:t>
      </w:r>
      <w:r w:rsidR="004C1712">
        <w:t> </w:t>
      </w:r>
      <w:r w:rsidR="00941C6A">
        <w:t xml:space="preserve">subsequent consultant </w:t>
      </w:r>
      <w:r w:rsidR="004A1A04">
        <w:t xml:space="preserve">clinician telephone </w:t>
      </w:r>
      <w:r w:rsidR="0013320D">
        <w:t xml:space="preserve">services as options for patients receiving </w:t>
      </w:r>
      <w:r w:rsidR="001F6D0A">
        <w:t xml:space="preserve">continuing </w:t>
      </w:r>
      <w:r w:rsidR="0013320D">
        <w:t>care.</w:t>
      </w:r>
    </w:p>
    <w:p w14:paraId="4E6D05DB" w14:textId="444D3A6A" w:rsidR="00EF5EDC" w:rsidRDefault="00EF5EDC" w:rsidP="002060AD">
      <w:pPr>
        <w:pStyle w:val="Heading2"/>
      </w:pPr>
      <w:bookmarkStart w:id="89" w:name="_Toc163814588"/>
      <w:r w:rsidRPr="00EF5EDC">
        <w:t>Reimbursing asynchronous care</w:t>
      </w:r>
      <w:bookmarkEnd w:id="89"/>
    </w:p>
    <w:p w14:paraId="7E717612" w14:textId="7E771B7E" w:rsidR="009C77CD" w:rsidRDefault="00A20366" w:rsidP="00D71A67">
      <w:r>
        <w:t xml:space="preserve">The </w:t>
      </w:r>
      <w:r w:rsidR="00D71A67">
        <w:t xml:space="preserve">MRAC noted that, currently, the MBS only supports the synchronous delivery of telehealth services </w:t>
      </w:r>
      <w:r w:rsidR="000A6EA4">
        <w:t xml:space="preserve">that are </w:t>
      </w:r>
      <w:r w:rsidR="00D71A67">
        <w:t>analogous to in-person consultations</w:t>
      </w:r>
      <w:r w:rsidR="000A6EA4">
        <w:t xml:space="preserve">. These are synchronous (real-time) services for which </w:t>
      </w:r>
      <w:r w:rsidR="00D71A67">
        <w:t xml:space="preserve">the patient must be present for the clinician to bill Medicare. </w:t>
      </w:r>
      <w:r w:rsidR="009C77CD">
        <w:t>For many common items, it is the amount of time with the patient that determines the appropriate item to claim.</w:t>
      </w:r>
    </w:p>
    <w:p w14:paraId="51829F67" w14:textId="7D80476F" w:rsidR="009E4849" w:rsidRDefault="7ADB1B06" w:rsidP="00D71A67">
      <w:r>
        <w:t xml:space="preserve">The MBS Review Taskforce and the Medical Services Advisory Committee (MSAC) have previously received submissions advocating for MBS items for </w:t>
      </w:r>
      <w:r w:rsidR="70DBE4E1">
        <w:t xml:space="preserve">asynchronous care, such as for time taken </w:t>
      </w:r>
      <w:r w:rsidR="006A8B96">
        <w:t>for correspondence</w:t>
      </w:r>
      <w:r w:rsidR="3ECED54F">
        <w:t xml:space="preserve">, </w:t>
      </w:r>
      <w:r w:rsidR="377C7EA5">
        <w:t xml:space="preserve">writing referrals, </w:t>
      </w:r>
      <w:r w:rsidR="3120C4B2">
        <w:t xml:space="preserve">filling in forms, taking notes or </w:t>
      </w:r>
      <w:r w:rsidR="377C7EA5">
        <w:t xml:space="preserve">reviewing reports. </w:t>
      </w:r>
      <w:r w:rsidR="5AE4A5FB">
        <w:t xml:space="preserve">Rather than items for consultations, these types of activities may be more closely aligned with </w:t>
      </w:r>
      <w:r w:rsidR="6EA832EB">
        <w:t xml:space="preserve">items </w:t>
      </w:r>
      <w:r w:rsidR="5AE4A5FB">
        <w:t xml:space="preserve">for </w:t>
      </w:r>
      <w:r w:rsidR="5403A998">
        <w:t xml:space="preserve">services that are outside the legal definition of professional attendance – for example, </w:t>
      </w:r>
      <w:r w:rsidR="5AE4A5FB">
        <w:t>pathology and other specific diagnostic services, and case conferences or contributions to patients’ care plans</w:t>
      </w:r>
      <w:r w:rsidR="5403A998">
        <w:t>.</w:t>
      </w:r>
    </w:p>
    <w:p w14:paraId="0427CE85" w14:textId="3A644405" w:rsidR="007A272C" w:rsidRDefault="72FBC57A" w:rsidP="00D71A67">
      <w:r>
        <w:t xml:space="preserve">The MRAC specifically noted MSAC’s decision in 2017 to not support an application for </w:t>
      </w:r>
      <w:hyperlink r:id="rId24" w:history="1">
        <w:r w:rsidRPr="07D162B7">
          <w:rPr>
            <w:rStyle w:val="Hyperlink"/>
          </w:rPr>
          <w:t>specialist dermatology services delivered by asynchronous store and forward technology</w:t>
        </w:r>
      </w:hyperlink>
      <w:r>
        <w:t xml:space="preserve">, due to no benefits in safety, effectiveness or cost-effectiveness. The MRAC also considered that, to an extent, administrative tasks should be considered as part of the high-value care that clinicians are already providing to a patient as part of the initial service – for example, surgical fees that include the surgery and follow-up consultations. </w:t>
      </w:r>
    </w:p>
    <w:p w14:paraId="1E85BBFA" w14:textId="46BC1BA1" w:rsidR="007A272C" w:rsidRDefault="2CCD749B" w:rsidP="00D71A67">
      <w:r>
        <w:t xml:space="preserve">The </w:t>
      </w:r>
      <w:r w:rsidR="0FCF611E">
        <w:t xml:space="preserve">MRAC </w:t>
      </w:r>
      <w:r w:rsidR="6EA832EB">
        <w:t xml:space="preserve">determined </w:t>
      </w:r>
      <w:r w:rsidR="0FCF611E">
        <w:t>it was difficult to make generalised recommendation</w:t>
      </w:r>
      <w:r w:rsidR="0F58D0E1">
        <w:t>s</w:t>
      </w:r>
      <w:r w:rsidR="0FCF611E">
        <w:t xml:space="preserve"> on asynchronous services</w:t>
      </w:r>
      <w:r w:rsidR="0F58D0E1">
        <w:t xml:space="preserve">, as the scope of services provided by different specialities </w:t>
      </w:r>
      <w:r w:rsidR="7FE34B7A">
        <w:t>are</w:t>
      </w:r>
      <w:r w:rsidR="0F58D0E1">
        <w:t xml:space="preserve"> so broad</w:t>
      </w:r>
      <w:r w:rsidR="41BCB89C">
        <w:t xml:space="preserve">. </w:t>
      </w:r>
      <w:r w:rsidR="0DE4B735">
        <w:t xml:space="preserve">In addition, </w:t>
      </w:r>
      <w:r w:rsidR="05D28EA0">
        <w:t xml:space="preserve">renumeration for asynchronous services </w:t>
      </w:r>
      <w:r w:rsidR="68660220">
        <w:t>does not fit with the MBS framework of payment for services provided to a patient.</w:t>
      </w:r>
      <w:r w:rsidR="561B2BAA">
        <w:t xml:space="preserve"> There was a perceived incompatibility with the intent of such items to be for payment of providers, while the MBS is foremost for the payment of </w:t>
      </w:r>
      <w:r w:rsidR="6F935446">
        <w:t xml:space="preserve">rebates to </w:t>
      </w:r>
      <w:r w:rsidR="561B2BAA">
        <w:t>patients. In the context of bulk billed services, such an approach had potential to introduce new risks of fraud to the MBS program, and generally it may be difficult to ensure claims were appropriate and represented value to patients and funders.</w:t>
      </w:r>
    </w:p>
    <w:p w14:paraId="4D1AB769" w14:textId="61C6C953" w:rsidR="008D03E3" w:rsidRDefault="2E2B9833" w:rsidP="69ABD742">
      <w:r>
        <w:t>O</w:t>
      </w:r>
      <w:r w:rsidR="65D47DF0">
        <w:t xml:space="preserve">verall, </w:t>
      </w:r>
      <w:r w:rsidR="2D85C468">
        <w:t xml:space="preserve">the </w:t>
      </w:r>
      <w:r w:rsidR="65D47DF0">
        <w:t xml:space="preserve">MRAC considered it inappropriate for additional MBS items to be created </w:t>
      </w:r>
      <w:r w:rsidR="57269095">
        <w:t xml:space="preserve">to compensate for </w:t>
      </w:r>
      <w:r w:rsidR="05F0AA7B">
        <w:t>the</w:t>
      </w:r>
      <w:r w:rsidR="57269095">
        <w:t xml:space="preserve"> administrative workload many clinicians are facing.</w:t>
      </w:r>
      <w:r w:rsidR="05F0AA7B">
        <w:t xml:space="preserve"> </w:t>
      </w:r>
      <w:r w:rsidR="1AB828C6">
        <w:t xml:space="preserve">The MRAC determined that it may be more appropriate to instead review the </w:t>
      </w:r>
      <w:r w:rsidR="7B85F950">
        <w:t>renumeration for some MBS items so that it better reflects current administration requirements</w:t>
      </w:r>
      <w:r w:rsidR="007F302B">
        <w:t xml:space="preserve"> for a complete service</w:t>
      </w:r>
      <w:r w:rsidR="25265754">
        <w:t>.</w:t>
      </w:r>
      <w:r w:rsidR="068ED7D4" w:rsidRPr="69ABD742">
        <w:rPr>
          <w:rFonts w:eastAsia="Calibri" w:cs="Calibri"/>
        </w:rPr>
        <w:t xml:space="preserve"> </w:t>
      </w:r>
    </w:p>
    <w:p w14:paraId="7D1AFF19" w14:textId="743ABCAC" w:rsidR="00C31A36" w:rsidRDefault="59F8160D" w:rsidP="07D162B7">
      <w:r>
        <w:t xml:space="preserve">However, </w:t>
      </w:r>
      <w:r w:rsidR="4DC3D6E8">
        <w:t xml:space="preserve">the </w:t>
      </w:r>
      <w:r>
        <w:t xml:space="preserve">MRAC acknowledged that for many clinicians this administrative workload is increasing. </w:t>
      </w:r>
      <w:r w:rsidR="4DC3D6E8">
        <w:t xml:space="preserve">The </w:t>
      </w:r>
      <w:r w:rsidR="19D2974A">
        <w:t xml:space="preserve">MRAC considered that </w:t>
      </w:r>
      <w:r w:rsidR="1FB2A182">
        <w:t xml:space="preserve">longer </w:t>
      </w:r>
      <w:r w:rsidR="19D2974A">
        <w:t xml:space="preserve">time-tiered MBS items </w:t>
      </w:r>
      <w:r w:rsidR="05D02F3F">
        <w:t>may</w:t>
      </w:r>
      <w:r w:rsidR="4E983D79">
        <w:t xml:space="preserve"> </w:t>
      </w:r>
      <w:r w:rsidR="05D02F3F">
        <w:t xml:space="preserve">be appropriate </w:t>
      </w:r>
      <w:r w:rsidR="4B6CAA49">
        <w:t xml:space="preserve">for patients </w:t>
      </w:r>
      <w:r w:rsidR="37DA5BFF">
        <w:t xml:space="preserve">who </w:t>
      </w:r>
      <w:r w:rsidR="00D2D957">
        <w:t>require substantial extra work</w:t>
      </w:r>
      <w:r w:rsidR="00222637">
        <w:t xml:space="preserve">. It was also noted </w:t>
      </w:r>
      <w:r w:rsidR="2E42E7E6">
        <w:t>some untimed but annual frequency</w:t>
      </w:r>
      <w:r w:rsidR="28C379DD">
        <w:t>–</w:t>
      </w:r>
      <w:r w:rsidR="2E42E7E6">
        <w:t>limited items such as chronic disease and mental health planning were already associated with higher fees</w:t>
      </w:r>
      <w:r w:rsidR="158E52AC">
        <w:t xml:space="preserve"> for GPs</w:t>
      </w:r>
      <w:r w:rsidR="2EADBD4B">
        <w:t xml:space="preserve"> to assume additional administrative tasks (compared to a regular time-tiered consultation)</w:t>
      </w:r>
      <w:r w:rsidR="2E42E7E6">
        <w:t>.</w:t>
      </w:r>
    </w:p>
    <w:p w14:paraId="25F194B9" w14:textId="05C26A49" w:rsidR="00C17DF6" w:rsidRDefault="2D85C468" w:rsidP="00E40EBE">
      <w:pPr>
        <w:pStyle w:val="NormalBeforeBullet"/>
      </w:pPr>
      <w:r>
        <w:t xml:space="preserve">The </w:t>
      </w:r>
      <w:r w:rsidR="4F62155A">
        <w:t>MRAC also recommended exploring other funding pathways that could rem</w:t>
      </w:r>
      <w:r w:rsidR="000C2B6C">
        <w:t>un</w:t>
      </w:r>
      <w:r w:rsidR="4F62155A">
        <w:t>erate cl</w:t>
      </w:r>
      <w:r w:rsidR="41A99470">
        <w:t>inicians for this type of work.</w:t>
      </w:r>
      <w:r w:rsidR="550EB73C">
        <w:t xml:space="preserve"> </w:t>
      </w:r>
      <w:r>
        <w:t xml:space="preserve">The </w:t>
      </w:r>
      <w:r w:rsidR="127CEA6D">
        <w:t xml:space="preserve">MRAC noted the opportunities MyMedicare may provide </w:t>
      </w:r>
      <w:r w:rsidR="7523740D">
        <w:t xml:space="preserve">for </w:t>
      </w:r>
      <w:r w:rsidR="550EB73C">
        <w:t xml:space="preserve">recognising </w:t>
      </w:r>
      <w:r w:rsidR="0162E670">
        <w:t xml:space="preserve">additional time that </w:t>
      </w:r>
      <w:r w:rsidR="003D24EB">
        <w:t xml:space="preserve">can be </w:t>
      </w:r>
      <w:r w:rsidR="0162E670">
        <w:t>associated with</w:t>
      </w:r>
      <w:r w:rsidR="127CEA6D">
        <w:t xml:space="preserve"> managing </w:t>
      </w:r>
      <w:r w:rsidR="00CE3ECA">
        <w:t xml:space="preserve">some </w:t>
      </w:r>
      <w:r w:rsidR="127CEA6D">
        <w:t>patients in primary care</w:t>
      </w:r>
      <w:r w:rsidR="0162E670">
        <w:t>. The</w:t>
      </w:r>
      <w:r w:rsidR="1392CB5C">
        <w:t xml:space="preserve"> following MBS services</w:t>
      </w:r>
      <w:r w:rsidR="49C0D52B">
        <w:t xml:space="preserve"> and incentives</w:t>
      </w:r>
      <w:r w:rsidR="1392CB5C">
        <w:t xml:space="preserve"> will be</w:t>
      </w:r>
      <w:r w:rsidR="65A98351">
        <w:t xml:space="preserve"> </w:t>
      </w:r>
      <w:r w:rsidR="1392CB5C">
        <w:t>available</w:t>
      </w:r>
      <w:r w:rsidR="298027AB">
        <w:t xml:space="preserve"> </w:t>
      </w:r>
      <w:r w:rsidR="1392CB5C">
        <w:t xml:space="preserve">to </w:t>
      </w:r>
      <w:r w:rsidR="49C0D52B">
        <w:t xml:space="preserve">practices </w:t>
      </w:r>
      <w:r w:rsidR="56AAAA40">
        <w:t>that are</w:t>
      </w:r>
      <w:r w:rsidR="1392CB5C">
        <w:t xml:space="preserve"> </w:t>
      </w:r>
      <w:r w:rsidR="49C0D52B">
        <w:t>registered in</w:t>
      </w:r>
      <w:r w:rsidR="446DEC10">
        <w:t xml:space="preserve"> MyMedicare:</w:t>
      </w:r>
    </w:p>
    <w:p w14:paraId="4A4A0B62" w14:textId="4B266E8D" w:rsidR="00DF5222" w:rsidRDefault="0E0B1D3E" w:rsidP="00C17DF6">
      <w:pPr>
        <w:pStyle w:val="Bullet"/>
      </w:pPr>
      <w:r>
        <w:t xml:space="preserve">MBS-funded telephone calls and access to </w:t>
      </w:r>
      <w:r w:rsidR="4CBFBBD7">
        <w:t xml:space="preserve">a </w:t>
      </w:r>
      <w:r>
        <w:t>triple bulk</w:t>
      </w:r>
      <w:r w:rsidR="71C88AD4">
        <w:t>-</w:t>
      </w:r>
      <w:r>
        <w:t>billing incentive for longer MBS telehealth consultations for eligible patients</w:t>
      </w:r>
    </w:p>
    <w:p w14:paraId="6FD9C04B" w14:textId="0AD83813" w:rsidR="00980318" w:rsidRDefault="4CBFBBD7" w:rsidP="00E33EAC">
      <w:pPr>
        <w:pStyle w:val="Bullet"/>
      </w:pPr>
      <w:r>
        <w:t>b</w:t>
      </w:r>
      <w:r w:rsidR="4703CECC">
        <w:t xml:space="preserve">lended funding payments for general practices to support people with conditions </w:t>
      </w:r>
      <w:r w:rsidR="5A19FFF6">
        <w:t xml:space="preserve">that require them to frequently use </w:t>
      </w:r>
      <w:r w:rsidR="4703CECC">
        <w:t xml:space="preserve">hospital </w:t>
      </w:r>
      <w:r w:rsidR="5A19FFF6">
        <w:t>services</w:t>
      </w:r>
    </w:p>
    <w:p w14:paraId="5DD040C4" w14:textId="481CF317" w:rsidR="00980318" w:rsidRDefault="009C2B79" w:rsidP="00980318">
      <w:pPr>
        <w:pStyle w:val="Bullet"/>
      </w:pPr>
      <w:hyperlink r:id="rId25">
        <w:r w:rsidR="6E317A41" w:rsidRPr="07D162B7">
          <w:rPr>
            <w:rStyle w:val="Hyperlink"/>
          </w:rPr>
          <w:t>G</w:t>
        </w:r>
        <w:r w:rsidR="4CBFBBD7" w:rsidRPr="07D162B7">
          <w:rPr>
            <w:rStyle w:val="Hyperlink"/>
          </w:rPr>
          <w:t xml:space="preserve">eneral </w:t>
        </w:r>
        <w:r w:rsidR="180D1469" w:rsidRPr="07D162B7">
          <w:rPr>
            <w:rStyle w:val="Hyperlink"/>
          </w:rPr>
          <w:t>Pract</w:t>
        </w:r>
        <w:r w:rsidR="2C149075" w:rsidRPr="07D162B7">
          <w:rPr>
            <w:rStyle w:val="Hyperlink"/>
          </w:rPr>
          <w:t>ice in</w:t>
        </w:r>
        <w:r w:rsidR="15622027" w:rsidRPr="07D162B7">
          <w:rPr>
            <w:rStyle w:val="Hyperlink"/>
          </w:rPr>
          <w:t xml:space="preserve"> in</w:t>
        </w:r>
        <w:r w:rsidR="4CBFBBD7" w:rsidRPr="07D162B7">
          <w:rPr>
            <w:rStyle w:val="Hyperlink"/>
          </w:rPr>
          <w:t xml:space="preserve"> </w:t>
        </w:r>
        <w:r w:rsidR="180D1469" w:rsidRPr="07D162B7">
          <w:rPr>
            <w:rStyle w:val="Hyperlink"/>
          </w:rPr>
          <w:t>A</w:t>
        </w:r>
        <w:r w:rsidR="4CBFBBD7" w:rsidRPr="07D162B7">
          <w:rPr>
            <w:rStyle w:val="Hyperlink"/>
          </w:rPr>
          <w:t xml:space="preserve">ged </w:t>
        </w:r>
        <w:r w:rsidR="180D1469" w:rsidRPr="07D162B7">
          <w:rPr>
            <w:rStyle w:val="Hyperlink"/>
          </w:rPr>
          <w:t>C</w:t>
        </w:r>
        <w:r w:rsidR="4CBFBBD7" w:rsidRPr="07D162B7">
          <w:rPr>
            <w:rStyle w:val="Hyperlink"/>
          </w:rPr>
          <w:t xml:space="preserve">are </w:t>
        </w:r>
        <w:r w:rsidR="180D1469" w:rsidRPr="07D162B7">
          <w:rPr>
            <w:rStyle w:val="Hyperlink"/>
          </w:rPr>
          <w:t>I</w:t>
        </w:r>
        <w:r w:rsidR="4CBFBBD7" w:rsidRPr="07D162B7">
          <w:rPr>
            <w:rStyle w:val="Hyperlink"/>
          </w:rPr>
          <w:t>ncentive</w:t>
        </w:r>
      </w:hyperlink>
    </w:p>
    <w:p w14:paraId="535621FE" w14:textId="5EE3DF3D" w:rsidR="00980318" w:rsidRDefault="4CBFBBD7" w:rsidP="00980318">
      <w:pPr>
        <w:pStyle w:val="BulletLast"/>
      </w:pPr>
      <w:r>
        <w:t xml:space="preserve">chronic disease management </w:t>
      </w:r>
      <w:r w:rsidR="4703CECC">
        <w:t xml:space="preserve">items </w:t>
      </w:r>
      <w:r w:rsidR="1FD22F3E">
        <w:t xml:space="preserve">non-exclusively </w:t>
      </w:r>
      <w:r w:rsidR="4703CECC">
        <w:t>linked to a patient’s registration.</w:t>
      </w:r>
    </w:p>
    <w:p w14:paraId="5E264986" w14:textId="59B975BC" w:rsidR="00D61066" w:rsidRDefault="00AE26BF" w:rsidP="002060AD">
      <w:r>
        <w:t xml:space="preserve">MyMedicare offers the potential to </w:t>
      </w:r>
      <w:r w:rsidR="000C5A85">
        <w:t>remunerate</w:t>
      </w:r>
      <w:r w:rsidR="00F71A7A">
        <w:t xml:space="preserve"> the </w:t>
      </w:r>
      <w:r w:rsidR="00B00AFA">
        <w:t xml:space="preserve">general </w:t>
      </w:r>
      <w:r w:rsidR="00F364F8">
        <w:t>practice</w:t>
      </w:r>
      <w:r w:rsidR="00F71A7A">
        <w:t xml:space="preserve"> or the </w:t>
      </w:r>
      <w:r w:rsidR="2E9071DB">
        <w:t>clinician,</w:t>
      </w:r>
      <w:r w:rsidR="00F71A7A">
        <w:t xml:space="preserve"> or both. However, the MRAC acknowledged that MyMedicare</w:t>
      </w:r>
      <w:r w:rsidR="00B00AFA">
        <w:t xml:space="preserve"> framework</w:t>
      </w:r>
      <w:r w:rsidR="00F71A7A">
        <w:t xml:space="preserve"> limit</w:t>
      </w:r>
      <w:r w:rsidR="007F302B">
        <w:t>s</w:t>
      </w:r>
      <w:r w:rsidR="00F71A7A">
        <w:t xml:space="preserve"> the types of clinicians that can be </w:t>
      </w:r>
      <w:r w:rsidR="000C5A85">
        <w:t>remunerate</w:t>
      </w:r>
      <w:r w:rsidR="00F71A7A">
        <w:t>d</w:t>
      </w:r>
      <w:r w:rsidR="007F302B">
        <w:t>. In acknowledgement of the risks identified, solutions which could apply for non-GP specialists and other providers unlikely to align with a MyMedicare practice warranted consideration</w:t>
      </w:r>
      <w:r w:rsidR="00F71A7A">
        <w:t>.</w:t>
      </w:r>
      <w:r w:rsidR="00DF44A4">
        <w:t xml:space="preserve"> </w:t>
      </w:r>
      <w:r w:rsidR="007F302B">
        <w:t xml:space="preserve">It was also noted that there was emerging potential for increased automation of administrative tasks </w:t>
      </w:r>
      <w:r w:rsidR="00C2476A">
        <w:t xml:space="preserve">and </w:t>
      </w:r>
      <w:r w:rsidR="007F302B">
        <w:t>reduced individual burden of this work would restore or permit more time with patients</w:t>
      </w:r>
      <w:r w:rsidR="00CE3ECA">
        <w:t>.</w:t>
      </w:r>
    </w:p>
    <w:p w14:paraId="5ABAF0F4" w14:textId="2E615E9A" w:rsidR="006D5984" w:rsidRDefault="006D5984" w:rsidP="006D5984">
      <w:pPr>
        <w:pStyle w:val="BoxHeading"/>
      </w:pPr>
      <w:bookmarkStart w:id="90" w:name="_Eligibility_requirements_and"/>
      <w:bookmarkEnd w:id="90"/>
      <w:r>
        <w:t xml:space="preserve">Recommendation </w:t>
      </w:r>
      <w:r w:rsidR="00145D6E">
        <w:t>3</w:t>
      </w:r>
      <w:r>
        <w:t xml:space="preserve">: </w:t>
      </w:r>
      <w:r w:rsidR="00C86F34">
        <w:t xml:space="preserve">Consider how MyMedicare and other </w:t>
      </w:r>
      <w:r w:rsidR="001A4AA9">
        <w:t xml:space="preserve">non-MBS funding </w:t>
      </w:r>
      <w:r w:rsidR="00C86F34">
        <w:t xml:space="preserve">options could better </w:t>
      </w:r>
      <w:r w:rsidR="001F4AEF">
        <w:t>re</w:t>
      </w:r>
      <w:r w:rsidR="00D00482">
        <w:t>m</w:t>
      </w:r>
      <w:r w:rsidR="00D16D54">
        <w:t>un</w:t>
      </w:r>
      <w:r w:rsidR="001F4AEF">
        <w:t xml:space="preserve">erate clinicians </w:t>
      </w:r>
      <w:r w:rsidR="001C29BB">
        <w:t xml:space="preserve">directly </w:t>
      </w:r>
      <w:r w:rsidR="001F4AEF">
        <w:t xml:space="preserve">for </w:t>
      </w:r>
      <w:r w:rsidR="00564AE8">
        <w:t xml:space="preserve">the </w:t>
      </w:r>
      <w:r w:rsidR="005203EA">
        <w:t xml:space="preserve">asynchronous and non-contact </w:t>
      </w:r>
      <w:r w:rsidR="00564AE8">
        <w:t>work that is often</w:t>
      </w:r>
      <w:r w:rsidR="005203EA">
        <w:t xml:space="preserve"> associated with </w:t>
      </w:r>
      <w:r w:rsidR="00FA562F">
        <w:t>managing patients.</w:t>
      </w:r>
    </w:p>
    <w:p w14:paraId="16CB275E" w14:textId="54BCECE9" w:rsidR="00B85EA2" w:rsidRDefault="00FC0EBF" w:rsidP="008F2CC6">
      <w:pPr>
        <w:pStyle w:val="Heading2"/>
      </w:pPr>
      <w:bookmarkStart w:id="91" w:name="_Toc163814589"/>
      <w:r>
        <w:t>Telehealth e</w:t>
      </w:r>
      <w:r w:rsidR="00B85EA2">
        <w:t>ligibility requirements</w:t>
      </w:r>
      <w:r w:rsidR="005E4759">
        <w:t xml:space="preserve"> and </w:t>
      </w:r>
      <w:r w:rsidR="00B85EA2">
        <w:t>exemptions</w:t>
      </w:r>
      <w:bookmarkEnd w:id="91"/>
    </w:p>
    <w:p w14:paraId="6B142668" w14:textId="44505C54" w:rsidR="00501F03" w:rsidRPr="00501F03" w:rsidRDefault="0817CDC7" w:rsidP="00BB26C4">
      <w:r>
        <w:t>As of March 2024,</w:t>
      </w:r>
      <w:r w:rsidR="5DF471EC">
        <w:t xml:space="preserve"> GPs and </w:t>
      </w:r>
      <w:r w:rsidR="283DCDC8">
        <w:t>other</w:t>
      </w:r>
      <w:r w:rsidR="5DF471EC">
        <w:t xml:space="preserve"> clinicians working in general practice can only provide </w:t>
      </w:r>
      <w:r w:rsidR="1347D37F">
        <w:t>MBS-</w:t>
      </w:r>
      <w:r w:rsidR="5DF471EC">
        <w:t xml:space="preserve">rebated telehealth </w:t>
      </w:r>
      <w:r w:rsidR="458A7C96">
        <w:t xml:space="preserve">services if </w:t>
      </w:r>
      <w:r w:rsidR="5DF471EC">
        <w:t>they have an existing and continuous relationship with a patient</w:t>
      </w:r>
      <w:r w:rsidR="4C472507">
        <w:t>.</w:t>
      </w:r>
      <w:r w:rsidR="5DF471EC">
        <w:t xml:space="preserve"> This means </w:t>
      </w:r>
      <w:r w:rsidR="113754F0">
        <w:t xml:space="preserve">that </w:t>
      </w:r>
      <w:r w:rsidR="5DF471EC">
        <w:t xml:space="preserve">patients </w:t>
      </w:r>
      <w:r w:rsidR="113754F0">
        <w:t xml:space="preserve">must have seen </w:t>
      </w:r>
      <w:r w:rsidR="5DF471EC">
        <w:t xml:space="preserve">their GP or another </w:t>
      </w:r>
      <w:r w:rsidR="113754F0">
        <w:t>clinician</w:t>
      </w:r>
      <w:r w:rsidR="5DF471EC">
        <w:t xml:space="preserve"> within the same practice </w:t>
      </w:r>
      <w:r w:rsidR="458A7C96">
        <w:t xml:space="preserve">face-to-face </w:t>
      </w:r>
      <w:r w:rsidR="5DF471EC">
        <w:t xml:space="preserve">at least once in the </w:t>
      </w:r>
      <w:r w:rsidR="113754F0">
        <w:t>previous</w:t>
      </w:r>
      <w:r w:rsidR="5DF471EC">
        <w:t xml:space="preserve"> 12</w:t>
      </w:r>
      <w:r w:rsidR="113754F0">
        <w:t> </w:t>
      </w:r>
      <w:r w:rsidR="5DF471EC">
        <w:t>months</w:t>
      </w:r>
      <w:r w:rsidR="4C472507">
        <w:t xml:space="preserve"> (known as the 12-month rule or the 1 in 12 rule)</w:t>
      </w:r>
      <w:r w:rsidR="5DF471EC">
        <w:t>.</w:t>
      </w:r>
      <w:r w:rsidR="113754F0">
        <w:t xml:space="preserve"> </w:t>
      </w:r>
      <w:r w:rsidR="71F89D27">
        <w:t>The rationale for these eligibility requirements is to prevent fragmentation of care</w:t>
      </w:r>
      <w:r w:rsidR="26C484E4">
        <w:t xml:space="preserve"> and</w:t>
      </w:r>
      <w:r w:rsidR="71F89D27">
        <w:t xml:space="preserve"> </w:t>
      </w:r>
      <w:r w:rsidR="26C484E4">
        <w:t>foster continuity of care which is associated with the best clinical outcomes</w:t>
      </w:r>
      <w:r w:rsidR="2C63DFA6">
        <w:t xml:space="preserve">. </w:t>
      </w:r>
    </w:p>
    <w:p w14:paraId="056D1FB9" w14:textId="3BD88FE3" w:rsidR="005E4759" w:rsidRDefault="06376753" w:rsidP="07D162B7">
      <w:pPr>
        <w:spacing w:line="259" w:lineRule="auto"/>
      </w:pPr>
      <w:r>
        <w:t>These requirements were introduced in July 2020 in response to expert advice</w:t>
      </w:r>
      <w:r w:rsidR="06B4B007">
        <w:t xml:space="preserve">, along with exemptions intended to support access </w:t>
      </w:r>
      <w:r w:rsidR="7AAB795B">
        <w:t xml:space="preserve">for vulnerable patients and scenarios </w:t>
      </w:r>
      <w:r w:rsidR="06B4B007">
        <w:t xml:space="preserve">when patients have an acute need for health assessment or advice and their regular GP is unavailable. </w:t>
      </w:r>
    </w:p>
    <w:p w14:paraId="56A18565" w14:textId="0B868B30" w:rsidR="005E4759" w:rsidRDefault="03C3B696" w:rsidP="07D162B7">
      <w:pPr>
        <w:spacing w:line="259" w:lineRule="auto"/>
      </w:pPr>
      <w:r>
        <w:t xml:space="preserve">Exemptions to the established clinical relationship have changed over time as part of the response to the COVID-19 pandemic. </w:t>
      </w:r>
      <w:r w:rsidR="2D8AD552">
        <w:t>T</w:t>
      </w:r>
      <w:r w:rsidR="3975DF38">
        <w:t xml:space="preserve">his included </w:t>
      </w:r>
      <w:r w:rsidR="71D7FA6A">
        <w:t>temporary MBS items for GP consultation</w:t>
      </w:r>
      <w:r w:rsidR="12A335A8">
        <w:t>s</w:t>
      </w:r>
      <w:r w:rsidR="71D7FA6A">
        <w:t xml:space="preserve"> for nicotine cessation</w:t>
      </w:r>
      <w:r w:rsidR="17649550">
        <w:t>,</w:t>
      </w:r>
      <w:r w:rsidR="0915E913">
        <w:t xml:space="preserve"> </w:t>
      </w:r>
      <w:r w:rsidR="71D7FA6A">
        <w:t>BBVSR</w:t>
      </w:r>
      <w:r w:rsidR="17649550">
        <w:t>, pregnancy counselling and mental health</w:t>
      </w:r>
      <w:r w:rsidR="76A4FE24">
        <w:t>,</w:t>
      </w:r>
      <w:r w:rsidR="227FF0E4">
        <w:t xml:space="preserve"> introduced in 2021</w:t>
      </w:r>
      <w:r w:rsidR="71D7FA6A">
        <w:t xml:space="preserve">. </w:t>
      </w:r>
      <w:r w:rsidR="6F169726">
        <w:t xml:space="preserve">The intention was to ensure access to these services when face-to-face consultations were not possible due to </w:t>
      </w:r>
      <w:r w:rsidR="7915E64C">
        <w:t>quarantine</w:t>
      </w:r>
      <w:r w:rsidR="17649550">
        <w:t xml:space="preserve"> or social distancing</w:t>
      </w:r>
      <w:r w:rsidR="7915E64C">
        <w:t xml:space="preserve"> restrictions.</w:t>
      </w:r>
      <w:r w:rsidR="53AF151C">
        <w:t xml:space="preserve"> </w:t>
      </w:r>
    </w:p>
    <w:p w14:paraId="0D874EF5" w14:textId="25E73D5A" w:rsidR="005E4759" w:rsidRDefault="2CCD749B" w:rsidP="07D162B7">
      <w:r>
        <w:t xml:space="preserve">The </w:t>
      </w:r>
      <w:r w:rsidR="71D7FA6A">
        <w:t xml:space="preserve">MRAC noted the lack of </w:t>
      </w:r>
      <w:r w:rsidR="2A0A118F">
        <w:t xml:space="preserve">general </w:t>
      </w:r>
      <w:r w:rsidR="71D7FA6A">
        <w:t xml:space="preserve">support for condition-specific MBS telehealth items from the Royal Australian College of General Practitioners and the Australian Medical Association. </w:t>
      </w:r>
      <w:r w:rsidR="4D66DD85">
        <w:t xml:space="preserve">However, </w:t>
      </w:r>
      <w:r>
        <w:t xml:space="preserve">the </w:t>
      </w:r>
      <w:r w:rsidR="71D7FA6A">
        <w:t xml:space="preserve">MRAC considered that condition-specific telehealth </w:t>
      </w:r>
      <w:r w:rsidR="640B34EE">
        <w:t xml:space="preserve">items </w:t>
      </w:r>
      <w:r w:rsidR="71D7FA6A">
        <w:t>may improve access for some populations where access is a barrier to obtaining high-quality health care.</w:t>
      </w:r>
    </w:p>
    <w:p w14:paraId="4868BB83" w14:textId="7867C2D4" w:rsidR="00544E98" w:rsidRDefault="37CE96FB" w:rsidP="0A5255DE">
      <w:pPr>
        <w:spacing w:line="259" w:lineRule="auto"/>
      </w:pPr>
      <w:r>
        <w:t xml:space="preserve">The MRAC also considered that patients eligibility for GP telehealth services could be supported by the MyMedicare model. MyMedicare formally recognises a patient’s relationship with their registered general practice, and qualification also has face-to-face requirements. The MRAC noted that this was already an eligibility pathway for GP Level C (longer than 20 minutes) and Level D (longer than 40 minutes) consultations, and linkage to GP items for chronic disease management was forthcoming, from November 2024. The MRAC considered that the similarities of MyMedicare registration and the existing clinical relationship requirements meant that MyMedicare registration could provide an alternative pathway to recognise patients’ eligibility for MBS GP telehealth services generally. </w:t>
      </w:r>
    </w:p>
    <w:p w14:paraId="325FF279" w14:textId="6B341966" w:rsidR="00544E98" w:rsidRDefault="4DC3D6E8" w:rsidP="69ABD742">
      <w:r>
        <w:t xml:space="preserve">The </w:t>
      </w:r>
      <w:r w:rsidR="021C3790">
        <w:t xml:space="preserve">MRAC </w:t>
      </w:r>
      <w:r w:rsidR="07D425BB">
        <w:t xml:space="preserve">referred to </w:t>
      </w:r>
      <w:r w:rsidR="3C83E49F">
        <w:t xml:space="preserve">previous general </w:t>
      </w:r>
      <w:r w:rsidR="48BF2F97">
        <w:t>conclusions</w:t>
      </w:r>
      <w:r w:rsidR="3C83E49F">
        <w:t xml:space="preserve"> (see </w:t>
      </w:r>
      <w:hyperlink w:anchor="_Populations_and_services_1">
        <w:r w:rsidR="3C83E49F" w:rsidRPr="0A5255DE">
          <w:rPr>
            <w:rStyle w:val="Hyperlink"/>
          </w:rPr>
          <w:t>Populations and services where access can be optimised with telehealth</w:t>
        </w:r>
      </w:hyperlink>
      <w:r w:rsidR="3C83E49F">
        <w:t>)</w:t>
      </w:r>
      <w:r w:rsidR="48BF2F97">
        <w:t xml:space="preserve"> to inform </w:t>
      </w:r>
      <w:r w:rsidR="4948891A">
        <w:t>the following</w:t>
      </w:r>
      <w:r w:rsidR="48BF2F97">
        <w:t xml:space="preserve"> recommendations </w:t>
      </w:r>
      <w:r w:rsidR="4ED902AE">
        <w:t xml:space="preserve">for </w:t>
      </w:r>
      <w:r w:rsidR="67919355">
        <w:t>ongoing eligibility requirements and exemptions</w:t>
      </w:r>
      <w:r w:rsidR="3C83E49F">
        <w:t>.</w:t>
      </w:r>
      <w:r w:rsidR="5B605F6C">
        <w:t xml:space="preserve"> </w:t>
      </w:r>
    </w:p>
    <w:p w14:paraId="1AECC9A0" w14:textId="6316788F" w:rsidR="005E4759" w:rsidRDefault="2B0E7F17" w:rsidP="07D162B7">
      <w:pPr>
        <w:pStyle w:val="Heading2"/>
        <w:spacing w:line="259" w:lineRule="auto"/>
      </w:pPr>
      <w:bookmarkStart w:id="92" w:name="_Toc163814590"/>
      <w:r>
        <w:t>Nicotine cessation temporary MBS items</w:t>
      </w:r>
      <w:bookmarkEnd w:id="92"/>
    </w:p>
    <w:p w14:paraId="777A47E8" w14:textId="0AD4DC4B" w:rsidR="00C93F2B" w:rsidRPr="002060AD" w:rsidRDefault="49CE544A" w:rsidP="07D162B7">
      <w:pPr>
        <w:rPr>
          <w:rFonts w:cstheme="minorBidi"/>
          <w:i/>
          <w:iCs/>
        </w:rPr>
      </w:pPr>
      <w:r w:rsidRPr="07D162B7">
        <w:rPr>
          <w:rFonts w:cstheme="minorBidi"/>
          <w:i/>
          <w:iCs/>
        </w:rPr>
        <w:t xml:space="preserve">Note: </w:t>
      </w:r>
      <w:r w:rsidR="339C2673" w:rsidRPr="07D162B7">
        <w:rPr>
          <w:i/>
          <w:iCs/>
        </w:rPr>
        <w:t>The MRAC considered these</w:t>
      </w:r>
      <w:r w:rsidR="308563AC" w:rsidRPr="07D162B7">
        <w:rPr>
          <w:rFonts w:cstheme="minorBidi"/>
          <w:i/>
          <w:iCs/>
        </w:rPr>
        <w:t xml:space="preserve"> MBS items</w:t>
      </w:r>
      <w:r w:rsidRPr="07D162B7">
        <w:rPr>
          <w:rFonts w:cstheme="minorBidi"/>
          <w:i/>
          <w:iCs/>
        </w:rPr>
        <w:t xml:space="preserve"> in </w:t>
      </w:r>
      <w:r w:rsidR="308563AC" w:rsidRPr="07D162B7">
        <w:rPr>
          <w:rFonts w:cstheme="minorBidi"/>
          <w:i/>
          <w:iCs/>
        </w:rPr>
        <w:t>2023, and the MRAC</w:t>
      </w:r>
      <w:r w:rsidR="1BEC1A0D" w:rsidRPr="07D162B7">
        <w:rPr>
          <w:rFonts w:cstheme="minorBidi"/>
          <w:i/>
          <w:iCs/>
        </w:rPr>
        <w:t xml:space="preserve"> interim</w:t>
      </w:r>
      <w:r w:rsidR="308563AC" w:rsidRPr="07D162B7">
        <w:rPr>
          <w:rFonts w:cstheme="minorBidi"/>
          <w:i/>
          <w:iCs/>
        </w:rPr>
        <w:t xml:space="preserve"> recommendation </w:t>
      </w:r>
      <w:r w:rsidR="5F0E09BB" w:rsidRPr="07D162B7">
        <w:rPr>
          <w:i/>
          <w:iCs/>
        </w:rPr>
        <w:t xml:space="preserve">to cease such items </w:t>
      </w:r>
      <w:r w:rsidR="308563AC" w:rsidRPr="07D162B7">
        <w:rPr>
          <w:rFonts w:cstheme="minorBidi"/>
          <w:i/>
          <w:iCs/>
        </w:rPr>
        <w:t xml:space="preserve">was actioned </w:t>
      </w:r>
      <w:r w:rsidR="622E9ACD" w:rsidRPr="07D162B7">
        <w:rPr>
          <w:rFonts w:cstheme="minorBidi"/>
          <w:i/>
          <w:iCs/>
        </w:rPr>
        <w:t xml:space="preserve">by the Department of Health and Aged Care from </w:t>
      </w:r>
      <w:r w:rsidR="308563AC" w:rsidRPr="07D162B7">
        <w:rPr>
          <w:rFonts w:cstheme="minorBidi"/>
          <w:i/>
          <w:iCs/>
        </w:rPr>
        <w:t>1 January 2024.</w:t>
      </w:r>
    </w:p>
    <w:p w14:paraId="30621EE1" w14:textId="7D14F475" w:rsidR="00421D70" w:rsidRDefault="00A20366" w:rsidP="005E4759">
      <w:r>
        <w:t xml:space="preserve">The </w:t>
      </w:r>
      <w:r w:rsidR="005E4759">
        <w:t xml:space="preserve">MRAC noted that condition-specific MBS </w:t>
      </w:r>
      <w:r w:rsidR="00FA7193">
        <w:t xml:space="preserve">telehealth </w:t>
      </w:r>
      <w:r w:rsidR="005E4759">
        <w:t>items exempt</w:t>
      </w:r>
      <w:r w:rsidR="00FA7193">
        <w:t xml:space="preserve"> from usual eligibility requirements</w:t>
      </w:r>
      <w:r w:rsidR="005E4759">
        <w:t xml:space="preserve"> </w:t>
      </w:r>
      <w:r w:rsidR="00FA7193">
        <w:t xml:space="preserve">could </w:t>
      </w:r>
      <w:r w:rsidR="005E4759">
        <w:t xml:space="preserve">result in </w:t>
      </w:r>
      <w:r w:rsidR="00FA7193">
        <w:t xml:space="preserve">some more commercially oriented service </w:t>
      </w:r>
      <w:r w:rsidR="005E4759">
        <w:t>models</w:t>
      </w:r>
      <w:r w:rsidR="0008544B">
        <w:t xml:space="preserve">. There is some evidence of this in </w:t>
      </w:r>
      <w:r w:rsidR="005E4759">
        <w:t>MBS data</w:t>
      </w:r>
      <w:r w:rsidR="00FA7193">
        <w:t xml:space="preserve">, with </w:t>
      </w:r>
      <w:r w:rsidR="005E4759">
        <w:t xml:space="preserve">providers that appear to focus solely on telehealth nicotine cessation services. </w:t>
      </w:r>
    </w:p>
    <w:p w14:paraId="08FFB095" w14:textId="5E9FD0A7" w:rsidR="005E4759" w:rsidRDefault="39B0D6A2" w:rsidP="005E4759">
      <w:r>
        <w:t>However, a</w:t>
      </w:r>
      <w:r w:rsidR="135FA3E2">
        <w:t xml:space="preserve"> </w:t>
      </w:r>
      <w:r w:rsidR="5AE7C16C">
        <w:t xml:space="preserve">typical </w:t>
      </w:r>
      <w:r w:rsidR="135FA3E2">
        <w:t xml:space="preserve">‘episode of care’ </w:t>
      </w:r>
      <w:r w:rsidR="6E04D43E">
        <w:t xml:space="preserve">with the </w:t>
      </w:r>
      <w:r w:rsidR="5AE7C16C">
        <w:t xml:space="preserve">use of these </w:t>
      </w:r>
      <w:r w:rsidR="6E04D43E">
        <w:t xml:space="preserve">MBS items </w:t>
      </w:r>
      <w:r w:rsidR="135FA3E2">
        <w:t>was one consultation between a patient and provider</w:t>
      </w:r>
      <w:r w:rsidR="6E04D43E">
        <w:t xml:space="preserve">, and this </w:t>
      </w:r>
      <w:r w:rsidR="5AE7C16C">
        <w:t xml:space="preserve">did not align with </w:t>
      </w:r>
      <w:r>
        <w:t xml:space="preserve">expectations of </w:t>
      </w:r>
      <w:r w:rsidR="1978F97A">
        <w:t xml:space="preserve">clinical management of </w:t>
      </w:r>
      <w:r w:rsidR="135FA3E2">
        <w:t>nicotine dependence</w:t>
      </w:r>
      <w:r w:rsidR="71D7FA6A">
        <w:t xml:space="preserve">. </w:t>
      </w:r>
      <w:r w:rsidR="2CCD749B">
        <w:t xml:space="preserve">The </w:t>
      </w:r>
      <w:r w:rsidR="71D7FA6A">
        <w:t>MRAC also noted that PBS data did not reveal a</w:t>
      </w:r>
      <w:r w:rsidR="6E04D43E">
        <w:t>ny</w:t>
      </w:r>
      <w:r w:rsidR="71D7FA6A">
        <w:t xml:space="preserve"> </w:t>
      </w:r>
      <w:r w:rsidR="6E04D43E">
        <w:t xml:space="preserve">change in </w:t>
      </w:r>
      <w:r w:rsidR="20A420BE">
        <w:t>dispensing of</w:t>
      </w:r>
      <w:r w:rsidR="71D7FA6A">
        <w:t xml:space="preserve"> </w:t>
      </w:r>
      <w:r w:rsidR="20A420BE">
        <w:t xml:space="preserve">PBS </w:t>
      </w:r>
      <w:r w:rsidR="71D7FA6A">
        <w:t xml:space="preserve">nicotine cessation therapies </w:t>
      </w:r>
      <w:r w:rsidR="20A420BE">
        <w:t>after the introduction of the specific GP telehealth items</w:t>
      </w:r>
      <w:r w:rsidR="71D7FA6A">
        <w:t>.</w:t>
      </w:r>
      <w:r w:rsidR="5B8E4499">
        <w:t xml:space="preserve"> </w:t>
      </w:r>
      <w:r w:rsidR="622E9ACD">
        <w:t>T</w:t>
      </w:r>
      <w:r w:rsidR="5B8E4499">
        <w:t xml:space="preserve">his </w:t>
      </w:r>
      <w:r w:rsidR="00222637">
        <w:t xml:space="preserve">is interpreted to </w:t>
      </w:r>
      <w:r w:rsidR="5B8E4499">
        <w:t xml:space="preserve">indicate that the nicotine cessation temporary MBS items </w:t>
      </w:r>
      <w:r w:rsidR="622E9ACD">
        <w:t xml:space="preserve">did not interact with or change practitioners’ and patients’ behaviour in relation to </w:t>
      </w:r>
      <w:r w:rsidR="00A87F19">
        <w:t>PBS nicotine cessation therapies</w:t>
      </w:r>
      <w:r w:rsidR="622E9ACD">
        <w:t xml:space="preserve">. However, there are limitations </w:t>
      </w:r>
      <w:r w:rsidR="22FEA762">
        <w:t>to this analysis</w:t>
      </w:r>
      <w:r w:rsidR="622E9ACD">
        <w:t>, as factors such as medicine availability may impact PBS statistics</w:t>
      </w:r>
      <w:r w:rsidR="1EBD2202">
        <w:t>.</w:t>
      </w:r>
      <w:r w:rsidR="00A87F19">
        <w:t xml:space="preserve"> </w:t>
      </w:r>
    </w:p>
    <w:p w14:paraId="5425F31C" w14:textId="3012803C" w:rsidR="005E4759" w:rsidRDefault="00893D76" w:rsidP="005E4759">
      <w:r>
        <w:t>Acknowledging recently renewed commitments</w:t>
      </w:r>
      <w:r w:rsidR="003A1836">
        <w:t xml:space="preserve"> to prevention and reduction of nicotine dependence by all Australian </w:t>
      </w:r>
      <w:r w:rsidR="00B55EC2">
        <w:t>s</w:t>
      </w:r>
      <w:r w:rsidR="003A1836">
        <w:t xml:space="preserve">tates and </w:t>
      </w:r>
      <w:r w:rsidR="00B55EC2">
        <w:t>t</w:t>
      </w:r>
      <w:r w:rsidR="003A1836">
        <w:t>erritories</w:t>
      </w:r>
      <w:r w:rsidR="00B55EC2">
        <w:t>,</w:t>
      </w:r>
      <w:r w:rsidR="003A1836">
        <w:t xml:space="preserve"> </w:t>
      </w:r>
      <w:r w:rsidR="00B55EC2">
        <w:t>t</w:t>
      </w:r>
      <w:r w:rsidR="00A20366">
        <w:t xml:space="preserve">he </w:t>
      </w:r>
      <w:r w:rsidR="005E4759">
        <w:t xml:space="preserve">MRAC noted that GPs were </w:t>
      </w:r>
      <w:r w:rsidR="00DF7684">
        <w:t xml:space="preserve">well </w:t>
      </w:r>
      <w:r w:rsidR="005E4759">
        <w:t xml:space="preserve">trained in providing nicotine cessation services. </w:t>
      </w:r>
      <w:r w:rsidR="00A20366">
        <w:t xml:space="preserve">The </w:t>
      </w:r>
      <w:r w:rsidR="005E4759">
        <w:t xml:space="preserve">MRAC considered that these services </w:t>
      </w:r>
      <w:r w:rsidR="00DF7684">
        <w:t xml:space="preserve">would be available and more effective from patients’ usual GPs using </w:t>
      </w:r>
      <w:r w:rsidR="005E4759">
        <w:t>generic MBS items</w:t>
      </w:r>
      <w:r w:rsidR="00DF7684">
        <w:t xml:space="preserve"> for consultations. In this context and with no evidence temporary GP nicotine cessation items improved access to evidence-based therapies, </w:t>
      </w:r>
      <w:r w:rsidR="005E4759">
        <w:t xml:space="preserve">there was no need for </w:t>
      </w:r>
      <w:r w:rsidR="00FD258B">
        <w:t xml:space="preserve">these </w:t>
      </w:r>
      <w:r w:rsidR="005E4759">
        <w:t>MBS item</w:t>
      </w:r>
      <w:r w:rsidR="00DF7684">
        <w:t>s</w:t>
      </w:r>
      <w:r w:rsidR="00FD258B">
        <w:t xml:space="preserve"> to continue beyond their scheduled expiry of 31 December 2023</w:t>
      </w:r>
      <w:r w:rsidR="005E4759">
        <w:t>.</w:t>
      </w:r>
    </w:p>
    <w:p w14:paraId="4EEC4EBD" w14:textId="635512F8" w:rsidR="005E4759" w:rsidRDefault="66465E92" w:rsidP="005E4759">
      <w:pPr>
        <w:pStyle w:val="BoxHeading"/>
      </w:pPr>
      <w:r>
        <w:t>Recommendation</w:t>
      </w:r>
      <w:r w:rsidR="3682E4BF">
        <w:t> 4</w:t>
      </w:r>
      <w:r>
        <w:t xml:space="preserve">: </w:t>
      </w:r>
      <w:r w:rsidR="17831ED6">
        <w:t>Discontinue temporary nicotine cessation MBS items with exemptions after 31 December 2023.</w:t>
      </w:r>
    </w:p>
    <w:p w14:paraId="5A959322" w14:textId="11D6E144" w:rsidR="005E4759" w:rsidRDefault="7D523E59" w:rsidP="07D162B7">
      <w:pPr>
        <w:pStyle w:val="Heading2"/>
        <w:spacing w:line="259" w:lineRule="auto"/>
      </w:pPr>
      <w:bookmarkStart w:id="93" w:name="_Toc163814591"/>
      <w:r>
        <w:t xml:space="preserve">Temporary MBS </w:t>
      </w:r>
      <w:r w:rsidR="10FB4BAC">
        <w:t>BBVSR item</w:t>
      </w:r>
      <w:r w:rsidR="6EDDDAC5">
        <w:t>s</w:t>
      </w:r>
      <w:bookmarkEnd w:id="93"/>
    </w:p>
    <w:p w14:paraId="4BF90F8A" w14:textId="1EFCD8DA" w:rsidR="008077AA" w:rsidRDefault="2F27E77B" w:rsidP="00073983">
      <w:r>
        <w:t xml:space="preserve">A small number of approved prescribers </w:t>
      </w:r>
      <w:r w:rsidR="3F98BE62">
        <w:t xml:space="preserve">for some medications </w:t>
      </w:r>
      <w:r>
        <w:t xml:space="preserve">and privacy concerns have been cited as reasons people may seek alternative providers to their regular GP for some sexual-health related consultations. </w:t>
      </w:r>
      <w:r w:rsidR="3F98BE62">
        <w:t xml:space="preserve">The GP </w:t>
      </w:r>
      <w:r w:rsidR="71D7FA6A">
        <w:t xml:space="preserve">BBVSR </w:t>
      </w:r>
      <w:r w:rsidR="152E63E6">
        <w:t xml:space="preserve">telehealth </w:t>
      </w:r>
      <w:r w:rsidR="71D7FA6A">
        <w:t xml:space="preserve">services </w:t>
      </w:r>
      <w:r w:rsidR="223D1378">
        <w:t xml:space="preserve">can </w:t>
      </w:r>
      <w:r w:rsidR="3F98BE62">
        <w:t xml:space="preserve">be used to </w:t>
      </w:r>
      <w:r w:rsidR="223D1378">
        <w:t xml:space="preserve">provide </w:t>
      </w:r>
      <w:r w:rsidR="71D7FA6A">
        <w:t>time</w:t>
      </w:r>
      <w:r w:rsidR="3F98BE62">
        <w:t xml:space="preserve">-critical </w:t>
      </w:r>
      <w:r w:rsidR="71D7FA6A">
        <w:t>treatment</w:t>
      </w:r>
      <w:r w:rsidR="43D0776A">
        <w:t xml:space="preserve">, including </w:t>
      </w:r>
      <w:r w:rsidR="3F98BE62">
        <w:t xml:space="preserve">but not limited </w:t>
      </w:r>
      <w:r w:rsidR="43D0776A">
        <w:t xml:space="preserve">to medical termination and </w:t>
      </w:r>
      <w:r w:rsidR="0DED6839">
        <w:t>pre-exposure prophylaxis for human immun</w:t>
      </w:r>
      <w:r w:rsidR="6EF5EDE8">
        <w:t>odeficiency virus.</w:t>
      </w:r>
    </w:p>
    <w:p w14:paraId="25DF0F35" w14:textId="701BE5A1" w:rsidR="00073983" w:rsidRDefault="00DC63BE" w:rsidP="00073983">
      <w:r>
        <w:t xml:space="preserve">The </w:t>
      </w:r>
      <w:r w:rsidR="00153A2A" w:rsidRPr="00455BD6">
        <w:t xml:space="preserve">MRAC considered that access to BBVSR services </w:t>
      </w:r>
      <w:r w:rsidR="00153A2A">
        <w:t xml:space="preserve">served a more obviously unmet clinical need and services to </w:t>
      </w:r>
      <w:r w:rsidR="00153A2A" w:rsidRPr="00455BD6">
        <w:t>a more vulnerable population</w:t>
      </w:r>
      <w:r w:rsidR="00153A2A">
        <w:t xml:space="preserve">, in contrast to telehealth </w:t>
      </w:r>
      <w:r w:rsidR="00153A2A" w:rsidRPr="00455BD6">
        <w:t>nicotine cessation services.</w:t>
      </w:r>
      <w:r w:rsidR="006C3F39">
        <w:t xml:space="preserve"> Overall, </w:t>
      </w:r>
      <w:r w:rsidR="00073983">
        <w:t xml:space="preserve">there was an ongoing role for specific BBVSR items and their exemption to existing clinical relationship requirements, </w:t>
      </w:r>
      <w:r w:rsidR="00D810A7">
        <w:t xml:space="preserve">and that these items </w:t>
      </w:r>
      <w:r w:rsidR="007656F6">
        <w:t xml:space="preserve">were </w:t>
      </w:r>
      <w:r w:rsidR="00073983">
        <w:t xml:space="preserve">likely to improve access without being a high risk for </w:t>
      </w:r>
      <w:r w:rsidR="00D844F0">
        <w:t>misuse</w:t>
      </w:r>
      <w:r w:rsidR="00073983">
        <w:t>.</w:t>
      </w:r>
    </w:p>
    <w:p w14:paraId="4B11B115" w14:textId="3D6F2277" w:rsidR="00F41DC7" w:rsidRDefault="00DC63BE" w:rsidP="00073983">
      <w:r>
        <w:t xml:space="preserve">The </w:t>
      </w:r>
      <w:r w:rsidR="00F41DC7">
        <w:t xml:space="preserve">MRAC noted stakeholder feedback suggesting that patient privacy could </w:t>
      </w:r>
      <w:r w:rsidR="002C493F">
        <w:t xml:space="preserve">still </w:t>
      </w:r>
      <w:r w:rsidR="00F41DC7">
        <w:t xml:space="preserve">be compromised </w:t>
      </w:r>
      <w:r w:rsidR="00372495">
        <w:t xml:space="preserve">when booking </w:t>
      </w:r>
      <w:r w:rsidR="002C493F">
        <w:t xml:space="preserve">BBVSR telehealth </w:t>
      </w:r>
      <w:r w:rsidR="00372495">
        <w:t>services</w:t>
      </w:r>
      <w:r w:rsidR="006A3156">
        <w:t xml:space="preserve">, but </w:t>
      </w:r>
      <w:r w:rsidR="002C493F">
        <w:t xml:space="preserve">that this </w:t>
      </w:r>
      <w:r w:rsidR="006A3156">
        <w:t xml:space="preserve">risk </w:t>
      </w:r>
      <w:r w:rsidR="002C493F">
        <w:t xml:space="preserve">was </w:t>
      </w:r>
      <w:r w:rsidR="006A3156">
        <w:t>the same for any telehealth booking, not just for BBVSR.</w:t>
      </w:r>
    </w:p>
    <w:p w14:paraId="2373EF3D" w14:textId="32A64AAE" w:rsidR="006A3156" w:rsidRDefault="3055C71E" w:rsidP="00073983">
      <w:r>
        <w:t xml:space="preserve">The </w:t>
      </w:r>
      <w:r w:rsidR="75D36A7D">
        <w:t xml:space="preserve">MRAC also noted stakeholder feedback suggesting that removing the requirement for a GP referral for </w:t>
      </w:r>
      <w:r w:rsidR="6DAA8B7F">
        <w:t xml:space="preserve">non-GP </w:t>
      </w:r>
      <w:r w:rsidR="7C03113F">
        <w:t xml:space="preserve">specialist </w:t>
      </w:r>
      <w:r w:rsidR="75D36A7D">
        <w:t>BBVSR services</w:t>
      </w:r>
      <w:r w:rsidR="01D9D32D">
        <w:t>,</w:t>
      </w:r>
      <w:r w:rsidR="75D36A7D">
        <w:t xml:space="preserve"> </w:t>
      </w:r>
      <w:r w:rsidR="7C03113F">
        <w:t xml:space="preserve">which </w:t>
      </w:r>
      <w:r w:rsidR="008E580B">
        <w:t>began</w:t>
      </w:r>
      <w:r w:rsidR="7C03113F">
        <w:t xml:space="preserve"> in </w:t>
      </w:r>
      <w:r w:rsidR="71348B0B">
        <w:t>2021</w:t>
      </w:r>
      <w:r w:rsidR="01D9D32D">
        <w:t>,</w:t>
      </w:r>
      <w:r w:rsidR="7C03113F">
        <w:t xml:space="preserve"> </w:t>
      </w:r>
      <w:r w:rsidR="75D36A7D">
        <w:t>would increase access</w:t>
      </w:r>
      <w:r w:rsidR="11B02CFB">
        <w:t xml:space="preserve"> to such specialised services</w:t>
      </w:r>
      <w:r w:rsidR="75D36A7D">
        <w:t xml:space="preserve">. However, </w:t>
      </w:r>
      <w:r w:rsidR="7C03113F">
        <w:t xml:space="preserve">the general principle of </w:t>
      </w:r>
      <w:r w:rsidR="756505A0">
        <w:t xml:space="preserve">GP referral </w:t>
      </w:r>
      <w:r w:rsidR="7C03113F">
        <w:t xml:space="preserve">remains </w:t>
      </w:r>
      <w:r w:rsidR="756505A0">
        <w:t>important for avoiding fragmentation of care</w:t>
      </w:r>
      <w:r w:rsidR="7C03113F">
        <w:t xml:space="preserve"> where possible, and that </w:t>
      </w:r>
      <w:r w:rsidR="0B4AC4D1">
        <w:t>even in the case of episodes requiring specialist referral, joint care with a GP</w:t>
      </w:r>
      <w:r w:rsidR="50F65BFF">
        <w:t xml:space="preserve"> that may provide more frequent consultations with the patient was desirable</w:t>
      </w:r>
      <w:r w:rsidR="756505A0">
        <w:t>.</w:t>
      </w:r>
    </w:p>
    <w:p w14:paraId="2AA6E2B2" w14:textId="1E7E54DD" w:rsidR="00B55943" w:rsidRDefault="00B55943" w:rsidP="00073983">
      <w:r>
        <w:t xml:space="preserve">The MRAC noted that these temporary items </w:t>
      </w:r>
      <w:r w:rsidR="00DE364B">
        <w:t>and exemptions expire on 30 June 2024.</w:t>
      </w:r>
    </w:p>
    <w:p w14:paraId="5520571A" w14:textId="32E0C756" w:rsidR="005E4759" w:rsidRDefault="005E4759" w:rsidP="005E4759">
      <w:pPr>
        <w:pStyle w:val="BoxHeading"/>
      </w:pPr>
      <w:r>
        <w:t>Recommendation</w:t>
      </w:r>
      <w:r w:rsidR="00C76C83">
        <w:t xml:space="preserve"> </w:t>
      </w:r>
      <w:r w:rsidR="004574B4">
        <w:t>5</w:t>
      </w:r>
      <w:r w:rsidRPr="004574B4">
        <w:t xml:space="preserve">: </w:t>
      </w:r>
      <w:r w:rsidR="004574B4" w:rsidRPr="004574B4">
        <w:t>Make temporary BBVSR MBS items with exemptions permanent, without any modifications to the referral process for BBVSR specialised care.</w:t>
      </w:r>
    </w:p>
    <w:p w14:paraId="54BA551D" w14:textId="4D148C7F" w:rsidR="005E4759" w:rsidRDefault="2B0E7F17" w:rsidP="07D162B7">
      <w:pPr>
        <w:pStyle w:val="Heading2"/>
        <w:spacing w:line="259" w:lineRule="auto"/>
        <w:ind w:left="0" w:firstLine="0"/>
      </w:pPr>
      <w:bookmarkStart w:id="94" w:name="_Toc163814592"/>
      <w:r>
        <w:t xml:space="preserve">Continuation of exemption for </w:t>
      </w:r>
      <w:r w:rsidR="0C93D5DF">
        <w:t xml:space="preserve">non-directive </w:t>
      </w:r>
      <w:r>
        <w:t>pregnancy counselling MBS items</w:t>
      </w:r>
      <w:bookmarkEnd w:id="94"/>
    </w:p>
    <w:p w14:paraId="0B601D1E" w14:textId="47AF40C0" w:rsidR="005E4759" w:rsidRDefault="5EB634B0" w:rsidP="005E4759">
      <w:r>
        <w:t xml:space="preserve">The </w:t>
      </w:r>
      <w:r w:rsidR="572E59D9">
        <w:t xml:space="preserve">MRAC noted </w:t>
      </w:r>
      <w:r w:rsidR="7BF60E55">
        <w:t>from</w:t>
      </w:r>
      <w:r w:rsidR="572E59D9">
        <w:t xml:space="preserve"> </w:t>
      </w:r>
      <w:r w:rsidR="00AE6F11">
        <w:t xml:space="preserve">2022-23 </w:t>
      </w:r>
      <w:r w:rsidR="572E59D9">
        <w:t>MBS data</w:t>
      </w:r>
      <w:r w:rsidR="00AE6F11">
        <w:t>,</w:t>
      </w:r>
      <w:r w:rsidR="572E59D9">
        <w:t xml:space="preserve"> that </w:t>
      </w:r>
      <w:r w:rsidR="5AC2F3E6">
        <w:t xml:space="preserve">non-directive </w:t>
      </w:r>
      <w:r w:rsidR="002B44B8">
        <w:t xml:space="preserve">pregnancy </w:t>
      </w:r>
      <w:r w:rsidR="0E3D700A">
        <w:t xml:space="preserve">counselling MBS </w:t>
      </w:r>
      <w:r w:rsidR="572E59D9">
        <w:t>item</w:t>
      </w:r>
      <w:r w:rsidR="0E3D700A">
        <w:t>s</w:t>
      </w:r>
      <w:r w:rsidR="572E59D9">
        <w:t xml:space="preserve"> w</w:t>
      </w:r>
      <w:r w:rsidR="0E3D700A">
        <w:t>ere</w:t>
      </w:r>
      <w:r w:rsidR="572E59D9">
        <w:t xml:space="preserve"> </w:t>
      </w:r>
      <w:r w:rsidR="007F302B">
        <w:t xml:space="preserve">claimed </w:t>
      </w:r>
      <w:r w:rsidR="61F2E8C0">
        <w:t xml:space="preserve">a total of </w:t>
      </w:r>
      <w:r w:rsidR="20ECF9A3">
        <w:t xml:space="preserve">35,000 </w:t>
      </w:r>
      <w:r w:rsidR="00AE6F11">
        <w:t>times</w:t>
      </w:r>
      <w:r w:rsidR="0BEFED29">
        <w:t xml:space="preserve"> </w:t>
      </w:r>
      <w:r w:rsidR="00BF1C28">
        <w:t>a</w:t>
      </w:r>
      <w:r w:rsidR="00AE6F11">
        <w:t>n</w:t>
      </w:r>
      <w:r w:rsidR="00BF1C28">
        <w:t xml:space="preserve">d approximately 6000 </w:t>
      </w:r>
      <w:r w:rsidR="00AE6F11">
        <w:t xml:space="preserve">of these </w:t>
      </w:r>
      <w:r w:rsidR="00BF1C28">
        <w:t xml:space="preserve">were </w:t>
      </w:r>
      <w:r w:rsidR="0BEFED29">
        <w:t xml:space="preserve">by </w:t>
      </w:r>
      <w:r w:rsidR="20ECF9A3">
        <w:t xml:space="preserve">telehealth. </w:t>
      </w:r>
      <w:r>
        <w:t xml:space="preserve">The </w:t>
      </w:r>
      <w:r w:rsidR="572E59D9">
        <w:t xml:space="preserve">MRAC noted </w:t>
      </w:r>
      <w:r w:rsidR="14D3128F">
        <w:t xml:space="preserve">that </w:t>
      </w:r>
      <w:r w:rsidR="572E59D9">
        <w:t xml:space="preserve">some co-claiming occurs (about 35% of the time), </w:t>
      </w:r>
      <w:r w:rsidR="14D3128F">
        <w:t xml:space="preserve">with </w:t>
      </w:r>
      <w:r w:rsidR="572E59D9">
        <w:t xml:space="preserve">the most common combination </w:t>
      </w:r>
      <w:r w:rsidR="14D3128F">
        <w:t>being</w:t>
      </w:r>
      <w:r w:rsidR="572E59D9">
        <w:t xml:space="preserve"> a face-to-face pregnancy counselling item followed by MBS items</w:t>
      </w:r>
      <w:r w:rsidR="375D5C79">
        <w:t> </w:t>
      </w:r>
      <w:hyperlink r:id="rId26">
        <w:r w:rsidR="572E59D9" w:rsidRPr="165431D0">
          <w:rPr>
            <w:rStyle w:val="Hyperlink"/>
          </w:rPr>
          <w:t>23</w:t>
        </w:r>
      </w:hyperlink>
      <w:r w:rsidR="375D5C79">
        <w:t> </w:t>
      </w:r>
      <w:r w:rsidR="572E59D9">
        <w:t>or </w:t>
      </w:r>
      <w:hyperlink r:id="rId27">
        <w:r w:rsidR="572E59D9" w:rsidRPr="165431D0">
          <w:rPr>
            <w:rStyle w:val="Hyperlink"/>
          </w:rPr>
          <w:t>36</w:t>
        </w:r>
      </w:hyperlink>
      <w:r w:rsidR="572E59D9">
        <w:t xml:space="preserve">. </w:t>
      </w:r>
      <w:r>
        <w:t xml:space="preserve">The </w:t>
      </w:r>
      <w:r w:rsidR="572E59D9">
        <w:t xml:space="preserve">MRAC considered it unnecessary to continue the exemption for pregnancy counselling items, </w:t>
      </w:r>
      <w:r w:rsidR="542D3424">
        <w:t xml:space="preserve">noting that many services may be superseded by making GP BBVSR items permanent, or may be </w:t>
      </w:r>
      <w:r w:rsidR="572E59D9">
        <w:t xml:space="preserve">provided as part of </w:t>
      </w:r>
      <w:r w:rsidR="0287229A">
        <w:t xml:space="preserve">other </w:t>
      </w:r>
      <w:r w:rsidR="572E59D9">
        <w:t xml:space="preserve">GP </w:t>
      </w:r>
      <w:r w:rsidR="5AF3AB25">
        <w:t xml:space="preserve">telehealth </w:t>
      </w:r>
      <w:r w:rsidR="572E59D9">
        <w:t>services</w:t>
      </w:r>
      <w:r w:rsidR="0287229A">
        <w:t>, including in relation to mental health where consideration may be given to perinatal depression</w:t>
      </w:r>
      <w:r w:rsidR="572E59D9">
        <w:t>.</w:t>
      </w:r>
      <w:r w:rsidR="0324C3D4">
        <w:t xml:space="preserve"> However, </w:t>
      </w:r>
      <w:r w:rsidR="67249194">
        <w:t xml:space="preserve">current </w:t>
      </w:r>
      <w:r w:rsidR="0324C3D4">
        <w:t>BBVSR items may need to be updated to ensure they allow for all services currently provided under non</w:t>
      </w:r>
      <w:r w:rsidR="41D7A43D">
        <w:t>-</w:t>
      </w:r>
      <w:r w:rsidR="0324C3D4">
        <w:t>directive pregnancy counselling.</w:t>
      </w:r>
    </w:p>
    <w:p w14:paraId="66354BC6" w14:textId="4B45A474" w:rsidR="000920FA" w:rsidRDefault="000920FA" w:rsidP="005E4759">
      <w:r>
        <w:t xml:space="preserve">The </w:t>
      </w:r>
      <w:r w:rsidR="00D72BDE">
        <w:t xml:space="preserve">long-term relevance of </w:t>
      </w:r>
      <w:r>
        <w:t xml:space="preserve">GP non-directive pregnancy items </w:t>
      </w:r>
      <w:r w:rsidR="00D72BDE">
        <w:t xml:space="preserve">may also </w:t>
      </w:r>
      <w:r w:rsidR="00563056">
        <w:t xml:space="preserve">need to </w:t>
      </w:r>
      <w:r w:rsidR="00D72BDE">
        <w:t xml:space="preserve">be considered in the context of concurrent or </w:t>
      </w:r>
      <w:r w:rsidR="00E86CB4">
        <w:t xml:space="preserve">future </w:t>
      </w:r>
      <w:r w:rsidR="00D72BDE">
        <w:t>reviews of mental health and GP MBS items.</w:t>
      </w:r>
    </w:p>
    <w:p w14:paraId="6A93FCF2" w14:textId="0596E3A9" w:rsidR="00DE364B" w:rsidRDefault="00DE364B" w:rsidP="005E4759">
      <w:r>
        <w:t xml:space="preserve">The MRAC noted that </w:t>
      </w:r>
      <w:r w:rsidR="007A0CC0">
        <w:t>the exemption for non-directive pregnancy counselling MBS items expires on 30 June 2024.</w:t>
      </w:r>
    </w:p>
    <w:p w14:paraId="0149CABD" w14:textId="4CD128B5" w:rsidR="005E4759" w:rsidRDefault="005E4759" w:rsidP="005E4759">
      <w:pPr>
        <w:pStyle w:val="BoxHeading"/>
      </w:pPr>
      <w:r>
        <w:t>Recommendation</w:t>
      </w:r>
      <w:r w:rsidR="00C76C83">
        <w:t xml:space="preserve"> </w:t>
      </w:r>
      <w:r w:rsidR="007D726F">
        <w:t>6</w:t>
      </w:r>
      <w:r w:rsidRPr="007D726F">
        <w:t xml:space="preserve">: </w:t>
      </w:r>
      <w:r w:rsidR="007D726F" w:rsidRPr="007D726F">
        <w:t>Subject to permanent GP BBVSR telehealth items, discontinue the exemption to GP telehealth eligibility requirements for GP non-directive pregnancy counselling services.</w:t>
      </w:r>
    </w:p>
    <w:p w14:paraId="06F3690A" w14:textId="0748FFCE" w:rsidR="005E4759" w:rsidRDefault="2B0E7F17" w:rsidP="07D162B7">
      <w:pPr>
        <w:pStyle w:val="Heading2"/>
        <w:spacing w:line="259" w:lineRule="auto"/>
      </w:pPr>
      <w:bookmarkStart w:id="95" w:name="_Toc163814593"/>
      <w:r>
        <w:t xml:space="preserve">Continuation of exemption for </w:t>
      </w:r>
      <w:r w:rsidR="131BEF9A">
        <w:t xml:space="preserve">GP </w:t>
      </w:r>
      <w:r>
        <w:t>mental health MBS items</w:t>
      </w:r>
      <w:bookmarkEnd w:id="95"/>
    </w:p>
    <w:p w14:paraId="2438B43D" w14:textId="24B78C1F" w:rsidR="00E87C4C" w:rsidRDefault="00DC63BE" w:rsidP="005E4759">
      <w:r>
        <w:t xml:space="preserve">The </w:t>
      </w:r>
      <w:r w:rsidR="005F57E7">
        <w:t xml:space="preserve">MRAC </w:t>
      </w:r>
      <w:r w:rsidR="00CA544F">
        <w:t>considered</w:t>
      </w:r>
      <w:r w:rsidR="005F57E7">
        <w:t xml:space="preserve"> </w:t>
      </w:r>
      <w:r w:rsidR="009C7D7D">
        <w:t xml:space="preserve">that </w:t>
      </w:r>
      <w:r w:rsidR="00350DF6">
        <w:t xml:space="preserve">removing </w:t>
      </w:r>
      <w:r w:rsidR="002B1C68">
        <w:t>the</w:t>
      </w:r>
      <w:r w:rsidR="009C7D7D">
        <w:t xml:space="preserve"> exemption </w:t>
      </w:r>
      <w:r w:rsidR="00C762EB">
        <w:t>on</w:t>
      </w:r>
      <w:r w:rsidR="009C7D7D">
        <w:t xml:space="preserve"> mental </w:t>
      </w:r>
      <w:r w:rsidR="007D6327">
        <w:t xml:space="preserve">health </w:t>
      </w:r>
      <w:r w:rsidR="00350DF6">
        <w:t>tele</w:t>
      </w:r>
      <w:r w:rsidR="009C7D7D">
        <w:t xml:space="preserve">health services </w:t>
      </w:r>
      <w:r w:rsidR="00C762EB">
        <w:t>may</w:t>
      </w:r>
      <w:r w:rsidR="00DB4519">
        <w:t xml:space="preserve"> de</w:t>
      </w:r>
      <w:r w:rsidR="00C762EB">
        <w:t xml:space="preserve">crease access for some vulnerable populations that may not have an ongoing relationship with a regular GP or </w:t>
      </w:r>
      <w:r w:rsidR="00453C82">
        <w:t xml:space="preserve">general </w:t>
      </w:r>
      <w:r w:rsidR="00C762EB">
        <w:t xml:space="preserve">practice. </w:t>
      </w:r>
      <w:r w:rsidR="00B677A7">
        <w:t>Examples include young people, university students who have moved away from home, people in rural or remote areas</w:t>
      </w:r>
      <w:r w:rsidR="00453C82">
        <w:t>,</w:t>
      </w:r>
      <w:r w:rsidR="003C2445">
        <w:t xml:space="preserve"> and</w:t>
      </w:r>
      <w:r w:rsidR="007062AF">
        <w:t xml:space="preserve"> those in domestic violence situations</w:t>
      </w:r>
      <w:r w:rsidR="003C2445">
        <w:t xml:space="preserve">. In addition, </w:t>
      </w:r>
      <w:r>
        <w:t xml:space="preserve">the </w:t>
      </w:r>
      <w:r w:rsidR="003C2445">
        <w:t xml:space="preserve">MRAC considered that many people with mental health conditions are disengaged </w:t>
      </w:r>
      <w:r w:rsidR="005F0122">
        <w:t xml:space="preserve">from </w:t>
      </w:r>
      <w:r w:rsidR="00112EC4">
        <w:t>a regular practice.</w:t>
      </w:r>
      <w:r>
        <w:t xml:space="preserve"> The</w:t>
      </w:r>
      <w:r w:rsidR="002F3EDD">
        <w:t xml:space="preserve"> MRAC noted the mental health </w:t>
      </w:r>
      <w:r w:rsidR="007F302B">
        <w:t xml:space="preserve">and suicide </w:t>
      </w:r>
      <w:r w:rsidR="002F3EDD">
        <w:t>statistics</w:t>
      </w:r>
      <w:r w:rsidR="007F302B">
        <w:t xml:space="preserve"> </w:t>
      </w:r>
      <w:r w:rsidR="002F3EDD">
        <w:t>in Australia</w:t>
      </w:r>
      <w:r w:rsidR="00861337">
        <w:t xml:space="preserve"> and determined that ensuring access to </w:t>
      </w:r>
      <w:r w:rsidR="007F302B">
        <w:t xml:space="preserve">MBS </w:t>
      </w:r>
      <w:r w:rsidR="00861337">
        <w:t xml:space="preserve">mental health services </w:t>
      </w:r>
      <w:r w:rsidR="0077774F">
        <w:t>wa</w:t>
      </w:r>
      <w:r w:rsidR="00861337">
        <w:t>s of paramount importance.</w:t>
      </w:r>
    </w:p>
    <w:p w14:paraId="44283C63" w14:textId="39CB49AD" w:rsidR="005E4759" w:rsidRDefault="00DC63BE" w:rsidP="005E4759">
      <w:r>
        <w:t xml:space="preserve">The </w:t>
      </w:r>
      <w:r w:rsidR="00E87C4C">
        <w:t>MRAC noted that a GP referral is required to access psychological specialist services</w:t>
      </w:r>
      <w:r w:rsidR="00A8072D">
        <w:t xml:space="preserve">, and </w:t>
      </w:r>
      <w:r w:rsidR="00590CE4">
        <w:t xml:space="preserve">considered that </w:t>
      </w:r>
      <w:r w:rsidR="00EA1023">
        <w:t xml:space="preserve">timely referral </w:t>
      </w:r>
      <w:r w:rsidR="009916E0">
        <w:t xml:space="preserve">and/or confident management by a GP specialising in mental health therapy was </w:t>
      </w:r>
      <w:r w:rsidR="00A8072D">
        <w:t>important.</w:t>
      </w:r>
      <w:r w:rsidR="00183FFD">
        <w:t xml:space="preserve"> However, </w:t>
      </w:r>
      <w:r>
        <w:t xml:space="preserve">the </w:t>
      </w:r>
      <w:r w:rsidR="00183FFD">
        <w:t xml:space="preserve">MRAC was conscious </w:t>
      </w:r>
      <w:r w:rsidR="00E875A9">
        <w:t>of the</w:t>
      </w:r>
      <w:r w:rsidR="00BA76B2">
        <w:t xml:space="preserve"> unintended consequences of exemptions to access telehealth </w:t>
      </w:r>
      <w:r w:rsidR="006B066F">
        <w:t xml:space="preserve">MBS items, such as </w:t>
      </w:r>
      <w:r w:rsidR="00E875A9">
        <w:t xml:space="preserve">encouraging </w:t>
      </w:r>
      <w:r w:rsidR="006B066F">
        <w:t>online-only services</w:t>
      </w:r>
      <w:r w:rsidR="00545663">
        <w:t xml:space="preserve"> that focus on quantity over quality, which</w:t>
      </w:r>
      <w:r w:rsidR="006B066F">
        <w:t xml:space="preserve"> may result in </w:t>
      </w:r>
      <w:r w:rsidR="00545663">
        <w:t xml:space="preserve">low-value, </w:t>
      </w:r>
      <w:r w:rsidR="006B066F">
        <w:t>fragmented care.</w:t>
      </w:r>
      <w:r>
        <w:t xml:space="preserve"> </w:t>
      </w:r>
      <w:r w:rsidR="00931159">
        <w:t xml:space="preserve">The MRAC was also concerned that </w:t>
      </w:r>
      <w:r w:rsidR="00264300">
        <w:t>mental health planning items delivered by online services would result</w:t>
      </w:r>
      <w:r w:rsidR="001B1C8C">
        <w:t xml:space="preserve"> in the patient not appropriately being followed up</w:t>
      </w:r>
      <w:r w:rsidR="00254ADF">
        <w:t xml:space="preserve"> and their progress </w:t>
      </w:r>
      <w:r w:rsidR="00894CD6">
        <w:t>would not be reviewed</w:t>
      </w:r>
      <w:r w:rsidR="00254ADF">
        <w:t xml:space="preserve">. </w:t>
      </w:r>
      <w:r>
        <w:t>The</w:t>
      </w:r>
      <w:r w:rsidR="00314097">
        <w:t xml:space="preserve"> MRAC </w:t>
      </w:r>
      <w:r w:rsidR="00D02DD4">
        <w:t xml:space="preserve">was careful to </w:t>
      </w:r>
      <w:r w:rsidR="00DE0787">
        <w:t xml:space="preserve">acknowledge </w:t>
      </w:r>
      <w:r w:rsidR="00314097">
        <w:t xml:space="preserve">that </w:t>
      </w:r>
      <w:r w:rsidR="00D02DD4">
        <w:t>not all online-only services result in low-value care</w:t>
      </w:r>
      <w:r w:rsidR="008D3AA5">
        <w:t>,</w:t>
      </w:r>
      <w:r w:rsidR="00825606">
        <w:t xml:space="preserve"> and some business models may be suitable</w:t>
      </w:r>
      <w:r w:rsidR="00D02DD4">
        <w:t>.</w:t>
      </w:r>
      <w:r w:rsidR="00B231BE">
        <w:t xml:space="preserve"> </w:t>
      </w:r>
      <w:r>
        <w:t xml:space="preserve">The </w:t>
      </w:r>
      <w:r w:rsidR="00B231BE">
        <w:t xml:space="preserve">MRAC </w:t>
      </w:r>
      <w:r w:rsidR="00C53C66">
        <w:t>queried</w:t>
      </w:r>
      <w:r w:rsidR="00B231BE">
        <w:t xml:space="preserve"> whether there were opportunities to introduce rebates</w:t>
      </w:r>
      <w:r w:rsidR="00A52469">
        <w:t xml:space="preserve"> and</w:t>
      </w:r>
      <w:r w:rsidR="00B231BE">
        <w:t xml:space="preserve"> incentives (and disincentives) to avoid undermining face-to-face services.</w:t>
      </w:r>
    </w:p>
    <w:p w14:paraId="5B2BE359" w14:textId="52ADB267" w:rsidR="00692C83" w:rsidRDefault="00DC63BE" w:rsidP="005E4759">
      <w:r>
        <w:t xml:space="preserve">The </w:t>
      </w:r>
      <w:r w:rsidR="0087037B">
        <w:t xml:space="preserve">MRAC </w:t>
      </w:r>
      <w:r w:rsidR="00A91DB5">
        <w:t xml:space="preserve">considered different thresholds for patients’ eligibility for MBS GP mental health services, and </w:t>
      </w:r>
      <w:r w:rsidR="0087037B">
        <w:t xml:space="preserve">noted that </w:t>
      </w:r>
      <w:hyperlink r:id="rId28" w:history="1">
        <w:r w:rsidR="0087037B" w:rsidRPr="00A1136C">
          <w:rPr>
            <w:rStyle w:val="Hyperlink"/>
          </w:rPr>
          <w:t>MyMedicare</w:t>
        </w:r>
      </w:hyperlink>
      <w:r w:rsidR="006F4B7F">
        <w:rPr>
          <w:rStyle w:val="Hyperlink"/>
        </w:rPr>
        <w:t xml:space="preserve">, </w:t>
      </w:r>
      <w:r w:rsidR="006F4B7F" w:rsidRPr="001826EF">
        <w:t xml:space="preserve">as it is proposed </w:t>
      </w:r>
      <w:r w:rsidR="00BD2471" w:rsidRPr="001826EF">
        <w:t>for MBS chronic disease items</w:t>
      </w:r>
      <w:r w:rsidR="0087037B">
        <w:t xml:space="preserve"> </w:t>
      </w:r>
      <w:r w:rsidR="00BD2471">
        <w:t xml:space="preserve">would be a suitable model </w:t>
      </w:r>
      <w:r w:rsidR="002232CC">
        <w:t>for GP</w:t>
      </w:r>
      <w:r w:rsidR="0087037B">
        <w:t xml:space="preserve"> mental health</w:t>
      </w:r>
      <w:r w:rsidR="002232CC">
        <w:t xml:space="preserve"> planning and reviews of plans</w:t>
      </w:r>
      <w:r w:rsidR="00A91DB5">
        <w:t xml:space="preserve">. This would introduce contemporary </w:t>
      </w:r>
      <w:r w:rsidR="0093524D">
        <w:t>GP telehealth eligibility requirements</w:t>
      </w:r>
      <w:r w:rsidR="00A91DB5">
        <w:t xml:space="preserve"> which encourage continuity of care, and w</w:t>
      </w:r>
      <w:r w:rsidR="0093524D">
        <w:t xml:space="preserve">hile no explicit requirement </w:t>
      </w:r>
      <w:r w:rsidR="00A91DB5">
        <w:t xml:space="preserve">applies to </w:t>
      </w:r>
      <w:r w:rsidR="0093524D">
        <w:t xml:space="preserve">GPs who provide mental health treatment plans to be the primary GP for </w:t>
      </w:r>
      <w:r w:rsidR="00692C83">
        <w:t>the recipient of the plan, it was noted that planning was intended to be holistic and inclusive of bio</w:t>
      </w:r>
      <w:r w:rsidR="00A91DB5">
        <w:t xml:space="preserve">logical, </w:t>
      </w:r>
      <w:r w:rsidR="00692C83">
        <w:t>psycho</w:t>
      </w:r>
      <w:r w:rsidR="00A91DB5">
        <w:t xml:space="preserve">logical and </w:t>
      </w:r>
      <w:r w:rsidR="00692C83">
        <w:t>social factors</w:t>
      </w:r>
      <w:r w:rsidR="00F501FE">
        <w:t xml:space="preserve"> (see </w:t>
      </w:r>
      <w:hyperlink r:id="rId29" w:history="1">
        <w:r w:rsidR="007F302B">
          <w:rPr>
            <w:rStyle w:val="Hyperlink"/>
          </w:rPr>
          <w:t>MBS Note AN.0.56</w:t>
        </w:r>
      </w:hyperlink>
      <w:r w:rsidR="00FE153E">
        <w:t>)</w:t>
      </w:r>
      <w:r w:rsidR="00692C83">
        <w:t>.</w:t>
      </w:r>
    </w:p>
    <w:p w14:paraId="4F9AC823" w14:textId="13525591" w:rsidR="0087037B" w:rsidRDefault="041B2FC3" w:rsidP="005E4759">
      <w:r>
        <w:t xml:space="preserve">While MyMedicare </w:t>
      </w:r>
      <w:r w:rsidR="7EE08A4B">
        <w:t xml:space="preserve">could apply to planning and review items, it was essential that treatment services, including the GP mental health </w:t>
      </w:r>
      <w:r w:rsidR="2918CAD3">
        <w:t>consultation</w:t>
      </w:r>
      <w:r w:rsidR="3A7B2D7B">
        <w:t>s</w:t>
      </w:r>
      <w:r w:rsidR="2918CAD3">
        <w:t xml:space="preserve"> </w:t>
      </w:r>
      <w:r w:rsidR="5EB1D2A3">
        <w:t xml:space="preserve">longer than 20 minutes (for example, MBS items 92115 and </w:t>
      </w:r>
      <w:r w:rsidR="51E44BE2">
        <w:t xml:space="preserve">92127) </w:t>
      </w:r>
      <w:r w:rsidR="2918CAD3">
        <w:t xml:space="preserve">and </w:t>
      </w:r>
      <w:r w:rsidR="3742D63B">
        <w:t xml:space="preserve">GP </w:t>
      </w:r>
      <w:r w:rsidR="4D964105">
        <w:t>F</w:t>
      </w:r>
      <w:r w:rsidR="2918CAD3">
        <w:t xml:space="preserve">ocused </w:t>
      </w:r>
      <w:r w:rsidR="5579C29F">
        <w:t>Ps</w:t>
      </w:r>
      <w:r w:rsidR="2918CAD3">
        <w:t xml:space="preserve">ychological </w:t>
      </w:r>
      <w:r w:rsidR="461F9A78">
        <w:t>S</w:t>
      </w:r>
      <w:r w:rsidR="2918CAD3">
        <w:t>trategies continued to be exempt</w:t>
      </w:r>
      <w:r w:rsidR="0693D6D7">
        <w:t xml:space="preserve"> from telehealth eligibility requirements</w:t>
      </w:r>
      <w:r w:rsidR="2918CAD3">
        <w:t xml:space="preserve">. This approach ensured that GP </w:t>
      </w:r>
      <w:r w:rsidR="0693D6D7">
        <w:t xml:space="preserve">mental health </w:t>
      </w:r>
      <w:r w:rsidR="2918CAD3">
        <w:t xml:space="preserve">treatment services </w:t>
      </w:r>
      <w:r w:rsidR="0693D6D7">
        <w:t xml:space="preserve">by phone and video were as accessible as </w:t>
      </w:r>
      <w:r w:rsidR="180E785F">
        <w:t xml:space="preserve">mental health treatment from </w:t>
      </w:r>
      <w:r w:rsidR="0CE7FC59">
        <w:t>a</w:t>
      </w:r>
      <w:r w:rsidR="0693D6D7">
        <w:t xml:space="preserve">llied mental health professionals and consultant psychiatrists. </w:t>
      </w:r>
    </w:p>
    <w:p w14:paraId="291F1553" w14:textId="2E0C0F65" w:rsidR="006B066F" w:rsidRDefault="404F713A" w:rsidP="005E4759">
      <w:r>
        <w:t xml:space="preserve">The </w:t>
      </w:r>
      <w:r w:rsidR="55745743">
        <w:t xml:space="preserve">MRAC </w:t>
      </w:r>
      <w:r w:rsidR="3C053D50">
        <w:t xml:space="preserve">emphasised video as </w:t>
      </w:r>
      <w:r w:rsidR="55745743">
        <w:t xml:space="preserve">the preferred </w:t>
      </w:r>
      <w:r w:rsidR="33EDE40B">
        <w:t xml:space="preserve">telehealth </w:t>
      </w:r>
      <w:r w:rsidR="55745743">
        <w:t>modality</w:t>
      </w:r>
      <w:r w:rsidR="43671430">
        <w:t xml:space="preserve"> for mental health services</w:t>
      </w:r>
      <w:r w:rsidR="3C053D50">
        <w:t>, as it is often important to be able to observe the patient</w:t>
      </w:r>
      <w:r w:rsidR="33EDE40B">
        <w:t>. F</w:t>
      </w:r>
      <w:r w:rsidR="3C053D50">
        <w:t xml:space="preserve">or non-GP providers </w:t>
      </w:r>
      <w:r w:rsidR="5C405261">
        <w:t xml:space="preserve">the majority of telehealth services being provided by video </w:t>
      </w:r>
      <w:r w:rsidR="33EDE40B">
        <w:t xml:space="preserve">is </w:t>
      </w:r>
      <w:r w:rsidR="3C053D50">
        <w:t>already the case</w:t>
      </w:r>
      <w:r w:rsidR="55745743">
        <w:t xml:space="preserve">. </w:t>
      </w:r>
      <w:r>
        <w:t xml:space="preserve">The </w:t>
      </w:r>
      <w:r w:rsidR="55745743">
        <w:t xml:space="preserve">MRAC </w:t>
      </w:r>
      <w:r w:rsidR="64D57E58">
        <w:t>referred to Principles 1 and</w:t>
      </w:r>
      <w:r w:rsidR="1DC6C29D">
        <w:t> </w:t>
      </w:r>
      <w:r w:rsidR="64D57E58">
        <w:t>2;</w:t>
      </w:r>
      <w:r w:rsidR="55745743">
        <w:t xml:space="preserve"> that </w:t>
      </w:r>
      <w:r w:rsidR="4B6CF13D">
        <w:t xml:space="preserve">patient preference must be considered </w:t>
      </w:r>
      <w:r w:rsidR="64D57E58">
        <w:t xml:space="preserve">and </w:t>
      </w:r>
      <w:r w:rsidR="384D3D6E">
        <w:t xml:space="preserve">that clinicians must </w:t>
      </w:r>
      <w:r w:rsidR="5FFB27E8">
        <w:t>deliver a service that they determine to be safe and effective.</w:t>
      </w:r>
    </w:p>
    <w:p w14:paraId="59DCA182" w14:textId="02D6F0DE" w:rsidR="001C1FAD" w:rsidRDefault="58784C94" w:rsidP="07D162B7">
      <w:r>
        <w:t xml:space="preserve">The </w:t>
      </w:r>
      <w:r w:rsidR="3A83C895">
        <w:t xml:space="preserve">MRAC noted that any mental health telehealth services </w:t>
      </w:r>
      <w:r w:rsidR="004E43AE">
        <w:t xml:space="preserve">should </w:t>
      </w:r>
      <w:r w:rsidR="3A83C895">
        <w:t xml:space="preserve">comply with the </w:t>
      </w:r>
      <w:hyperlink r:id="rId30">
        <w:r w:rsidR="3A83C895" w:rsidRPr="07D162B7">
          <w:rPr>
            <w:rStyle w:val="Hyperlink"/>
          </w:rPr>
          <w:t>National Safety and Quality Digital Mental Health Standards</w:t>
        </w:r>
      </w:hyperlink>
      <w:r w:rsidR="2A5A05D8">
        <w:t>,</w:t>
      </w:r>
      <w:r w:rsidR="287593C1">
        <w:t xml:space="preserve"> </w:t>
      </w:r>
      <w:r w:rsidR="559601E6">
        <w:t>acknowledging that these are voluntary</w:t>
      </w:r>
      <w:r w:rsidR="3A83C895">
        <w:t>.</w:t>
      </w:r>
      <w:r w:rsidR="004E43AE">
        <w:t xml:space="preserve"> </w:t>
      </w:r>
    </w:p>
    <w:p w14:paraId="1F8F3A1A" w14:textId="125E874A" w:rsidR="00F41142" w:rsidRDefault="000141FE" w:rsidP="00957E6C">
      <w:pPr>
        <w:pStyle w:val="BoxHeading"/>
      </w:pPr>
      <w:r>
        <w:t xml:space="preserve">Recommendation </w:t>
      </w:r>
      <w:r w:rsidR="00551D0B">
        <w:t>7</w:t>
      </w:r>
      <w:r>
        <w:t xml:space="preserve">: </w:t>
      </w:r>
    </w:p>
    <w:p w14:paraId="084D2006" w14:textId="77777777" w:rsidR="00F41142" w:rsidRDefault="00DC7004" w:rsidP="00EC7EB5">
      <w:pPr>
        <w:pStyle w:val="BoxHeading"/>
        <w:numPr>
          <w:ilvl w:val="0"/>
          <w:numId w:val="12"/>
        </w:numPr>
      </w:pPr>
      <w:r>
        <w:t xml:space="preserve">Retain eligibility </w:t>
      </w:r>
      <w:r w:rsidR="00EA600E">
        <w:t xml:space="preserve">exemptions </w:t>
      </w:r>
      <w:r w:rsidR="000141FE">
        <w:t xml:space="preserve">for </w:t>
      </w:r>
      <w:r w:rsidR="005B256B">
        <w:t xml:space="preserve">telehealth </w:t>
      </w:r>
      <w:r w:rsidR="00D80183">
        <w:t xml:space="preserve">GP </w:t>
      </w:r>
      <w:r w:rsidR="00A72BFF">
        <w:t xml:space="preserve">mental health MBS </w:t>
      </w:r>
      <w:r w:rsidR="00B81326">
        <w:t xml:space="preserve">treatment </w:t>
      </w:r>
      <w:r w:rsidR="00A72BFF">
        <w:t>items</w:t>
      </w:r>
      <w:r w:rsidR="003B1F57">
        <w:t xml:space="preserve">. </w:t>
      </w:r>
    </w:p>
    <w:p w14:paraId="3BC80D77" w14:textId="2386E007" w:rsidR="000141FE" w:rsidRPr="005E4759" w:rsidRDefault="004D49A7" w:rsidP="00EC7EB5">
      <w:pPr>
        <w:pStyle w:val="BoxHeading"/>
        <w:numPr>
          <w:ilvl w:val="0"/>
          <w:numId w:val="12"/>
        </w:numPr>
      </w:pPr>
      <w:r>
        <w:t>Make</w:t>
      </w:r>
      <w:r w:rsidR="003B1F57">
        <w:t xml:space="preserve"> </w:t>
      </w:r>
      <w:r w:rsidR="00A03D7E">
        <w:t xml:space="preserve">telehealth </w:t>
      </w:r>
      <w:r w:rsidR="00D80183">
        <w:t xml:space="preserve">GP </w:t>
      </w:r>
      <w:r w:rsidR="00A03D7E">
        <w:t xml:space="preserve">mental health </w:t>
      </w:r>
      <w:r w:rsidR="003B1F57">
        <w:t xml:space="preserve">MBS </w:t>
      </w:r>
      <w:r w:rsidR="00D80183">
        <w:t>plan</w:t>
      </w:r>
      <w:r w:rsidR="00607E7D">
        <w:t>ning</w:t>
      </w:r>
      <w:r w:rsidR="00197DAE">
        <w:t xml:space="preserve"> and </w:t>
      </w:r>
      <w:r w:rsidR="003B1F57">
        <w:t>review</w:t>
      </w:r>
      <w:r w:rsidR="00197DAE">
        <w:t xml:space="preserve"> items non-exclusively </w:t>
      </w:r>
      <w:r w:rsidR="00607E7D">
        <w:t xml:space="preserve">linked to </w:t>
      </w:r>
      <w:r w:rsidR="00197DAE">
        <w:t>MyMedicare</w:t>
      </w:r>
      <w:r w:rsidR="004A130F">
        <w:t>.</w:t>
      </w:r>
    </w:p>
    <w:p w14:paraId="1A9426DB" w14:textId="1A8846C7" w:rsidR="003136C6" w:rsidRDefault="241053F0" w:rsidP="07D162B7">
      <w:pPr>
        <w:pStyle w:val="Heading2"/>
        <w:spacing w:line="259" w:lineRule="auto"/>
      </w:pPr>
      <w:bookmarkStart w:id="96" w:name="_Toc163814594"/>
      <w:r>
        <w:t>Continuity of care and consistency</w:t>
      </w:r>
      <w:r w:rsidR="66E74BB7">
        <w:t xml:space="preserve"> of eligibility requirements</w:t>
      </w:r>
      <w:bookmarkEnd w:id="96"/>
      <w:r w:rsidR="614705FA">
        <w:t xml:space="preserve"> </w:t>
      </w:r>
    </w:p>
    <w:p w14:paraId="1B25E14F" w14:textId="69561F53" w:rsidR="007F302B" w:rsidRDefault="3869ABDA" w:rsidP="00F94C44">
      <w:r>
        <w:t xml:space="preserve">The MRAC discussed the </w:t>
      </w:r>
      <w:r w:rsidR="1BC7A10A">
        <w:t xml:space="preserve">eligibility </w:t>
      </w:r>
      <w:r w:rsidR="349FF064">
        <w:t xml:space="preserve">requirements and how these exist to support the </w:t>
      </w:r>
      <w:r>
        <w:t>concept of continuity of care</w:t>
      </w:r>
      <w:r w:rsidR="349FF064">
        <w:t>. The MRAC did not think these were a</w:t>
      </w:r>
      <w:r>
        <w:t xml:space="preserve">pplied consistently, </w:t>
      </w:r>
      <w:r w:rsidR="115F12FB">
        <w:t xml:space="preserve">and that some telehealth items for certain clinician groups </w:t>
      </w:r>
      <w:r w:rsidR="6CB4EC41">
        <w:t>did not currently have any eligibility requirements – such as nurse practitioner</w:t>
      </w:r>
      <w:r w:rsidR="0DFEB1D4">
        <w:t>s and allied health</w:t>
      </w:r>
      <w:r w:rsidR="6CB4EC41">
        <w:t xml:space="preserve">. The MRAC considered it appropriate to </w:t>
      </w:r>
      <w:r w:rsidR="70181BD2">
        <w:t xml:space="preserve">apply </w:t>
      </w:r>
      <w:r>
        <w:t xml:space="preserve">the existing relationship rule to </w:t>
      </w:r>
      <w:r w:rsidR="70181BD2">
        <w:t>nurse practitioner</w:t>
      </w:r>
      <w:r w:rsidR="5E136B0A">
        <w:t xml:space="preserve"> </w:t>
      </w:r>
      <w:r>
        <w:t>telehealth items</w:t>
      </w:r>
      <w:r w:rsidR="561B2BAA">
        <w:t xml:space="preserve"> as it applies to similar consultations provided by GPs</w:t>
      </w:r>
      <w:r w:rsidR="3AD04C56">
        <w:t>, as underpinned by Principles 1, 2 and 3</w:t>
      </w:r>
      <w:r w:rsidR="561B2BAA">
        <w:t xml:space="preserve">. </w:t>
      </w:r>
    </w:p>
    <w:p w14:paraId="25899821" w14:textId="5E8984F6" w:rsidR="007F302B" w:rsidRDefault="55380F25" w:rsidP="0A5255DE">
      <w:r>
        <w:t>In recognising the importance of balancing continuity of care with urgent scenarios, MRAC also considered relevant exemptions for patients seeking sexual and reproductive healthcare and specific mental health services from Nurse Practitioners. This would mean better recognising scope of practice, potentially with specific MBS items, similarly to what is available for GP telehealth services.</w:t>
      </w:r>
    </w:p>
    <w:p w14:paraId="22F4232F" w14:textId="44696276" w:rsidR="007F302B" w:rsidRDefault="3389A6C3" w:rsidP="0A5255DE">
      <w:pPr>
        <w:spacing w:line="259" w:lineRule="auto"/>
      </w:pPr>
      <w:r>
        <w:t>N</w:t>
      </w:r>
      <w:r w:rsidR="31CEF699">
        <w:t xml:space="preserve">ot all </w:t>
      </w:r>
      <w:r w:rsidR="3AC726D6">
        <w:t xml:space="preserve">telehealth </w:t>
      </w:r>
      <w:r w:rsidR="31CEF699">
        <w:t xml:space="preserve">services </w:t>
      </w:r>
      <w:r w:rsidR="561B2BAA">
        <w:t xml:space="preserve">that should have </w:t>
      </w:r>
      <w:r w:rsidR="31CEF699">
        <w:t>an established clinical relationship</w:t>
      </w:r>
      <w:r w:rsidR="4EBFD4DB">
        <w:t xml:space="preserve"> </w:t>
      </w:r>
      <w:r w:rsidR="561B2BAA">
        <w:t xml:space="preserve">require it to be defined the same way. </w:t>
      </w:r>
      <w:r w:rsidR="244B6E5E">
        <w:t>W</w:t>
      </w:r>
      <w:r w:rsidR="561B2BAA">
        <w:t xml:space="preserve">hile an existing clinical relationship </w:t>
      </w:r>
      <w:r w:rsidR="33123E13">
        <w:t xml:space="preserve">requirement </w:t>
      </w:r>
      <w:r w:rsidR="4D84E4C2">
        <w:t xml:space="preserve">based on an in-person assessment </w:t>
      </w:r>
      <w:r w:rsidR="33123E13">
        <w:t xml:space="preserve">for </w:t>
      </w:r>
      <w:r w:rsidR="589D8789">
        <w:t xml:space="preserve">MBS </w:t>
      </w:r>
      <w:r w:rsidR="561B2BAA">
        <w:t>midwi</w:t>
      </w:r>
      <w:r w:rsidR="76BE6782">
        <w:t>fery telehealth services</w:t>
      </w:r>
      <w:r w:rsidR="561B2BAA">
        <w:t xml:space="preserve"> </w:t>
      </w:r>
      <w:r w:rsidR="78ECD34C">
        <w:t xml:space="preserve">would also emphasise continuity of care, </w:t>
      </w:r>
      <w:r w:rsidR="61F5DE6C">
        <w:t>antenatal and postnatal telehealth services</w:t>
      </w:r>
      <w:r w:rsidR="6FC2D7D0">
        <w:t xml:space="preserve"> </w:t>
      </w:r>
      <w:r w:rsidR="7F494D27">
        <w:t xml:space="preserve">may be better </w:t>
      </w:r>
      <w:r w:rsidR="58D25B1C">
        <w:t>defined by</w:t>
      </w:r>
      <w:r w:rsidR="7F494D27">
        <w:t xml:space="preserve"> episodes of pregnancy</w:t>
      </w:r>
      <w:r w:rsidR="3FBA0CA2">
        <w:t>.</w:t>
      </w:r>
    </w:p>
    <w:p w14:paraId="528AD1CD" w14:textId="419363C1" w:rsidR="003B7D36" w:rsidRDefault="0DFEB1D4" w:rsidP="0A5255DE">
      <w:pPr>
        <w:spacing w:line="259" w:lineRule="auto"/>
      </w:pPr>
      <w:r>
        <w:t xml:space="preserve">The MRAC did not consider it necessary to </w:t>
      </w:r>
      <w:r w:rsidR="7EB6AABA">
        <w:t xml:space="preserve">apply eligibility requirements to </w:t>
      </w:r>
      <w:r>
        <w:t xml:space="preserve">allied health </w:t>
      </w:r>
      <w:r w:rsidR="7EB6AABA">
        <w:t xml:space="preserve">telehealth </w:t>
      </w:r>
      <w:r w:rsidR="197AA008">
        <w:t xml:space="preserve">services. </w:t>
      </w:r>
      <w:r w:rsidR="1B7B3531">
        <w:t>A</w:t>
      </w:r>
      <w:r w:rsidR="7EB6AABA">
        <w:t xml:space="preserve">llied health services </w:t>
      </w:r>
      <w:r w:rsidR="18F650A1">
        <w:t xml:space="preserve">in relation to chronic disease management and mental health treatment are already expected to </w:t>
      </w:r>
      <w:r w:rsidR="441AAFA4">
        <w:t xml:space="preserve">require </w:t>
      </w:r>
      <w:r w:rsidR="596AAE36">
        <w:t>planning, referral and coordination by a GP responsible for most of a patient’s care</w:t>
      </w:r>
      <w:r w:rsidR="78952502">
        <w:t xml:space="preserve">. </w:t>
      </w:r>
      <w:r w:rsidR="27F65C8C">
        <w:t>Furthermore, i</w:t>
      </w:r>
      <w:r w:rsidR="78952502">
        <w:t xml:space="preserve">n combination </w:t>
      </w:r>
      <w:r w:rsidR="2ED4914E">
        <w:t>with</w:t>
      </w:r>
      <w:r w:rsidR="0494C354">
        <w:t xml:space="preserve"> annual caps on subsidised services </w:t>
      </w:r>
      <w:r w:rsidR="6B176214">
        <w:t xml:space="preserve">the MRAC considered it </w:t>
      </w:r>
      <w:r w:rsidR="0494C354">
        <w:t xml:space="preserve">unlikely that </w:t>
      </w:r>
      <w:r w:rsidR="23A560AA">
        <w:t>services are misused</w:t>
      </w:r>
      <w:r w:rsidR="37F4E403">
        <w:t>.</w:t>
      </w:r>
    </w:p>
    <w:p w14:paraId="3C12152C" w14:textId="365E880C" w:rsidR="00E173C6" w:rsidRDefault="00E173C6" w:rsidP="00E173C6">
      <w:pPr>
        <w:pStyle w:val="BoxHeading"/>
      </w:pPr>
      <w:r w:rsidRPr="00E173C6">
        <w:t>Recommendation 8: Introduce eligibility requirements and exemptions to nurse practitioner MBS items and midwifery MBS telehealth items, including selected services which have no established clinical relationship requirement.</w:t>
      </w:r>
    </w:p>
    <w:p w14:paraId="72F74E0B" w14:textId="5599B6E4" w:rsidR="008D37EE" w:rsidRDefault="02510833" w:rsidP="07D162B7">
      <w:pPr>
        <w:pStyle w:val="Heading2"/>
        <w:spacing w:line="259" w:lineRule="auto"/>
      </w:pPr>
      <w:bookmarkStart w:id="97" w:name="_Non-GP_specialist_attendances"/>
      <w:bookmarkStart w:id="98" w:name="_Toc163814595"/>
      <w:bookmarkEnd w:id="97"/>
      <w:r>
        <w:t xml:space="preserve">Non-GP </w:t>
      </w:r>
      <w:r w:rsidR="6B968E51">
        <w:t>s</w:t>
      </w:r>
      <w:r w:rsidR="31AAE6FE">
        <w:t xml:space="preserve">pecialist </w:t>
      </w:r>
      <w:r w:rsidR="330DE1B7">
        <w:t>attendances</w:t>
      </w:r>
      <w:bookmarkEnd w:id="98"/>
    </w:p>
    <w:p w14:paraId="23ED19E2" w14:textId="6B2A5583" w:rsidR="008D37EE" w:rsidRDefault="17509996" w:rsidP="00F94C44">
      <w:r>
        <w:t xml:space="preserve">The MRAC agreed that continuity of care and consistency in policy was important </w:t>
      </w:r>
      <w:r w:rsidR="45293B13">
        <w:t xml:space="preserve">to implement across the broad range of </w:t>
      </w:r>
      <w:r w:rsidR="54AE89BA">
        <w:t xml:space="preserve">MBS </w:t>
      </w:r>
      <w:r>
        <w:t xml:space="preserve">telehealth </w:t>
      </w:r>
      <w:r w:rsidR="54AE89BA">
        <w:t>items. The MRAC noted that, currently,</w:t>
      </w:r>
      <w:r w:rsidR="3F606A21">
        <w:t xml:space="preserve"> initial </w:t>
      </w:r>
      <w:r w:rsidR="7E05497B">
        <w:t xml:space="preserve">non-GP </w:t>
      </w:r>
      <w:r w:rsidR="54AE89BA">
        <w:t xml:space="preserve">specialist </w:t>
      </w:r>
      <w:r w:rsidR="7E05497B">
        <w:t>consultations could be claimed via face-to-face or video consultation</w:t>
      </w:r>
      <w:r w:rsidR="48A6D409">
        <w:t>. This means care may commence and continue by telehealth without an obligation for any in-person assess</w:t>
      </w:r>
      <w:r w:rsidR="1C7E53E2">
        <w:t>ment, even for new patients</w:t>
      </w:r>
      <w:r w:rsidR="74E5E3C1">
        <w:t xml:space="preserve">. </w:t>
      </w:r>
    </w:p>
    <w:p w14:paraId="73FCECC7" w14:textId="4D3CA257" w:rsidR="00D4075B" w:rsidRDefault="45293B13" w:rsidP="00F94C44">
      <w:r>
        <w:t xml:space="preserve">The MRAC </w:t>
      </w:r>
      <w:r w:rsidR="2B273CD3">
        <w:t xml:space="preserve">discussed </w:t>
      </w:r>
      <w:r w:rsidR="5CD258E2">
        <w:t>the appropriateness of re-instating</w:t>
      </w:r>
      <w:r w:rsidR="2B273CD3">
        <w:t xml:space="preserve"> </w:t>
      </w:r>
      <w:r w:rsidR="561B2BAA">
        <w:t xml:space="preserve">a telephone equivalent of </w:t>
      </w:r>
      <w:hyperlink r:id="rId31">
        <w:r w:rsidR="2B273CD3" w:rsidRPr="07D162B7">
          <w:rPr>
            <w:rStyle w:val="Hyperlink"/>
          </w:rPr>
          <w:t>MBS item 116</w:t>
        </w:r>
      </w:hyperlink>
      <w:r w:rsidR="43785DCB">
        <w:t xml:space="preserve">, and </w:t>
      </w:r>
      <w:r w:rsidR="5D62804B">
        <w:t xml:space="preserve">how </w:t>
      </w:r>
      <w:r w:rsidR="5B6BF3BE">
        <w:t xml:space="preserve">the recent removal of this has </w:t>
      </w:r>
      <w:r w:rsidR="20C54063">
        <w:t>negatively impact</w:t>
      </w:r>
      <w:r w:rsidR="5B6BF3BE">
        <w:t>ed</w:t>
      </w:r>
      <w:r w:rsidR="20C54063">
        <w:t xml:space="preserve"> some specialist services. The MRAC noted that many specialists are instead claiming MBS item 119 in place of item 116, as this item is available for telephone consultations</w:t>
      </w:r>
      <w:r w:rsidR="34D73D06">
        <w:t xml:space="preserve">, and some specialists are </w:t>
      </w:r>
      <w:r w:rsidR="54231D03">
        <w:t>not billing for a follow-up telephone consultation at all</w:t>
      </w:r>
      <w:r w:rsidR="20C54063">
        <w:t>. The MRAC considered that the</w:t>
      </w:r>
      <w:r w:rsidR="315BB6B6">
        <w:t xml:space="preserve">re are instances where clinicians </w:t>
      </w:r>
      <w:r w:rsidR="3C107C1B">
        <w:t xml:space="preserve">could </w:t>
      </w:r>
      <w:r w:rsidR="354534D3">
        <w:t>provide safe and effective care via telephone – for example, after a face-to-face consul</w:t>
      </w:r>
      <w:r w:rsidR="08D0392D">
        <w:t>t</w:t>
      </w:r>
      <w:r w:rsidR="354534D3">
        <w:t>ation, where patients may have travelled</w:t>
      </w:r>
      <w:r w:rsidR="1A1BED72">
        <w:t xml:space="preserve"> long distances</w:t>
      </w:r>
      <w:r w:rsidR="354534D3">
        <w:t xml:space="preserve"> for that initial </w:t>
      </w:r>
      <w:r w:rsidR="08D0392D">
        <w:t>consultation.</w:t>
      </w:r>
    </w:p>
    <w:p w14:paraId="2D6D9D71" w14:textId="0F612BAC" w:rsidR="46FFA52A" w:rsidRDefault="561B2BAA" w:rsidP="07D162B7">
      <w:pPr>
        <w:spacing w:line="259" w:lineRule="auto"/>
      </w:pPr>
      <w:r>
        <w:t>The</w:t>
      </w:r>
      <w:r w:rsidR="096A351E">
        <w:t xml:space="preserve"> </w:t>
      </w:r>
      <w:r w:rsidR="7F32D952">
        <w:t xml:space="preserve">MRAC acknowledged that there are </w:t>
      </w:r>
      <w:r w:rsidR="7E29427F">
        <w:t xml:space="preserve">circumstances where patient care would not be negatively affected by </w:t>
      </w:r>
      <w:r w:rsidR="50F676C0">
        <w:t>a telehealth service with a non-GP specialist for an initial consultation</w:t>
      </w:r>
      <w:r w:rsidR="33214D1E">
        <w:t>.</w:t>
      </w:r>
      <w:r w:rsidR="50F676C0">
        <w:t xml:space="preserve"> </w:t>
      </w:r>
      <w:r w:rsidR="1431EB13">
        <w:t>F</w:t>
      </w:r>
      <w:r w:rsidR="6B2E147C">
        <w:t xml:space="preserve">or some </w:t>
      </w:r>
      <w:r w:rsidR="1C14ABF8">
        <w:t xml:space="preserve">patients, </w:t>
      </w:r>
      <w:r w:rsidR="50F676C0">
        <w:t xml:space="preserve">it may be advantageous to </w:t>
      </w:r>
      <w:r w:rsidR="5DBC3F9A">
        <w:t xml:space="preserve">have a telehealth consult before a face to face </w:t>
      </w:r>
      <w:r w:rsidR="1C14ABF8">
        <w:t>– for example</w:t>
      </w:r>
      <w:r w:rsidR="5DBC3F9A">
        <w:t>,</w:t>
      </w:r>
      <w:r w:rsidR="16BBD62A">
        <w:t xml:space="preserve"> </w:t>
      </w:r>
      <w:r w:rsidR="5DBC3F9A">
        <w:t xml:space="preserve">to provide the opportunity to </w:t>
      </w:r>
      <w:r w:rsidR="55DF14B3">
        <w:t>plan the course of treatment</w:t>
      </w:r>
      <w:r w:rsidR="5AC0B783">
        <w:t xml:space="preserve"> before </w:t>
      </w:r>
      <w:r w:rsidR="33214D1E">
        <w:t xml:space="preserve">a patient attends a face-to-face consultation. </w:t>
      </w:r>
    </w:p>
    <w:p w14:paraId="0BA51B2F" w14:textId="5FDF7F07" w:rsidR="00F014C3" w:rsidRDefault="3445FCE8" w:rsidP="0A5255DE">
      <w:pPr>
        <w:spacing w:line="259" w:lineRule="auto"/>
      </w:pPr>
      <w:r>
        <w:t xml:space="preserve">The MRAC </w:t>
      </w:r>
      <w:r w:rsidR="02BA725D">
        <w:t xml:space="preserve">also </w:t>
      </w:r>
      <w:r>
        <w:t xml:space="preserve">acknowledged stakeholder feedback that application of a 12-month rule that applies to GP telehealth, or similar, across all non-GP specialist groups may disadvantage many patients. This would most likely impact those who need to travel long distances to see a non-GP specialist, and those that are housebound due to physical or mental health conditions. </w:t>
      </w:r>
      <w:r w:rsidR="08FD4FDB">
        <w:t>T</w:t>
      </w:r>
      <w:r w:rsidR="096A351E">
        <w:t xml:space="preserve">he </w:t>
      </w:r>
      <w:r w:rsidR="42CD85EB">
        <w:t>MRAC considered that</w:t>
      </w:r>
      <w:r w:rsidR="00B1613F">
        <w:t xml:space="preserve"> </w:t>
      </w:r>
      <w:hyperlink r:id="rId32" w:history="1">
        <w:r w:rsidR="00B1613F" w:rsidRPr="07D162B7">
          <w:rPr>
            <w:rStyle w:val="Hyperlink"/>
          </w:rPr>
          <w:t>home visits and patient-end support services</w:t>
        </w:r>
        <w:r w:rsidR="00B1613F">
          <w:t xml:space="preserve"> </w:t>
        </w:r>
      </w:hyperlink>
      <w:r w:rsidR="00B1613F">
        <w:t xml:space="preserve">may </w:t>
      </w:r>
      <w:r w:rsidR="50D3CBFE">
        <w:t>help</w:t>
      </w:r>
      <w:r w:rsidR="7EFCE14E">
        <w:t xml:space="preserve"> in these circumstances, with the additional benefit of supporting team-based care </w:t>
      </w:r>
      <w:r w:rsidR="18F372D1">
        <w:t>(see</w:t>
      </w:r>
      <w:r w:rsidR="24106CDF">
        <w:t xml:space="preserve"> </w:t>
      </w:r>
      <w:r w:rsidR="7C985553">
        <w:t>R</w:t>
      </w:r>
      <w:r w:rsidR="24106CDF">
        <w:t>ecommendation 10</w:t>
      </w:r>
      <w:r w:rsidR="351CC737">
        <w:t>)</w:t>
      </w:r>
      <w:r w:rsidR="24106CDF">
        <w:t xml:space="preserve"> </w:t>
      </w:r>
    </w:p>
    <w:p w14:paraId="67D87EFB" w14:textId="1927AF32" w:rsidR="007E37ED" w:rsidRDefault="53689D8F" w:rsidP="0A5255DE">
      <w:pPr>
        <w:spacing w:line="259" w:lineRule="auto"/>
      </w:pPr>
      <w:r>
        <w:t>Overall</w:t>
      </w:r>
      <w:r w:rsidR="4A93DC40">
        <w:t xml:space="preserve">, </w:t>
      </w:r>
      <w:r w:rsidR="096A351E">
        <w:t xml:space="preserve">the </w:t>
      </w:r>
      <w:r w:rsidR="4A93DC40">
        <w:t xml:space="preserve">MRAC </w:t>
      </w:r>
      <w:r w:rsidR="096A351E">
        <w:t xml:space="preserve">believed it important </w:t>
      </w:r>
      <w:r w:rsidR="4A93DC40">
        <w:t xml:space="preserve">that the telehealth service provided be of high quality, and that it may be more </w:t>
      </w:r>
      <w:r w:rsidR="63CF82F0">
        <w:t>appropriate to consider a standard or process of work within clinical governance groups to optimise telehealth for initial consultations</w:t>
      </w:r>
      <w:r w:rsidR="3640250E">
        <w:t xml:space="preserve">, rather than limit patient access to </w:t>
      </w:r>
      <w:r w:rsidR="4F8243A6">
        <w:t>initial consultations by telehealth</w:t>
      </w:r>
      <w:r w:rsidR="63CF82F0">
        <w:t>.</w:t>
      </w:r>
      <w:r w:rsidR="24106CDF">
        <w:t xml:space="preserve"> </w:t>
      </w:r>
    </w:p>
    <w:p w14:paraId="225DE66E" w14:textId="5E8308F8" w:rsidR="0099647C" w:rsidRDefault="0099647C" w:rsidP="0099647C">
      <w:pPr>
        <w:pStyle w:val="BoxHeading"/>
      </w:pPr>
      <w:r>
        <w:t xml:space="preserve">Recommendation 9: </w:t>
      </w:r>
      <w:r w:rsidR="00823CD6">
        <w:t xml:space="preserve">Maintain current </w:t>
      </w:r>
      <w:r w:rsidR="00140E07">
        <w:t>telehealth policies f</w:t>
      </w:r>
      <w:r>
        <w:t xml:space="preserve">or </w:t>
      </w:r>
      <w:r w:rsidR="00140E07">
        <w:t xml:space="preserve">MBS </w:t>
      </w:r>
      <w:r w:rsidR="43348431">
        <w:t xml:space="preserve">video telehealth </w:t>
      </w:r>
      <w:r w:rsidR="00140E07">
        <w:t>items</w:t>
      </w:r>
      <w:r w:rsidR="00932962">
        <w:t xml:space="preserve"> that are for</w:t>
      </w:r>
      <w:r w:rsidR="00140E07">
        <w:t xml:space="preserve"> </w:t>
      </w:r>
      <w:r>
        <w:t>initial consultations</w:t>
      </w:r>
      <w:r w:rsidR="00140E07">
        <w:t xml:space="preserve"> with non-GP </w:t>
      </w:r>
      <w:r>
        <w:t>specialist</w:t>
      </w:r>
      <w:r w:rsidR="00932962">
        <w:t>s</w:t>
      </w:r>
      <w:r w:rsidR="00140E07">
        <w:t>.</w:t>
      </w:r>
      <w:r w:rsidR="00663DF4">
        <w:t xml:space="preserve"> </w:t>
      </w:r>
    </w:p>
    <w:p w14:paraId="0AB20616" w14:textId="126E0C7E" w:rsidR="00B85EA2" w:rsidRDefault="54661C68" w:rsidP="07D162B7">
      <w:pPr>
        <w:pStyle w:val="Heading2"/>
        <w:spacing w:line="259" w:lineRule="auto"/>
      </w:pPr>
      <w:bookmarkStart w:id="99" w:name="_Home_visits_and"/>
      <w:bookmarkStart w:id="100" w:name="_Toc163814596"/>
      <w:bookmarkEnd w:id="99"/>
      <w:r>
        <w:t>Home visits and</w:t>
      </w:r>
      <w:r w:rsidR="72CE9F17">
        <w:t xml:space="preserve"> patient-end support </w:t>
      </w:r>
      <w:r w:rsidR="7445EA8A">
        <w:t>services</w:t>
      </w:r>
      <w:bookmarkEnd w:id="100"/>
    </w:p>
    <w:p w14:paraId="019046CD" w14:textId="3943A4FB" w:rsidR="00593B8B" w:rsidRDefault="00DC63BE" w:rsidP="00453C82">
      <w:r>
        <w:t xml:space="preserve">The </w:t>
      </w:r>
      <w:r w:rsidR="00865EE4">
        <w:t xml:space="preserve">MRAC discussed the </w:t>
      </w:r>
      <w:r w:rsidR="009438E7">
        <w:t>GP home visits</w:t>
      </w:r>
      <w:r w:rsidR="005F7FC6">
        <w:t xml:space="preserve"> </w:t>
      </w:r>
      <w:r w:rsidR="00857D17">
        <w:t xml:space="preserve">as a service with declining </w:t>
      </w:r>
      <w:r w:rsidR="00357FEE">
        <w:t xml:space="preserve">annual volumes and which may be being superseded by telehealth in many circumstances. </w:t>
      </w:r>
      <w:r w:rsidR="0003207B">
        <w:t xml:space="preserve">There are, however, patient populations at risk of perverse and unintended reductions in access to comprehensive </w:t>
      </w:r>
      <w:r w:rsidR="00593B8B">
        <w:t>consultations, if telehealth were their only op</w:t>
      </w:r>
      <w:r w:rsidR="005B6E46">
        <w:t>tion.</w:t>
      </w:r>
      <w:r w:rsidR="00302913">
        <w:t xml:space="preserve"> </w:t>
      </w:r>
    </w:p>
    <w:p w14:paraId="3DAC8D07" w14:textId="23B14426" w:rsidR="0091192D" w:rsidRDefault="1E5510C9" w:rsidP="00453C82">
      <w:r>
        <w:t xml:space="preserve">Acknowledging great diversity in practice </w:t>
      </w:r>
      <w:r w:rsidR="014FF960">
        <w:t>models, including scenarios where home visits are routine</w:t>
      </w:r>
      <w:r w:rsidR="2260E272">
        <w:t xml:space="preserve">, </w:t>
      </w:r>
      <w:r w:rsidR="58784C94">
        <w:t xml:space="preserve">the </w:t>
      </w:r>
      <w:r w:rsidR="2260E272">
        <w:t xml:space="preserve">MRAC </w:t>
      </w:r>
      <w:r w:rsidR="5B2B7225">
        <w:t>heard that</w:t>
      </w:r>
      <w:r w:rsidR="4988CD2E">
        <w:t>,</w:t>
      </w:r>
      <w:r w:rsidR="5B2B7225">
        <w:t xml:space="preserve"> </w:t>
      </w:r>
      <w:r w:rsidR="2260E272">
        <w:t>for many GPs</w:t>
      </w:r>
      <w:r w:rsidR="4988CD2E">
        <w:t>,</w:t>
      </w:r>
      <w:r w:rsidR="2260E272">
        <w:t xml:space="preserve"> these services are less </w:t>
      </w:r>
      <w:r w:rsidR="5B2B7225">
        <w:t xml:space="preserve">commercially </w:t>
      </w:r>
      <w:r w:rsidR="2260E272">
        <w:t>viable compared to</w:t>
      </w:r>
      <w:r w:rsidR="11791648">
        <w:t xml:space="preserve"> services provided in consultation rooms or telehealth</w:t>
      </w:r>
      <w:r w:rsidR="2260E272">
        <w:t>.</w:t>
      </w:r>
      <w:r w:rsidR="7DA78361">
        <w:t xml:space="preserve"> </w:t>
      </w:r>
      <w:r w:rsidR="579A15DB">
        <w:t>The MRAC a</w:t>
      </w:r>
      <w:r w:rsidR="2DAD9B2B">
        <w:t>cknowledg</w:t>
      </w:r>
      <w:r w:rsidR="579A15DB">
        <w:t>ed</w:t>
      </w:r>
      <w:r w:rsidR="2DAD9B2B">
        <w:t xml:space="preserve"> that </w:t>
      </w:r>
      <w:r w:rsidR="5074B542">
        <w:t xml:space="preserve">face-to-face services remained important </w:t>
      </w:r>
      <w:r w:rsidR="2DAD9B2B">
        <w:t>for</w:t>
      </w:r>
      <w:r w:rsidR="00C26FC0">
        <w:t xml:space="preserve"> some</w:t>
      </w:r>
      <w:r w:rsidR="2DAD9B2B">
        <w:t xml:space="preserve"> </w:t>
      </w:r>
      <w:r w:rsidR="5074B542">
        <w:t xml:space="preserve">housebound </w:t>
      </w:r>
      <w:r w:rsidR="2DAD9B2B">
        <w:t>patients</w:t>
      </w:r>
      <w:r w:rsidR="5074B542">
        <w:t xml:space="preserve">, </w:t>
      </w:r>
      <w:r w:rsidR="579A15DB">
        <w:t>and</w:t>
      </w:r>
      <w:r w:rsidR="5074B542">
        <w:t xml:space="preserve"> </w:t>
      </w:r>
      <w:r w:rsidR="082E6846">
        <w:t xml:space="preserve">discussed whether </w:t>
      </w:r>
      <w:r w:rsidR="2A3BBF25">
        <w:t xml:space="preserve">home visits should be </w:t>
      </w:r>
      <w:r w:rsidR="082E6846">
        <w:t xml:space="preserve">better </w:t>
      </w:r>
      <w:r w:rsidR="2A3BBF25">
        <w:t>incentivised.</w:t>
      </w:r>
      <w:r w:rsidR="082E6846">
        <w:t xml:space="preserve"> </w:t>
      </w:r>
      <w:r w:rsidR="2CCA3C3F">
        <w:t xml:space="preserve">While </w:t>
      </w:r>
      <w:r w:rsidR="46979DFC">
        <w:t xml:space="preserve">an </w:t>
      </w:r>
      <w:r w:rsidR="742A2C86">
        <w:t xml:space="preserve">amendment to relevant rebates </w:t>
      </w:r>
      <w:r w:rsidR="2CCA3C3F">
        <w:t xml:space="preserve">is </w:t>
      </w:r>
      <w:r w:rsidR="742A2C86">
        <w:t xml:space="preserve">an option, </w:t>
      </w:r>
      <w:r w:rsidR="46979DFC">
        <w:t>t</w:t>
      </w:r>
      <w:r w:rsidR="3055C71E">
        <w:t xml:space="preserve">he </w:t>
      </w:r>
      <w:r w:rsidR="7BEBC06F">
        <w:t xml:space="preserve">MRAC </w:t>
      </w:r>
      <w:r w:rsidR="742A2C86">
        <w:t xml:space="preserve">recommended an alternative </w:t>
      </w:r>
      <w:r w:rsidR="2CCA3C3F">
        <w:t xml:space="preserve">approach harnessing patient-end support for telehealth consultation with the patient’s GP. This would </w:t>
      </w:r>
      <w:r w:rsidR="3814FE2D">
        <w:t>involve</w:t>
      </w:r>
      <w:r w:rsidR="2CCA3C3F">
        <w:t xml:space="preserve"> </w:t>
      </w:r>
      <w:r w:rsidR="41C79AEC">
        <w:t>nurs</w:t>
      </w:r>
      <w:r w:rsidR="742A2C86">
        <w:t>es</w:t>
      </w:r>
      <w:r w:rsidR="41C79AEC">
        <w:t xml:space="preserve"> </w:t>
      </w:r>
      <w:r w:rsidR="2CCA3C3F">
        <w:t xml:space="preserve">or </w:t>
      </w:r>
      <w:r w:rsidR="41C79AEC">
        <w:t xml:space="preserve">allied health </w:t>
      </w:r>
      <w:r w:rsidR="742A2C86">
        <w:t xml:space="preserve">providers </w:t>
      </w:r>
      <w:r w:rsidR="64988702">
        <w:t>under GP stewardship</w:t>
      </w:r>
      <w:r w:rsidR="7B0FA21F">
        <w:t xml:space="preserve"> </w:t>
      </w:r>
      <w:r w:rsidR="2CCA3C3F">
        <w:t>beside the patient to facilitate the service</w:t>
      </w:r>
      <w:r w:rsidR="007F302B">
        <w:t>. T</w:t>
      </w:r>
      <w:r w:rsidR="3055C71E">
        <w:t xml:space="preserve">he </w:t>
      </w:r>
      <w:r w:rsidR="2CCA3C3F">
        <w:t xml:space="preserve">MRAC noted that this was more consistent with earlier advice </w:t>
      </w:r>
      <w:r w:rsidR="26947CA5">
        <w:t>from</w:t>
      </w:r>
      <w:r w:rsidR="2CCA3C3F">
        <w:t xml:space="preserve"> the MBS Review Taskforce in relation to GP services</w:t>
      </w:r>
      <w:r w:rsidR="004E33A2">
        <w:t xml:space="preserve"> (MBS Taskforce </w:t>
      </w:r>
      <w:r w:rsidR="00014805">
        <w:t>2020b)</w:t>
      </w:r>
      <w:r w:rsidR="2CCA3C3F">
        <w:t>.</w:t>
      </w:r>
    </w:p>
    <w:p w14:paraId="61F7F930" w14:textId="2DB90E6C" w:rsidR="00980CA1" w:rsidRDefault="1E54EFB8" w:rsidP="00F61C29">
      <w:r>
        <w:t xml:space="preserve"> </w:t>
      </w:r>
      <w:r w:rsidR="49CF2BEF">
        <w:t xml:space="preserve">The </w:t>
      </w:r>
      <w:r w:rsidR="1453CBE4">
        <w:t xml:space="preserve">MRAC </w:t>
      </w:r>
      <w:r w:rsidR="576AAD54">
        <w:t xml:space="preserve">also </w:t>
      </w:r>
      <w:r w:rsidR="0ECE8F07">
        <w:t>noted stakeholder feedback</w:t>
      </w:r>
      <w:r w:rsidR="1453CBE4">
        <w:t xml:space="preserve"> that </w:t>
      </w:r>
      <w:r w:rsidR="7D33693E">
        <w:t xml:space="preserve">changes </w:t>
      </w:r>
      <w:r w:rsidR="576AAD54">
        <w:t xml:space="preserve">in 2022 </w:t>
      </w:r>
      <w:r w:rsidR="7D33693E">
        <w:t xml:space="preserve">to MBS items for </w:t>
      </w:r>
      <w:r w:rsidR="50B68CE0">
        <w:t>GP/</w:t>
      </w:r>
      <w:r w:rsidR="0451FB0E">
        <w:t xml:space="preserve">other clinician </w:t>
      </w:r>
      <w:r w:rsidR="7D33693E">
        <w:t xml:space="preserve">patient-end support </w:t>
      </w:r>
      <w:r w:rsidR="576AAD54">
        <w:t xml:space="preserve">for telehealth with </w:t>
      </w:r>
      <w:r w:rsidR="24B68E99">
        <w:t xml:space="preserve">private </w:t>
      </w:r>
      <w:r w:rsidR="576AAD54">
        <w:t xml:space="preserve">non-GP specialists and consultant physicians </w:t>
      </w:r>
      <w:r w:rsidR="1453CBE4">
        <w:t xml:space="preserve">created </w:t>
      </w:r>
      <w:r w:rsidR="7D3D87ED">
        <w:t xml:space="preserve">inequity of </w:t>
      </w:r>
      <w:r w:rsidR="2690181C">
        <w:t>access</w:t>
      </w:r>
      <w:r w:rsidR="24B68E99">
        <w:t xml:space="preserve">, particularly </w:t>
      </w:r>
      <w:r w:rsidR="2690181C">
        <w:t xml:space="preserve">for some people living in rural and </w:t>
      </w:r>
      <w:r w:rsidR="7D3D87ED">
        <w:t>regional</w:t>
      </w:r>
      <w:r w:rsidR="2690181C">
        <w:t xml:space="preserve"> areas</w:t>
      </w:r>
      <w:r w:rsidR="24B68E99">
        <w:t xml:space="preserve"> and for </w:t>
      </w:r>
      <w:r w:rsidR="5A712C28">
        <w:t xml:space="preserve">older </w:t>
      </w:r>
      <w:r w:rsidR="24B68E99">
        <w:t>patients</w:t>
      </w:r>
      <w:r w:rsidR="2690181C">
        <w:t>.</w:t>
      </w:r>
      <w:r w:rsidR="1FA66B48">
        <w:t xml:space="preserve"> </w:t>
      </w:r>
      <w:r w:rsidR="576AAD54">
        <w:t xml:space="preserve">While such services </w:t>
      </w:r>
      <w:r w:rsidR="24B68E99">
        <w:t xml:space="preserve">continue </w:t>
      </w:r>
      <w:r w:rsidR="576AAD54">
        <w:t xml:space="preserve">to be available with nurses and Aboriginal Health Workers assisting the patient, increases in services by these providers have not overcome the reduction resulting from removal of the GP items. It was recommended that GP </w:t>
      </w:r>
      <w:r w:rsidR="24B68E99">
        <w:t xml:space="preserve">patient-end support items </w:t>
      </w:r>
      <w:r w:rsidR="26964081">
        <w:t xml:space="preserve">be </w:t>
      </w:r>
      <w:r w:rsidR="576AAD54">
        <w:t>reinstated</w:t>
      </w:r>
      <w:r w:rsidR="474BF7B2">
        <w:t xml:space="preserve">, </w:t>
      </w:r>
      <w:r w:rsidR="7DF5ED14">
        <w:t>and the MRAC referred to Principles 1, 2 and 6 to support this recommendation.</w:t>
      </w:r>
    </w:p>
    <w:p w14:paraId="3DDCC0A0" w14:textId="4DD5F93B" w:rsidR="41B393D4" w:rsidRDefault="60FA0A62" w:rsidP="07D162B7">
      <w:pPr>
        <w:spacing w:line="259" w:lineRule="auto"/>
      </w:pPr>
      <w:r>
        <w:t>Previous GP patient</w:t>
      </w:r>
      <w:r w:rsidR="10BB547D">
        <w:t>-</w:t>
      </w:r>
      <w:r>
        <w:t xml:space="preserve">end support items were based on consultations </w:t>
      </w:r>
      <w:r w:rsidR="6F2B1860">
        <w:t xml:space="preserve">between GPs and </w:t>
      </w:r>
      <w:r w:rsidR="6498EC28">
        <w:t xml:space="preserve">private </w:t>
      </w:r>
      <w:r>
        <w:t xml:space="preserve">non-GP specialists, and </w:t>
      </w:r>
      <w:r w:rsidR="18A49B2F">
        <w:t xml:space="preserve">the creation of new patient-end support services represents </w:t>
      </w:r>
      <w:r>
        <w:t xml:space="preserve">an opportunity to consider how </w:t>
      </w:r>
      <w:r w:rsidR="1B1D256B">
        <w:t>consultations wi</w:t>
      </w:r>
      <w:r w:rsidR="0AEBEBC5">
        <w:t>t</w:t>
      </w:r>
      <w:r w:rsidR="1B1D256B">
        <w:t xml:space="preserve">h </w:t>
      </w:r>
      <w:r>
        <w:t xml:space="preserve">non-GP specialists working in public hospital settings </w:t>
      </w:r>
      <w:r w:rsidR="29F9EB66">
        <w:t xml:space="preserve">may also be </w:t>
      </w:r>
      <w:r w:rsidR="229DD42D">
        <w:t>included</w:t>
      </w:r>
      <w:r w:rsidR="29F9EB66">
        <w:t xml:space="preserve">.  </w:t>
      </w:r>
      <w:r w:rsidR="450C5F32">
        <w:t>I</w:t>
      </w:r>
      <w:r w:rsidR="29F9EB66">
        <w:t xml:space="preserve">t </w:t>
      </w:r>
      <w:r w:rsidR="645851FF">
        <w:t xml:space="preserve">was noted by the MRAC that </w:t>
      </w:r>
      <w:r w:rsidR="7EC3AC5C">
        <w:t xml:space="preserve">patient-end </w:t>
      </w:r>
      <w:r w:rsidR="00A965BC">
        <w:t xml:space="preserve">support </w:t>
      </w:r>
      <w:r w:rsidR="645851FF">
        <w:t>for</w:t>
      </w:r>
      <w:r w:rsidR="07348F99">
        <w:t xml:space="preserve"> consultations with</w:t>
      </w:r>
      <w:r w:rsidR="645851FF">
        <w:t xml:space="preserve"> private practitioners only was a shortcoming</w:t>
      </w:r>
      <w:r w:rsidR="36067A77">
        <w:t>, particularly in relation to First Nations health</w:t>
      </w:r>
      <w:r w:rsidR="26FCA048">
        <w:t xml:space="preserve"> and patients who </w:t>
      </w:r>
      <w:r w:rsidR="0E49F983">
        <w:t xml:space="preserve">cannot afford </w:t>
      </w:r>
      <w:r w:rsidR="26FCA048">
        <w:t xml:space="preserve">private non-GP specialist </w:t>
      </w:r>
      <w:r w:rsidR="3CDAE232">
        <w:t>care.</w:t>
      </w:r>
    </w:p>
    <w:p w14:paraId="46D5D41B" w14:textId="711737EC" w:rsidR="007F302B" w:rsidRDefault="58784C94" w:rsidP="07D162B7">
      <w:pPr>
        <w:spacing w:line="259" w:lineRule="auto"/>
      </w:pPr>
      <w:r>
        <w:t xml:space="preserve">The </w:t>
      </w:r>
      <w:r w:rsidR="13EAD48A">
        <w:t xml:space="preserve">MRAC acknowledged that </w:t>
      </w:r>
      <w:r w:rsidR="66CE7380">
        <w:t xml:space="preserve">residents and staff of </w:t>
      </w:r>
      <w:r w:rsidR="13EAD48A">
        <w:t xml:space="preserve">aged care </w:t>
      </w:r>
      <w:r w:rsidR="6162FFA3">
        <w:t xml:space="preserve">facilities </w:t>
      </w:r>
      <w:r w:rsidR="517A7F6A">
        <w:t>rel</w:t>
      </w:r>
      <w:r w:rsidR="66CE7380">
        <w:t>y</w:t>
      </w:r>
      <w:r w:rsidR="517A7F6A">
        <w:t xml:space="preserve"> on </w:t>
      </w:r>
      <w:r w:rsidR="63797E48">
        <w:t xml:space="preserve">telehealth </w:t>
      </w:r>
      <w:r w:rsidR="13EAD48A">
        <w:t xml:space="preserve">consultation with </w:t>
      </w:r>
      <w:r w:rsidR="63797E48">
        <w:t>GPs</w:t>
      </w:r>
      <w:r w:rsidR="66CE7380">
        <w:t>.</w:t>
      </w:r>
      <w:r w:rsidR="517A7F6A">
        <w:t xml:space="preserve"> </w:t>
      </w:r>
      <w:r w:rsidR="10621F25">
        <w:t xml:space="preserve">Often this relates to care for </w:t>
      </w:r>
      <w:r w:rsidR="4B024EEE">
        <w:t>r</w:t>
      </w:r>
      <w:r w:rsidR="27B10B03">
        <w:t xml:space="preserve">esidents </w:t>
      </w:r>
      <w:r w:rsidR="10621F25">
        <w:t xml:space="preserve">who </w:t>
      </w:r>
      <w:r w:rsidR="27B10B03">
        <w:t xml:space="preserve">have cognitive </w:t>
      </w:r>
      <w:r w:rsidR="10621F25">
        <w:t xml:space="preserve">or other </w:t>
      </w:r>
      <w:r w:rsidR="6B1479BB">
        <w:t>impairments</w:t>
      </w:r>
      <w:r w:rsidR="27B10B03">
        <w:t xml:space="preserve"> that make them unable to participate in their own care, and there needs to be a way to enable communication </w:t>
      </w:r>
      <w:r w:rsidR="10621F25">
        <w:t xml:space="preserve">between carers and </w:t>
      </w:r>
      <w:r w:rsidR="27B10B03">
        <w:t xml:space="preserve">GPs. </w:t>
      </w:r>
      <w:r w:rsidR="10621F25">
        <w:t>F</w:t>
      </w:r>
      <w:r w:rsidR="517A7F6A">
        <w:t xml:space="preserve">or many residents, the consultation is between a staff member </w:t>
      </w:r>
      <w:r w:rsidR="10621F25">
        <w:t xml:space="preserve">or nurse </w:t>
      </w:r>
      <w:r w:rsidR="517A7F6A">
        <w:t>and the GP</w:t>
      </w:r>
      <w:r w:rsidR="22F0E54A">
        <w:t xml:space="preserve"> without patient involvement</w:t>
      </w:r>
      <w:r w:rsidR="517A7F6A">
        <w:t>.</w:t>
      </w:r>
      <w:r w:rsidR="4B024EEE">
        <w:t xml:space="preserve"> </w:t>
      </w:r>
    </w:p>
    <w:p w14:paraId="3445A76F" w14:textId="25462139" w:rsidR="007F302B" w:rsidRDefault="2940BAEF" w:rsidP="07D162B7">
      <w:pPr>
        <w:spacing w:line="259" w:lineRule="auto"/>
      </w:pPr>
      <w:r>
        <w:t>T</w:t>
      </w:r>
      <w:r w:rsidR="0F81F0B0">
        <w:t xml:space="preserve">here are MBS GP contributions to chronic disease and multidisciplinary care plans </w:t>
      </w:r>
      <w:r w:rsidR="6EF65709">
        <w:t xml:space="preserve">for patients in residential aged care </w:t>
      </w:r>
      <w:r w:rsidR="2199EA6E">
        <w:t>(e.g. MBS Item</w:t>
      </w:r>
      <w:r w:rsidR="43DC1AA7">
        <w:t xml:space="preserve">232 and </w:t>
      </w:r>
      <w:r w:rsidR="2199EA6E">
        <w:t xml:space="preserve">731) </w:t>
      </w:r>
      <w:r w:rsidR="0F81F0B0">
        <w:t>which may be appropriate in these scenarios</w:t>
      </w:r>
      <w:r w:rsidR="2BE92A3E">
        <w:t>; however</w:t>
      </w:r>
      <w:r w:rsidR="14F1D3A5">
        <w:t>,</w:t>
      </w:r>
      <w:r w:rsidR="0F81F0B0">
        <w:t xml:space="preserve"> these items are frequency-limited to once every 3 months. Similarly, while multidisciplinary case conferencing </w:t>
      </w:r>
      <w:r w:rsidR="2199EA6E">
        <w:t xml:space="preserve">(e.g. refer MBS items 735 – 758) </w:t>
      </w:r>
      <w:r w:rsidR="0F81F0B0">
        <w:t xml:space="preserve">is an option, it was not always possible to satisfy the minimum participant requirements when the demands for health advice are unplanned or urgent. </w:t>
      </w:r>
      <w:r w:rsidR="5F08DA80">
        <w:t xml:space="preserve">The MRAC noted that, without </w:t>
      </w:r>
      <w:r w:rsidR="7A06E470">
        <w:t xml:space="preserve">flexible </w:t>
      </w:r>
      <w:r w:rsidR="5F08DA80">
        <w:t xml:space="preserve">patient-end support options for these residents, </w:t>
      </w:r>
      <w:r w:rsidR="13EEF7DC">
        <w:t>there is increased likelihood of waiting for locum GPs</w:t>
      </w:r>
      <w:r w:rsidR="7C56748E">
        <w:t xml:space="preserve">. This would risk </w:t>
      </w:r>
      <w:r w:rsidR="13EEF7DC">
        <w:t>delaying care</w:t>
      </w:r>
      <w:r w:rsidR="7DA435BE">
        <w:t xml:space="preserve"> or </w:t>
      </w:r>
      <w:r w:rsidR="70E7E141">
        <w:t>compromising</w:t>
      </w:r>
      <w:r w:rsidR="7DA435BE">
        <w:t xml:space="preserve"> continuity of care</w:t>
      </w:r>
      <w:r w:rsidR="5CABA829">
        <w:t>;</w:t>
      </w:r>
      <w:r w:rsidR="13EEF7DC">
        <w:t xml:space="preserve"> or sending residents to </w:t>
      </w:r>
      <w:r w:rsidR="2D899A1C">
        <w:t>emergency care and</w:t>
      </w:r>
      <w:r w:rsidR="5CABA829">
        <w:t xml:space="preserve"> </w:t>
      </w:r>
      <w:r w:rsidR="2D899A1C">
        <w:t>increasing the load on hospitals</w:t>
      </w:r>
      <w:r w:rsidR="5CABA829">
        <w:t xml:space="preserve"> unnecessarily</w:t>
      </w:r>
      <w:r w:rsidR="2D899A1C">
        <w:t>.</w:t>
      </w:r>
      <w:r w:rsidR="0F81F0B0">
        <w:t xml:space="preserve"> </w:t>
      </w:r>
    </w:p>
    <w:p w14:paraId="5642A010" w14:textId="505EF34F" w:rsidR="622C3F62" w:rsidRDefault="326C7C8D" w:rsidP="7A78A0F3">
      <w:pPr>
        <w:spacing w:line="259" w:lineRule="auto"/>
      </w:pPr>
      <w:r>
        <w:t xml:space="preserve">In considering its recommendation for patient-end support, the MRAC highlighted the value of </w:t>
      </w:r>
      <w:r w:rsidR="6368DA73">
        <w:t>these services with potential for a broad range of patients to benefit</w:t>
      </w:r>
      <w:r>
        <w:t>, not just patients who experience profound challenges with attendance to a clinic or in aged care</w:t>
      </w:r>
      <w:r w:rsidR="018417BC">
        <w:t xml:space="preserve">. The </w:t>
      </w:r>
      <w:r>
        <w:t xml:space="preserve">participation of an additional provider </w:t>
      </w:r>
      <w:r w:rsidR="48914E10">
        <w:t xml:space="preserve">who can </w:t>
      </w:r>
      <w:r>
        <w:t>contribute expertise efficiently</w:t>
      </w:r>
      <w:r w:rsidR="1F28B293">
        <w:t xml:space="preserve"> may mean better testing, diagnoses and team care, with the potential to impr</w:t>
      </w:r>
      <w:r w:rsidR="4AC2CDED">
        <w:t>o</w:t>
      </w:r>
      <w:r w:rsidR="1F28B293">
        <w:t xml:space="preserve">ve the skills of </w:t>
      </w:r>
      <w:r w:rsidR="3FA0DBD9">
        <w:t xml:space="preserve">practitioners responsible for </w:t>
      </w:r>
      <w:r w:rsidR="581177EA">
        <w:t>most of a patient’s services</w:t>
      </w:r>
      <w:r>
        <w:t xml:space="preserve">. The MRAC suggested </w:t>
      </w:r>
      <w:r w:rsidR="69E16A06">
        <w:t xml:space="preserve">that </w:t>
      </w:r>
      <w:r>
        <w:t xml:space="preserve">facilitated GP telehealth consultations </w:t>
      </w:r>
      <w:r w:rsidR="3F619A61">
        <w:t>with a nurse practitioner or allied prov</w:t>
      </w:r>
      <w:r w:rsidR="1B064AD0">
        <w:t>ider at the patient’s side c</w:t>
      </w:r>
      <w:r>
        <w:t>ould qualify patients for ongoing access to GP telehealth</w:t>
      </w:r>
      <w:r w:rsidR="4CA4EC3F">
        <w:t xml:space="preserve">, as a service which satisfies the </w:t>
      </w:r>
      <w:r>
        <w:t>requirement for a face-to-face service within the previous 12-months.</w:t>
      </w:r>
    </w:p>
    <w:p w14:paraId="5C71DC82" w14:textId="34FB7FA0" w:rsidR="00553F44" w:rsidRDefault="00553F44" w:rsidP="00553F44">
      <w:pPr>
        <w:pStyle w:val="TableTitle"/>
      </w:pPr>
    </w:p>
    <w:p w14:paraId="63C801C9" w14:textId="696E02A1" w:rsidR="07D162B7" w:rsidRDefault="07D162B7"/>
    <w:p w14:paraId="7DC65F05" w14:textId="3819501A" w:rsidR="07D162B7" w:rsidRDefault="07D162B7"/>
    <w:p w14:paraId="40652237" w14:textId="21C8190C" w:rsidR="00B37029" w:rsidRDefault="74F197B4" w:rsidP="07D162B7">
      <w:pPr>
        <w:pStyle w:val="BoxHeading"/>
        <w:rPr>
          <w:rStyle w:val="cf01"/>
        </w:rPr>
      </w:pPr>
      <w:r>
        <w:t>Recommendation</w:t>
      </w:r>
      <w:r w:rsidR="27F7166B">
        <w:t xml:space="preserve"> 10</w:t>
      </w:r>
      <w:r>
        <w:t xml:space="preserve">: </w:t>
      </w:r>
      <w:r w:rsidR="009B0765">
        <w:t xml:space="preserve">Expand </w:t>
      </w:r>
      <w:r w:rsidR="00C30896">
        <w:t>patient-end support</w:t>
      </w:r>
      <w:r w:rsidR="009B0765">
        <w:t xml:space="preserve"> </w:t>
      </w:r>
      <w:r w:rsidR="00B37029">
        <w:t>by:</w:t>
      </w:r>
      <w:r w:rsidR="009B0765">
        <w:t xml:space="preserve"> </w:t>
      </w:r>
    </w:p>
    <w:p w14:paraId="67BC5993" w14:textId="1296E84C" w:rsidR="00B37029" w:rsidRDefault="009B0765" w:rsidP="006D212C">
      <w:pPr>
        <w:pStyle w:val="BoxHeading"/>
      </w:pPr>
      <w:r>
        <w:t xml:space="preserve">a) </w:t>
      </w:r>
      <w:r w:rsidR="00B37029">
        <w:t xml:space="preserve">Reintroducing GP patient end support </w:t>
      </w:r>
      <w:r w:rsidR="3628F0EC">
        <w:t xml:space="preserve">for telehealth with a non-GP specialist </w:t>
      </w:r>
      <w:r w:rsidR="00B37029">
        <w:t xml:space="preserve">and extend it to include </w:t>
      </w:r>
      <w:r w:rsidR="00C30896">
        <w:t xml:space="preserve">nurse </w:t>
      </w:r>
      <w:r>
        <w:t>practitioners</w:t>
      </w:r>
      <w:r w:rsidR="3D3EFCF3">
        <w:t xml:space="preserve">. </w:t>
      </w:r>
      <w:r w:rsidR="00E80290">
        <w:t xml:space="preserve"> </w:t>
      </w:r>
    </w:p>
    <w:p w14:paraId="4E3CAF72" w14:textId="589EA8D1" w:rsidR="00B37029" w:rsidRDefault="00E80290" w:rsidP="006D212C">
      <w:pPr>
        <w:pStyle w:val="BoxHeading"/>
      </w:pPr>
      <w:r>
        <w:t xml:space="preserve">b) </w:t>
      </w:r>
      <w:r w:rsidR="3C262641">
        <w:t>Extend patient</w:t>
      </w:r>
      <w:r w:rsidR="37CD8035">
        <w:t xml:space="preserve"> </w:t>
      </w:r>
      <w:r w:rsidR="3C262641">
        <w:t xml:space="preserve">end support to include nurse practitioners, allied health, and Aboriginal and Torres Strait Islander Health Practitioner patient-end support for telehealth with a GP. </w:t>
      </w:r>
    </w:p>
    <w:p w14:paraId="7E6AB94B" w14:textId="3A6C0549" w:rsidR="00B37029" w:rsidRDefault="00FC03CD" w:rsidP="006D212C">
      <w:pPr>
        <w:pStyle w:val="BoxHeading"/>
      </w:pPr>
      <w:r>
        <w:t xml:space="preserve">c) </w:t>
      </w:r>
      <w:r w:rsidR="00B37029">
        <w:t>Introduce a support type service for GP telehealth in a residential aged care setting, when GPs advise patients’ carers</w:t>
      </w:r>
      <w:r w:rsidR="3805757D">
        <w:t xml:space="preserve"> or registered nurse in lieu of the patient (in circumstances where the patient lacks capacity).</w:t>
      </w:r>
      <w:r w:rsidR="00B37029">
        <w:t xml:space="preserve"> </w:t>
      </w:r>
    </w:p>
    <w:p w14:paraId="6376E43F" w14:textId="77584069" w:rsidR="006C1E41" w:rsidRDefault="5A8A6A09" w:rsidP="006D212C">
      <w:pPr>
        <w:pStyle w:val="BoxHeading"/>
      </w:pPr>
      <w:r>
        <w:t>If the MBS is not a suitable funding pathway for patient-end support services, explore other funding possibilities</w:t>
      </w:r>
      <w:r w:rsidR="66F4855D">
        <w:t xml:space="preserve"> (such as MyMedicare, practice incentives, Primary Health Networks, or a new funding initiative)</w:t>
      </w:r>
      <w:r>
        <w:t>.</w:t>
      </w:r>
    </w:p>
    <w:p w14:paraId="054A75FA" w14:textId="77777777" w:rsidR="00E15764" w:rsidRDefault="00E15764" w:rsidP="00E15764">
      <w:pPr>
        <w:pStyle w:val="Heading1"/>
      </w:pPr>
      <w:bookmarkStart w:id="101" w:name="_Consultation_and_feedback"/>
      <w:bookmarkStart w:id="102" w:name="_Toc119068547"/>
      <w:bookmarkStart w:id="103" w:name="_Toc119920766"/>
      <w:bookmarkStart w:id="104" w:name="_Toc163814597"/>
      <w:bookmarkEnd w:id="47"/>
      <w:bookmarkEnd w:id="101"/>
      <w:r w:rsidRPr="0011171D">
        <w:t>Consultation and feedback review process</w:t>
      </w:r>
      <w:bookmarkEnd w:id="102"/>
      <w:bookmarkEnd w:id="103"/>
      <w:bookmarkEnd w:id="104"/>
    </w:p>
    <w:p w14:paraId="7E4A27BE" w14:textId="31CFBA2B" w:rsidR="007E6871" w:rsidRDefault="007E6871" w:rsidP="007E6871">
      <w:r>
        <w:t>Consultation with relevant and interested organisations, peak bodies and consumers is considered essential in the formulation of advice to government on recommended changes to MBS items. The MRAC and its working groups seek feedback on their understanding of the existing model of care and issues of consideration, with particular emphasis on any (yet) unidentified consequences that may result from proposed changes.</w:t>
      </w:r>
    </w:p>
    <w:p w14:paraId="7DE3A80B" w14:textId="780587F9" w:rsidR="007E6871" w:rsidRDefault="007E6871" w:rsidP="007E6871">
      <w:r>
        <w:t>All feedback provided through consultation processes is considered.</w:t>
      </w:r>
    </w:p>
    <w:p w14:paraId="67AB1518" w14:textId="29D8B51E" w:rsidR="003D400B" w:rsidRDefault="009E0ABD" w:rsidP="009E0ABD">
      <w:pPr>
        <w:pStyle w:val="Heading2"/>
      </w:pPr>
      <w:bookmarkStart w:id="105" w:name="_Toc163814598"/>
      <w:r>
        <w:t xml:space="preserve">Telehealth </w:t>
      </w:r>
      <w:r w:rsidR="006931A3">
        <w:t>P</w:t>
      </w:r>
      <w:r>
        <w:t>rinciples</w:t>
      </w:r>
      <w:bookmarkEnd w:id="105"/>
    </w:p>
    <w:p w14:paraId="1EC5E362" w14:textId="714131E9" w:rsidR="00CF6DD0" w:rsidRDefault="009E0ABD" w:rsidP="006A7173">
      <w:pPr>
        <w:pStyle w:val="NormalBeforeBullet"/>
      </w:pPr>
      <w:r>
        <w:t>A targeted stakeholder survey was conducted</w:t>
      </w:r>
      <w:r w:rsidR="001B731D">
        <w:t xml:space="preserve"> </w:t>
      </w:r>
      <w:r w:rsidR="00EF320B">
        <w:t>in May–July 2023</w:t>
      </w:r>
      <w:r w:rsidR="001B731D">
        <w:t xml:space="preserve"> </w:t>
      </w:r>
      <w:r w:rsidR="00CF6DD0">
        <w:t xml:space="preserve">about the 10 MBS </w:t>
      </w:r>
      <w:r w:rsidR="00667FBC">
        <w:t xml:space="preserve">Review Taskforce </w:t>
      </w:r>
      <w:r w:rsidR="0073635A">
        <w:t>T</w:t>
      </w:r>
      <w:r w:rsidR="00CF6DD0">
        <w:t xml:space="preserve">elehealth </w:t>
      </w:r>
      <w:r w:rsidR="0073635A">
        <w:t>P</w:t>
      </w:r>
      <w:r w:rsidR="00CF6DD0">
        <w:t>rinciples</w:t>
      </w:r>
      <w:r w:rsidR="006A7173">
        <w:t xml:space="preserve">, seeking </w:t>
      </w:r>
      <w:r w:rsidR="007E6871">
        <w:t>rat</w:t>
      </w:r>
      <w:r w:rsidR="006A7173">
        <w:t>ings</w:t>
      </w:r>
      <w:r w:rsidR="00C34E30">
        <w:t xml:space="preserve"> of </w:t>
      </w:r>
      <w:r w:rsidR="00215B7B">
        <w:t xml:space="preserve">agreement with </w:t>
      </w:r>
      <w:r w:rsidR="007E6871">
        <w:t xml:space="preserve">each principle </w:t>
      </w:r>
      <w:r w:rsidR="006A7173">
        <w:t xml:space="preserve">(in its current form) </w:t>
      </w:r>
      <w:r w:rsidR="00EA1D28">
        <w:t>from 1 to 5</w:t>
      </w:r>
      <w:r w:rsidR="00215B7B">
        <w:t xml:space="preserve"> stars</w:t>
      </w:r>
      <w:r w:rsidR="00EA1D28">
        <w:t>. The survey also included opportunity for written feedback.</w:t>
      </w:r>
    </w:p>
    <w:p w14:paraId="2DA36056" w14:textId="633128AA" w:rsidR="006A7173" w:rsidRDefault="006A7173" w:rsidP="006A7173">
      <w:pPr>
        <w:pStyle w:val="NormalBeforeBullet"/>
      </w:pPr>
      <w:r>
        <w:t>Feedback received from this process was considered by the MRAC and used to inform</w:t>
      </w:r>
      <w:r w:rsidR="000071C2">
        <w:t xml:space="preserve"> proposed revisions to the</w:t>
      </w:r>
      <w:r w:rsidR="0073635A">
        <w:t>se</w:t>
      </w:r>
      <w:r w:rsidR="000071C2">
        <w:t xml:space="preserve"> </w:t>
      </w:r>
      <w:r w:rsidR="006931A3">
        <w:t>P</w:t>
      </w:r>
      <w:r w:rsidR="000071C2">
        <w:t>rinciples.</w:t>
      </w:r>
    </w:p>
    <w:p w14:paraId="3C20B32D" w14:textId="06968701" w:rsidR="00C835F9" w:rsidRDefault="00FD07C1" w:rsidP="00143E24">
      <w:pPr>
        <w:pStyle w:val="Heading2"/>
      </w:pPr>
      <w:bookmarkStart w:id="106" w:name="_Consultation_on_the"/>
      <w:bookmarkStart w:id="107" w:name="_Toc163814599"/>
      <w:bookmarkEnd w:id="106"/>
      <w:r>
        <w:t xml:space="preserve">Consultation on </w:t>
      </w:r>
      <w:r w:rsidR="00D4304F">
        <w:t>the draft report and recommendations</w:t>
      </w:r>
      <w:bookmarkEnd w:id="107"/>
    </w:p>
    <w:p w14:paraId="752CBAC0" w14:textId="1C26A887" w:rsidR="00143E24" w:rsidRDefault="00143E24" w:rsidP="00143E24">
      <w:r>
        <w:t>On 25 September 2023, the MRAC Telehealth Post-Implementation Review Draft Report was published on the Department’s Consultation Hub. Stakeholders were invited to submit feedback on the draft report over a six-week public consultation period</w:t>
      </w:r>
      <w:r w:rsidR="00532B44">
        <w:t>,</w:t>
      </w:r>
      <w:r>
        <w:t xml:space="preserve"> which closed on 6 November 2023.</w:t>
      </w:r>
    </w:p>
    <w:p w14:paraId="69C5C048" w14:textId="7D6F76E8" w:rsidR="00427E98" w:rsidRDefault="00143E24" w:rsidP="00427E98">
      <w:r>
        <w:t xml:space="preserve">Throughout this period, </w:t>
      </w:r>
      <w:r w:rsidR="00427E98">
        <w:t>more than</w:t>
      </w:r>
      <w:r>
        <w:t xml:space="preserve"> 450 responses were received from a variety of stakeholders</w:t>
      </w:r>
      <w:r w:rsidR="00427E98">
        <w:t>,</w:t>
      </w:r>
      <w:r>
        <w:t xml:space="preserve"> including clinicians, health organisations, peak bodies, consumers and other interested parties.</w:t>
      </w:r>
      <w:r w:rsidR="00427E98" w:rsidRPr="00427E98">
        <w:t xml:space="preserve"> </w:t>
      </w:r>
      <w:r w:rsidR="00427E98">
        <w:t>The MRAC has carefully considered the diverse perspectives, experience and knowledge of these stakeholders’ feedback when finalising its recommendations.</w:t>
      </w:r>
    </w:p>
    <w:p w14:paraId="377E4F94" w14:textId="6B30C6BD" w:rsidR="000B35D0" w:rsidRDefault="00C802D8" w:rsidP="00F80251">
      <w:r>
        <w:t xml:space="preserve">In general, stakeholders were largely supportive of recommendations </w:t>
      </w:r>
      <w:r w:rsidR="00F4658B">
        <w:t>1–</w:t>
      </w:r>
      <w:r w:rsidR="00BB1F33">
        <w:t>7</w:t>
      </w:r>
      <w:r w:rsidR="00F80251">
        <w:t xml:space="preserve"> and 10</w:t>
      </w:r>
      <w:r w:rsidR="00310D63">
        <w:t xml:space="preserve">. </w:t>
      </w:r>
    </w:p>
    <w:p w14:paraId="4643A843" w14:textId="59D407F9" w:rsidR="00F80251" w:rsidRDefault="00F80251" w:rsidP="00FC2922">
      <w:pPr>
        <w:spacing w:after="0"/>
      </w:pPr>
      <w:r>
        <w:t xml:space="preserve">Recommendations </w:t>
      </w:r>
      <w:r w:rsidR="002D44C7">
        <w:t>8 had mixed feedback</w:t>
      </w:r>
      <w:r w:rsidR="00723C44">
        <w:t>. Workforce concerns were raised for both maintaining current settings (with the expansion of online only business models seen as detrimental to quality care) and introducing eligibility and exemptions to nurse practitioner telehealth items (with the changes seen as having detrimental impacts on nurse practitioner business and scope of practice)</w:t>
      </w:r>
      <w:r w:rsidR="002D44C7">
        <w:t xml:space="preserve">. The MRAC </w:t>
      </w:r>
      <w:r w:rsidR="00FC2922">
        <w:t xml:space="preserve">also </w:t>
      </w:r>
      <w:r w:rsidR="002D44C7">
        <w:t xml:space="preserve">determined that, overall, </w:t>
      </w:r>
      <w:r w:rsidR="00B26AC2">
        <w:t>the intent of the recommendation was unclear</w:t>
      </w:r>
      <w:r w:rsidR="005F7386">
        <w:t xml:space="preserve"> to stakeholders, which </w:t>
      </w:r>
      <w:r w:rsidR="00461F0A">
        <w:t xml:space="preserve">appeared to </w:t>
      </w:r>
      <w:r w:rsidR="005F7386">
        <w:t>dr</w:t>
      </w:r>
      <w:r w:rsidR="00461F0A">
        <w:t>i</w:t>
      </w:r>
      <w:r w:rsidR="005F7386">
        <w:t>ve some of the feedback</w:t>
      </w:r>
      <w:r w:rsidR="00B26AC2">
        <w:t>, and</w:t>
      </w:r>
      <w:r w:rsidR="00461F0A">
        <w:t xml:space="preserve"> therefore</w:t>
      </w:r>
      <w:r w:rsidR="00B26AC2">
        <w:t xml:space="preserve"> sought to improve clarity in its final recommendation</w:t>
      </w:r>
      <w:r w:rsidR="00234A8A">
        <w:t xml:space="preserve"> 8.</w:t>
      </w:r>
      <w:r w:rsidR="00391851">
        <w:t xml:space="preserve"> </w:t>
      </w:r>
    </w:p>
    <w:p w14:paraId="7D73E2A9" w14:textId="77777777" w:rsidR="00FC2922" w:rsidRDefault="00FC2922" w:rsidP="00C166F3">
      <w:pPr>
        <w:spacing w:after="0"/>
      </w:pPr>
    </w:p>
    <w:p w14:paraId="579E6617" w14:textId="121DEB2D" w:rsidR="005F7386" w:rsidRDefault="005F7386" w:rsidP="00427E98">
      <w:r>
        <w:t xml:space="preserve">Stakeholders were markedly </w:t>
      </w:r>
      <w:r w:rsidR="0019792B">
        <w:t xml:space="preserve">unsupportive of recommendation 9. </w:t>
      </w:r>
      <w:r w:rsidR="00FB2401">
        <w:t xml:space="preserve">Some stakeholders appeared to </w:t>
      </w:r>
      <w:r w:rsidR="00461F0A">
        <w:t>(incorrectly)</w:t>
      </w:r>
      <w:r w:rsidR="00FB2401">
        <w:t xml:space="preserve"> interpret that recommendation 9, if it were implemented, would remove telehealth completely for all non-GP specialist MBS telehealth items, which was not the MRAC’s intention. </w:t>
      </w:r>
      <w:r w:rsidR="00F0128A">
        <w:t xml:space="preserve">However, the MRAC also acknowledged </w:t>
      </w:r>
      <w:r w:rsidR="00FC2922">
        <w:t xml:space="preserve">stakeholder concerns </w:t>
      </w:r>
      <w:r w:rsidR="00F0128A">
        <w:t xml:space="preserve">that </w:t>
      </w:r>
      <w:r w:rsidR="00EB7851">
        <w:t xml:space="preserve">making mandatory face-to-face initial consultations with non-GP specialists would negatively impact equity and access for many people, </w:t>
      </w:r>
      <w:r w:rsidR="00FC2922">
        <w:t xml:space="preserve">leading to poor health outcomes, </w:t>
      </w:r>
      <w:r w:rsidR="00EB7851">
        <w:t xml:space="preserve">and </w:t>
      </w:r>
      <w:r w:rsidR="009415E5">
        <w:t xml:space="preserve">reversed its </w:t>
      </w:r>
      <w:r w:rsidR="00027C91">
        <w:t xml:space="preserve">draft </w:t>
      </w:r>
      <w:r w:rsidR="009415E5">
        <w:t xml:space="preserve">recommendation </w:t>
      </w:r>
      <w:r w:rsidR="00027C91">
        <w:t xml:space="preserve">with updated wording to </w:t>
      </w:r>
      <w:r w:rsidR="00763FF6">
        <w:t>reflect this decision</w:t>
      </w:r>
      <w:r w:rsidR="00027C91">
        <w:t>.</w:t>
      </w:r>
      <w:r w:rsidR="00391851">
        <w:t xml:space="preserve"> </w:t>
      </w:r>
    </w:p>
    <w:p w14:paraId="7EC0AA4E" w14:textId="75898DCE" w:rsidR="005D3F39" w:rsidRDefault="00027C91" w:rsidP="00427E98">
      <w:r>
        <w:t>Finally, although recommendations 2 and 3</w:t>
      </w:r>
      <w:r w:rsidR="002C7690">
        <w:t xml:space="preserve">, were broadly supported, the MRAC recognised that clarity was needed and thus amended the wording, </w:t>
      </w:r>
      <w:r w:rsidR="00BC76E1">
        <w:t xml:space="preserve">but </w:t>
      </w:r>
      <w:r w:rsidR="002C7690">
        <w:t>not intent, of the final recommendations</w:t>
      </w:r>
      <w:r w:rsidR="001B1A7F">
        <w:t> </w:t>
      </w:r>
      <w:r w:rsidR="002C7690">
        <w:t>2 and 3.</w:t>
      </w:r>
    </w:p>
    <w:p w14:paraId="0602177F" w14:textId="4490503C" w:rsidR="008E6A26" w:rsidRDefault="008E6A26" w:rsidP="000435B6">
      <w:pPr>
        <w:pStyle w:val="Heading2"/>
      </w:pPr>
      <w:bookmarkStart w:id="108" w:name="_Consumer_Health_Forum"/>
      <w:bookmarkStart w:id="109" w:name="_Toc163814600"/>
      <w:bookmarkEnd w:id="108"/>
      <w:r>
        <w:t xml:space="preserve">Consumer </w:t>
      </w:r>
      <w:r w:rsidR="000435B6">
        <w:t>Health Forum workshops</w:t>
      </w:r>
      <w:bookmarkEnd w:id="109"/>
    </w:p>
    <w:p w14:paraId="5D2802FF" w14:textId="57207006" w:rsidR="000435B6" w:rsidRDefault="00407246" w:rsidP="000435B6">
      <w:r>
        <w:t xml:space="preserve">Two </w:t>
      </w:r>
      <w:r w:rsidR="000435B6">
        <w:t>Consumer Health Forum workshops were held on 8–9 February 2024</w:t>
      </w:r>
      <w:r w:rsidR="003D28E4">
        <w:t xml:space="preserve"> on behalf of the department to better understand consumer experience and </w:t>
      </w:r>
      <w:r w:rsidR="00050B76">
        <w:t xml:space="preserve">perception of telehealth, and to explore policy options. </w:t>
      </w:r>
      <w:r>
        <w:t>Each workshop had 1</w:t>
      </w:r>
      <w:r w:rsidR="001F228B">
        <w:t>0–15 participants, who explored the same topics.</w:t>
      </w:r>
    </w:p>
    <w:p w14:paraId="0457ED96" w14:textId="0FBA2D99" w:rsidR="005E2C52" w:rsidRPr="005E2C52" w:rsidRDefault="00D758F4" w:rsidP="005E2C52">
      <w:pPr>
        <w:spacing w:after="120"/>
        <w:jc w:val="both"/>
      </w:pPr>
      <w:r>
        <w:t>MRAC noted that o</w:t>
      </w:r>
      <w:r w:rsidR="005E2C52" w:rsidRPr="005E2C52">
        <w:t xml:space="preserve">verall participants were in strong support of telehealth. They acknowledged that telehealth can remove barriers in terms of rural and remote location, time, and enhance access to specialist care, scripts and referrals. They also acknowledged limitations such as when a patient or provider has poor digital literacy, issues with technology, or when a physical examination is required. </w:t>
      </w:r>
    </w:p>
    <w:p w14:paraId="22CDA0AB" w14:textId="45552C3D" w:rsidR="005E2C52" w:rsidRPr="005E2C52" w:rsidRDefault="00D758F4" w:rsidP="005E2C52">
      <w:pPr>
        <w:spacing w:after="120"/>
        <w:jc w:val="both"/>
      </w:pPr>
      <w:r>
        <w:t>MRAC acknowledged t</w:t>
      </w:r>
      <w:r w:rsidR="005E2C52" w:rsidRPr="005E2C52">
        <w:t xml:space="preserve">here were mixed views in terms of appropriate use of telehealth. Some participants thought telehealth is most beneficial in the context of a continuous relationship between a provider and the patient, yet others thought that telehealth could be effectively delivered to a new patient for a new condition. The provision of telehealth services for specialist consultations (including an initial consultation) was supported with the view that a referral from a GP to a Specialist should be sufficient to receive telehealth. </w:t>
      </w:r>
    </w:p>
    <w:p w14:paraId="3B745814" w14:textId="014C683A" w:rsidR="005E2C52" w:rsidRPr="005E2C52" w:rsidRDefault="00D758F4" w:rsidP="005E2C52">
      <w:pPr>
        <w:spacing w:after="120"/>
        <w:jc w:val="both"/>
      </w:pPr>
      <w:r>
        <w:t>MRAC also acknowledged that there were</w:t>
      </w:r>
      <w:r w:rsidR="005E2C52" w:rsidRPr="005E2C52">
        <w:t xml:space="preserve"> mixed views from participants in terms of eligibility. Participants strongly supported the flexible delivery of telehealth and their right to choose. While majority recognised the benefits of an existing relationship, many participants did not support eligibility criteria being applied and argued against the 1 in 12 rule (stating it was complicated, undermined the concept of equivalence, impacted access, and did not make sense for a ‘well’ person). </w:t>
      </w:r>
    </w:p>
    <w:p w14:paraId="7963CEA1" w14:textId="77777777" w:rsidR="005E2C52" w:rsidRPr="005E2C52" w:rsidRDefault="005E2C52" w:rsidP="005E2C52">
      <w:pPr>
        <w:spacing w:after="120"/>
        <w:jc w:val="both"/>
      </w:pPr>
      <w:r w:rsidRPr="005E2C52">
        <w:t xml:space="preserve">In addition, patients had differing views about MyMedicare. Some considered it to be a good measure of eligibility, whereas others identified limitations as not every GP is participating and it may create a barrier to care. </w:t>
      </w:r>
    </w:p>
    <w:p w14:paraId="272A5F98" w14:textId="77777777" w:rsidR="00A22498" w:rsidRPr="00986B0A" w:rsidRDefault="00A22498" w:rsidP="00A22498"/>
    <w:p w14:paraId="7928EF63" w14:textId="626E680A" w:rsidR="00143E24" w:rsidRPr="00143E24" w:rsidRDefault="00143E24" w:rsidP="002060AD"/>
    <w:p w14:paraId="3E49F099" w14:textId="035868D2" w:rsidR="00446E45" w:rsidRDefault="000B3D60" w:rsidP="000622D6">
      <w:pPr>
        <w:pStyle w:val="Heading1"/>
      </w:pPr>
      <w:bookmarkStart w:id="110" w:name="_Appendix_A_MBS"/>
      <w:bookmarkStart w:id="111" w:name="_Toc163814601"/>
      <w:bookmarkEnd w:id="110"/>
      <w:r>
        <w:t>Appendix A</w:t>
      </w:r>
      <w:r w:rsidR="00F61748">
        <w:t xml:space="preserve"> </w:t>
      </w:r>
      <w:r w:rsidR="000622D6">
        <w:t>MBS Continuous Review and</w:t>
      </w:r>
      <w:r w:rsidR="00766CDB">
        <w:t xml:space="preserve"> </w:t>
      </w:r>
      <w:r w:rsidR="000622D6">
        <w:t>committee</w:t>
      </w:r>
      <w:bookmarkEnd w:id="111"/>
    </w:p>
    <w:p w14:paraId="160FFD4C" w14:textId="77777777" w:rsidR="000B3D60" w:rsidRPr="00F213E5" w:rsidRDefault="000B3D60" w:rsidP="000B3D60">
      <w:pPr>
        <w:pStyle w:val="Heading2"/>
      </w:pPr>
      <w:bookmarkStart w:id="112" w:name="_Toc107835767"/>
      <w:bookmarkStart w:id="113" w:name="_Toc107835834"/>
      <w:bookmarkStart w:id="114" w:name="_Toc107911558"/>
      <w:bookmarkStart w:id="115" w:name="_Toc107920653"/>
      <w:bookmarkStart w:id="116" w:name="_Toc111552634"/>
      <w:bookmarkStart w:id="117" w:name="_Toc111558643"/>
      <w:bookmarkStart w:id="118" w:name="_Toc111561067"/>
      <w:bookmarkStart w:id="119" w:name="_Toc119068521"/>
      <w:bookmarkStart w:id="120" w:name="_Toc119920740"/>
      <w:bookmarkStart w:id="121" w:name="_Toc163814602"/>
      <w:r w:rsidRPr="00F213E5">
        <w:t>Medicare Benefits Schedule Continuous Review</w:t>
      </w:r>
      <w:bookmarkEnd w:id="112"/>
      <w:bookmarkEnd w:id="113"/>
      <w:bookmarkEnd w:id="114"/>
      <w:bookmarkEnd w:id="115"/>
      <w:bookmarkEnd w:id="116"/>
      <w:bookmarkEnd w:id="117"/>
      <w:bookmarkEnd w:id="118"/>
      <w:bookmarkEnd w:id="119"/>
      <w:bookmarkEnd w:id="120"/>
      <w:bookmarkEnd w:id="121"/>
    </w:p>
    <w:p w14:paraId="7E7505A0" w14:textId="7E95E781" w:rsidR="000B3D60" w:rsidRPr="00641C75" w:rsidRDefault="000B3D60" w:rsidP="000B3D60">
      <w:r w:rsidRPr="00641C75">
        <w:t xml:space="preserve">The </w:t>
      </w:r>
      <w:r>
        <w:t>Medicare Benefits Schedule (</w:t>
      </w:r>
      <w:r w:rsidRPr="00641C75">
        <w:t>MBS</w:t>
      </w:r>
      <w:r>
        <w:t>)</w:t>
      </w:r>
      <w:r w:rsidRPr="00641C75">
        <w:t xml:space="preserve"> is a list of health professional services (items) </w:t>
      </w:r>
      <w:r>
        <w:t>subsidised by</w:t>
      </w:r>
      <w:r w:rsidRPr="00641C75">
        <w:t xml:space="preserve"> the Australian Government</w:t>
      </w:r>
      <w:r>
        <w:t xml:space="preserve"> for health consumers</w:t>
      </w:r>
      <w:r w:rsidRPr="00641C75">
        <w:t>. MBS items provide patient benefits for a wide range of health services including consultations, diagnostic tests</w:t>
      </w:r>
      <w:r>
        <w:t>, therapies</w:t>
      </w:r>
      <w:r w:rsidR="00C75956">
        <w:t xml:space="preserve"> and</w:t>
      </w:r>
      <w:r w:rsidRPr="00641C75">
        <w:t xml:space="preserve"> operations.</w:t>
      </w:r>
    </w:p>
    <w:p w14:paraId="6A65D417" w14:textId="77777777" w:rsidR="000B3D60" w:rsidRPr="00641C75" w:rsidRDefault="000B3D60" w:rsidP="000B3D60">
      <w:r w:rsidRPr="00641C75">
        <w:t>The MBS Continuous Review builds on the work of the MBS Review Taskforce</w:t>
      </w:r>
      <w:r>
        <w:t xml:space="preserve"> (the Taskforce).</w:t>
      </w:r>
      <w:r w:rsidRPr="00641C75">
        <w:t xml:space="preserve"> </w:t>
      </w:r>
      <w:r>
        <w:t>F</w:t>
      </w:r>
      <w:r w:rsidRPr="00641C75">
        <w:t>rom 2015 to 2020</w:t>
      </w:r>
      <w:r>
        <w:t>, the Taskforce</w:t>
      </w:r>
      <w:r w:rsidRPr="00641C75">
        <w:t xml:space="preserve"> provided the first extensive, line</w:t>
      </w:r>
      <w:r>
        <w:t>-</w:t>
      </w:r>
      <w:r w:rsidRPr="00641C75">
        <w:t>by</w:t>
      </w:r>
      <w:r>
        <w:t>-</w:t>
      </w:r>
      <w:r w:rsidRPr="00641C75">
        <w:t>line review of the MBS since its inception in 1984.</w:t>
      </w:r>
    </w:p>
    <w:p w14:paraId="5F86780E" w14:textId="77777777" w:rsidR="000B3D60" w:rsidRPr="00641C75" w:rsidRDefault="000B3D60" w:rsidP="000B3D60">
      <w:r w:rsidRPr="00641C75">
        <w:t>In October 2020, the Australian Government committed to establishing a continuous review framework for the MBS, consistent with recommendations from the Taskforce Final Report.</w:t>
      </w:r>
    </w:p>
    <w:p w14:paraId="44B89B09" w14:textId="77777777" w:rsidR="000B3D60" w:rsidRDefault="000B3D60" w:rsidP="000B3D60">
      <w:r>
        <w:t>Established in 2021, the MBS Continuous Review allows for ongoing rigorous and comprehensive reviews of Medicare items and services by experts, on a continuous basis, to ensure that the MBS works for patients and supports health professionals to provide high-quality care.</w:t>
      </w:r>
    </w:p>
    <w:p w14:paraId="1F505C76" w14:textId="68392154" w:rsidR="009F2C4F" w:rsidRPr="00641C75" w:rsidRDefault="009F2C4F" w:rsidP="000B3D60">
      <w:r>
        <w:t xml:space="preserve">Information on the </w:t>
      </w:r>
      <w:r w:rsidR="00421F28" w:rsidRPr="00575980">
        <w:t xml:space="preserve">Medicare Benefits Schedule (MBS) Continuous Review </w:t>
      </w:r>
      <w:r w:rsidR="00421F28">
        <w:t>is available on the</w:t>
      </w:r>
      <w:r w:rsidR="00421F28" w:rsidRPr="00575980">
        <w:t xml:space="preserve"> Australian Government Department of Health and Aged Care</w:t>
      </w:r>
      <w:r w:rsidR="00004B10">
        <w:t>’s website</w:t>
      </w:r>
      <w:r w:rsidR="00421F28">
        <w:t xml:space="preserve">. </w:t>
      </w:r>
    </w:p>
    <w:p w14:paraId="79207BF6" w14:textId="77777777" w:rsidR="000B3D60" w:rsidRPr="00816F3E" w:rsidRDefault="000B3D60" w:rsidP="000B3D60">
      <w:pPr>
        <w:pStyle w:val="Heading2"/>
      </w:pPr>
      <w:bookmarkStart w:id="122" w:name="_Toc107835768"/>
      <w:bookmarkStart w:id="123" w:name="_Toc107835835"/>
      <w:bookmarkStart w:id="124" w:name="_Toc107911559"/>
      <w:bookmarkStart w:id="125" w:name="_Toc107920654"/>
      <w:bookmarkStart w:id="126" w:name="_Toc111552635"/>
      <w:bookmarkStart w:id="127" w:name="_Toc111558644"/>
      <w:bookmarkStart w:id="128" w:name="_Toc111561068"/>
      <w:bookmarkStart w:id="129" w:name="_Toc119068522"/>
      <w:bookmarkStart w:id="130" w:name="_Toc119920741"/>
      <w:bookmarkStart w:id="131" w:name="_Toc163814603"/>
      <w:r w:rsidRPr="00816F3E">
        <w:t>Medicare Benefits Schedule Review Advisory Committee</w:t>
      </w:r>
      <w:bookmarkEnd w:id="122"/>
      <w:bookmarkEnd w:id="123"/>
      <w:bookmarkEnd w:id="124"/>
      <w:bookmarkEnd w:id="125"/>
      <w:bookmarkEnd w:id="126"/>
      <w:bookmarkEnd w:id="127"/>
      <w:bookmarkEnd w:id="128"/>
      <w:bookmarkEnd w:id="129"/>
      <w:bookmarkEnd w:id="130"/>
      <w:bookmarkEnd w:id="131"/>
    </w:p>
    <w:p w14:paraId="6E408872" w14:textId="1BB1329F" w:rsidR="000B3D60" w:rsidRPr="000622D6" w:rsidRDefault="0039142B" w:rsidP="000622D6">
      <w:r>
        <w:t xml:space="preserve">The </w:t>
      </w:r>
      <w:r w:rsidR="000B3D60" w:rsidRPr="000622D6">
        <w:t xml:space="preserve">MRAC is an independent, clinician and consumer-led, non-statutory committee, established to advise </w:t>
      </w:r>
      <w:r w:rsidR="00FC5BDE">
        <w:t>g</w:t>
      </w:r>
      <w:r w:rsidR="000B3D60" w:rsidRPr="000622D6">
        <w:t>overnment on publicly funded services listed on the MBS.</w:t>
      </w:r>
    </w:p>
    <w:p w14:paraId="3CBF75D3" w14:textId="77EFC4B7" w:rsidR="000B3D60" w:rsidRPr="000622D6" w:rsidRDefault="0039142B" w:rsidP="000622D6">
      <w:r>
        <w:t xml:space="preserve">The </w:t>
      </w:r>
      <w:r w:rsidR="000B3D60" w:rsidRPr="000622D6">
        <w:t>MRAC aims to improve patient access to high</w:t>
      </w:r>
      <w:r w:rsidR="00941888">
        <w:t>-</w:t>
      </w:r>
      <w:r w:rsidR="000B3D60" w:rsidRPr="000622D6">
        <w:t xml:space="preserve">value care through consideration of the appropriateness of existing MBS services, in addition to wider health reform solutions which may include alternate funding models or means of service provision and the addition of new services where a health technology assessment </w:t>
      </w:r>
      <w:r w:rsidR="00AF4467">
        <w:t xml:space="preserve">(HTA) </w:t>
      </w:r>
      <w:r w:rsidR="000B3D60" w:rsidRPr="000622D6">
        <w:t>is not appropriate.</w:t>
      </w:r>
    </w:p>
    <w:p w14:paraId="1817F599" w14:textId="445AA135" w:rsidR="000B3D60" w:rsidRDefault="000B3D60" w:rsidP="000622D6">
      <w:r w:rsidRPr="000622D6">
        <w:t>Through review processes</w:t>
      </w:r>
      <w:r w:rsidR="0039142B">
        <w:t>,</w:t>
      </w:r>
      <w:r w:rsidRPr="000622D6">
        <w:t xml:space="preserve"> </w:t>
      </w:r>
      <w:r w:rsidR="0039142B">
        <w:t xml:space="preserve">the </w:t>
      </w:r>
      <w:r w:rsidRPr="000622D6">
        <w:t>MRAC examines how the MBS is used in practice and recommends improvements based on contemporary clinical evidence. It also allows for continuous monitoring of previously implemented changes and assists with identification of priority areas where targeted research, investment or support is required, through the assessment of cross-speciality items, to maximise system benefits.</w:t>
      </w:r>
    </w:p>
    <w:p w14:paraId="6A35AF2B" w14:textId="37BDD0BB" w:rsidR="000B3D60" w:rsidRDefault="0039142B" w:rsidP="000622D6">
      <w:pPr>
        <w:pStyle w:val="NormalBeforeBullet"/>
      </w:pPr>
      <w:r>
        <w:t xml:space="preserve">The </w:t>
      </w:r>
      <w:r w:rsidR="000B3D60">
        <w:t>MRAC:</w:t>
      </w:r>
    </w:p>
    <w:p w14:paraId="288DF47E" w14:textId="2AC09CE4" w:rsidR="000B3D60" w:rsidRPr="000622D6" w:rsidRDefault="3F620A81" w:rsidP="000622D6">
      <w:pPr>
        <w:pStyle w:val="Bullet"/>
      </w:pPr>
      <w:r>
        <w:t>u</w:t>
      </w:r>
      <w:r w:rsidR="2F24AAD6">
        <w:t>ndertakes thematic assessments across the MBS to examine issues including, but not limited to, consistency between items, methods of service delivery</w:t>
      </w:r>
      <w:r w:rsidR="34458CF1">
        <w:t xml:space="preserve"> and</w:t>
      </w:r>
      <w:r w:rsidR="2F24AAD6">
        <w:t xml:space="preserve"> multidisciplinary models of care</w:t>
      </w:r>
    </w:p>
    <w:p w14:paraId="68E94084" w14:textId="02668996" w:rsidR="000B3D60" w:rsidRPr="000622D6" w:rsidRDefault="3F620A81" w:rsidP="000622D6">
      <w:pPr>
        <w:pStyle w:val="Bullet"/>
      </w:pPr>
      <w:r>
        <w:t>c</w:t>
      </w:r>
      <w:r w:rsidR="2F24AAD6">
        <w:t>onsiders changes in service delivery that may inform both MBS and non-MBS approaches (such as alternative funding models) to improving patient health outcomes and deliver high-value care to the community</w:t>
      </w:r>
    </w:p>
    <w:p w14:paraId="575CF160" w14:textId="16B64960" w:rsidR="000B3D60" w:rsidRPr="000622D6" w:rsidRDefault="0DE66478" w:rsidP="000622D6">
      <w:pPr>
        <w:pStyle w:val="Bullet"/>
      </w:pPr>
      <w:r>
        <w:t>c</w:t>
      </w:r>
      <w:r w:rsidR="2F24AAD6">
        <w:t>onsiders applications from the sector for MBS changes where the informed considerations of the MRAC do not require a new stand-alone HTA assessment</w:t>
      </w:r>
    </w:p>
    <w:p w14:paraId="23A4DF85" w14:textId="7FD40C95" w:rsidR="000B3D60" w:rsidRPr="000622D6" w:rsidRDefault="3F620A81" w:rsidP="000622D6">
      <w:pPr>
        <w:pStyle w:val="Bullet"/>
      </w:pPr>
      <w:r>
        <w:t>i</w:t>
      </w:r>
      <w:r w:rsidR="2F24AAD6">
        <w:t>dentifies key areas for review as informed by patterns and trends in MBS data and other identified evidence and data sources</w:t>
      </w:r>
    </w:p>
    <w:p w14:paraId="071FBD86" w14:textId="23F07B09" w:rsidR="000B3D60" w:rsidRPr="000622D6" w:rsidRDefault="3F620A81" w:rsidP="000622D6">
      <w:pPr>
        <w:pStyle w:val="Bullet"/>
      </w:pPr>
      <w:r>
        <w:t>u</w:t>
      </w:r>
      <w:r w:rsidR="2F24AAD6">
        <w:t xml:space="preserve">ndertakes a progressive schedule of work that builds upon the work of the MBS Review Taskforce and aligns with </w:t>
      </w:r>
      <w:r w:rsidR="45F661C0">
        <w:t>g</w:t>
      </w:r>
      <w:r w:rsidR="2F24AAD6">
        <w:t>overnment and Department of Health and Aged Care priorities</w:t>
      </w:r>
    </w:p>
    <w:p w14:paraId="67B666BD" w14:textId="10336AA9" w:rsidR="000B3D60" w:rsidRPr="000622D6" w:rsidRDefault="3F620A81" w:rsidP="000622D6">
      <w:pPr>
        <w:pStyle w:val="BulletLast"/>
      </w:pPr>
      <w:r>
        <w:t>p</w:t>
      </w:r>
      <w:r w:rsidR="2F24AAD6">
        <w:t>rovides clinical and service delivery advice on policy issues identified by the department, relevant to the scope of the committee.</w:t>
      </w:r>
    </w:p>
    <w:p w14:paraId="5E183FAE" w14:textId="4B3D7B43" w:rsidR="000B3D60" w:rsidRDefault="000B3D60" w:rsidP="000B3D60">
      <w:pPr>
        <w:pStyle w:val="NormalBeforeBullet"/>
      </w:pPr>
      <w:r>
        <w:t xml:space="preserve">The </w:t>
      </w:r>
      <w:r w:rsidRPr="00641C75">
        <w:t>MRAC comprise</w:t>
      </w:r>
      <w:r>
        <w:t>s</w:t>
      </w:r>
      <w:r w:rsidRPr="00641C75">
        <w:t xml:space="preserve"> </w:t>
      </w:r>
      <w:r>
        <w:t>practising clinicians</w:t>
      </w:r>
      <w:r w:rsidRPr="00065C67">
        <w:t>,</w:t>
      </w:r>
      <w:r>
        <w:t xml:space="preserve"> academics,</w:t>
      </w:r>
      <w:r w:rsidRPr="00065C67">
        <w:t xml:space="preserve"> health system experts</w:t>
      </w:r>
      <w:r>
        <w:t xml:space="preserve"> </w:t>
      </w:r>
      <w:r w:rsidRPr="00065C67">
        <w:t xml:space="preserve">and consumer </w:t>
      </w:r>
      <w:r>
        <w:t xml:space="preserve">representatives. The current MRAC membership </w:t>
      </w:r>
      <w:r w:rsidR="008A60B7">
        <w:t xml:space="preserve">is available on the Department of Health and Aged Care’s </w:t>
      </w:r>
      <w:hyperlink r:id="rId33" w:history="1">
        <w:r w:rsidR="007F7628" w:rsidRPr="007F7628">
          <w:rPr>
            <w:rStyle w:val="Hyperlink"/>
          </w:rPr>
          <w:t>MRAC webpage</w:t>
        </w:r>
      </w:hyperlink>
      <w:r w:rsidR="007F7628">
        <w:t>.</w:t>
      </w:r>
    </w:p>
    <w:p w14:paraId="7B9630CB" w14:textId="77777777" w:rsidR="000B3D60" w:rsidRPr="0011171D" w:rsidRDefault="000B3D60" w:rsidP="000B3D60">
      <w:pPr>
        <w:pStyle w:val="Heading2"/>
      </w:pPr>
      <w:bookmarkStart w:id="132" w:name="_Toc107835769"/>
      <w:bookmarkStart w:id="133" w:name="_Toc107835836"/>
      <w:bookmarkStart w:id="134" w:name="_Toc107911560"/>
      <w:bookmarkStart w:id="135" w:name="_Toc107920655"/>
      <w:bookmarkStart w:id="136" w:name="_Toc111552636"/>
      <w:bookmarkStart w:id="137" w:name="_Toc111558645"/>
      <w:bookmarkStart w:id="138" w:name="_Toc111561069"/>
      <w:bookmarkStart w:id="139" w:name="_Toc119068523"/>
      <w:bookmarkStart w:id="140" w:name="_Toc119920742"/>
      <w:bookmarkStart w:id="141" w:name="_Toc163814604"/>
      <w:bookmarkStart w:id="142" w:name="_Hlk119420236"/>
      <w:r w:rsidRPr="0011171D">
        <w:t>MBS Continuous Review Guiding Principles</w:t>
      </w:r>
      <w:bookmarkEnd w:id="132"/>
      <w:bookmarkEnd w:id="133"/>
      <w:bookmarkEnd w:id="134"/>
      <w:bookmarkEnd w:id="135"/>
      <w:bookmarkEnd w:id="136"/>
      <w:bookmarkEnd w:id="137"/>
      <w:bookmarkEnd w:id="138"/>
      <w:bookmarkEnd w:id="139"/>
      <w:bookmarkEnd w:id="140"/>
      <w:bookmarkEnd w:id="141"/>
    </w:p>
    <w:p w14:paraId="4BDAD14F" w14:textId="77777777" w:rsidR="000B3D60" w:rsidRPr="00641C75" w:rsidRDefault="000B3D60" w:rsidP="000B3D60">
      <w:pPr>
        <w:pStyle w:val="NormalBeforeBullet"/>
      </w:pPr>
      <w:r w:rsidRPr="00641C75">
        <w:t>The following principles guide the deliberations and recommendations of the MBS Continuous Review:</w:t>
      </w:r>
    </w:p>
    <w:p w14:paraId="249C9D64" w14:textId="77777777" w:rsidR="000B3D60" w:rsidRPr="00641C75" w:rsidRDefault="000B3D60" w:rsidP="00EC7EB5">
      <w:pPr>
        <w:numPr>
          <w:ilvl w:val="0"/>
          <w:numId w:val="9"/>
        </w:numPr>
        <w:spacing w:after="120"/>
      </w:pPr>
      <w:r w:rsidRPr="00641C75">
        <w:t>The MBS:</w:t>
      </w:r>
    </w:p>
    <w:p w14:paraId="274EC911" w14:textId="77777777" w:rsidR="000B3D60" w:rsidRPr="00641C75" w:rsidRDefault="2F24AAD6" w:rsidP="000B3D60">
      <w:pPr>
        <w:pStyle w:val="BulletBeforeDash"/>
      </w:pPr>
      <w:r>
        <w:t>is structured to support coordinated care through the health system by</w:t>
      </w:r>
    </w:p>
    <w:p w14:paraId="14844C72" w14:textId="7799B7CA" w:rsidR="000B3D60" w:rsidRPr="00641C75" w:rsidRDefault="000B3D60" w:rsidP="000B3D60">
      <w:pPr>
        <w:pStyle w:val="Dash"/>
      </w:pPr>
      <w:r w:rsidRPr="00641C75">
        <w:t xml:space="preserve">recognising the central role of </w:t>
      </w:r>
      <w:r w:rsidR="00FC5BDE">
        <w:t>g</w:t>
      </w:r>
      <w:r w:rsidRPr="00641C75">
        <w:t xml:space="preserve">eneral </w:t>
      </w:r>
      <w:r w:rsidR="00FC5BDE">
        <w:t>p</w:t>
      </w:r>
      <w:r w:rsidRPr="00641C75">
        <w:t>ractice in coordinating care</w:t>
      </w:r>
    </w:p>
    <w:p w14:paraId="32757EE4" w14:textId="556D43E0" w:rsidR="000B3D60" w:rsidRPr="00641C75" w:rsidRDefault="000B3D60" w:rsidP="000B3D60">
      <w:pPr>
        <w:pStyle w:val="DashLast"/>
      </w:pPr>
      <w:r w:rsidRPr="00641C75">
        <w:t xml:space="preserve">facilitating communication through </w:t>
      </w:r>
      <w:r w:rsidR="00FC5BDE">
        <w:t>g</w:t>
      </w:r>
      <w:r w:rsidRPr="00641C75">
        <w:t xml:space="preserve">eneral </w:t>
      </w:r>
      <w:r w:rsidR="00FC5BDE">
        <w:t>p</w:t>
      </w:r>
      <w:r w:rsidRPr="00641C75">
        <w:t>ractice to enable holistic coordinated care</w:t>
      </w:r>
    </w:p>
    <w:p w14:paraId="6091C39F" w14:textId="77777777" w:rsidR="000B3D60" w:rsidRPr="00641C75" w:rsidRDefault="2F24AAD6" w:rsidP="000B3D60">
      <w:pPr>
        <w:pStyle w:val="BulletBeforeDash"/>
      </w:pPr>
      <w:r>
        <w:t>is designed to provide sustainable, high-value, evidence-based and appropriate care to the Australian community</w:t>
      </w:r>
    </w:p>
    <w:p w14:paraId="530A9FF3" w14:textId="1A42AF73" w:rsidR="000B3D60" w:rsidRPr="00641C75" w:rsidRDefault="000B3D60" w:rsidP="000B3D60">
      <w:pPr>
        <w:pStyle w:val="DashLast"/>
      </w:pPr>
      <w:r>
        <w:t>i</w:t>
      </w:r>
      <w:r w:rsidRPr="00641C75">
        <w:t>tem descriptors and explanatory notes are designed to ensure clarity, consistency</w:t>
      </w:r>
      <w:r w:rsidR="00C75956">
        <w:t xml:space="preserve"> and</w:t>
      </w:r>
      <w:r w:rsidRPr="00641C75">
        <w:t xml:space="preserve"> appropriate use by health professionals</w:t>
      </w:r>
    </w:p>
    <w:p w14:paraId="59A70A69" w14:textId="77777777" w:rsidR="000B3D60" w:rsidRPr="00641C75" w:rsidRDefault="2F24AAD6" w:rsidP="000B3D60">
      <w:pPr>
        <w:pStyle w:val="Bullet"/>
      </w:pPr>
      <w:r>
        <w:t>promotes equity according to patient need</w:t>
      </w:r>
    </w:p>
    <w:p w14:paraId="784755E0" w14:textId="77777777" w:rsidR="000B3D60" w:rsidRPr="00641C75" w:rsidRDefault="2F24AAD6" w:rsidP="000B3D60">
      <w:pPr>
        <w:pStyle w:val="Bullet"/>
      </w:pPr>
      <w:r>
        <w:t>ensures accountability to the patient and to the Australian community (taxpayer)</w:t>
      </w:r>
    </w:p>
    <w:p w14:paraId="63B67C9E" w14:textId="77777777" w:rsidR="000B3D60" w:rsidRPr="00641C75" w:rsidRDefault="2F24AAD6" w:rsidP="000B3D60">
      <w:pPr>
        <w:pStyle w:val="BulletLast"/>
      </w:pPr>
      <w:r>
        <w:t>is continuously evaluated and revised to provide high-value health care to the Australian community.</w:t>
      </w:r>
    </w:p>
    <w:p w14:paraId="6AD7982E" w14:textId="77777777" w:rsidR="000B3D60" w:rsidRPr="00641C75" w:rsidRDefault="000B3D60" w:rsidP="00EC7EB5">
      <w:pPr>
        <w:numPr>
          <w:ilvl w:val="0"/>
          <w:numId w:val="9"/>
        </w:numPr>
        <w:spacing w:after="120"/>
        <w:ind w:hanging="357"/>
      </w:pPr>
      <w:r w:rsidRPr="00641C75">
        <w:t>Service providers of the MBS:</w:t>
      </w:r>
    </w:p>
    <w:p w14:paraId="6BF6144B" w14:textId="77777777" w:rsidR="000B3D60" w:rsidRPr="00641C75" w:rsidRDefault="2F24AAD6" w:rsidP="000B3D60">
      <w:pPr>
        <w:pStyle w:val="Bullet"/>
      </w:pPr>
      <w:r>
        <w:t>understand the purpose and requirements of the MBS</w:t>
      </w:r>
    </w:p>
    <w:p w14:paraId="5A757D8D" w14:textId="77777777" w:rsidR="000B3D60" w:rsidRPr="00641C75" w:rsidRDefault="2F24AAD6" w:rsidP="000B3D60">
      <w:pPr>
        <w:pStyle w:val="Bullet"/>
      </w:pPr>
      <w:r>
        <w:t>utilise the MBS for evidence-based care</w:t>
      </w:r>
    </w:p>
    <w:p w14:paraId="685E713F" w14:textId="77777777" w:rsidR="000B3D60" w:rsidRPr="00641C75" w:rsidRDefault="2F24AAD6" w:rsidP="000B3D60">
      <w:pPr>
        <w:pStyle w:val="Bullet"/>
      </w:pPr>
      <w:r>
        <w:t>ensure patients are informed of the benefits, risks and harms of services, and are engaged through shared decision making</w:t>
      </w:r>
    </w:p>
    <w:p w14:paraId="0A2B74BA" w14:textId="77777777" w:rsidR="000B3D60" w:rsidRPr="00641C75" w:rsidRDefault="2F24AAD6" w:rsidP="000B3D60">
      <w:pPr>
        <w:pStyle w:val="BulletLast"/>
      </w:pPr>
      <w:r>
        <w:t>utilise decision support tools, Patient Reported Outcome and Experience Measures where available and appropriate.</w:t>
      </w:r>
    </w:p>
    <w:p w14:paraId="4029BA31" w14:textId="77777777" w:rsidR="000B3D60" w:rsidRPr="00641C75" w:rsidRDefault="000B3D60" w:rsidP="00EC7EB5">
      <w:pPr>
        <w:numPr>
          <w:ilvl w:val="0"/>
          <w:numId w:val="9"/>
        </w:numPr>
        <w:spacing w:after="120"/>
        <w:ind w:hanging="357"/>
      </w:pPr>
      <w:r w:rsidRPr="00641C75">
        <w:t>Consumers of the MBS:</w:t>
      </w:r>
    </w:p>
    <w:p w14:paraId="1BD8D39A" w14:textId="77777777" w:rsidR="000B3D60" w:rsidRPr="00641C75" w:rsidRDefault="2F24AAD6" w:rsidP="000B3D60">
      <w:pPr>
        <w:pStyle w:val="Bullet"/>
      </w:pPr>
      <w:r>
        <w:t>are encouraged to become partners in their own care to the extent they choose</w:t>
      </w:r>
    </w:p>
    <w:p w14:paraId="683A80B4" w14:textId="40CD2DCB" w:rsidR="000B3D60" w:rsidRDefault="2F24AAD6" w:rsidP="000B3D60">
      <w:pPr>
        <w:pStyle w:val="BulletLast"/>
      </w:pPr>
      <w:r>
        <w:t>are encouraged to participate in MBS reviews so patient health</w:t>
      </w:r>
      <w:r w:rsidR="529724C1">
        <w:t xml:space="preserve"> care</w:t>
      </w:r>
      <w:r>
        <w:t xml:space="preserve"> needs can be prioritised in design and implementation of MBS items.</w:t>
      </w:r>
    </w:p>
    <w:p w14:paraId="2768575A" w14:textId="2FB6FF56" w:rsidR="000B3D60" w:rsidRDefault="320460B3" w:rsidP="000B3D60">
      <w:pPr>
        <w:spacing w:after="120"/>
      </w:pPr>
      <w:bookmarkStart w:id="143" w:name="_Hlk119420156"/>
      <w:r>
        <w:t xml:space="preserve">The MRAC and its working groups recognise that </w:t>
      </w:r>
      <w:r w:rsidR="00FC5BDE">
        <w:t>g</w:t>
      </w:r>
      <w:r>
        <w:t xml:space="preserve">eneral </w:t>
      </w:r>
      <w:r w:rsidR="00FC5BDE">
        <w:t>p</w:t>
      </w:r>
      <w:r>
        <w:t xml:space="preserve">ractice </w:t>
      </w:r>
      <w:r w:rsidR="00FC4894">
        <w:t>general practitioners</w:t>
      </w:r>
      <w:r>
        <w:t xml:space="preserve"> are specialists in their own right. Use of the term ‘</w:t>
      </w:r>
      <w:r w:rsidR="00FC5BDE">
        <w:t>g</w:t>
      </w:r>
      <w:r>
        <w:t xml:space="preserve">eneral </w:t>
      </w:r>
      <w:r w:rsidR="00FC5BDE">
        <w:t>p</w:t>
      </w:r>
      <w:r>
        <w:t xml:space="preserve">ractice’, both within this report and in the MBS itself, does not imply that </w:t>
      </w:r>
      <w:r w:rsidR="00FC4894">
        <w:t>general practitioners</w:t>
      </w:r>
      <w:r>
        <w:t xml:space="preserve"> are not specialists.</w:t>
      </w:r>
    </w:p>
    <w:p w14:paraId="3C4A6257" w14:textId="1677D244" w:rsidR="008C3CE6" w:rsidRPr="00641C75" w:rsidRDefault="000B3D60" w:rsidP="000B3D60">
      <w:pPr>
        <w:spacing w:after="120"/>
      </w:pPr>
      <w:r>
        <w:t>The MRAC</w:t>
      </w:r>
      <w:r w:rsidRPr="004C2A47">
        <w:t xml:space="preserve"> note</w:t>
      </w:r>
      <w:r>
        <w:t>s</w:t>
      </w:r>
      <w:r w:rsidRPr="004C2A47">
        <w:t xml:space="preserve"> that the MBS </w:t>
      </w:r>
      <w:r>
        <w:t>i</w:t>
      </w:r>
      <w:r w:rsidRPr="004C2A47">
        <w:t>s one of several available approaches to fund</w:t>
      </w:r>
      <w:r>
        <w:t>ing health</w:t>
      </w:r>
      <w:r w:rsidRPr="004C2A47">
        <w:t xml:space="preserve"> services</w:t>
      </w:r>
      <w:r>
        <w:t>. The MRAC and its working groups apply a whole-of-health</w:t>
      </w:r>
      <w:r w:rsidR="00646997">
        <w:t>-</w:t>
      </w:r>
      <w:r>
        <w:t>care-system approach to its reviews.</w:t>
      </w:r>
    </w:p>
    <w:p w14:paraId="3D56352F" w14:textId="77777777" w:rsidR="000B3D60" w:rsidRPr="0011171D" w:rsidRDefault="000B3D60" w:rsidP="000B3D60">
      <w:pPr>
        <w:pStyle w:val="Heading2"/>
      </w:pPr>
      <w:bookmarkStart w:id="144" w:name="_Toc107835770"/>
      <w:bookmarkStart w:id="145" w:name="_Toc107835837"/>
      <w:bookmarkStart w:id="146" w:name="_Toc107911561"/>
      <w:bookmarkStart w:id="147" w:name="_Toc107920656"/>
      <w:bookmarkStart w:id="148" w:name="_Toc111552637"/>
      <w:bookmarkStart w:id="149" w:name="_Toc111558646"/>
      <w:bookmarkStart w:id="150" w:name="_Toc111561070"/>
      <w:bookmarkStart w:id="151" w:name="_Toc119068524"/>
      <w:bookmarkStart w:id="152" w:name="_Toc119920743"/>
      <w:bookmarkStart w:id="153" w:name="_Toc163814605"/>
      <w:bookmarkEnd w:id="142"/>
      <w:bookmarkEnd w:id="143"/>
      <w:r w:rsidRPr="0011171D">
        <w:t>Government consideration</w:t>
      </w:r>
      <w:bookmarkEnd w:id="144"/>
      <w:bookmarkEnd w:id="145"/>
      <w:bookmarkEnd w:id="146"/>
      <w:bookmarkEnd w:id="147"/>
      <w:bookmarkEnd w:id="148"/>
      <w:bookmarkEnd w:id="149"/>
      <w:bookmarkEnd w:id="150"/>
      <w:bookmarkEnd w:id="151"/>
      <w:bookmarkEnd w:id="152"/>
      <w:bookmarkEnd w:id="153"/>
    </w:p>
    <w:p w14:paraId="2F432EE8" w14:textId="0F20E3BD" w:rsidR="000B3D60" w:rsidRPr="00641C75" w:rsidRDefault="000B3D60" w:rsidP="000B3D60">
      <w:r w:rsidRPr="00641C75">
        <w:t xml:space="preserve">If the Australian Government agrees to the implementation of recommendations, </w:t>
      </w:r>
      <w:r>
        <w:t>it</w:t>
      </w:r>
      <w:r w:rsidRPr="00641C75">
        <w:t xml:space="preserve"> will be communicated through </w:t>
      </w:r>
      <w:r w:rsidR="00FC5BDE">
        <w:t>g</w:t>
      </w:r>
      <w:r w:rsidRPr="00641C75">
        <w:t>overnment</w:t>
      </w:r>
      <w:r>
        <w:t xml:space="preserve"> announcement</w:t>
      </w:r>
      <w:r w:rsidRPr="00641C75">
        <w:t>.</w:t>
      </w:r>
    </w:p>
    <w:p w14:paraId="521AE9B8" w14:textId="2DA7AE47" w:rsidR="00944155" w:rsidRDefault="000B3D60" w:rsidP="00944155">
      <w:r w:rsidRPr="00641C75">
        <w:t>Information will also be made available on the Department of Health</w:t>
      </w:r>
      <w:r>
        <w:t xml:space="preserve"> and Aged Care </w:t>
      </w:r>
      <w:r w:rsidRPr="00641C75">
        <w:t>website.</w:t>
      </w:r>
    </w:p>
    <w:p w14:paraId="15178A74" w14:textId="52C1671F" w:rsidR="00D2064C" w:rsidRDefault="00D2064C" w:rsidP="005166B3">
      <w:pPr>
        <w:pStyle w:val="Heading1"/>
      </w:pPr>
      <w:bookmarkStart w:id="154" w:name="_Toc163814606"/>
      <w:r>
        <w:t>References</w:t>
      </w:r>
      <w:bookmarkEnd w:id="154"/>
    </w:p>
    <w:p w14:paraId="1513348A" w14:textId="25374E2D" w:rsidR="005166B3" w:rsidRPr="004B79B8" w:rsidRDefault="002F65D8" w:rsidP="005166B3">
      <w:pPr>
        <w:rPr>
          <w:lang w:val="en-US"/>
        </w:rPr>
      </w:pPr>
      <w:r w:rsidRPr="4FE5BD14">
        <w:rPr>
          <w:lang w:val="en-US"/>
        </w:rPr>
        <w:t>ABS (Australian Bureau of Statistics) (202</w:t>
      </w:r>
      <w:r w:rsidR="1EED93E0" w:rsidRPr="4FE5BD14">
        <w:rPr>
          <w:lang w:val="en-US"/>
        </w:rPr>
        <w:t>3</w:t>
      </w:r>
      <w:r w:rsidRPr="4FE5BD14">
        <w:rPr>
          <w:lang w:val="en-US"/>
        </w:rPr>
        <w:t xml:space="preserve">) </w:t>
      </w:r>
      <w:hyperlink r:id="rId34" w:history="1">
        <w:r w:rsidRPr="4FE5BD14">
          <w:rPr>
            <w:rStyle w:val="Hyperlink"/>
            <w:lang w:val="en-US"/>
          </w:rPr>
          <w:t>Patient experiences in Australia: summary of findings</w:t>
        </w:r>
      </w:hyperlink>
      <w:r w:rsidRPr="4FE5BD14">
        <w:rPr>
          <w:lang w:val="en-US"/>
        </w:rPr>
        <w:t xml:space="preserve">, ABS website, accessed </w:t>
      </w:r>
      <w:r w:rsidR="2EAF8E82" w:rsidRPr="4FE5BD14">
        <w:rPr>
          <w:lang w:val="en-US"/>
        </w:rPr>
        <w:t>5</w:t>
      </w:r>
      <w:r w:rsidRPr="4FE5BD14">
        <w:rPr>
          <w:lang w:val="en-US"/>
        </w:rPr>
        <w:t xml:space="preserve"> </w:t>
      </w:r>
      <w:r w:rsidR="335226A1" w:rsidRPr="4FE5BD14">
        <w:rPr>
          <w:lang w:val="en-US"/>
        </w:rPr>
        <w:t>April</w:t>
      </w:r>
      <w:r w:rsidRPr="4FE5BD14">
        <w:rPr>
          <w:lang w:val="en-US"/>
        </w:rPr>
        <w:t xml:space="preserve"> 202</w:t>
      </w:r>
      <w:r w:rsidR="169715D4" w:rsidRPr="4FE5BD14">
        <w:rPr>
          <w:lang w:val="en-US"/>
        </w:rPr>
        <w:t>4</w:t>
      </w:r>
      <w:r w:rsidRPr="4FE5BD14">
        <w:rPr>
          <w:lang w:val="en-US"/>
        </w:rPr>
        <w:t>.</w:t>
      </w:r>
      <w:r w:rsidR="005166B3">
        <w:rPr>
          <w:lang w:val="en-US"/>
        </w:rPr>
        <w:t>ANAO (</w:t>
      </w:r>
      <w:r w:rsidR="005166B3" w:rsidRPr="004B79B8">
        <w:rPr>
          <w:lang w:val="en-US"/>
        </w:rPr>
        <w:t>Australian National Audit Office</w:t>
      </w:r>
      <w:r w:rsidR="005166B3">
        <w:rPr>
          <w:lang w:val="en-US"/>
        </w:rPr>
        <w:t>)</w:t>
      </w:r>
      <w:r w:rsidR="005166B3" w:rsidRPr="004B79B8">
        <w:rPr>
          <w:lang w:val="en-US"/>
        </w:rPr>
        <w:t xml:space="preserve"> (2023) </w:t>
      </w:r>
      <w:hyperlink r:id="rId35" w:history="1">
        <w:r w:rsidR="005166B3" w:rsidRPr="00E26912">
          <w:rPr>
            <w:rStyle w:val="Hyperlink"/>
            <w:i/>
            <w:lang w:val="en-US"/>
          </w:rPr>
          <w:t>Expansion of telehealth services</w:t>
        </w:r>
      </w:hyperlink>
      <w:r w:rsidR="005166B3">
        <w:rPr>
          <w:lang w:val="en-US"/>
        </w:rPr>
        <w:t>, ANAO, Canberra</w:t>
      </w:r>
      <w:r w:rsidR="005166B3" w:rsidRPr="004B79B8">
        <w:rPr>
          <w:lang w:val="en-US"/>
        </w:rPr>
        <w:t>.</w:t>
      </w:r>
    </w:p>
    <w:p w14:paraId="677C18C6" w14:textId="4B82C164" w:rsidR="000C5980" w:rsidRDefault="000C5980" w:rsidP="005166B3">
      <w:pPr>
        <w:rPr>
          <w:lang w:val="en-US"/>
        </w:rPr>
      </w:pPr>
      <w:r w:rsidRPr="000C5980">
        <w:rPr>
          <w:lang w:val="en-US"/>
        </w:rPr>
        <w:t>Butler DC, Joshy G, Douglas KA, Bin Sayeed MS, Welsh, Douglas A, Korda RJ and the ANU Telehealth in Primary Care Study team (2023) ‘</w:t>
      </w:r>
      <w:hyperlink r:id="rId36">
        <w:r w:rsidRPr="4FE5BD14">
          <w:rPr>
            <w:rStyle w:val="Hyperlink"/>
            <w:lang w:val="en-US"/>
          </w:rPr>
          <w:t>Changes in general practice use and costs with COVID-19 and telehealth initiatives: analysis of Australian whole-population linked data’</w:t>
        </w:r>
      </w:hyperlink>
      <w:r w:rsidRPr="000C5980">
        <w:rPr>
          <w:lang w:val="en-US"/>
        </w:rPr>
        <w:t>, British Journal of General Practice 73(730):e364–e373.</w:t>
      </w:r>
    </w:p>
    <w:p w14:paraId="4E033D9F" w14:textId="4E5115C0" w:rsidR="7ED8015F" w:rsidRDefault="7C65F96A" w:rsidP="4FE5BD14">
      <w:pPr>
        <w:rPr>
          <w:lang w:val="en-US"/>
        </w:rPr>
      </w:pPr>
      <w:r w:rsidRPr="41F6056A">
        <w:rPr>
          <w:lang w:val="en-US"/>
        </w:rPr>
        <w:t>Caffery</w:t>
      </w:r>
      <w:r w:rsidR="62F5F3D2" w:rsidRPr="41F6056A">
        <w:rPr>
          <w:lang w:val="en-US"/>
        </w:rPr>
        <w:t xml:space="preserve"> L</w:t>
      </w:r>
      <w:r w:rsidRPr="41F6056A">
        <w:rPr>
          <w:lang w:val="en-US"/>
        </w:rPr>
        <w:t>, De Camargo Catapan</w:t>
      </w:r>
      <w:r w:rsidR="6299EA78" w:rsidRPr="41F6056A">
        <w:rPr>
          <w:lang w:val="en-US"/>
        </w:rPr>
        <w:t xml:space="preserve"> S</w:t>
      </w:r>
      <w:r w:rsidRPr="41F6056A">
        <w:rPr>
          <w:lang w:val="en-US"/>
        </w:rPr>
        <w:t xml:space="preserve">, </w:t>
      </w:r>
      <w:r w:rsidR="707E1B6C" w:rsidRPr="41F6056A">
        <w:rPr>
          <w:lang w:val="en-US"/>
        </w:rPr>
        <w:t>T</w:t>
      </w:r>
      <w:r w:rsidRPr="41F6056A">
        <w:rPr>
          <w:lang w:val="en-US"/>
        </w:rPr>
        <w:t>aylor</w:t>
      </w:r>
      <w:r w:rsidR="663FFD6A" w:rsidRPr="41F6056A">
        <w:rPr>
          <w:lang w:val="en-US"/>
        </w:rPr>
        <w:t xml:space="preserve"> M</w:t>
      </w:r>
      <w:r w:rsidRPr="41F6056A">
        <w:rPr>
          <w:lang w:val="en-US"/>
        </w:rPr>
        <w:t>, Kelly</w:t>
      </w:r>
      <w:r w:rsidR="1761252B" w:rsidRPr="41F6056A">
        <w:rPr>
          <w:lang w:val="en-US"/>
        </w:rPr>
        <w:t xml:space="preserve"> J</w:t>
      </w:r>
      <w:r w:rsidRPr="41F6056A">
        <w:rPr>
          <w:lang w:val="en-US"/>
        </w:rPr>
        <w:t>, Haydon</w:t>
      </w:r>
      <w:r w:rsidR="7CEEB3FA" w:rsidRPr="41F6056A">
        <w:rPr>
          <w:lang w:val="en-US"/>
        </w:rPr>
        <w:t xml:space="preserve"> H</w:t>
      </w:r>
      <w:r w:rsidRPr="41F6056A">
        <w:rPr>
          <w:lang w:val="en-US"/>
        </w:rPr>
        <w:t>, Smith</w:t>
      </w:r>
      <w:r w:rsidR="038D5BD6" w:rsidRPr="41F6056A">
        <w:rPr>
          <w:lang w:val="en-US"/>
        </w:rPr>
        <w:t xml:space="preserve"> A</w:t>
      </w:r>
      <w:r w:rsidR="6AED2895" w:rsidRPr="41F6056A">
        <w:rPr>
          <w:lang w:val="en-US"/>
        </w:rPr>
        <w:t xml:space="preserve"> and Snoswell</w:t>
      </w:r>
      <w:r w:rsidR="2A765765" w:rsidRPr="41F6056A">
        <w:rPr>
          <w:lang w:val="en-US"/>
        </w:rPr>
        <w:t xml:space="preserve"> C (</w:t>
      </w:r>
      <w:r w:rsidRPr="41F6056A">
        <w:rPr>
          <w:lang w:val="en-US"/>
        </w:rPr>
        <w:t>2024</w:t>
      </w:r>
      <w:r w:rsidR="7D07673F" w:rsidRPr="41F6056A">
        <w:rPr>
          <w:lang w:val="en-US"/>
        </w:rPr>
        <w:t xml:space="preserve">) </w:t>
      </w:r>
      <w:hyperlink r:id="rId37" w:history="1">
        <w:r w:rsidR="2D697C20" w:rsidRPr="41F6056A">
          <w:rPr>
            <w:lang w:val="en-US"/>
          </w:rPr>
          <w:t xml:space="preserve">‘Telephone versus video consultations: A systematic review of comparative </w:t>
        </w:r>
        <w:r w:rsidR="2D697C20" w:rsidRPr="41F6056A">
          <w:rPr>
            <w:rStyle w:val="Hyperlink"/>
            <w:lang w:val="en-US"/>
          </w:rPr>
          <w:t>effectiveness studies and guidance for choosing the most appropriate modality’</w:t>
        </w:r>
      </w:hyperlink>
      <w:r w:rsidR="7D07673F" w:rsidRPr="41F6056A">
        <w:rPr>
          <w:lang w:val="en-US"/>
        </w:rPr>
        <w:t xml:space="preserve">, </w:t>
      </w:r>
      <w:r w:rsidR="6484A594" w:rsidRPr="41F6056A">
        <w:rPr>
          <w:lang w:val="en-US"/>
        </w:rPr>
        <w:t>Journal of Telemedicine and Telecare</w:t>
      </w:r>
      <w:r w:rsidR="41D96DFD" w:rsidRPr="41F6056A">
        <w:rPr>
          <w:lang w:val="en-US"/>
        </w:rPr>
        <w:t xml:space="preserve">. </w:t>
      </w:r>
    </w:p>
    <w:p w14:paraId="02210DE0" w14:textId="113FCD69" w:rsidR="59C507EA" w:rsidRPr="00530A2A" w:rsidRDefault="59C507EA" w:rsidP="00530A2A">
      <w:pPr>
        <w:spacing w:line="259" w:lineRule="auto"/>
        <w:rPr>
          <w:rFonts w:asciiTheme="minorHAnsi" w:eastAsiaTheme="minorEastAsia" w:hAnsiTheme="minorHAnsi" w:cstheme="minorBidi"/>
          <w:szCs w:val="22"/>
          <w:lang w:val="en-US"/>
        </w:rPr>
      </w:pPr>
      <w:r w:rsidRPr="00530A2A">
        <w:rPr>
          <w:rFonts w:asciiTheme="minorHAnsi" w:eastAsiaTheme="minorEastAsia" w:hAnsiTheme="minorHAnsi" w:cstheme="minorBidi"/>
          <w:szCs w:val="22"/>
        </w:rPr>
        <w:t>Hardie</w:t>
      </w:r>
      <w:r w:rsidR="1CD0D7FC" w:rsidRPr="00530A2A">
        <w:rPr>
          <w:rFonts w:asciiTheme="minorHAnsi" w:eastAsiaTheme="minorEastAsia" w:hAnsiTheme="minorHAnsi" w:cstheme="minorBidi"/>
          <w:szCs w:val="22"/>
        </w:rPr>
        <w:t xml:space="preserve"> R, Sezgin G, Imai C, Gault E, McGuire P, Kashif Sheikh M, Pearce</w:t>
      </w:r>
      <w:r w:rsidR="1868BC52" w:rsidRPr="00530A2A">
        <w:rPr>
          <w:rFonts w:asciiTheme="minorHAnsi" w:eastAsiaTheme="minorEastAsia" w:hAnsiTheme="minorHAnsi" w:cstheme="minorBidi"/>
          <w:szCs w:val="22"/>
        </w:rPr>
        <w:t xml:space="preserve"> C, Badrick T and Georgiou A </w:t>
      </w:r>
      <w:r w:rsidR="7192A1E9" w:rsidRPr="00530A2A">
        <w:rPr>
          <w:rFonts w:asciiTheme="minorHAnsi" w:eastAsiaTheme="minorEastAsia" w:hAnsiTheme="minorHAnsi" w:cstheme="minorBidi"/>
          <w:szCs w:val="22"/>
        </w:rPr>
        <w:t>(</w:t>
      </w:r>
      <w:r w:rsidRPr="00530A2A">
        <w:rPr>
          <w:rFonts w:asciiTheme="minorHAnsi" w:eastAsiaTheme="minorEastAsia" w:hAnsiTheme="minorHAnsi" w:cstheme="minorBidi"/>
          <w:szCs w:val="22"/>
        </w:rPr>
        <w:t>2022</w:t>
      </w:r>
      <w:r w:rsidR="24684A73" w:rsidRPr="00530A2A">
        <w:rPr>
          <w:rFonts w:asciiTheme="minorHAnsi" w:eastAsiaTheme="minorEastAsia" w:hAnsiTheme="minorHAnsi" w:cstheme="minorBidi"/>
          <w:szCs w:val="22"/>
        </w:rPr>
        <w:t>)</w:t>
      </w:r>
      <w:r w:rsidR="24F8104F" w:rsidRPr="00530A2A">
        <w:rPr>
          <w:rFonts w:asciiTheme="minorHAnsi" w:eastAsiaTheme="minorEastAsia" w:hAnsiTheme="minorHAnsi" w:cstheme="minorBidi"/>
          <w:szCs w:val="22"/>
        </w:rPr>
        <w:t xml:space="preserve"> ‘</w:t>
      </w:r>
      <w:hyperlink r:id="rId38" w:history="1">
        <w:r w:rsidR="24F8104F" w:rsidRPr="41F6056A">
          <w:rPr>
            <w:rFonts w:asciiTheme="minorHAnsi" w:eastAsiaTheme="minorEastAsia" w:hAnsiTheme="minorHAnsi" w:cstheme="minorBidi"/>
            <w:color w:val="333333"/>
            <w:szCs w:val="22"/>
          </w:rPr>
          <w:t>Telehealth-based diagnostic testing in general practice during the COVID-19 pandemic: an observational study</w:t>
        </w:r>
        <w:r w:rsidR="40932344" w:rsidRPr="41F6056A">
          <w:rPr>
            <w:rStyle w:val="Hyperlink"/>
          </w:rPr>
          <w:t>’</w:t>
        </w:r>
      </w:hyperlink>
      <w:r w:rsidR="24F8104F" w:rsidRPr="00530A2A">
        <w:rPr>
          <w:rFonts w:asciiTheme="minorHAnsi" w:eastAsiaTheme="minorEastAsia" w:hAnsiTheme="minorHAnsi" w:cstheme="minorBidi"/>
          <w:color w:val="333333"/>
          <w:szCs w:val="22"/>
        </w:rPr>
        <w:t xml:space="preserve">, </w:t>
      </w:r>
      <w:r w:rsidR="24F8104F" w:rsidRPr="00530A2A">
        <w:rPr>
          <w:rFonts w:asciiTheme="minorHAnsi" w:eastAsiaTheme="minorEastAsia" w:hAnsiTheme="minorHAnsi" w:cstheme="minorBidi"/>
          <w:szCs w:val="22"/>
          <w:lang w:val="en-US"/>
        </w:rPr>
        <w:t>British Journal of General Practice</w:t>
      </w:r>
      <w:r w:rsidR="313BBB64" w:rsidRPr="00530A2A">
        <w:rPr>
          <w:rFonts w:asciiTheme="minorHAnsi" w:eastAsiaTheme="minorEastAsia" w:hAnsiTheme="minorHAnsi" w:cstheme="minorBidi"/>
          <w:szCs w:val="22"/>
          <w:lang w:val="en-US"/>
        </w:rPr>
        <w:t xml:space="preserve"> 6 (1). </w:t>
      </w:r>
    </w:p>
    <w:p w14:paraId="1011C81D" w14:textId="77777777" w:rsidR="000C5980" w:rsidRDefault="000C5980" w:rsidP="000C5980">
      <w:pPr>
        <w:rPr>
          <w:lang w:val="en-US"/>
        </w:rPr>
      </w:pPr>
      <w:r w:rsidRPr="004B79B8">
        <w:rPr>
          <w:lang w:val="en-US"/>
        </w:rPr>
        <w:t>Health Design Lab (</w:t>
      </w:r>
      <w:r>
        <w:rPr>
          <w:lang w:val="en-US"/>
        </w:rPr>
        <w:t>unpublished</w:t>
      </w:r>
      <w:r w:rsidRPr="004B79B8">
        <w:rPr>
          <w:lang w:val="en-US"/>
        </w:rPr>
        <w:t xml:space="preserve">) </w:t>
      </w:r>
      <w:r w:rsidRPr="00562A38">
        <w:rPr>
          <w:i/>
          <w:iCs/>
          <w:lang w:val="en-US"/>
        </w:rPr>
        <w:t>Understanding the use of video telehealth in general practice</w:t>
      </w:r>
      <w:r>
        <w:rPr>
          <w:lang w:val="en-US"/>
        </w:rPr>
        <w:t>, Australian Government Department of Health and Aged Care, Canberra.</w:t>
      </w:r>
    </w:p>
    <w:p w14:paraId="1536C9F8" w14:textId="77777777" w:rsidR="000C5980" w:rsidRDefault="000C5980" w:rsidP="000C5980">
      <w:r>
        <w:t xml:space="preserve">MBS Taskforce (Medicare Benefits Schedule Review Taskforce) (2020a) </w:t>
      </w:r>
      <w:hyperlink r:id="rId39" w:history="1">
        <w:r w:rsidRPr="0052278F">
          <w:rPr>
            <w:rStyle w:val="Hyperlink"/>
            <w:i/>
          </w:rPr>
          <w:t>Telehealth recommendations 2020</w:t>
        </w:r>
      </w:hyperlink>
      <w:r>
        <w:t>, prepared for the Australian Government Department of Health, Canberra.</w:t>
      </w:r>
    </w:p>
    <w:p w14:paraId="71EEE2DE" w14:textId="77777777" w:rsidR="000C5980" w:rsidRPr="005166B3" w:rsidRDefault="000C5980" w:rsidP="000C5980">
      <w:pPr>
        <w:rPr>
          <w:lang w:val="en-US"/>
        </w:rPr>
      </w:pPr>
      <w:r>
        <w:t xml:space="preserve">MBS Taskforce (Medicare Benefits Schedule Review Taskforce) (2020b). </w:t>
      </w:r>
      <w:hyperlink r:id="rId40" w:history="1">
        <w:r w:rsidRPr="00430233">
          <w:rPr>
            <w:rStyle w:val="Hyperlink"/>
            <w:i/>
          </w:rPr>
          <w:t>Taskforce findings – General Practice and Primary Care Clinical Committee report</w:t>
        </w:r>
      </w:hyperlink>
      <w:r w:rsidRPr="00430233">
        <w:t>,</w:t>
      </w:r>
      <w:r>
        <w:rPr>
          <w:i/>
          <w:iCs/>
        </w:rPr>
        <w:t xml:space="preserve"> </w:t>
      </w:r>
      <w:r>
        <w:t>prepared for the Australian Government Department of Health, Canberra.</w:t>
      </w:r>
    </w:p>
    <w:p w14:paraId="735E1E18" w14:textId="0AC5F607" w:rsidR="005166B3" w:rsidRPr="004B79B8" w:rsidRDefault="005166B3" w:rsidP="005166B3">
      <w:pPr>
        <w:rPr>
          <w:lang w:val="en-US"/>
        </w:rPr>
      </w:pPr>
      <w:r w:rsidRPr="004B79B8">
        <w:rPr>
          <w:lang w:val="en-US"/>
        </w:rPr>
        <w:t xml:space="preserve">Scott </w:t>
      </w:r>
      <w:r>
        <w:rPr>
          <w:lang w:val="en-US"/>
        </w:rPr>
        <w:t>AM, Krzyaniak N, Cardona M, Greenwood H, Clark J, Peiris R and Glasziou P</w:t>
      </w:r>
      <w:r w:rsidRPr="004B79B8">
        <w:rPr>
          <w:lang w:val="en-US"/>
        </w:rPr>
        <w:t xml:space="preserve"> (2021) </w:t>
      </w:r>
      <w:r w:rsidRPr="00682836">
        <w:rPr>
          <w:i/>
          <w:iCs/>
          <w:lang w:val="en-US"/>
        </w:rPr>
        <w:t>Final report: telehealth in primary care</w:t>
      </w:r>
      <w:r w:rsidRPr="00682836">
        <w:rPr>
          <w:lang w:val="en-US"/>
        </w:rPr>
        <w:t>,</w:t>
      </w:r>
      <w:r w:rsidRPr="004B79B8">
        <w:rPr>
          <w:lang w:val="en-US"/>
        </w:rPr>
        <w:t xml:space="preserve"> </w:t>
      </w:r>
      <w:r>
        <w:rPr>
          <w:lang w:val="en-US"/>
        </w:rPr>
        <w:t>p</w:t>
      </w:r>
      <w:r w:rsidRPr="004B79B8">
        <w:rPr>
          <w:lang w:val="en-US"/>
        </w:rPr>
        <w:t>repared for the Commonwealth Department of Health, Canberra.</w:t>
      </w:r>
    </w:p>
    <w:p w14:paraId="7CB580DE" w14:textId="77777777" w:rsidR="005166B3" w:rsidRPr="004B79B8" w:rsidRDefault="005166B3" w:rsidP="005166B3">
      <w:pPr>
        <w:rPr>
          <w:lang w:val="en-US"/>
        </w:rPr>
      </w:pPr>
      <w:r w:rsidRPr="004B79B8">
        <w:rPr>
          <w:lang w:val="en-US"/>
        </w:rPr>
        <w:t>Scott</w:t>
      </w:r>
      <w:r>
        <w:rPr>
          <w:lang w:val="en-US"/>
        </w:rPr>
        <w:t xml:space="preserve"> AM, Atkins T, Bakhit M, Greenwood H, Clark J, Byambasuren O and Glasziou P</w:t>
      </w:r>
      <w:r w:rsidRPr="004B79B8">
        <w:rPr>
          <w:lang w:val="en-US"/>
        </w:rPr>
        <w:t xml:space="preserve"> (2023</w:t>
      </w:r>
      <w:r>
        <w:rPr>
          <w:lang w:val="en-US"/>
        </w:rPr>
        <w:t>a</w:t>
      </w:r>
      <w:r w:rsidRPr="004B79B8">
        <w:rPr>
          <w:lang w:val="en-US"/>
        </w:rPr>
        <w:t xml:space="preserve">) </w:t>
      </w:r>
      <w:r w:rsidRPr="005C70C7">
        <w:rPr>
          <w:i/>
          <w:iCs/>
          <w:lang w:val="en-US"/>
        </w:rPr>
        <w:t>Interim report: telehealth work package A</w:t>
      </w:r>
      <w:r>
        <w:rPr>
          <w:lang w:val="en-US"/>
        </w:rPr>
        <w:t>,</w:t>
      </w:r>
      <w:r w:rsidRPr="004B79B8">
        <w:rPr>
          <w:lang w:val="en-US"/>
        </w:rPr>
        <w:t xml:space="preserve"> </w:t>
      </w:r>
      <w:r>
        <w:rPr>
          <w:lang w:val="en-US"/>
        </w:rPr>
        <w:t>p</w:t>
      </w:r>
      <w:r w:rsidRPr="004B79B8">
        <w:rPr>
          <w:lang w:val="en-US"/>
        </w:rPr>
        <w:t>repared for the Commonwealth Department of Health and Aged Care, Canberra.</w:t>
      </w:r>
    </w:p>
    <w:p w14:paraId="5A1DB21E" w14:textId="77777777" w:rsidR="005166B3" w:rsidRPr="004B79B8" w:rsidRDefault="005166B3" w:rsidP="005166B3">
      <w:pPr>
        <w:rPr>
          <w:lang w:val="en-US"/>
        </w:rPr>
      </w:pPr>
      <w:r w:rsidRPr="004B79B8">
        <w:rPr>
          <w:lang w:val="en-US"/>
        </w:rPr>
        <w:t>Scott</w:t>
      </w:r>
      <w:r>
        <w:rPr>
          <w:lang w:val="en-US"/>
        </w:rPr>
        <w:t xml:space="preserve"> AM, Atkins T, Bakhit M, Greenwood H, Clark J, Byambasuren O and Glasziou P</w:t>
      </w:r>
      <w:r w:rsidRPr="004B79B8">
        <w:rPr>
          <w:lang w:val="en-US"/>
        </w:rPr>
        <w:t xml:space="preserve"> (2023</w:t>
      </w:r>
      <w:r>
        <w:rPr>
          <w:lang w:val="en-US"/>
        </w:rPr>
        <w:t>b</w:t>
      </w:r>
      <w:r w:rsidRPr="004B79B8">
        <w:rPr>
          <w:lang w:val="en-US"/>
        </w:rPr>
        <w:t xml:space="preserve">) </w:t>
      </w:r>
      <w:r w:rsidRPr="00205680">
        <w:rPr>
          <w:i/>
          <w:iCs/>
          <w:lang w:val="en-US"/>
        </w:rPr>
        <w:t>Interim report: telehealth work package B</w:t>
      </w:r>
      <w:r>
        <w:rPr>
          <w:lang w:val="en-US"/>
        </w:rPr>
        <w:t>,</w:t>
      </w:r>
      <w:r w:rsidRPr="004B79B8">
        <w:rPr>
          <w:lang w:val="en-US"/>
        </w:rPr>
        <w:t xml:space="preserve"> </w:t>
      </w:r>
      <w:r>
        <w:rPr>
          <w:lang w:val="en-US"/>
        </w:rPr>
        <w:t>p</w:t>
      </w:r>
      <w:r w:rsidRPr="004B79B8">
        <w:rPr>
          <w:lang w:val="en-US"/>
        </w:rPr>
        <w:t>repared for the Commonwealth Department of Health and Aged Care, Canberra.</w:t>
      </w:r>
    </w:p>
    <w:p w14:paraId="40471146" w14:textId="77777777" w:rsidR="005166B3" w:rsidRPr="004B79B8" w:rsidRDefault="5685473A" w:rsidP="005166B3">
      <w:pPr>
        <w:rPr>
          <w:lang w:val="en-US"/>
        </w:rPr>
      </w:pPr>
      <w:r w:rsidRPr="0A5255DE">
        <w:rPr>
          <w:lang w:val="en-US"/>
        </w:rPr>
        <w:t xml:space="preserve">Scott AM and Glasziou P (2023) </w:t>
      </w:r>
      <w:r w:rsidRPr="0A5255DE">
        <w:rPr>
          <w:i/>
          <w:iCs/>
          <w:lang w:val="en-US"/>
        </w:rPr>
        <w:t xml:space="preserve">Telehealth reviews – work </w:t>
      </w:r>
      <w:r w:rsidR="6E69F360" w:rsidRPr="0A5255DE">
        <w:rPr>
          <w:i/>
          <w:iCs/>
          <w:lang w:val="en-US"/>
        </w:rPr>
        <w:t xml:space="preserve">package </w:t>
      </w:r>
      <w:r w:rsidRPr="0A5255DE">
        <w:rPr>
          <w:i/>
          <w:iCs/>
          <w:lang w:val="en-US"/>
        </w:rPr>
        <w:t>C: update</w:t>
      </w:r>
      <w:r w:rsidRPr="0A5255DE">
        <w:rPr>
          <w:lang w:val="en-US"/>
        </w:rPr>
        <w:t>, prepared for the Commonwealth Department of Health and Aged Care, Canberra.</w:t>
      </w:r>
    </w:p>
    <w:p w14:paraId="32CE05CC" w14:textId="69DB0ADB" w:rsidR="0EF3A096" w:rsidRPr="00530A2A" w:rsidRDefault="4AE3FC5D" w:rsidP="0A5255DE">
      <w:pPr>
        <w:rPr>
          <w:rFonts w:eastAsia="Calibri" w:cs="Calibri"/>
          <w:lang w:val="en-US"/>
        </w:rPr>
      </w:pPr>
      <w:r w:rsidRPr="00530A2A">
        <w:rPr>
          <w:rFonts w:eastAsia="Calibri" w:cs="Calibri"/>
          <w:color w:val="000000" w:themeColor="text1"/>
        </w:rPr>
        <w:t>Wabe</w:t>
      </w:r>
      <w:r w:rsidR="5D78BF8C" w:rsidRPr="00530A2A">
        <w:rPr>
          <w:rFonts w:eastAsia="Calibri" w:cs="Calibri"/>
          <w:color w:val="000000" w:themeColor="text1"/>
        </w:rPr>
        <w:t xml:space="preserve">, N, Thomas J, Sezgin G, </w:t>
      </w:r>
      <w:r w:rsidR="084C68CF" w:rsidRPr="00530A2A">
        <w:rPr>
          <w:rFonts w:eastAsia="Calibri" w:cs="Calibri"/>
          <w:color w:val="000000" w:themeColor="text1"/>
        </w:rPr>
        <w:t>Kashif Sheikh M, Gault E, Georgiou A (2022)</w:t>
      </w:r>
      <w:r w:rsidR="084C68CF" w:rsidRPr="00530A2A">
        <w:rPr>
          <w:rFonts w:eastAsia="Calibri" w:cs="Calibri"/>
        </w:rPr>
        <w:t xml:space="preserve"> </w:t>
      </w:r>
      <w:hyperlink r:id="rId41" w:history="1">
        <w:r w:rsidR="58D137C9" w:rsidRPr="0A5255DE">
          <w:rPr>
            <w:rFonts w:eastAsia="Calibri" w:cs="Calibri"/>
            <w:i/>
            <w:iCs/>
          </w:rPr>
          <w:t>‘Medication prescribing in face-to-face versus telehealth consultations during the COVID-19 pandemic in Australian</w:t>
        </w:r>
        <w:hyperlink w:history="1">
          <w:r w:rsidR="58D137C9" w:rsidRPr="0A5255DE">
            <w:rPr>
              <w:rStyle w:val="Hyperlink"/>
              <w:i/>
              <w:iCs/>
            </w:rPr>
            <w:t xml:space="preserve"> general practice: a retrospective observational study’</w:t>
          </w:r>
        </w:hyperlink>
        <w:r w:rsidR="4D6AFD38" w:rsidRPr="0A5255DE">
          <w:rPr>
            <w:rFonts w:eastAsia="Calibri" w:cs="Calibri"/>
            <w:i/>
            <w:iCs/>
            <w:color w:val="333333"/>
          </w:rPr>
          <w:t>,</w:t>
        </w:r>
      </w:hyperlink>
      <w:r w:rsidR="461682B8" w:rsidRPr="00530A2A">
        <w:rPr>
          <w:rFonts w:eastAsia="Calibri" w:cs="Calibri"/>
          <w:color w:val="333333"/>
        </w:rPr>
        <w:t xml:space="preserve"> </w:t>
      </w:r>
      <w:r w:rsidR="6D994917" w:rsidRPr="00530A2A">
        <w:rPr>
          <w:rFonts w:eastAsia="Calibri" w:cs="Calibri"/>
          <w:lang w:val="en-US"/>
        </w:rPr>
        <w:t xml:space="preserve">British Journal of General Practice </w:t>
      </w:r>
      <w:r w:rsidR="02A1C8C8" w:rsidRPr="00530A2A">
        <w:rPr>
          <w:rFonts w:eastAsia="Calibri" w:cs="Calibri"/>
          <w:color w:val="333333"/>
          <w:lang w:val="en-US"/>
        </w:rPr>
        <w:t xml:space="preserve">6 (1). </w:t>
      </w:r>
    </w:p>
    <w:p w14:paraId="760DE712" w14:textId="280534CC" w:rsidR="41F6056A" w:rsidRPr="00530A2A" w:rsidRDefault="41F6056A" w:rsidP="41F6056A">
      <w:pPr>
        <w:rPr>
          <w:rFonts w:asciiTheme="minorHAnsi" w:eastAsiaTheme="minorEastAsia" w:hAnsiTheme="minorHAnsi" w:cstheme="minorBidi"/>
          <w:color w:val="333333"/>
          <w:szCs w:val="22"/>
          <w:lang w:val="en-US"/>
        </w:rPr>
      </w:pPr>
    </w:p>
    <w:p w14:paraId="596F5BFA" w14:textId="19BC876D" w:rsidR="254F2DDE" w:rsidRDefault="254F2DDE" w:rsidP="07D162B7">
      <w:pPr>
        <w:shd w:val="clear" w:color="auto" w:fill="F5F5F5"/>
        <w:spacing w:before="75" w:after="0"/>
        <w:rPr>
          <w:rFonts w:ascii="Helvetica" w:eastAsia="Helvetica" w:hAnsi="Helvetica" w:cs="Helvetica"/>
          <w:color w:val="333333"/>
        </w:rPr>
      </w:pPr>
    </w:p>
    <w:p w14:paraId="18B7D152" w14:textId="49B0E6CE" w:rsidR="41F6056A" w:rsidRDefault="41F6056A" w:rsidP="41F6056A"/>
    <w:sectPr w:rsidR="41F6056A" w:rsidSect="007A29B9">
      <w:footerReference w:type="default" r:id="rId42"/>
      <w:footerReference w:type="first" r:id="rId43"/>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D81BA" w14:textId="77777777" w:rsidR="0054254F" w:rsidRDefault="0054254F">
      <w:r>
        <w:separator/>
      </w:r>
    </w:p>
  </w:endnote>
  <w:endnote w:type="continuationSeparator" w:id="0">
    <w:p w14:paraId="3BCA131E" w14:textId="77777777" w:rsidR="0054254F" w:rsidRDefault="0054254F">
      <w:r>
        <w:continuationSeparator/>
      </w:r>
    </w:p>
  </w:endnote>
  <w:endnote w:type="continuationNotice" w:id="1">
    <w:p w14:paraId="4F2B0A61" w14:textId="77777777" w:rsidR="0054254F" w:rsidRDefault="005425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Open Sans" w:hAnsi="Open Sans" w:cs="Open Sans"/>
      </w:rPr>
      <w:id w:val="-732998565"/>
      <w:docPartObj>
        <w:docPartGallery w:val="Page Numbers (Bottom of Page)"/>
        <w:docPartUnique/>
      </w:docPartObj>
    </w:sdtPr>
    <w:sdtEndPr>
      <w:rPr>
        <w:rStyle w:val="PageNumber"/>
        <w:b w:val="0"/>
      </w:rPr>
    </w:sdtEndPr>
    <w:sdtContent>
      <w:p w14:paraId="3D5F8410" w14:textId="77777777" w:rsidR="00AC3100" w:rsidRPr="00D80DA1" w:rsidRDefault="00AC3100" w:rsidP="00D80DA1">
        <w:pPr>
          <w:pStyle w:val="Footer"/>
          <w:framePr w:wrap="none" w:vAnchor="text" w:hAnchor="page" w:x="9667" w:y="24"/>
          <w:rPr>
            <w:rStyle w:val="PageNumber"/>
            <w:rFonts w:ascii="Open Sans" w:hAnsi="Open Sans" w:cs="Open Sans"/>
            <w:b w:val="0"/>
            <w:bCs/>
          </w:rPr>
        </w:pPr>
        <w:r w:rsidRPr="00D80DA1">
          <w:rPr>
            <w:rStyle w:val="PageNumber"/>
            <w:rFonts w:ascii="Open Sans" w:hAnsi="Open Sans" w:cs="Open Sans"/>
            <w:b w:val="0"/>
            <w:bCs/>
          </w:rPr>
          <w:fldChar w:fldCharType="begin"/>
        </w:r>
        <w:r w:rsidRPr="00D80DA1">
          <w:rPr>
            <w:rStyle w:val="PageNumber"/>
            <w:rFonts w:ascii="Open Sans" w:hAnsi="Open Sans" w:cs="Open Sans"/>
            <w:b w:val="0"/>
            <w:bCs/>
          </w:rPr>
          <w:instrText xml:space="preserve"> PAGE </w:instrText>
        </w:r>
        <w:r w:rsidRPr="00D80DA1">
          <w:rPr>
            <w:rStyle w:val="PageNumber"/>
            <w:rFonts w:ascii="Open Sans" w:hAnsi="Open Sans" w:cs="Open Sans"/>
            <w:b w:val="0"/>
            <w:bCs/>
          </w:rPr>
          <w:fldChar w:fldCharType="separate"/>
        </w:r>
        <w:r w:rsidRPr="00D80DA1">
          <w:rPr>
            <w:rStyle w:val="PageNumber"/>
            <w:rFonts w:ascii="Open Sans" w:hAnsi="Open Sans" w:cs="Open Sans"/>
            <w:b w:val="0"/>
            <w:bCs/>
            <w:noProof/>
          </w:rPr>
          <w:t>2</w:t>
        </w:r>
        <w:r w:rsidRPr="00D80DA1">
          <w:rPr>
            <w:rStyle w:val="PageNumber"/>
            <w:rFonts w:ascii="Open Sans" w:hAnsi="Open Sans" w:cs="Open Sans"/>
            <w:b w:val="0"/>
            <w:bCs/>
          </w:rPr>
          <w:fldChar w:fldCharType="end"/>
        </w:r>
      </w:p>
    </w:sdtContent>
  </w:sdt>
  <w:p w14:paraId="145A1DC7" w14:textId="6C8909D3" w:rsidR="00AC3100" w:rsidRPr="00FB2650" w:rsidRDefault="00EF1A60" w:rsidP="00FB2650">
    <w:pPr>
      <w:pStyle w:val="Footer"/>
      <w:tabs>
        <w:tab w:val="left" w:pos="567"/>
      </w:tabs>
      <w:ind w:right="360"/>
      <w:rPr>
        <w:i/>
        <w:iCs/>
      </w:rPr>
    </w:pPr>
    <w:r>
      <w:rPr>
        <w:i/>
        <w:iCs/>
      </w:rPr>
      <w:t xml:space="preserve">MBS Review Advisory Committee: Telehealth </w:t>
    </w:r>
    <w:r w:rsidR="00BC3275">
      <w:rPr>
        <w:i/>
        <w:iCs/>
      </w:rPr>
      <w:t>Post</w:t>
    </w:r>
    <w:r w:rsidR="0055266C">
      <w:rPr>
        <w:i/>
        <w:iCs/>
      </w:rPr>
      <w:t>-</w:t>
    </w:r>
    <w:r w:rsidR="00BC3275">
      <w:rPr>
        <w:i/>
        <w:iCs/>
      </w:rPr>
      <w:t xml:space="preserve">Implementation </w:t>
    </w:r>
    <w:r>
      <w:rPr>
        <w:i/>
        <w:iCs/>
      </w:rPr>
      <w:t>Review</w:t>
    </w:r>
    <w:r w:rsidR="00AC3100">
      <w:rPr>
        <w:i/>
        <w:iCs/>
      </w:rPr>
      <w:t xml:space="preserve"> </w:t>
    </w:r>
    <w:r w:rsidR="00AB3F3C">
      <w:rPr>
        <w:i/>
        <w:iCs/>
      </w:rPr>
      <w:t xml:space="preserve">Final </w:t>
    </w:r>
    <w:r w:rsidR="00AC3100">
      <w:rPr>
        <w:i/>
        <w:iCs/>
      </w:rPr>
      <w:t>Report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8772" w14:textId="2A055196" w:rsidR="00AC3100" w:rsidRPr="00D80DA1" w:rsidRDefault="00AC3100" w:rsidP="00FF29AD">
    <w:pPr>
      <w:pStyle w:val="Footer"/>
      <w:framePr w:wrap="none" w:vAnchor="text" w:hAnchor="margin" w:xAlign="right" w:y="1"/>
      <w:rPr>
        <w:rStyle w:val="PageNumber"/>
        <w:b w:val="0"/>
        <w:bCs/>
      </w:rPr>
    </w:pPr>
  </w:p>
  <w:p w14:paraId="54C312D4" w14:textId="0A68ECD2" w:rsidR="00AC3100" w:rsidRPr="00FB2650" w:rsidRDefault="00AC3100" w:rsidP="00DE1F4A">
    <w:pPr>
      <w:pStyle w:val="Footer"/>
      <w:ind w:right="360"/>
      <w:rPr>
        <w:i/>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92C6B" w14:textId="77777777" w:rsidR="0054254F" w:rsidRDefault="0054254F">
      <w:r>
        <w:separator/>
      </w:r>
    </w:p>
  </w:footnote>
  <w:footnote w:type="continuationSeparator" w:id="0">
    <w:p w14:paraId="255B6AF7" w14:textId="77777777" w:rsidR="0054254F" w:rsidRDefault="0054254F">
      <w:r>
        <w:continuationSeparator/>
      </w:r>
    </w:p>
  </w:footnote>
  <w:footnote w:type="continuationNotice" w:id="1">
    <w:p w14:paraId="49C5E4D7" w14:textId="77777777" w:rsidR="0054254F" w:rsidRDefault="0054254F"/>
  </w:footnote>
</w:footnotes>
</file>

<file path=word/intelligence2.xml><?xml version="1.0" encoding="utf-8"?>
<int2:intelligence xmlns:int2="http://schemas.microsoft.com/office/intelligence/2020/intelligence" xmlns:oel="http://schemas.microsoft.com/office/2019/extlst">
  <int2:observations>
    <int2:bookmark int2:bookmarkName="_Int_VWNS9E08" int2:invalidationBookmarkName="" int2:hashCode="ix0RGqq4FrMEfl" int2:id="ZNEYCV1X">
      <int2:state int2:value="Rejected" int2:type="AugLoop_Text_Critique"/>
    </int2:bookmark>
    <int2:bookmark int2:bookmarkName="_Int_NEE2u8gB" int2:invalidationBookmarkName="" int2:hashCode="6X/4wpXdfDElP/" int2:id="Kg5bfRCK">
      <int2:state int2:value="Rejected" int2:type="AugLoop_Text_Critique"/>
    </int2:bookmark>
    <int2:bookmark int2:bookmarkName="_Int_rBKydnQf" int2:invalidationBookmarkName="" int2:hashCode="ln++pQOvjx8ARq" int2:id="zSVcBhCZ">
      <int2:state int2:value="Rejected" int2:type="AugLoop_Text_Critique"/>
    </int2:bookmark>
    <int2:bookmark int2:bookmarkName="_Int_sGELDFeI" int2:invalidationBookmarkName="" int2:hashCode="FnHRU5qPrsxp/+" int2:id="IeQpl14F">
      <int2:state int2:value="Rejected" int2:type="AugLoop_Text_Critique"/>
    </int2:bookmark>
    <int2:bookmark int2:bookmarkName="_Int_WteJy8Bb" int2:invalidationBookmarkName="" int2:hashCode="GQAFjmb3jxai7z" int2:id="uqALtwVM">
      <int2:state int2:value="Rejected" int2:type="AugLoop_Text_Critique"/>
    </int2:bookmark>
    <int2:bookmark int2:bookmarkName="_Int_zXXzDSst" int2:invalidationBookmarkName="" int2:hashCode="g1/ZxsEvDIcpH7" int2:id="2dQRGBtr">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71CA"/>
    <w:multiLevelType w:val="hybridMultilevel"/>
    <w:tmpl w:val="C2F02C9C"/>
    <w:lvl w:ilvl="0" w:tplc="44303C18">
      <w:start w:val="1"/>
      <w:numFmt w:val="bullet"/>
      <w:pStyle w:val="BoxDash"/>
      <w:lvlText w:val=""/>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105138"/>
    <w:multiLevelType w:val="hybridMultilevel"/>
    <w:tmpl w:val="0E8C4BC4"/>
    <w:lvl w:ilvl="0" w:tplc="EC840366">
      <w:start w:val="1"/>
      <w:numFmt w:val="bullet"/>
      <w:pStyle w:val="Dash"/>
      <w:lvlText w:val="–"/>
      <w:lvlJc w:val="left"/>
      <w:pPr>
        <w:tabs>
          <w:tab w:val="num" w:pos="216"/>
        </w:tabs>
        <w:ind w:left="360" w:firstLine="0"/>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4B4858"/>
    <w:multiLevelType w:val="hybridMultilevel"/>
    <w:tmpl w:val="3E1E832E"/>
    <w:lvl w:ilvl="0" w:tplc="E13666D6">
      <w:start w:val="1"/>
      <w:numFmt w:val="decimal"/>
      <w:lvlText w:val="%1)"/>
      <w:lvlJc w:val="left"/>
      <w:pPr>
        <w:ind w:left="1080" w:hanging="360"/>
      </w:pPr>
    </w:lvl>
    <w:lvl w:ilvl="1" w:tplc="B0229E08">
      <w:start w:val="1"/>
      <w:numFmt w:val="decimal"/>
      <w:lvlText w:val="%2)"/>
      <w:lvlJc w:val="left"/>
      <w:pPr>
        <w:ind w:left="1080" w:hanging="360"/>
      </w:pPr>
    </w:lvl>
    <w:lvl w:ilvl="2" w:tplc="2612D95C">
      <w:start w:val="1"/>
      <w:numFmt w:val="decimal"/>
      <w:lvlText w:val="%3)"/>
      <w:lvlJc w:val="left"/>
      <w:pPr>
        <w:ind w:left="1080" w:hanging="360"/>
      </w:pPr>
    </w:lvl>
    <w:lvl w:ilvl="3" w:tplc="28245F4C">
      <w:start w:val="1"/>
      <w:numFmt w:val="decimal"/>
      <w:lvlText w:val="%4)"/>
      <w:lvlJc w:val="left"/>
      <w:pPr>
        <w:ind w:left="1080" w:hanging="360"/>
      </w:pPr>
    </w:lvl>
    <w:lvl w:ilvl="4" w:tplc="3DECD648">
      <w:start w:val="1"/>
      <w:numFmt w:val="decimal"/>
      <w:lvlText w:val="%5)"/>
      <w:lvlJc w:val="left"/>
      <w:pPr>
        <w:ind w:left="1080" w:hanging="360"/>
      </w:pPr>
    </w:lvl>
    <w:lvl w:ilvl="5" w:tplc="2E361904">
      <w:start w:val="1"/>
      <w:numFmt w:val="decimal"/>
      <w:lvlText w:val="%6)"/>
      <w:lvlJc w:val="left"/>
      <w:pPr>
        <w:ind w:left="1080" w:hanging="360"/>
      </w:pPr>
    </w:lvl>
    <w:lvl w:ilvl="6" w:tplc="30F45022">
      <w:start w:val="1"/>
      <w:numFmt w:val="decimal"/>
      <w:lvlText w:val="%7)"/>
      <w:lvlJc w:val="left"/>
      <w:pPr>
        <w:ind w:left="1080" w:hanging="360"/>
      </w:pPr>
    </w:lvl>
    <w:lvl w:ilvl="7" w:tplc="90F6C2BC">
      <w:start w:val="1"/>
      <w:numFmt w:val="decimal"/>
      <w:lvlText w:val="%8)"/>
      <w:lvlJc w:val="left"/>
      <w:pPr>
        <w:ind w:left="1080" w:hanging="360"/>
      </w:pPr>
    </w:lvl>
    <w:lvl w:ilvl="8" w:tplc="18A00C5E">
      <w:start w:val="1"/>
      <w:numFmt w:val="decimal"/>
      <w:lvlText w:val="%9)"/>
      <w:lvlJc w:val="left"/>
      <w:pPr>
        <w:ind w:left="1080" w:hanging="360"/>
      </w:pPr>
    </w:lvl>
  </w:abstractNum>
  <w:abstractNum w:abstractNumId="3"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0D0368"/>
    <w:multiLevelType w:val="hybridMultilevel"/>
    <w:tmpl w:val="CC56A5DA"/>
    <w:lvl w:ilvl="0" w:tplc="0C090017">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25FC5EFF"/>
    <w:multiLevelType w:val="hybridMultilevel"/>
    <w:tmpl w:val="38A0C8C6"/>
    <w:lvl w:ilvl="0" w:tplc="69FE925C">
      <w:start w:val="1"/>
      <w:numFmt w:val="bullet"/>
      <w:pStyle w:val="Quote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42087D42"/>
    <w:multiLevelType w:val="hybridMultilevel"/>
    <w:tmpl w:val="48C87A36"/>
    <w:lvl w:ilvl="0" w:tplc="E1F647D4">
      <w:start w:val="1"/>
      <w:numFmt w:val="decimal"/>
      <w:pStyle w:val="TableNumberedList"/>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C1C064E"/>
    <w:multiLevelType w:val="hybridMultilevel"/>
    <w:tmpl w:val="81D07864"/>
    <w:lvl w:ilvl="0" w:tplc="0C090017">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4FF65B7D"/>
    <w:multiLevelType w:val="multilevel"/>
    <w:tmpl w:val="0809001D"/>
    <w:styleLink w:val="CurrentLi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5B3710A8"/>
    <w:multiLevelType w:val="multilevel"/>
    <w:tmpl w:val="8230ED46"/>
    <w:styleLink w:val="CurrentList1"/>
    <w:lvl w:ilvl="0">
      <w:start w:val="1"/>
      <w:numFmt w:val="bullet"/>
      <w:lvlText w:val="•"/>
      <w:lvlJc w:val="left"/>
      <w:pPr>
        <w:tabs>
          <w:tab w:val="num" w:pos="360"/>
        </w:tabs>
        <w:ind w:left="360" w:hanging="360"/>
      </w:pPr>
      <w:rPr>
        <w:rFonts w:ascii="Verdana" w:hAnsi="Verdana" w:hint="default"/>
        <w:sz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A213EBB"/>
    <w:multiLevelType w:val="hybridMultilevel"/>
    <w:tmpl w:val="6BECA06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F0B54F1"/>
    <w:multiLevelType w:val="hybridMultilevel"/>
    <w:tmpl w:val="B1742954"/>
    <w:lvl w:ilvl="0" w:tplc="F7CCFEB4">
      <w:start w:val="1"/>
      <w:numFmt w:val="decimal"/>
      <w:lvlText w:val="%1)"/>
      <w:lvlJc w:val="left"/>
      <w:pPr>
        <w:ind w:left="1080" w:hanging="360"/>
      </w:pPr>
    </w:lvl>
    <w:lvl w:ilvl="1" w:tplc="0C882F82">
      <w:start w:val="1"/>
      <w:numFmt w:val="decimal"/>
      <w:lvlText w:val="%2)"/>
      <w:lvlJc w:val="left"/>
      <w:pPr>
        <w:ind w:left="1080" w:hanging="360"/>
      </w:pPr>
    </w:lvl>
    <w:lvl w:ilvl="2" w:tplc="186689D2">
      <w:start w:val="1"/>
      <w:numFmt w:val="decimal"/>
      <w:lvlText w:val="%3)"/>
      <w:lvlJc w:val="left"/>
      <w:pPr>
        <w:ind w:left="1080" w:hanging="360"/>
      </w:pPr>
    </w:lvl>
    <w:lvl w:ilvl="3" w:tplc="BBB469A6">
      <w:start w:val="1"/>
      <w:numFmt w:val="decimal"/>
      <w:lvlText w:val="%4)"/>
      <w:lvlJc w:val="left"/>
      <w:pPr>
        <w:ind w:left="1080" w:hanging="360"/>
      </w:pPr>
    </w:lvl>
    <w:lvl w:ilvl="4" w:tplc="60925356">
      <w:start w:val="1"/>
      <w:numFmt w:val="decimal"/>
      <w:lvlText w:val="%5)"/>
      <w:lvlJc w:val="left"/>
      <w:pPr>
        <w:ind w:left="1080" w:hanging="360"/>
      </w:pPr>
    </w:lvl>
    <w:lvl w:ilvl="5" w:tplc="950A48CC">
      <w:start w:val="1"/>
      <w:numFmt w:val="decimal"/>
      <w:lvlText w:val="%6)"/>
      <w:lvlJc w:val="left"/>
      <w:pPr>
        <w:ind w:left="1080" w:hanging="360"/>
      </w:pPr>
    </w:lvl>
    <w:lvl w:ilvl="6" w:tplc="0F6AA8B4">
      <w:start w:val="1"/>
      <w:numFmt w:val="decimal"/>
      <w:lvlText w:val="%7)"/>
      <w:lvlJc w:val="left"/>
      <w:pPr>
        <w:ind w:left="1080" w:hanging="360"/>
      </w:pPr>
    </w:lvl>
    <w:lvl w:ilvl="7" w:tplc="80FCCE42">
      <w:start w:val="1"/>
      <w:numFmt w:val="decimal"/>
      <w:lvlText w:val="%8)"/>
      <w:lvlJc w:val="left"/>
      <w:pPr>
        <w:ind w:left="1080" w:hanging="360"/>
      </w:pPr>
    </w:lvl>
    <w:lvl w:ilvl="8" w:tplc="6E64615C">
      <w:start w:val="1"/>
      <w:numFmt w:val="decimal"/>
      <w:lvlText w:val="%9)"/>
      <w:lvlJc w:val="left"/>
      <w:pPr>
        <w:ind w:left="1080" w:hanging="360"/>
      </w:pPr>
    </w:lvl>
  </w:abstractNum>
  <w:abstractNum w:abstractNumId="14" w15:restartNumberingAfterBreak="0">
    <w:nsid w:val="72C95AE6"/>
    <w:multiLevelType w:val="hybridMultilevel"/>
    <w:tmpl w:val="AE32310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78E81FDC"/>
    <w:multiLevelType w:val="hybridMultilevel"/>
    <w:tmpl w:val="D5C698E8"/>
    <w:lvl w:ilvl="0" w:tplc="FFFFFFFF">
      <w:start w:val="1"/>
      <w:numFmt w:val="bullet"/>
      <w:pStyle w:val="BulletBeforeDash"/>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845754006">
    <w:abstractNumId w:val="7"/>
  </w:num>
  <w:num w:numId="2" w16cid:durableId="1649237372">
    <w:abstractNumId w:val="11"/>
  </w:num>
  <w:num w:numId="3" w16cid:durableId="1577594479">
    <w:abstractNumId w:val="15"/>
  </w:num>
  <w:num w:numId="4" w16cid:durableId="867835794">
    <w:abstractNumId w:val="1"/>
  </w:num>
  <w:num w:numId="5" w16cid:durableId="388960005">
    <w:abstractNumId w:val="0"/>
  </w:num>
  <w:num w:numId="6" w16cid:durableId="1863670293">
    <w:abstractNumId w:val="5"/>
  </w:num>
  <w:num w:numId="7" w16cid:durableId="1270551377">
    <w:abstractNumId w:val="3"/>
  </w:num>
  <w:num w:numId="8" w16cid:durableId="341711299">
    <w:abstractNumId w:val="6"/>
  </w:num>
  <w:num w:numId="9" w16cid:durableId="1665861900">
    <w:abstractNumId w:val="12"/>
  </w:num>
  <w:num w:numId="10" w16cid:durableId="524683400">
    <w:abstractNumId w:val="10"/>
  </w:num>
  <w:num w:numId="11" w16cid:durableId="990674590">
    <w:abstractNumId w:val="9"/>
  </w:num>
  <w:num w:numId="12" w16cid:durableId="541595283">
    <w:abstractNumId w:val="8"/>
  </w:num>
  <w:num w:numId="13" w16cid:durableId="1477409445">
    <w:abstractNumId w:val="4"/>
  </w:num>
  <w:num w:numId="14" w16cid:durableId="1952278106">
    <w:abstractNumId w:val="14"/>
  </w:num>
  <w:num w:numId="15" w16cid:durableId="871260670">
    <w:abstractNumId w:val="13"/>
  </w:num>
  <w:num w:numId="16" w16cid:durableId="187912623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readOnly"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5E1"/>
    <w:rsid w:val="00000195"/>
    <w:rsid w:val="00000A14"/>
    <w:rsid w:val="000025B2"/>
    <w:rsid w:val="00003F10"/>
    <w:rsid w:val="0000463B"/>
    <w:rsid w:val="00004A97"/>
    <w:rsid w:val="00004B10"/>
    <w:rsid w:val="00005548"/>
    <w:rsid w:val="0000575D"/>
    <w:rsid w:val="00006198"/>
    <w:rsid w:val="0000623B"/>
    <w:rsid w:val="0000688A"/>
    <w:rsid w:val="000071C2"/>
    <w:rsid w:val="000074AF"/>
    <w:rsid w:val="00007A02"/>
    <w:rsid w:val="00007C33"/>
    <w:rsid w:val="00007D0A"/>
    <w:rsid w:val="0001136C"/>
    <w:rsid w:val="00012269"/>
    <w:rsid w:val="000122BB"/>
    <w:rsid w:val="00012800"/>
    <w:rsid w:val="00012E2A"/>
    <w:rsid w:val="00012E9A"/>
    <w:rsid w:val="00013FD3"/>
    <w:rsid w:val="00014074"/>
    <w:rsid w:val="000140E4"/>
    <w:rsid w:val="000141FE"/>
    <w:rsid w:val="000147CA"/>
    <w:rsid w:val="00014805"/>
    <w:rsid w:val="00014F82"/>
    <w:rsid w:val="000156EC"/>
    <w:rsid w:val="000157AA"/>
    <w:rsid w:val="00015CF1"/>
    <w:rsid w:val="00016203"/>
    <w:rsid w:val="00016AA9"/>
    <w:rsid w:val="00017660"/>
    <w:rsid w:val="00017DB7"/>
    <w:rsid w:val="00020678"/>
    <w:rsid w:val="00020D3B"/>
    <w:rsid w:val="00021530"/>
    <w:rsid w:val="00021C75"/>
    <w:rsid w:val="00022DE6"/>
    <w:rsid w:val="00023444"/>
    <w:rsid w:val="0002438D"/>
    <w:rsid w:val="00024669"/>
    <w:rsid w:val="00024EDF"/>
    <w:rsid w:val="00025631"/>
    <w:rsid w:val="00025FF9"/>
    <w:rsid w:val="00026D7B"/>
    <w:rsid w:val="00027C91"/>
    <w:rsid w:val="000303CC"/>
    <w:rsid w:val="0003107F"/>
    <w:rsid w:val="000315B9"/>
    <w:rsid w:val="00031920"/>
    <w:rsid w:val="00031A34"/>
    <w:rsid w:val="00031A73"/>
    <w:rsid w:val="00031B16"/>
    <w:rsid w:val="00031C79"/>
    <w:rsid w:val="00031CC3"/>
    <w:rsid w:val="0003207B"/>
    <w:rsid w:val="00032737"/>
    <w:rsid w:val="000327A6"/>
    <w:rsid w:val="00032837"/>
    <w:rsid w:val="00032D69"/>
    <w:rsid w:val="00032F24"/>
    <w:rsid w:val="00033A83"/>
    <w:rsid w:val="00034321"/>
    <w:rsid w:val="0003436B"/>
    <w:rsid w:val="000345DB"/>
    <w:rsid w:val="000345E4"/>
    <w:rsid w:val="000349C5"/>
    <w:rsid w:val="00034CBC"/>
    <w:rsid w:val="00035305"/>
    <w:rsid w:val="0003531E"/>
    <w:rsid w:val="00035691"/>
    <w:rsid w:val="00035700"/>
    <w:rsid w:val="00036333"/>
    <w:rsid w:val="000364A0"/>
    <w:rsid w:val="0003671F"/>
    <w:rsid w:val="000367F9"/>
    <w:rsid w:val="00036FDA"/>
    <w:rsid w:val="000371D8"/>
    <w:rsid w:val="00040160"/>
    <w:rsid w:val="0004081D"/>
    <w:rsid w:val="00040FC3"/>
    <w:rsid w:val="00041D5C"/>
    <w:rsid w:val="00042020"/>
    <w:rsid w:val="0004238A"/>
    <w:rsid w:val="00042C97"/>
    <w:rsid w:val="00042D3E"/>
    <w:rsid w:val="000435B6"/>
    <w:rsid w:val="00043E11"/>
    <w:rsid w:val="00044540"/>
    <w:rsid w:val="0004654D"/>
    <w:rsid w:val="00046798"/>
    <w:rsid w:val="0004778E"/>
    <w:rsid w:val="000478BC"/>
    <w:rsid w:val="00047CAC"/>
    <w:rsid w:val="00047CD4"/>
    <w:rsid w:val="00050B76"/>
    <w:rsid w:val="0005155B"/>
    <w:rsid w:val="00051569"/>
    <w:rsid w:val="00051862"/>
    <w:rsid w:val="00051AB4"/>
    <w:rsid w:val="00052F47"/>
    <w:rsid w:val="0005305D"/>
    <w:rsid w:val="000537F4"/>
    <w:rsid w:val="00053CFE"/>
    <w:rsid w:val="00053E0C"/>
    <w:rsid w:val="000546FB"/>
    <w:rsid w:val="00054D09"/>
    <w:rsid w:val="00055406"/>
    <w:rsid w:val="00055DA0"/>
    <w:rsid w:val="00056D9B"/>
    <w:rsid w:val="0006003A"/>
    <w:rsid w:val="000601ED"/>
    <w:rsid w:val="00060693"/>
    <w:rsid w:val="00060D29"/>
    <w:rsid w:val="00060FAB"/>
    <w:rsid w:val="00061311"/>
    <w:rsid w:val="0006222C"/>
    <w:rsid w:val="000622D6"/>
    <w:rsid w:val="00063087"/>
    <w:rsid w:val="000630C4"/>
    <w:rsid w:val="0006335D"/>
    <w:rsid w:val="00063465"/>
    <w:rsid w:val="00063831"/>
    <w:rsid w:val="00063AFB"/>
    <w:rsid w:val="000641B2"/>
    <w:rsid w:val="00064344"/>
    <w:rsid w:val="00064DD8"/>
    <w:rsid w:val="0006510A"/>
    <w:rsid w:val="00065393"/>
    <w:rsid w:val="00065473"/>
    <w:rsid w:val="00065783"/>
    <w:rsid w:val="0006587B"/>
    <w:rsid w:val="00065A0A"/>
    <w:rsid w:val="00065C9A"/>
    <w:rsid w:val="00065EB5"/>
    <w:rsid w:val="0006615B"/>
    <w:rsid w:val="0006657C"/>
    <w:rsid w:val="000671C4"/>
    <w:rsid w:val="00067653"/>
    <w:rsid w:val="00067900"/>
    <w:rsid w:val="00067F70"/>
    <w:rsid w:val="00070A49"/>
    <w:rsid w:val="00071650"/>
    <w:rsid w:val="00072C55"/>
    <w:rsid w:val="00072E32"/>
    <w:rsid w:val="00073265"/>
    <w:rsid w:val="00073780"/>
    <w:rsid w:val="00073983"/>
    <w:rsid w:val="00073EFC"/>
    <w:rsid w:val="000741AC"/>
    <w:rsid w:val="00075CBC"/>
    <w:rsid w:val="00075D4A"/>
    <w:rsid w:val="00076887"/>
    <w:rsid w:val="000770E2"/>
    <w:rsid w:val="000771BC"/>
    <w:rsid w:val="00077303"/>
    <w:rsid w:val="00077504"/>
    <w:rsid w:val="000801C2"/>
    <w:rsid w:val="000804F8"/>
    <w:rsid w:val="00080888"/>
    <w:rsid w:val="00080CE6"/>
    <w:rsid w:val="000815CA"/>
    <w:rsid w:val="00081620"/>
    <w:rsid w:val="00081D71"/>
    <w:rsid w:val="00081DF7"/>
    <w:rsid w:val="000831C5"/>
    <w:rsid w:val="00083666"/>
    <w:rsid w:val="000838C0"/>
    <w:rsid w:val="00083EAC"/>
    <w:rsid w:val="00083F15"/>
    <w:rsid w:val="00084759"/>
    <w:rsid w:val="0008492C"/>
    <w:rsid w:val="00084A7A"/>
    <w:rsid w:val="00084C54"/>
    <w:rsid w:val="0008544B"/>
    <w:rsid w:val="00086069"/>
    <w:rsid w:val="000873FA"/>
    <w:rsid w:val="00087803"/>
    <w:rsid w:val="0008789E"/>
    <w:rsid w:val="00090B52"/>
    <w:rsid w:val="00090E90"/>
    <w:rsid w:val="000915CC"/>
    <w:rsid w:val="0009162C"/>
    <w:rsid w:val="0009174B"/>
    <w:rsid w:val="000920FA"/>
    <w:rsid w:val="00092229"/>
    <w:rsid w:val="000924C0"/>
    <w:rsid w:val="0009369B"/>
    <w:rsid w:val="0009385C"/>
    <w:rsid w:val="000939A3"/>
    <w:rsid w:val="0009414B"/>
    <w:rsid w:val="00094601"/>
    <w:rsid w:val="00095094"/>
    <w:rsid w:val="00095634"/>
    <w:rsid w:val="00096C68"/>
    <w:rsid w:val="00096EC1"/>
    <w:rsid w:val="000971FC"/>
    <w:rsid w:val="00097A25"/>
    <w:rsid w:val="00097D7E"/>
    <w:rsid w:val="000A0044"/>
    <w:rsid w:val="000A01BA"/>
    <w:rsid w:val="000A041E"/>
    <w:rsid w:val="000A0C75"/>
    <w:rsid w:val="000A0DD9"/>
    <w:rsid w:val="000A2C0A"/>
    <w:rsid w:val="000A2C6B"/>
    <w:rsid w:val="000A35CA"/>
    <w:rsid w:val="000A3BF9"/>
    <w:rsid w:val="000A3E2A"/>
    <w:rsid w:val="000A44A2"/>
    <w:rsid w:val="000A4748"/>
    <w:rsid w:val="000A48E9"/>
    <w:rsid w:val="000A4935"/>
    <w:rsid w:val="000A5650"/>
    <w:rsid w:val="000A57CB"/>
    <w:rsid w:val="000A5E5B"/>
    <w:rsid w:val="000A6243"/>
    <w:rsid w:val="000A67B1"/>
    <w:rsid w:val="000A6EA4"/>
    <w:rsid w:val="000A7A17"/>
    <w:rsid w:val="000A7AA7"/>
    <w:rsid w:val="000A7B25"/>
    <w:rsid w:val="000B04D6"/>
    <w:rsid w:val="000B08DA"/>
    <w:rsid w:val="000B10DF"/>
    <w:rsid w:val="000B118A"/>
    <w:rsid w:val="000B1CFD"/>
    <w:rsid w:val="000B249A"/>
    <w:rsid w:val="000B284B"/>
    <w:rsid w:val="000B2C39"/>
    <w:rsid w:val="000B30D3"/>
    <w:rsid w:val="000B3519"/>
    <w:rsid w:val="000B35D0"/>
    <w:rsid w:val="000B39C1"/>
    <w:rsid w:val="000B3D60"/>
    <w:rsid w:val="000B3F9D"/>
    <w:rsid w:val="000B5525"/>
    <w:rsid w:val="000B6B7E"/>
    <w:rsid w:val="000B6D9D"/>
    <w:rsid w:val="000C012D"/>
    <w:rsid w:val="000C05BD"/>
    <w:rsid w:val="000C1D94"/>
    <w:rsid w:val="000C2961"/>
    <w:rsid w:val="000C2B6C"/>
    <w:rsid w:val="000C33AD"/>
    <w:rsid w:val="000C3997"/>
    <w:rsid w:val="000C39F7"/>
    <w:rsid w:val="000C3A31"/>
    <w:rsid w:val="000C3E0B"/>
    <w:rsid w:val="000C4780"/>
    <w:rsid w:val="000C523E"/>
    <w:rsid w:val="000C5317"/>
    <w:rsid w:val="000C571F"/>
    <w:rsid w:val="000C5980"/>
    <w:rsid w:val="000C5A85"/>
    <w:rsid w:val="000C70EA"/>
    <w:rsid w:val="000D025F"/>
    <w:rsid w:val="000D02D6"/>
    <w:rsid w:val="000D0F8F"/>
    <w:rsid w:val="000D12E0"/>
    <w:rsid w:val="000D1664"/>
    <w:rsid w:val="000D1C36"/>
    <w:rsid w:val="000D2650"/>
    <w:rsid w:val="000D3BB4"/>
    <w:rsid w:val="000D3C95"/>
    <w:rsid w:val="000D40F1"/>
    <w:rsid w:val="000D4383"/>
    <w:rsid w:val="000D467C"/>
    <w:rsid w:val="000D46F7"/>
    <w:rsid w:val="000D4FF3"/>
    <w:rsid w:val="000D5363"/>
    <w:rsid w:val="000D53D0"/>
    <w:rsid w:val="000D566B"/>
    <w:rsid w:val="000D5AA3"/>
    <w:rsid w:val="000D5CBF"/>
    <w:rsid w:val="000D5E61"/>
    <w:rsid w:val="000D6053"/>
    <w:rsid w:val="000D610B"/>
    <w:rsid w:val="000D6EA8"/>
    <w:rsid w:val="000D712A"/>
    <w:rsid w:val="000D7235"/>
    <w:rsid w:val="000D78DB"/>
    <w:rsid w:val="000D7DF0"/>
    <w:rsid w:val="000E0E76"/>
    <w:rsid w:val="000E137D"/>
    <w:rsid w:val="000E143D"/>
    <w:rsid w:val="000E1DF7"/>
    <w:rsid w:val="000E1FFF"/>
    <w:rsid w:val="000E220E"/>
    <w:rsid w:val="000E278A"/>
    <w:rsid w:val="000E2B20"/>
    <w:rsid w:val="000E3274"/>
    <w:rsid w:val="000E32AD"/>
    <w:rsid w:val="000E38E7"/>
    <w:rsid w:val="000E4737"/>
    <w:rsid w:val="000E50A8"/>
    <w:rsid w:val="000E511C"/>
    <w:rsid w:val="000E560B"/>
    <w:rsid w:val="000E77AA"/>
    <w:rsid w:val="000E78D0"/>
    <w:rsid w:val="000E7BE3"/>
    <w:rsid w:val="000F0A83"/>
    <w:rsid w:val="000F1487"/>
    <w:rsid w:val="000F17E9"/>
    <w:rsid w:val="000F1992"/>
    <w:rsid w:val="000F1BE6"/>
    <w:rsid w:val="000F1CD2"/>
    <w:rsid w:val="000F28AF"/>
    <w:rsid w:val="000F2C87"/>
    <w:rsid w:val="000F2E82"/>
    <w:rsid w:val="000F4B9E"/>
    <w:rsid w:val="000F4C1B"/>
    <w:rsid w:val="000F5616"/>
    <w:rsid w:val="000F5A5B"/>
    <w:rsid w:val="000F60C0"/>
    <w:rsid w:val="000F6196"/>
    <w:rsid w:val="000F719A"/>
    <w:rsid w:val="000F72AC"/>
    <w:rsid w:val="000F761C"/>
    <w:rsid w:val="000F7BE6"/>
    <w:rsid w:val="001007C7"/>
    <w:rsid w:val="00100B1B"/>
    <w:rsid w:val="00101165"/>
    <w:rsid w:val="001021A7"/>
    <w:rsid w:val="001039A1"/>
    <w:rsid w:val="00103A48"/>
    <w:rsid w:val="00103AAB"/>
    <w:rsid w:val="00103DBC"/>
    <w:rsid w:val="00103DE1"/>
    <w:rsid w:val="00103F36"/>
    <w:rsid w:val="0010442E"/>
    <w:rsid w:val="00104632"/>
    <w:rsid w:val="00104CF1"/>
    <w:rsid w:val="00105159"/>
    <w:rsid w:val="00107BA2"/>
    <w:rsid w:val="0011171D"/>
    <w:rsid w:val="001117A3"/>
    <w:rsid w:val="00112437"/>
    <w:rsid w:val="00112EC4"/>
    <w:rsid w:val="00113301"/>
    <w:rsid w:val="0011397D"/>
    <w:rsid w:val="00113E23"/>
    <w:rsid w:val="00114065"/>
    <w:rsid w:val="001141C1"/>
    <w:rsid w:val="001146C6"/>
    <w:rsid w:val="00114B4F"/>
    <w:rsid w:val="00115024"/>
    <w:rsid w:val="001151B1"/>
    <w:rsid w:val="001151FC"/>
    <w:rsid w:val="001158B5"/>
    <w:rsid w:val="00115A93"/>
    <w:rsid w:val="00116E07"/>
    <w:rsid w:val="00117661"/>
    <w:rsid w:val="00120591"/>
    <w:rsid w:val="00120984"/>
    <w:rsid w:val="001211AF"/>
    <w:rsid w:val="00121CCC"/>
    <w:rsid w:val="00121E49"/>
    <w:rsid w:val="001221D7"/>
    <w:rsid w:val="001229F7"/>
    <w:rsid w:val="00122B17"/>
    <w:rsid w:val="00122C96"/>
    <w:rsid w:val="00123799"/>
    <w:rsid w:val="00123EC9"/>
    <w:rsid w:val="0012464D"/>
    <w:rsid w:val="00124B6C"/>
    <w:rsid w:val="00124ECB"/>
    <w:rsid w:val="00125FE5"/>
    <w:rsid w:val="001260D7"/>
    <w:rsid w:val="0012627B"/>
    <w:rsid w:val="00126722"/>
    <w:rsid w:val="00127388"/>
    <w:rsid w:val="00130A16"/>
    <w:rsid w:val="00130B80"/>
    <w:rsid w:val="00130CC0"/>
    <w:rsid w:val="00131B71"/>
    <w:rsid w:val="00133045"/>
    <w:rsid w:val="001331DA"/>
    <w:rsid w:val="0013320D"/>
    <w:rsid w:val="00133CE2"/>
    <w:rsid w:val="00133E54"/>
    <w:rsid w:val="00133EA1"/>
    <w:rsid w:val="001350CB"/>
    <w:rsid w:val="00135B41"/>
    <w:rsid w:val="00135BF7"/>
    <w:rsid w:val="00136529"/>
    <w:rsid w:val="0013705A"/>
    <w:rsid w:val="0013728C"/>
    <w:rsid w:val="00137EE6"/>
    <w:rsid w:val="0014031E"/>
    <w:rsid w:val="00140634"/>
    <w:rsid w:val="0014073E"/>
    <w:rsid w:val="00140E07"/>
    <w:rsid w:val="00141A78"/>
    <w:rsid w:val="00142513"/>
    <w:rsid w:val="0014300A"/>
    <w:rsid w:val="00143E24"/>
    <w:rsid w:val="0014470A"/>
    <w:rsid w:val="0014502C"/>
    <w:rsid w:val="00145749"/>
    <w:rsid w:val="00145D6E"/>
    <w:rsid w:val="00146585"/>
    <w:rsid w:val="0014728A"/>
    <w:rsid w:val="00147742"/>
    <w:rsid w:val="00147FEE"/>
    <w:rsid w:val="001512F0"/>
    <w:rsid w:val="00151B47"/>
    <w:rsid w:val="00151CC7"/>
    <w:rsid w:val="00152065"/>
    <w:rsid w:val="00152311"/>
    <w:rsid w:val="00152652"/>
    <w:rsid w:val="00152F06"/>
    <w:rsid w:val="001532FC"/>
    <w:rsid w:val="00153A2A"/>
    <w:rsid w:val="00154518"/>
    <w:rsid w:val="00154FD1"/>
    <w:rsid w:val="001550A1"/>
    <w:rsid w:val="00155ABD"/>
    <w:rsid w:val="00156B29"/>
    <w:rsid w:val="00156E1D"/>
    <w:rsid w:val="00156ED4"/>
    <w:rsid w:val="00156FF0"/>
    <w:rsid w:val="001578D3"/>
    <w:rsid w:val="00160ECC"/>
    <w:rsid w:val="00160FF0"/>
    <w:rsid w:val="00161537"/>
    <w:rsid w:val="00161B58"/>
    <w:rsid w:val="00161C54"/>
    <w:rsid w:val="001621E4"/>
    <w:rsid w:val="001621F0"/>
    <w:rsid w:val="001628EA"/>
    <w:rsid w:val="00162968"/>
    <w:rsid w:val="0016322B"/>
    <w:rsid w:val="001632C3"/>
    <w:rsid w:val="00163865"/>
    <w:rsid w:val="00163C55"/>
    <w:rsid w:val="00164098"/>
    <w:rsid w:val="00164154"/>
    <w:rsid w:val="001644F5"/>
    <w:rsid w:val="00164508"/>
    <w:rsid w:val="00164536"/>
    <w:rsid w:val="00164D7E"/>
    <w:rsid w:val="00165082"/>
    <w:rsid w:val="0016613E"/>
    <w:rsid w:val="0016645F"/>
    <w:rsid w:val="001666D0"/>
    <w:rsid w:val="00166997"/>
    <w:rsid w:val="00166BCE"/>
    <w:rsid w:val="00167F92"/>
    <w:rsid w:val="00170957"/>
    <w:rsid w:val="00171E98"/>
    <w:rsid w:val="00171EDB"/>
    <w:rsid w:val="0017289C"/>
    <w:rsid w:val="00172907"/>
    <w:rsid w:val="0017302C"/>
    <w:rsid w:val="00174972"/>
    <w:rsid w:val="0017564F"/>
    <w:rsid w:val="00175D58"/>
    <w:rsid w:val="001760A0"/>
    <w:rsid w:val="0017647E"/>
    <w:rsid w:val="00176AA6"/>
    <w:rsid w:val="00177140"/>
    <w:rsid w:val="00180492"/>
    <w:rsid w:val="0018094E"/>
    <w:rsid w:val="00180EBC"/>
    <w:rsid w:val="001818D6"/>
    <w:rsid w:val="0018200D"/>
    <w:rsid w:val="0018210B"/>
    <w:rsid w:val="001826EF"/>
    <w:rsid w:val="001834C6"/>
    <w:rsid w:val="00183FFD"/>
    <w:rsid w:val="0018444E"/>
    <w:rsid w:val="001848E9"/>
    <w:rsid w:val="00184B9F"/>
    <w:rsid w:val="00184F47"/>
    <w:rsid w:val="00185DB0"/>
    <w:rsid w:val="001865EA"/>
    <w:rsid w:val="00186B47"/>
    <w:rsid w:val="00187767"/>
    <w:rsid w:val="00187DEA"/>
    <w:rsid w:val="0019088C"/>
    <w:rsid w:val="0019242F"/>
    <w:rsid w:val="00192D7C"/>
    <w:rsid w:val="00193B75"/>
    <w:rsid w:val="001942F9"/>
    <w:rsid w:val="00194345"/>
    <w:rsid w:val="0019441D"/>
    <w:rsid w:val="00194EC1"/>
    <w:rsid w:val="00195AA9"/>
    <w:rsid w:val="00195EA4"/>
    <w:rsid w:val="00196CF4"/>
    <w:rsid w:val="0019708B"/>
    <w:rsid w:val="0019724F"/>
    <w:rsid w:val="0019792B"/>
    <w:rsid w:val="00197DAE"/>
    <w:rsid w:val="001A0BC8"/>
    <w:rsid w:val="001A0E44"/>
    <w:rsid w:val="001A127B"/>
    <w:rsid w:val="001A1483"/>
    <w:rsid w:val="001A14D8"/>
    <w:rsid w:val="001A19F8"/>
    <w:rsid w:val="001A221B"/>
    <w:rsid w:val="001A2259"/>
    <w:rsid w:val="001A28A6"/>
    <w:rsid w:val="001A3391"/>
    <w:rsid w:val="001A3982"/>
    <w:rsid w:val="001A3F8B"/>
    <w:rsid w:val="001A44E4"/>
    <w:rsid w:val="001A4AA9"/>
    <w:rsid w:val="001A59E4"/>
    <w:rsid w:val="001A5F43"/>
    <w:rsid w:val="001A7257"/>
    <w:rsid w:val="001A7A3A"/>
    <w:rsid w:val="001A7CC3"/>
    <w:rsid w:val="001B01AD"/>
    <w:rsid w:val="001B0E35"/>
    <w:rsid w:val="001B0F00"/>
    <w:rsid w:val="001B0FB4"/>
    <w:rsid w:val="001B12A1"/>
    <w:rsid w:val="001B17AF"/>
    <w:rsid w:val="001B1A7F"/>
    <w:rsid w:val="001B1C8C"/>
    <w:rsid w:val="001B1FBE"/>
    <w:rsid w:val="001B24E8"/>
    <w:rsid w:val="001B2B15"/>
    <w:rsid w:val="001B301B"/>
    <w:rsid w:val="001B3435"/>
    <w:rsid w:val="001B3C28"/>
    <w:rsid w:val="001B3D5A"/>
    <w:rsid w:val="001B48F9"/>
    <w:rsid w:val="001B4E0C"/>
    <w:rsid w:val="001B4FA0"/>
    <w:rsid w:val="001B5674"/>
    <w:rsid w:val="001B56A7"/>
    <w:rsid w:val="001B5A87"/>
    <w:rsid w:val="001B60D1"/>
    <w:rsid w:val="001B6AAE"/>
    <w:rsid w:val="001B6D47"/>
    <w:rsid w:val="001B706A"/>
    <w:rsid w:val="001B731D"/>
    <w:rsid w:val="001B74E4"/>
    <w:rsid w:val="001B7C7E"/>
    <w:rsid w:val="001B7E33"/>
    <w:rsid w:val="001B7F32"/>
    <w:rsid w:val="001B7F5A"/>
    <w:rsid w:val="001C0448"/>
    <w:rsid w:val="001C0493"/>
    <w:rsid w:val="001C13CF"/>
    <w:rsid w:val="001C1FAD"/>
    <w:rsid w:val="001C29BB"/>
    <w:rsid w:val="001C2C3F"/>
    <w:rsid w:val="001C3270"/>
    <w:rsid w:val="001C33F0"/>
    <w:rsid w:val="001C3D80"/>
    <w:rsid w:val="001C3E73"/>
    <w:rsid w:val="001C4288"/>
    <w:rsid w:val="001C513E"/>
    <w:rsid w:val="001C533B"/>
    <w:rsid w:val="001C54A8"/>
    <w:rsid w:val="001C592B"/>
    <w:rsid w:val="001C5986"/>
    <w:rsid w:val="001C74B8"/>
    <w:rsid w:val="001C7898"/>
    <w:rsid w:val="001C7AED"/>
    <w:rsid w:val="001D0ACE"/>
    <w:rsid w:val="001D0CDA"/>
    <w:rsid w:val="001D0E6B"/>
    <w:rsid w:val="001D13DE"/>
    <w:rsid w:val="001D1E0F"/>
    <w:rsid w:val="001D2472"/>
    <w:rsid w:val="001D400B"/>
    <w:rsid w:val="001D4551"/>
    <w:rsid w:val="001D56DA"/>
    <w:rsid w:val="001D5C17"/>
    <w:rsid w:val="001D7D0B"/>
    <w:rsid w:val="001D7F82"/>
    <w:rsid w:val="001E068E"/>
    <w:rsid w:val="001E187C"/>
    <w:rsid w:val="001E1996"/>
    <w:rsid w:val="001E2076"/>
    <w:rsid w:val="001E3280"/>
    <w:rsid w:val="001E35C3"/>
    <w:rsid w:val="001E368F"/>
    <w:rsid w:val="001E37D4"/>
    <w:rsid w:val="001E3AE1"/>
    <w:rsid w:val="001E3BA3"/>
    <w:rsid w:val="001E3BAF"/>
    <w:rsid w:val="001E432E"/>
    <w:rsid w:val="001E4C52"/>
    <w:rsid w:val="001E4EC4"/>
    <w:rsid w:val="001E53C6"/>
    <w:rsid w:val="001E5498"/>
    <w:rsid w:val="001E54DE"/>
    <w:rsid w:val="001E5E7A"/>
    <w:rsid w:val="001E638D"/>
    <w:rsid w:val="001E654C"/>
    <w:rsid w:val="001E6D61"/>
    <w:rsid w:val="001E6F03"/>
    <w:rsid w:val="001E6F1A"/>
    <w:rsid w:val="001E74DA"/>
    <w:rsid w:val="001E7D05"/>
    <w:rsid w:val="001E7EC9"/>
    <w:rsid w:val="001F0BC6"/>
    <w:rsid w:val="001F1E96"/>
    <w:rsid w:val="001F1EDE"/>
    <w:rsid w:val="001F228B"/>
    <w:rsid w:val="001F23A1"/>
    <w:rsid w:val="001F2A33"/>
    <w:rsid w:val="001F3DE4"/>
    <w:rsid w:val="001F3DE6"/>
    <w:rsid w:val="001F3F17"/>
    <w:rsid w:val="001F43D2"/>
    <w:rsid w:val="001F4AEF"/>
    <w:rsid w:val="001F5049"/>
    <w:rsid w:val="001F5650"/>
    <w:rsid w:val="001F56F6"/>
    <w:rsid w:val="001F5940"/>
    <w:rsid w:val="001F60BC"/>
    <w:rsid w:val="001F68A8"/>
    <w:rsid w:val="001F6C49"/>
    <w:rsid w:val="001F6D0A"/>
    <w:rsid w:val="001F6D17"/>
    <w:rsid w:val="001F751F"/>
    <w:rsid w:val="001F7611"/>
    <w:rsid w:val="001F763D"/>
    <w:rsid w:val="001F7BFF"/>
    <w:rsid w:val="00200177"/>
    <w:rsid w:val="00200464"/>
    <w:rsid w:val="00200696"/>
    <w:rsid w:val="00200ADA"/>
    <w:rsid w:val="00200F19"/>
    <w:rsid w:val="00202328"/>
    <w:rsid w:val="002023D1"/>
    <w:rsid w:val="00202534"/>
    <w:rsid w:val="00202B6D"/>
    <w:rsid w:val="0020324D"/>
    <w:rsid w:val="00203994"/>
    <w:rsid w:val="002039AB"/>
    <w:rsid w:val="00203A25"/>
    <w:rsid w:val="002043BF"/>
    <w:rsid w:val="0020464F"/>
    <w:rsid w:val="00204BE1"/>
    <w:rsid w:val="00204FE5"/>
    <w:rsid w:val="00205027"/>
    <w:rsid w:val="002060AD"/>
    <w:rsid w:val="002066AE"/>
    <w:rsid w:val="00207085"/>
    <w:rsid w:val="0020799A"/>
    <w:rsid w:val="00207C1F"/>
    <w:rsid w:val="00211D61"/>
    <w:rsid w:val="00211DC8"/>
    <w:rsid w:val="00211EE1"/>
    <w:rsid w:val="002121EE"/>
    <w:rsid w:val="002121F2"/>
    <w:rsid w:val="002126AB"/>
    <w:rsid w:val="00213320"/>
    <w:rsid w:val="00213981"/>
    <w:rsid w:val="00213A48"/>
    <w:rsid w:val="00213C77"/>
    <w:rsid w:val="00213DD0"/>
    <w:rsid w:val="00214444"/>
    <w:rsid w:val="002153B5"/>
    <w:rsid w:val="002155E1"/>
    <w:rsid w:val="002159A1"/>
    <w:rsid w:val="00215B7B"/>
    <w:rsid w:val="00215F92"/>
    <w:rsid w:val="0021629C"/>
    <w:rsid w:val="00216389"/>
    <w:rsid w:val="0021685D"/>
    <w:rsid w:val="00216CEF"/>
    <w:rsid w:val="00217331"/>
    <w:rsid w:val="00217432"/>
    <w:rsid w:val="002175F8"/>
    <w:rsid w:val="002177D5"/>
    <w:rsid w:val="002177E5"/>
    <w:rsid w:val="00217F8B"/>
    <w:rsid w:val="00220032"/>
    <w:rsid w:val="00220709"/>
    <w:rsid w:val="00220AA5"/>
    <w:rsid w:val="002211D0"/>
    <w:rsid w:val="002212B0"/>
    <w:rsid w:val="00222637"/>
    <w:rsid w:val="00222C22"/>
    <w:rsid w:val="00222E27"/>
    <w:rsid w:val="002232CC"/>
    <w:rsid w:val="00223B1C"/>
    <w:rsid w:val="002246A6"/>
    <w:rsid w:val="00224845"/>
    <w:rsid w:val="0022484D"/>
    <w:rsid w:val="002253D7"/>
    <w:rsid w:val="002258EE"/>
    <w:rsid w:val="00225BE2"/>
    <w:rsid w:val="00225D43"/>
    <w:rsid w:val="00225DA9"/>
    <w:rsid w:val="00225EEE"/>
    <w:rsid w:val="0022731D"/>
    <w:rsid w:val="002275BC"/>
    <w:rsid w:val="002276F7"/>
    <w:rsid w:val="002277ED"/>
    <w:rsid w:val="00227BDE"/>
    <w:rsid w:val="00227CC4"/>
    <w:rsid w:val="002301DB"/>
    <w:rsid w:val="0023092C"/>
    <w:rsid w:val="00230EFB"/>
    <w:rsid w:val="00231935"/>
    <w:rsid w:val="00231E56"/>
    <w:rsid w:val="00231EDE"/>
    <w:rsid w:val="002336D0"/>
    <w:rsid w:val="002336F8"/>
    <w:rsid w:val="002338CF"/>
    <w:rsid w:val="002339FB"/>
    <w:rsid w:val="00233F87"/>
    <w:rsid w:val="00233F88"/>
    <w:rsid w:val="00234A8A"/>
    <w:rsid w:val="0023536B"/>
    <w:rsid w:val="00235379"/>
    <w:rsid w:val="00236CB6"/>
    <w:rsid w:val="00236E6D"/>
    <w:rsid w:val="00237C06"/>
    <w:rsid w:val="0024014F"/>
    <w:rsid w:val="002407F0"/>
    <w:rsid w:val="00241F3D"/>
    <w:rsid w:val="00244113"/>
    <w:rsid w:val="0024474F"/>
    <w:rsid w:val="0024556F"/>
    <w:rsid w:val="002457B7"/>
    <w:rsid w:val="002463E3"/>
    <w:rsid w:val="002468FE"/>
    <w:rsid w:val="00246A94"/>
    <w:rsid w:val="00246B60"/>
    <w:rsid w:val="002474D4"/>
    <w:rsid w:val="00250141"/>
    <w:rsid w:val="002503AC"/>
    <w:rsid w:val="002516A0"/>
    <w:rsid w:val="002517FE"/>
    <w:rsid w:val="002519B9"/>
    <w:rsid w:val="00252436"/>
    <w:rsid w:val="002529A5"/>
    <w:rsid w:val="00253406"/>
    <w:rsid w:val="00253F75"/>
    <w:rsid w:val="00254259"/>
    <w:rsid w:val="002546F3"/>
    <w:rsid w:val="00254ADF"/>
    <w:rsid w:val="00254F23"/>
    <w:rsid w:val="002565EE"/>
    <w:rsid w:val="002567D8"/>
    <w:rsid w:val="00256826"/>
    <w:rsid w:val="00256B1F"/>
    <w:rsid w:val="00256D80"/>
    <w:rsid w:val="00257AAB"/>
    <w:rsid w:val="00257BAA"/>
    <w:rsid w:val="00260E53"/>
    <w:rsid w:val="00261225"/>
    <w:rsid w:val="002615AD"/>
    <w:rsid w:val="00262BCB"/>
    <w:rsid w:val="00262EB3"/>
    <w:rsid w:val="002635C0"/>
    <w:rsid w:val="00264300"/>
    <w:rsid w:val="0026466F"/>
    <w:rsid w:val="00264F9F"/>
    <w:rsid w:val="00264FDF"/>
    <w:rsid w:val="0026582F"/>
    <w:rsid w:val="0026590B"/>
    <w:rsid w:val="00265A66"/>
    <w:rsid w:val="002666E0"/>
    <w:rsid w:val="00266AF9"/>
    <w:rsid w:val="0026705E"/>
    <w:rsid w:val="002673C5"/>
    <w:rsid w:val="00267452"/>
    <w:rsid w:val="00267D78"/>
    <w:rsid w:val="0026E64B"/>
    <w:rsid w:val="00271E27"/>
    <w:rsid w:val="0027212A"/>
    <w:rsid w:val="00272767"/>
    <w:rsid w:val="00272AD1"/>
    <w:rsid w:val="00272C90"/>
    <w:rsid w:val="00273F54"/>
    <w:rsid w:val="00274703"/>
    <w:rsid w:val="00274BBB"/>
    <w:rsid w:val="0027530D"/>
    <w:rsid w:val="00275869"/>
    <w:rsid w:val="00275B73"/>
    <w:rsid w:val="00276215"/>
    <w:rsid w:val="00277E56"/>
    <w:rsid w:val="002801F5"/>
    <w:rsid w:val="00280808"/>
    <w:rsid w:val="00280B90"/>
    <w:rsid w:val="00281640"/>
    <w:rsid w:val="00281685"/>
    <w:rsid w:val="00281983"/>
    <w:rsid w:val="00282758"/>
    <w:rsid w:val="00282831"/>
    <w:rsid w:val="002853FB"/>
    <w:rsid w:val="002854FF"/>
    <w:rsid w:val="00285C1A"/>
    <w:rsid w:val="00286395"/>
    <w:rsid w:val="00290626"/>
    <w:rsid w:val="00290A2A"/>
    <w:rsid w:val="00290D0C"/>
    <w:rsid w:val="00290EAB"/>
    <w:rsid w:val="00290F85"/>
    <w:rsid w:val="00291CC1"/>
    <w:rsid w:val="00291EC0"/>
    <w:rsid w:val="0029263E"/>
    <w:rsid w:val="00293443"/>
    <w:rsid w:val="00293FB9"/>
    <w:rsid w:val="002948C5"/>
    <w:rsid w:val="00294CBF"/>
    <w:rsid w:val="00294FA7"/>
    <w:rsid w:val="002954B0"/>
    <w:rsid w:val="00295593"/>
    <w:rsid w:val="002959CE"/>
    <w:rsid w:val="00295D56"/>
    <w:rsid w:val="0029607A"/>
    <w:rsid w:val="00296B87"/>
    <w:rsid w:val="00296BDD"/>
    <w:rsid w:val="002A0118"/>
    <w:rsid w:val="002A04BE"/>
    <w:rsid w:val="002A13E1"/>
    <w:rsid w:val="002A1A04"/>
    <w:rsid w:val="002A1BE5"/>
    <w:rsid w:val="002A27EE"/>
    <w:rsid w:val="002A3C82"/>
    <w:rsid w:val="002A3EC4"/>
    <w:rsid w:val="002A427B"/>
    <w:rsid w:val="002A4380"/>
    <w:rsid w:val="002A47A4"/>
    <w:rsid w:val="002A493D"/>
    <w:rsid w:val="002A4F2B"/>
    <w:rsid w:val="002A5506"/>
    <w:rsid w:val="002A56A2"/>
    <w:rsid w:val="002A57AE"/>
    <w:rsid w:val="002A5B37"/>
    <w:rsid w:val="002A654C"/>
    <w:rsid w:val="002A6785"/>
    <w:rsid w:val="002A6EA2"/>
    <w:rsid w:val="002B01A1"/>
    <w:rsid w:val="002B1708"/>
    <w:rsid w:val="002B1C68"/>
    <w:rsid w:val="002B1F85"/>
    <w:rsid w:val="002B26A6"/>
    <w:rsid w:val="002B2789"/>
    <w:rsid w:val="002B2BA2"/>
    <w:rsid w:val="002B34B6"/>
    <w:rsid w:val="002B362B"/>
    <w:rsid w:val="002B4005"/>
    <w:rsid w:val="002B44B8"/>
    <w:rsid w:val="002B5A85"/>
    <w:rsid w:val="002B654B"/>
    <w:rsid w:val="002B6A3E"/>
    <w:rsid w:val="002B6A89"/>
    <w:rsid w:val="002B7469"/>
    <w:rsid w:val="002B7564"/>
    <w:rsid w:val="002B7E1A"/>
    <w:rsid w:val="002C0FA4"/>
    <w:rsid w:val="002C1BFE"/>
    <w:rsid w:val="002C21CB"/>
    <w:rsid w:val="002C224F"/>
    <w:rsid w:val="002C24FB"/>
    <w:rsid w:val="002C286D"/>
    <w:rsid w:val="002C2CC0"/>
    <w:rsid w:val="002C2F24"/>
    <w:rsid w:val="002C37C6"/>
    <w:rsid w:val="002C3C04"/>
    <w:rsid w:val="002C4377"/>
    <w:rsid w:val="002C493F"/>
    <w:rsid w:val="002C5412"/>
    <w:rsid w:val="002C5A4F"/>
    <w:rsid w:val="002C7058"/>
    <w:rsid w:val="002C7109"/>
    <w:rsid w:val="002C7690"/>
    <w:rsid w:val="002C7A26"/>
    <w:rsid w:val="002D13FF"/>
    <w:rsid w:val="002D1BD9"/>
    <w:rsid w:val="002D28A7"/>
    <w:rsid w:val="002D3408"/>
    <w:rsid w:val="002D3443"/>
    <w:rsid w:val="002D44C7"/>
    <w:rsid w:val="002D4625"/>
    <w:rsid w:val="002D469A"/>
    <w:rsid w:val="002D5D91"/>
    <w:rsid w:val="002D62B9"/>
    <w:rsid w:val="002D6654"/>
    <w:rsid w:val="002D79E0"/>
    <w:rsid w:val="002D7C3A"/>
    <w:rsid w:val="002D7F4D"/>
    <w:rsid w:val="002E0B4B"/>
    <w:rsid w:val="002E0E03"/>
    <w:rsid w:val="002E0F63"/>
    <w:rsid w:val="002E1739"/>
    <w:rsid w:val="002E205D"/>
    <w:rsid w:val="002E2472"/>
    <w:rsid w:val="002E2491"/>
    <w:rsid w:val="002E24D6"/>
    <w:rsid w:val="002E24DE"/>
    <w:rsid w:val="002E351A"/>
    <w:rsid w:val="002E3F82"/>
    <w:rsid w:val="002E43E3"/>
    <w:rsid w:val="002E447C"/>
    <w:rsid w:val="002E4B5F"/>
    <w:rsid w:val="002E4EA1"/>
    <w:rsid w:val="002E5DA4"/>
    <w:rsid w:val="002E6C35"/>
    <w:rsid w:val="002E75E3"/>
    <w:rsid w:val="002E7A6F"/>
    <w:rsid w:val="002E7B2F"/>
    <w:rsid w:val="002E7B59"/>
    <w:rsid w:val="002E7C23"/>
    <w:rsid w:val="002E7C3C"/>
    <w:rsid w:val="002E7FEE"/>
    <w:rsid w:val="002F11EA"/>
    <w:rsid w:val="002F1307"/>
    <w:rsid w:val="002F21C7"/>
    <w:rsid w:val="002F2405"/>
    <w:rsid w:val="002F2B0E"/>
    <w:rsid w:val="002F2CED"/>
    <w:rsid w:val="002F3EDD"/>
    <w:rsid w:val="002F4718"/>
    <w:rsid w:val="002F4CFE"/>
    <w:rsid w:val="002F54F4"/>
    <w:rsid w:val="002F5598"/>
    <w:rsid w:val="002F59CC"/>
    <w:rsid w:val="002F6129"/>
    <w:rsid w:val="002F655C"/>
    <w:rsid w:val="002F65D8"/>
    <w:rsid w:val="002F7522"/>
    <w:rsid w:val="002F7800"/>
    <w:rsid w:val="002F78A5"/>
    <w:rsid w:val="00300685"/>
    <w:rsid w:val="00300739"/>
    <w:rsid w:val="00301661"/>
    <w:rsid w:val="00302913"/>
    <w:rsid w:val="00302DDD"/>
    <w:rsid w:val="00303932"/>
    <w:rsid w:val="00303AFE"/>
    <w:rsid w:val="0030417B"/>
    <w:rsid w:val="003050E6"/>
    <w:rsid w:val="00305649"/>
    <w:rsid w:val="00305C93"/>
    <w:rsid w:val="0030690C"/>
    <w:rsid w:val="00307E09"/>
    <w:rsid w:val="0031005C"/>
    <w:rsid w:val="00310D63"/>
    <w:rsid w:val="00310F76"/>
    <w:rsid w:val="00312248"/>
    <w:rsid w:val="00312420"/>
    <w:rsid w:val="003127A8"/>
    <w:rsid w:val="003127E5"/>
    <w:rsid w:val="00312E2F"/>
    <w:rsid w:val="0031343A"/>
    <w:rsid w:val="00313479"/>
    <w:rsid w:val="0031367A"/>
    <w:rsid w:val="003136C6"/>
    <w:rsid w:val="00314097"/>
    <w:rsid w:val="0031483A"/>
    <w:rsid w:val="0031633A"/>
    <w:rsid w:val="003166BB"/>
    <w:rsid w:val="003167F1"/>
    <w:rsid w:val="00317630"/>
    <w:rsid w:val="0031CA64"/>
    <w:rsid w:val="00320975"/>
    <w:rsid w:val="00320AB0"/>
    <w:rsid w:val="00320E44"/>
    <w:rsid w:val="00322097"/>
    <w:rsid w:val="00323116"/>
    <w:rsid w:val="00323D80"/>
    <w:rsid w:val="00324172"/>
    <w:rsid w:val="00325597"/>
    <w:rsid w:val="00325B77"/>
    <w:rsid w:val="00326A90"/>
    <w:rsid w:val="00326C6E"/>
    <w:rsid w:val="0032783D"/>
    <w:rsid w:val="00327A80"/>
    <w:rsid w:val="00327B92"/>
    <w:rsid w:val="00330D70"/>
    <w:rsid w:val="0033137C"/>
    <w:rsid w:val="0033171B"/>
    <w:rsid w:val="003317E2"/>
    <w:rsid w:val="0033188F"/>
    <w:rsid w:val="003319C8"/>
    <w:rsid w:val="0033228C"/>
    <w:rsid w:val="0033313C"/>
    <w:rsid w:val="00333618"/>
    <w:rsid w:val="003343F4"/>
    <w:rsid w:val="003345A2"/>
    <w:rsid w:val="003355E5"/>
    <w:rsid w:val="00335A7D"/>
    <w:rsid w:val="003362C8"/>
    <w:rsid w:val="00336D36"/>
    <w:rsid w:val="00337D78"/>
    <w:rsid w:val="0034009E"/>
    <w:rsid w:val="003408DB"/>
    <w:rsid w:val="003412E2"/>
    <w:rsid w:val="00342E8C"/>
    <w:rsid w:val="00345124"/>
    <w:rsid w:val="003454F0"/>
    <w:rsid w:val="0034565A"/>
    <w:rsid w:val="00345934"/>
    <w:rsid w:val="00346A73"/>
    <w:rsid w:val="00346CD3"/>
    <w:rsid w:val="00347C96"/>
    <w:rsid w:val="00347EC4"/>
    <w:rsid w:val="003509FA"/>
    <w:rsid w:val="00350DF6"/>
    <w:rsid w:val="00351878"/>
    <w:rsid w:val="00351D1F"/>
    <w:rsid w:val="0035231B"/>
    <w:rsid w:val="003524AB"/>
    <w:rsid w:val="003526D3"/>
    <w:rsid w:val="00352B5E"/>
    <w:rsid w:val="0035345D"/>
    <w:rsid w:val="00355810"/>
    <w:rsid w:val="00355BD2"/>
    <w:rsid w:val="003563C6"/>
    <w:rsid w:val="00356578"/>
    <w:rsid w:val="00357490"/>
    <w:rsid w:val="00357651"/>
    <w:rsid w:val="00357FEE"/>
    <w:rsid w:val="00361124"/>
    <w:rsid w:val="00361482"/>
    <w:rsid w:val="00362251"/>
    <w:rsid w:val="003624E4"/>
    <w:rsid w:val="0036265E"/>
    <w:rsid w:val="003630CB"/>
    <w:rsid w:val="0036424E"/>
    <w:rsid w:val="00364C42"/>
    <w:rsid w:val="003657EF"/>
    <w:rsid w:val="003659C7"/>
    <w:rsid w:val="0036649F"/>
    <w:rsid w:val="003664F7"/>
    <w:rsid w:val="00367A95"/>
    <w:rsid w:val="0037017A"/>
    <w:rsid w:val="0037025B"/>
    <w:rsid w:val="003702C0"/>
    <w:rsid w:val="00370FA2"/>
    <w:rsid w:val="00372495"/>
    <w:rsid w:val="00372F2E"/>
    <w:rsid w:val="003732F1"/>
    <w:rsid w:val="00373632"/>
    <w:rsid w:val="00373635"/>
    <w:rsid w:val="003738FA"/>
    <w:rsid w:val="00373F15"/>
    <w:rsid w:val="003747AF"/>
    <w:rsid w:val="00374A7E"/>
    <w:rsid w:val="00375635"/>
    <w:rsid w:val="00375771"/>
    <w:rsid w:val="003757DE"/>
    <w:rsid w:val="00375EF1"/>
    <w:rsid w:val="00376064"/>
    <w:rsid w:val="00376365"/>
    <w:rsid w:val="00376609"/>
    <w:rsid w:val="00377C04"/>
    <w:rsid w:val="00380460"/>
    <w:rsid w:val="00380520"/>
    <w:rsid w:val="003806A7"/>
    <w:rsid w:val="003807C4"/>
    <w:rsid w:val="00380D56"/>
    <w:rsid w:val="00380D6D"/>
    <w:rsid w:val="00381011"/>
    <w:rsid w:val="00381604"/>
    <w:rsid w:val="0038187A"/>
    <w:rsid w:val="00382A3A"/>
    <w:rsid w:val="00383593"/>
    <w:rsid w:val="00383C00"/>
    <w:rsid w:val="00383EF4"/>
    <w:rsid w:val="00383F71"/>
    <w:rsid w:val="003843EB"/>
    <w:rsid w:val="00384F18"/>
    <w:rsid w:val="00385C24"/>
    <w:rsid w:val="00386777"/>
    <w:rsid w:val="00386975"/>
    <w:rsid w:val="003869BF"/>
    <w:rsid w:val="00387AEF"/>
    <w:rsid w:val="00387B9F"/>
    <w:rsid w:val="00387F3C"/>
    <w:rsid w:val="0038EA43"/>
    <w:rsid w:val="00390208"/>
    <w:rsid w:val="00390EBF"/>
    <w:rsid w:val="003913E8"/>
    <w:rsid w:val="0039142B"/>
    <w:rsid w:val="00391851"/>
    <w:rsid w:val="00391BFE"/>
    <w:rsid w:val="003924FF"/>
    <w:rsid w:val="00392DA2"/>
    <w:rsid w:val="0039325F"/>
    <w:rsid w:val="00393C16"/>
    <w:rsid w:val="00393DC0"/>
    <w:rsid w:val="0039405E"/>
    <w:rsid w:val="00394426"/>
    <w:rsid w:val="00394669"/>
    <w:rsid w:val="0039470A"/>
    <w:rsid w:val="00394D70"/>
    <w:rsid w:val="003964E5"/>
    <w:rsid w:val="00396F1A"/>
    <w:rsid w:val="00397571"/>
    <w:rsid w:val="00397B52"/>
    <w:rsid w:val="003A054F"/>
    <w:rsid w:val="003A06AC"/>
    <w:rsid w:val="003A0AFC"/>
    <w:rsid w:val="003A0BAA"/>
    <w:rsid w:val="003A1161"/>
    <w:rsid w:val="003A1758"/>
    <w:rsid w:val="003A1836"/>
    <w:rsid w:val="003A21D8"/>
    <w:rsid w:val="003A2334"/>
    <w:rsid w:val="003A2F1E"/>
    <w:rsid w:val="003A321E"/>
    <w:rsid w:val="003A32E9"/>
    <w:rsid w:val="003A3FCD"/>
    <w:rsid w:val="003A43BB"/>
    <w:rsid w:val="003A4537"/>
    <w:rsid w:val="003A4A92"/>
    <w:rsid w:val="003A4E8E"/>
    <w:rsid w:val="003A51C6"/>
    <w:rsid w:val="003A534D"/>
    <w:rsid w:val="003A5FBA"/>
    <w:rsid w:val="003A641F"/>
    <w:rsid w:val="003A711E"/>
    <w:rsid w:val="003A7424"/>
    <w:rsid w:val="003A763F"/>
    <w:rsid w:val="003A78AA"/>
    <w:rsid w:val="003A7FA8"/>
    <w:rsid w:val="003B1B83"/>
    <w:rsid w:val="003B1B97"/>
    <w:rsid w:val="003B1F57"/>
    <w:rsid w:val="003B25F7"/>
    <w:rsid w:val="003B288B"/>
    <w:rsid w:val="003B373E"/>
    <w:rsid w:val="003B3CE1"/>
    <w:rsid w:val="003B400C"/>
    <w:rsid w:val="003B569D"/>
    <w:rsid w:val="003B5EEC"/>
    <w:rsid w:val="003B5F44"/>
    <w:rsid w:val="003B6567"/>
    <w:rsid w:val="003B777E"/>
    <w:rsid w:val="003B7D36"/>
    <w:rsid w:val="003B7F66"/>
    <w:rsid w:val="003C0379"/>
    <w:rsid w:val="003C1019"/>
    <w:rsid w:val="003C1256"/>
    <w:rsid w:val="003C1903"/>
    <w:rsid w:val="003C1928"/>
    <w:rsid w:val="003C1EC3"/>
    <w:rsid w:val="003C217F"/>
    <w:rsid w:val="003C21AA"/>
    <w:rsid w:val="003C21CF"/>
    <w:rsid w:val="003C2369"/>
    <w:rsid w:val="003C23E6"/>
    <w:rsid w:val="003C2445"/>
    <w:rsid w:val="003C365B"/>
    <w:rsid w:val="003C3A48"/>
    <w:rsid w:val="003C3C9F"/>
    <w:rsid w:val="003C3E6F"/>
    <w:rsid w:val="003C3F12"/>
    <w:rsid w:val="003C3FEC"/>
    <w:rsid w:val="003C4F16"/>
    <w:rsid w:val="003C51AA"/>
    <w:rsid w:val="003C5DB3"/>
    <w:rsid w:val="003C5E66"/>
    <w:rsid w:val="003C6A25"/>
    <w:rsid w:val="003C6D34"/>
    <w:rsid w:val="003C7B5B"/>
    <w:rsid w:val="003C7DD6"/>
    <w:rsid w:val="003C7E4B"/>
    <w:rsid w:val="003C7FAA"/>
    <w:rsid w:val="003D0BB4"/>
    <w:rsid w:val="003D121F"/>
    <w:rsid w:val="003D18F9"/>
    <w:rsid w:val="003D19DB"/>
    <w:rsid w:val="003D1CD2"/>
    <w:rsid w:val="003D2476"/>
    <w:rsid w:val="003D24EB"/>
    <w:rsid w:val="003D2856"/>
    <w:rsid w:val="003D28E4"/>
    <w:rsid w:val="003D2F27"/>
    <w:rsid w:val="003D31FA"/>
    <w:rsid w:val="003D39D8"/>
    <w:rsid w:val="003D400B"/>
    <w:rsid w:val="003D42EC"/>
    <w:rsid w:val="003D43AC"/>
    <w:rsid w:val="003D495D"/>
    <w:rsid w:val="003D4D34"/>
    <w:rsid w:val="003D5306"/>
    <w:rsid w:val="003D54F7"/>
    <w:rsid w:val="003D69AF"/>
    <w:rsid w:val="003D6EEA"/>
    <w:rsid w:val="003D6FD9"/>
    <w:rsid w:val="003D725D"/>
    <w:rsid w:val="003E04CF"/>
    <w:rsid w:val="003E1516"/>
    <w:rsid w:val="003E1856"/>
    <w:rsid w:val="003E197A"/>
    <w:rsid w:val="003E2263"/>
    <w:rsid w:val="003E26E5"/>
    <w:rsid w:val="003E3004"/>
    <w:rsid w:val="003E38D2"/>
    <w:rsid w:val="003E3BEB"/>
    <w:rsid w:val="003E4736"/>
    <w:rsid w:val="003E4E7B"/>
    <w:rsid w:val="003E5149"/>
    <w:rsid w:val="003E517A"/>
    <w:rsid w:val="003E577D"/>
    <w:rsid w:val="003E63B6"/>
    <w:rsid w:val="003E674E"/>
    <w:rsid w:val="003E6892"/>
    <w:rsid w:val="003E7379"/>
    <w:rsid w:val="003F0264"/>
    <w:rsid w:val="003F0383"/>
    <w:rsid w:val="003F080B"/>
    <w:rsid w:val="003F08E4"/>
    <w:rsid w:val="003F0F5B"/>
    <w:rsid w:val="003F10D2"/>
    <w:rsid w:val="003F138A"/>
    <w:rsid w:val="003F1D89"/>
    <w:rsid w:val="003F1E46"/>
    <w:rsid w:val="003F2792"/>
    <w:rsid w:val="003F293E"/>
    <w:rsid w:val="003F2BFA"/>
    <w:rsid w:val="003F314E"/>
    <w:rsid w:val="003F547E"/>
    <w:rsid w:val="003F5F66"/>
    <w:rsid w:val="003F7090"/>
    <w:rsid w:val="003F712E"/>
    <w:rsid w:val="003F7252"/>
    <w:rsid w:val="003F779A"/>
    <w:rsid w:val="003F77D6"/>
    <w:rsid w:val="003F7B3F"/>
    <w:rsid w:val="003F7F6C"/>
    <w:rsid w:val="00400A3B"/>
    <w:rsid w:val="00400F6C"/>
    <w:rsid w:val="004011F8"/>
    <w:rsid w:val="004031F8"/>
    <w:rsid w:val="004032E8"/>
    <w:rsid w:val="00403B60"/>
    <w:rsid w:val="00403C27"/>
    <w:rsid w:val="00403FB2"/>
    <w:rsid w:val="00404797"/>
    <w:rsid w:val="00404B12"/>
    <w:rsid w:val="00404C47"/>
    <w:rsid w:val="00404F28"/>
    <w:rsid w:val="004051C2"/>
    <w:rsid w:val="004053D2"/>
    <w:rsid w:val="004054DD"/>
    <w:rsid w:val="0040565F"/>
    <w:rsid w:val="00405998"/>
    <w:rsid w:val="00405F9D"/>
    <w:rsid w:val="00407246"/>
    <w:rsid w:val="00407E4F"/>
    <w:rsid w:val="00410715"/>
    <w:rsid w:val="00410A72"/>
    <w:rsid w:val="004121B7"/>
    <w:rsid w:val="0041311F"/>
    <w:rsid w:val="0041390D"/>
    <w:rsid w:val="00413C75"/>
    <w:rsid w:val="00414F54"/>
    <w:rsid w:val="0041522C"/>
    <w:rsid w:val="004159A9"/>
    <w:rsid w:val="00415BB6"/>
    <w:rsid w:val="00416545"/>
    <w:rsid w:val="0041683E"/>
    <w:rsid w:val="00416F5F"/>
    <w:rsid w:val="00417D0A"/>
    <w:rsid w:val="00417EA9"/>
    <w:rsid w:val="004203B7"/>
    <w:rsid w:val="00421B57"/>
    <w:rsid w:val="00421D70"/>
    <w:rsid w:val="00421F28"/>
    <w:rsid w:val="0042265A"/>
    <w:rsid w:val="00422799"/>
    <w:rsid w:val="00422ABF"/>
    <w:rsid w:val="00422F8F"/>
    <w:rsid w:val="0042415D"/>
    <w:rsid w:val="004252EE"/>
    <w:rsid w:val="0042551B"/>
    <w:rsid w:val="0042561B"/>
    <w:rsid w:val="004259AE"/>
    <w:rsid w:val="00425B71"/>
    <w:rsid w:val="00426494"/>
    <w:rsid w:val="00426ED4"/>
    <w:rsid w:val="0042778C"/>
    <w:rsid w:val="0042780A"/>
    <w:rsid w:val="00427A54"/>
    <w:rsid w:val="00427E98"/>
    <w:rsid w:val="00427F4D"/>
    <w:rsid w:val="00427F9F"/>
    <w:rsid w:val="0043043D"/>
    <w:rsid w:val="00430941"/>
    <w:rsid w:val="00431D3D"/>
    <w:rsid w:val="004320D0"/>
    <w:rsid w:val="004320E3"/>
    <w:rsid w:val="004324B8"/>
    <w:rsid w:val="00432602"/>
    <w:rsid w:val="004326F0"/>
    <w:rsid w:val="00432C20"/>
    <w:rsid w:val="00432DA0"/>
    <w:rsid w:val="00432EBD"/>
    <w:rsid w:val="00433063"/>
    <w:rsid w:val="00433C23"/>
    <w:rsid w:val="00433E90"/>
    <w:rsid w:val="00433F2A"/>
    <w:rsid w:val="004341F2"/>
    <w:rsid w:val="00434A36"/>
    <w:rsid w:val="00434A9D"/>
    <w:rsid w:val="00434AC1"/>
    <w:rsid w:val="00434E5B"/>
    <w:rsid w:val="00434F15"/>
    <w:rsid w:val="00435570"/>
    <w:rsid w:val="00435974"/>
    <w:rsid w:val="004362D6"/>
    <w:rsid w:val="004365E7"/>
    <w:rsid w:val="004366A2"/>
    <w:rsid w:val="00437199"/>
    <w:rsid w:val="00437917"/>
    <w:rsid w:val="00437E35"/>
    <w:rsid w:val="0044043D"/>
    <w:rsid w:val="0044071F"/>
    <w:rsid w:val="00440B41"/>
    <w:rsid w:val="00440BCC"/>
    <w:rsid w:val="00441069"/>
    <w:rsid w:val="004418D9"/>
    <w:rsid w:val="00441F51"/>
    <w:rsid w:val="00441F9B"/>
    <w:rsid w:val="00441FC6"/>
    <w:rsid w:val="00442DE9"/>
    <w:rsid w:val="00443072"/>
    <w:rsid w:val="004435AF"/>
    <w:rsid w:val="00444763"/>
    <w:rsid w:val="00444CC0"/>
    <w:rsid w:val="0044535B"/>
    <w:rsid w:val="00446213"/>
    <w:rsid w:val="0044638B"/>
    <w:rsid w:val="00446E45"/>
    <w:rsid w:val="00446E9F"/>
    <w:rsid w:val="0045013B"/>
    <w:rsid w:val="0045032F"/>
    <w:rsid w:val="004507A6"/>
    <w:rsid w:val="0045134B"/>
    <w:rsid w:val="004529B7"/>
    <w:rsid w:val="00452AE9"/>
    <w:rsid w:val="00452B22"/>
    <w:rsid w:val="00452B90"/>
    <w:rsid w:val="00452C19"/>
    <w:rsid w:val="00453BFA"/>
    <w:rsid w:val="00453C82"/>
    <w:rsid w:val="0045407A"/>
    <w:rsid w:val="004545C3"/>
    <w:rsid w:val="004553F9"/>
    <w:rsid w:val="00455BD6"/>
    <w:rsid w:val="00455EF9"/>
    <w:rsid w:val="00456813"/>
    <w:rsid w:val="0045687C"/>
    <w:rsid w:val="00457382"/>
    <w:rsid w:val="004574B4"/>
    <w:rsid w:val="00457533"/>
    <w:rsid w:val="00457724"/>
    <w:rsid w:val="0045786F"/>
    <w:rsid w:val="00457D4E"/>
    <w:rsid w:val="004603F0"/>
    <w:rsid w:val="004605A3"/>
    <w:rsid w:val="00460DF1"/>
    <w:rsid w:val="00461D79"/>
    <w:rsid w:val="00461F0A"/>
    <w:rsid w:val="004622F7"/>
    <w:rsid w:val="00462551"/>
    <w:rsid w:val="004625A0"/>
    <w:rsid w:val="0046272D"/>
    <w:rsid w:val="004627D6"/>
    <w:rsid w:val="00462899"/>
    <w:rsid w:val="004635AA"/>
    <w:rsid w:val="004639EB"/>
    <w:rsid w:val="00463B05"/>
    <w:rsid w:val="00463BE6"/>
    <w:rsid w:val="00463D10"/>
    <w:rsid w:val="00464235"/>
    <w:rsid w:val="004658FB"/>
    <w:rsid w:val="00465AB1"/>
    <w:rsid w:val="00465AD4"/>
    <w:rsid w:val="00465E05"/>
    <w:rsid w:val="00466338"/>
    <w:rsid w:val="00466A1B"/>
    <w:rsid w:val="00466CC6"/>
    <w:rsid w:val="00467513"/>
    <w:rsid w:val="00467595"/>
    <w:rsid w:val="0046763E"/>
    <w:rsid w:val="00467641"/>
    <w:rsid w:val="004676F1"/>
    <w:rsid w:val="004679A2"/>
    <w:rsid w:val="00467DC2"/>
    <w:rsid w:val="00470CA9"/>
    <w:rsid w:val="00471293"/>
    <w:rsid w:val="00471453"/>
    <w:rsid w:val="00471488"/>
    <w:rsid w:val="00471C80"/>
    <w:rsid w:val="00471CE7"/>
    <w:rsid w:val="0047287D"/>
    <w:rsid w:val="0047291D"/>
    <w:rsid w:val="0047297A"/>
    <w:rsid w:val="00473104"/>
    <w:rsid w:val="0047366E"/>
    <w:rsid w:val="00474298"/>
    <w:rsid w:val="00474608"/>
    <w:rsid w:val="00474817"/>
    <w:rsid w:val="00474B2B"/>
    <w:rsid w:val="00475863"/>
    <w:rsid w:val="0047599E"/>
    <w:rsid w:val="00475D7E"/>
    <w:rsid w:val="0047672A"/>
    <w:rsid w:val="00476738"/>
    <w:rsid w:val="004768C3"/>
    <w:rsid w:val="00476943"/>
    <w:rsid w:val="004779E8"/>
    <w:rsid w:val="00477ADE"/>
    <w:rsid w:val="00480505"/>
    <w:rsid w:val="00480799"/>
    <w:rsid w:val="00480A53"/>
    <w:rsid w:val="00480AE9"/>
    <w:rsid w:val="00480F0C"/>
    <w:rsid w:val="004839BB"/>
    <w:rsid w:val="00483ACA"/>
    <w:rsid w:val="0048459E"/>
    <w:rsid w:val="00484710"/>
    <w:rsid w:val="004847A9"/>
    <w:rsid w:val="00484B5A"/>
    <w:rsid w:val="00484C78"/>
    <w:rsid w:val="0048510E"/>
    <w:rsid w:val="0048528B"/>
    <w:rsid w:val="004862BE"/>
    <w:rsid w:val="00487092"/>
    <w:rsid w:val="0049015D"/>
    <w:rsid w:val="00490D0A"/>
    <w:rsid w:val="00491642"/>
    <w:rsid w:val="0049175D"/>
    <w:rsid w:val="00491ADF"/>
    <w:rsid w:val="00492042"/>
    <w:rsid w:val="00492A50"/>
    <w:rsid w:val="00492F41"/>
    <w:rsid w:val="00493859"/>
    <w:rsid w:val="00493BA5"/>
    <w:rsid w:val="00493CD5"/>
    <w:rsid w:val="00494166"/>
    <w:rsid w:val="00494578"/>
    <w:rsid w:val="00494FAA"/>
    <w:rsid w:val="00497067"/>
    <w:rsid w:val="0049732F"/>
    <w:rsid w:val="00497418"/>
    <w:rsid w:val="00497590"/>
    <w:rsid w:val="00497723"/>
    <w:rsid w:val="00497A18"/>
    <w:rsid w:val="00497CDE"/>
    <w:rsid w:val="004A0334"/>
    <w:rsid w:val="004A03C2"/>
    <w:rsid w:val="004A0CCB"/>
    <w:rsid w:val="004A130F"/>
    <w:rsid w:val="004A1A04"/>
    <w:rsid w:val="004A46AD"/>
    <w:rsid w:val="004A4F1F"/>
    <w:rsid w:val="004A5664"/>
    <w:rsid w:val="004A5799"/>
    <w:rsid w:val="004A583D"/>
    <w:rsid w:val="004A5DD2"/>
    <w:rsid w:val="004A6058"/>
    <w:rsid w:val="004A60B2"/>
    <w:rsid w:val="004A6D70"/>
    <w:rsid w:val="004A6E34"/>
    <w:rsid w:val="004A72F8"/>
    <w:rsid w:val="004A7988"/>
    <w:rsid w:val="004B0D38"/>
    <w:rsid w:val="004B1703"/>
    <w:rsid w:val="004B21C8"/>
    <w:rsid w:val="004B24CA"/>
    <w:rsid w:val="004B289B"/>
    <w:rsid w:val="004B2AEF"/>
    <w:rsid w:val="004B2B3D"/>
    <w:rsid w:val="004B3E6F"/>
    <w:rsid w:val="004B4481"/>
    <w:rsid w:val="004B4B22"/>
    <w:rsid w:val="004B57D1"/>
    <w:rsid w:val="004B718F"/>
    <w:rsid w:val="004B71AC"/>
    <w:rsid w:val="004B72F2"/>
    <w:rsid w:val="004B7D5D"/>
    <w:rsid w:val="004C1041"/>
    <w:rsid w:val="004C1712"/>
    <w:rsid w:val="004C18AF"/>
    <w:rsid w:val="004C23D7"/>
    <w:rsid w:val="004C278D"/>
    <w:rsid w:val="004C28F2"/>
    <w:rsid w:val="004C315D"/>
    <w:rsid w:val="004C31A6"/>
    <w:rsid w:val="004C3200"/>
    <w:rsid w:val="004C379A"/>
    <w:rsid w:val="004C536F"/>
    <w:rsid w:val="004C5947"/>
    <w:rsid w:val="004C5C8B"/>
    <w:rsid w:val="004C5CD8"/>
    <w:rsid w:val="004C5D88"/>
    <w:rsid w:val="004C68F8"/>
    <w:rsid w:val="004C69F0"/>
    <w:rsid w:val="004C6B34"/>
    <w:rsid w:val="004C77AA"/>
    <w:rsid w:val="004C77BC"/>
    <w:rsid w:val="004D00F8"/>
    <w:rsid w:val="004D0150"/>
    <w:rsid w:val="004D02F1"/>
    <w:rsid w:val="004D0368"/>
    <w:rsid w:val="004D073A"/>
    <w:rsid w:val="004D07CE"/>
    <w:rsid w:val="004D0A11"/>
    <w:rsid w:val="004D0D05"/>
    <w:rsid w:val="004D1A96"/>
    <w:rsid w:val="004D1B37"/>
    <w:rsid w:val="004D1D0D"/>
    <w:rsid w:val="004D2DC6"/>
    <w:rsid w:val="004D3077"/>
    <w:rsid w:val="004D3C58"/>
    <w:rsid w:val="004D426E"/>
    <w:rsid w:val="004D49A7"/>
    <w:rsid w:val="004D52E3"/>
    <w:rsid w:val="004D5C6E"/>
    <w:rsid w:val="004D624D"/>
    <w:rsid w:val="004D62EB"/>
    <w:rsid w:val="004D6A10"/>
    <w:rsid w:val="004D71B8"/>
    <w:rsid w:val="004D732C"/>
    <w:rsid w:val="004D7AF3"/>
    <w:rsid w:val="004E0FBF"/>
    <w:rsid w:val="004E12F2"/>
    <w:rsid w:val="004E14C8"/>
    <w:rsid w:val="004E157E"/>
    <w:rsid w:val="004E29FF"/>
    <w:rsid w:val="004E33A2"/>
    <w:rsid w:val="004E3EAA"/>
    <w:rsid w:val="004E3F7B"/>
    <w:rsid w:val="004E4072"/>
    <w:rsid w:val="004E41BA"/>
    <w:rsid w:val="004E43AE"/>
    <w:rsid w:val="004E5EF2"/>
    <w:rsid w:val="004E60F3"/>
    <w:rsid w:val="004E75C2"/>
    <w:rsid w:val="004E76EF"/>
    <w:rsid w:val="004E7F38"/>
    <w:rsid w:val="004E7F6C"/>
    <w:rsid w:val="004E7F84"/>
    <w:rsid w:val="004F099D"/>
    <w:rsid w:val="004F0EBC"/>
    <w:rsid w:val="004F256D"/>
    <w:rsid w:val="004F25DF"/>
    <w:rsid w:val="004F2987"/>
    <w:rsid w:val="004F2AE2"/>
    <w:rsid w:val="004F2CF4"/>
    <w:rsid w:val="004F391D"/>
    <w:rsid w:val="004F3EEA"/>
    <w:rsid w:val="004F4127"/>
    <w:rsid w:val="004F5AFF"/>
    <w:rsid w:val="004F5F0E"/>
    <w:rsid w:val="004F5F3B"/>
    <w:rsid w:val="004F63C2"/>
    <w:rsid w:val="004F6952"/>
    <w:rsid w:val="004F6CF1"/>
    <w:rsid w:val="004F715B"/>
    <w:rsid w:val="004F734E"/>
    <w:rsid w:val="00500379"/>
    <w:rsid w:val="00500406"/>
    <w:rsid w:val="00500CC6"/>
    <w:rsid w:val="00500DDE"/>
    <w:rsid w:val="0050116E"/>
    <w:rsid w:val="00501DAB"/>
    <w:rsid w:val="00501F03"/>
    <w:rsid w:val="00501F8B"/>
    <w:rsid w:val="0050344D"/>
    <w:rsid w:val="00504656"/>
    <w:rsid w:val="00504933"/>
    <w:rsid w:val="00505526"/>
    <w:rsid w:val="0050600B"/>
    <w:rsid w:val="005066AB"/>
    <w:rsid w:val="0050687E"/>
    <w:rsid w:val="0050729E"/>
    <w:rsid w:val="00507379"/>
    <w:rsid w:val="00510C5E"/>
    <w:rsid w:val="00510E50"/>
    <w:rsid w:val="005114A0"/>
    <w:rsid w:val="005116B0"/>
    <w:rsid w:val="0051193B"/>
    <w:rsid w:val="00511BDD"/>
    <w:rsid w:val="0051258E"/>
    <w:rsid w:val="00512BD2"/>
    <w:rsid w:val="005146A2"/>
    <w:rsid w:val="005157DA"/>
    <w:rsid w:val="005166B3"/>
    <w:rsid w:val="00516824"/>
    <w:rsid w:val="005168E4"/>
    <w:rsid w:val="00517106"/>
    <w:rsid w:val="00517385"/>
    <w:rsid w:val="00520124"/>
    <w:rsid w:val="005202B7"/>
    <w:rsid w:val="005203EA"/>
    <w:rsid w:val="00520661"/>
    <w:rsid w:val="00522B30"/>
    <w:rsid w:val="00522F7A"/>
    <w:rsid w:val="00523ADD"/>
    <w:rsid w:val="00524FC7"/>
    <w:rsid w:val="00525592"/>
    <w:rsid w:val="00526980"/>
    <w:rsid w:val="00526C5E"/>
    <w:rsid w:val="00527091"/>
    <w:rsid w:val="00527427"/>
    <w:rsid w:val="005279C6"/>
    <w:rsid w:val="00527B75"/>
    <w:rsid w:val="0053049C"/>
    <w:rsid w:val="0053061A"/>
    <w:rsid w:val="00530A2A"/>
    <w:rsid w:val="00530B9B"/>
    <w:rsid w:val="00530E93"/>
    <w:rsid w:val="0053100C"/>
    <w:rsid w:val="0053118F"/>
    <w:rsid w:val="00531BF8"/>
    <w:rsid w:val="00532133"/>
    <w:rsid w:val="005329B6"/>
    <w:rsid w:val="00532B44"/>
    <w:rsid w:val="00533239"/>
    <w:rsid w:val="00533269"/>
    <w:rsid w:val="00533330"/>
    <w:rsid w:val="00534551"/>
    <w:rsid w:val="00534AB3"/>
    <w:rsid w:val="00534D53"/>
    <w:rsid w:val="00534FFF"/>
    <w:rsid w:val="005356BB"/>
    <w:rsid w:val="0053590E"/>
    <w:rsid w:val="00536A97"/>
    <w:rsid w:val="00537383"/>
    <w:rsid w:val="0054088C"/>
    <w:rsid w:val="00540C0F"/>
    <w:rsid w:val="00541028"/>
    <w:rsid w:val="00541589"/>
    <w:rsid w:val="0054188D"/>
    <w:rsid w:val="00541D23"/>
    <w:rsid w:val="0054216B"/>
    <w:rsid w:val="0054254F"/>
    <w:rsid w:val="00542643"/>
    <w:rsid w:val="00542CC6"/>
    <w:rsid w:val="00542D46"/>
    <w:rsid w:val="00543799"/>
    <w:rsid w:val="0054471C"/>
    <w:rsid w:val="0054489E"/>
    <w:rsid w:val="00544E98"/>
    <w:rsid w:val="00545196"/>
    <w:rsid w:val="005454B1"/>
    <w:rsid w:val="00545663"/>
    <w:rsid w:val="00546893"/>
    <w:rsid w:val="00546A1B"/>
    <w:rsid w:val="00546E59"/>
    <w:rsid w:val="00547705"/>
    <w:rsid w:val="0054771C"/>
    <w:rsid w:val="0055067E"/>
    <w:rsid w:val="00551D0B"/>
    <w:rsid w:val="005522F5"/>
    <w:rsid w:val="00552352"/>
    <w:rsid w:val="0055266C"/>
    <w:rsid w:val="00553F44"/>
    <w:rsid w:val="00554365"/>
    <w:rsid w:val="00554415"/>
    <w:rsid w:val="00554AF6"/>
    <w:rsid w:val="0055508E"/>
    <w:rsid w:val="005573FA"/>
    <w:rsid w:val="005603DE"/>
    <w:rsid w:val="00562697"/>
    <w:rsid w:val="0056297E"/>
    <w:rsid w:val="00562C2D"/>
    <w:rsid w:val="00563056"/>
    <w:rsid w:val="00563093"/>
    <w:rsid w:val="0056366A"/>
    <w:rsid w:val="00563864"/>
    <w:rsid w:val="005638AD"/>
    <w:rsid w:val="00563F28"/>
    <w:rsid w:val="00564057"/>
    <w:rsid w:val="005640C9"/>
    <w:rsid w:val="00564126"/>
    <w:rsid w:val="005646B3"/>
    <w:rsid w:val="005648BB"/>
    <w:rsid w:val="00564AE8"/>
    <w:rsid w:val="00564B0F"/>
    <w:rsid w:val="00564ECD"/>
    <w:rsid w:val="00564F36"/>
    <w:rsid w:val="00564FC4"/>
    <w:rsid w:val="00566155"/>
    <w:rsid w:val="005673D2"/>
    <w:rsid w:val="0056740A"/>
    <w:rsid w:val="0056797A"/>
    <w:rsid w:val="00570069"/>
    <w:rsid w:val="005701E9"/>
    <w:rsid w:val="00570733"/>
    <w:rsid w:val="0057092A"/>
    <w:rsid w:val="00570E4F"/>
    <w:rsid w:val="00570F77"/>
    <w:rsid w:val="005715BD"/>
    <w:rsid w:val="00571D61"/>
    <w:rsid w:val="005721A7"/>
    <w:rsid w:val="005721BB"/>
    <w:rsid w:val="005726F0"/>
    <w:rsid w:val="00572847"/>
    <w:rsid w:val="005735C4"/>
    <w:rsid w:val="00574B49"/>
    <w:rsid w:val="00574EC1"/>
    <w:rsid w:val="0057512B"/>
    <w:rsid w:val="00575980"/>
    <w:rsid w:val="00576059"/>
    <w:rsid w:val="00576471"/>
    <w:rsid w:val="00577767"/>
    <w:rsid w:val="005779F5"/>
    <w:rsid w:val="00580F59"/>
    <w:rsid w:val="00581205"/>
    <w:rsid w:val="0058166B"/>
    <w:rsid w:val="00581990"/>
    <w:rsid w:val="00581B82"/>
    <w:rsid w:val="00582229"/>
    <w:rsid w:val="00582317"/>
    <w:rsid w:val="00582DA3"/>
    <w:rsid w:val="005831D4"/>
    <w:rsid w:val="00583F04"/>
    <w:rsid w:val="00585439"/>
    <w:rsid w:val="0058600A"/>
    <w:rsid w:val="005865B3"/>
    <w:rsid w:val="00590139"/>
    <w:rsid w:val="00590CE4"/>
    <w:rsid w:val="0059148D"/>
    <w:rsid w:val="005916B1"/>
    <w:rsid w:val="0059181E"/>
    <w:rsid w:val="00591ED8"/>
    <w:rsid w:val="00592A18"/>
    <w:rsid w:val="00592C85"/>
    <w:rsid w:val="0059314F"/>
    <w:rsid w:val="00593B8B"/>
    <w:rsid w:val="00593BFC"/>
    <w:rsid w:val="00594598"/>
    <w:rsid w:val="00594A85"/>
    <w:rsid w:val="00594EB9"/>
    <w:rsid w:val="00596124"/>
    <w:rsid w:val="005964AB"/>
    <w:rsid w:val="005966BA"/>
    <w:rsid w:val="00597DB4"/>
    <w:rsid w:val="00597F6C"/>
    <w:rsid w:val="005A0167"/>
    <w:rsid w:val="005A077E"/>
    <w:rsid w:val="005A0AE8"/>
    <w:rsid w:val="005A0E49"/>
    <w:rsid w:val="005A0E54"/>
    <w:rsid w:val="005A128C"/>
    <w:rsid w:val="005A1865"/>
    <w:rsid w:val="005A1F4E"/>
    <w:rsid w:val="005A24BF"/>
    <w:rsid w:val="005A2800"/>
    <w:rsid w:val="005A2F82"/>
    <w:rsid w:val="005A4430"/>
    <w:rsid w:val="005A4DCC"/>
    <w:rsid w:val="005A4E21"/>
    <w:rsid w:val="005A4F2E"/>
    <w:rsid w:val="005A5619"/>
    <w:rsid w:val="005A673F"/>
    <w:rsid w:val="005A6A35"/>
    <w:rsid w:val="005A6C95"/>
    <w:rsid w:val="005A758A"/>
    <w:rsid w:val="005A7F7C"/>
    <w:rsid w:val="005B0ED1"/>
    <w:rsid w:val="005B0FD4"/>
    <w:rsid w:val="005B10BA"/>
    <w:rsid w:val="005B1128"/>
    <w:rsid w:val="005B146E"/>
    <w:rsid w:val="005B1ECA"/>
    <w:rsid w:val="005B1F65"/>
    <w:rsid w:val="005B256B"/>
    <w:rsid w:val="005B2697"/>
    <w:rsid w:val="005B281B"/>
    <w:rsid w:val="005B375A"/>
    <w:rsid w:val="005B38BC"/>
    <w:rsid w:val="005B426F"/>
    <w:rsid w:val="005B4E19"/>
    <w:rsid w:val="005B5810"/>
    <w:rsid w:val="005B5FA4"/>
    <w:rsid w:val="005B6123"/>
    <w:rsid w:val="005B6DEA"/>
    <w:rsid w:val="005B6E46"/>
    <w:rsid w:val="005B6FA7"/>
    <w:rsid w:val="005B7262"/>
    <w:rsid w:val="005B7869"/>
    <w:rsid w:val="005B7B94"/>
    <w:rsid w:val="005B7E1C"/>
    <w:rsid w:val="005C05E2"/>
    <w:rsid w:val="005C0F06"/>
    <w:rsid w:val="005C18C3"/>
    <w:rsid w:val="005C2A60"/>
    <w:rsid w:val="005C2AA4"/>
    <w:rsid w:val="005C58FA"/>
    <w:rsid w:val="005C59D4"/>
    <w:rsid w:val="005C67D2"/>
    <w:rsid w:val="005C6CE3"/>
    <w:rsid w:val="005C7763"/>
    <w:rsid w:val="005C7F09"/>
    <w:rsid w:val="005D0985"/>
    <w:rsid w:val="005D0A74"/>
    <w:rsid w:val="005D1272"/>
    <w:rsid w:val="005D1A32"/>
    <w:rsid w:val="005D1AC7"/>
    <w:rsid w:val="005D219A"/>
    <w:rsid w:val="005D34ED"/>
    <w:rsid w:val="005D3F39"/>
    <w:rsid w:val="005D42CA"/>
    <w:rsid w:val="005D4696"/>
    <w:rsid w:val="005D4B3C"/>
    <w:rsid w:val="005D4CA5"/>
    <w:rsid w:val="005D4D52"/>
    <w:rsid w:val="005D52E8"/>
    <w:rsid w:val="005D58F7"/>
    <w:rsid w:val="005D59FB"/>
    <w:rsid w:val="005D6396"/>
    <w:rsid w:val="005D6877"/>
    <w:rsid w:val="005D6A25"/>
    <w:rsid w:val="005D7F2F"/>
    <w:rsid w:val="005E0BCD"/>
    <w:rsid w:val="005E17AD"/>
    <w:rsid w:val="005E188A"/>
    <w:rsid w:val="005E1A0D"/>
    <w:rsid w:val="005E25E2"/>
    <w:rsid w:val="005E2C52"/>
    <w:rsid w:val="005E3333"/>
    <w:rsid w:val="005E3506"/>
    <w:rsid w:val="005E358F"/>
    <w:rsid w:val="005E3DF1"/>
    <w:rsid w:val="005E4175"/>
    <w:rsid w:val="005E4759"/>
    <w:rsid w:val="005E47A0"/>
    <w:rsid w:val="005E50AF"/>
    <w:rsid w:val="005E554E"/>
    <w:rsid w:val="005E5F6E"/>
    <w:rsid w:val="005E6811"/>
    <w:rsid w:val="005E6BAC"/>
    <w:rsid w:val="005E72D1"/>
    <w:rsid w:val="005E7609"/>
    <w:rsid w:val="005E7F5E"/>
    <w:rsid w:val="005F0122"/>
    <w:rsid w:val="005F019C"/>
    <w:rsid w:val="005F051A"/>
    <w:rsid w:val="005F0B44"/>
    <w:rsid w:val="005F1DA9"/>
    <w:rsid w:val="005F2066"/>
    <w:rsid w:val="005F307A"/>
    <w:rsid w:val="005F35F2"/>
    <w:rsid w:val="005F3B6E"/>
    <w:rsid w:val="005F3EB3"/>
    <w:rsid w:val="005F4A6B"/>
    <w:rsid w:val="005F4CC8"/>
    <w:rsid w:val="005F4E7F"/>
    <w:rsid w:val="005F4FB8"/>
    <w:rsid w:val="005F5523"/>
    <w:rsid w:val="005F57E7"/>
    <w:rsid w:val="005F59BA"/>
    <w:rsid w:val="005F5BF2"/>
    <w:rsid w:val="005F5CE0"/>
    <w:rsid w:val="005F62B3"/>
    <w:rsid w:val="005F67CE"/>
    <w:rsid w:val="005F6CB6"/>
    <w:rsid w:val="005F7386"/>
    <w:rsid w:val="005F7AE0"/>
    <w:rsid w:val="005F7FC6"/>
    <w:rsid w:val="006004CB"/>
    <w:rsid w:val="006005C1"/>
    <w:rsid w:val="00600F4C"/>
    <w:rsid w:val="006017B7"/>
    <w:rsid w:val="0060193C"/>
    <w:rsid w:val="00602407"/>
    <w:rsid w:val="00603281"/>
    <w:rsid w:val="00603433"/>
    <w:rsid w:val="00603654"/>
    <w:rsid w:val="00603E1D"/>
    <w:rsid w:val="00603EC9"/>
    <w:rsid w:val="006043EB"/>
    <w:rsid w:val="00604921"/>
    <w:rsid w:val="00604AD9"/>
    <w:rsid w:val="00604E64"/>
    <w:rsid w:val="006056A6"/>
    <w:rsid w:val="00606A65"/>
    <w:rsid w:val="00607068"/>
    <w:rsid w:val="00607E7D"/>
    <w:rsid w:val="006100B8"/>
    <w:rsid w:val="00610654"/>
    <w:rsid w:val="006108BA"/>
    <w:rsid w:val="006108C6"/>
    <w:rsid w:val="00610AA6"/>
    <w:rsid w:val="006110AD"/>
    <w:rsid w:val="00611B72"/>
    <w:rsid w:val="00611FD8"/>
    <w:rsid w:val="006125CF"/>
    <w:rsid w:val="00612E5E"/>
    <w:rsid w:val="00612F29"/>
    <w:rsid w:val="00613285"/>
    <w:rsid w:val="0061393D"/>
    <w:rsid w:val="00613CAF"/>
    <w:rsid w:val="00613FCA"/>
    <w:rsid w:val="00615E30"/>
    <w:rsid w:val="00615F66"/>
    <w:rsid w:val="00616CCA"/>
    <w:rsid w:val="00617577"/>
    <w:rsid w:val="006179A7"/>
    <w:rsid w:val="00617C74"/>
    <w:rsid w:val="00620045"/>
    <w:rsid w:val="006202A2"/>
    <w:rsid w:val="0062035A"/>
    <w:rsid w:val="006203E8"/>
    <w:rsid w:val="006204DC"/>
    <w:rsid w:val="00620EF7"/>
    <w:rsid w:val="0062236D"/>
    <w:rsid w:val="0062244E"/>
    <w:rsid w:val="006228BD"/>
    <w:rsid w:val="00622E8C"/>
    <w:rsid w:val="006233BE"/>
    <w:rsid w:val="0062354F"/>
    <w:rsid w:val="0062355C"/>
    <w:rsid w:val="006243C7"/>
    <w:rsid w:val="006245FA"/>
    <w:rsid w:val="00624C4B"/>
    <w:rsid w:val="00624D8F"/>
    <w:rsid w:val="006261CD"/>
    <w:rsid w:val="00626788"/>
    <w:rsid w:val="00626834"/>
    <w:rsid w:val="00626AE6"/>
    <w:rsid w:val="006279AD"/>
    <w:rsid w:val="00630119"/>
    <w:rsid w:val="006303E0"/>
    <w:rsid w:val="006308AE"/>
    <w:rsid w:val="00630994"/>
    <w:rsid w:val="00630FE9"/>
    <w:rsid w:val="00631487"/>
    <w:rsid w:val="00632295"/>
    <w:rsid w:val="00632893"/>
    <w:rsid w:val="0063356F"/>
    <w:rsid w:val="00633583"/>
    <w:rsid w:val="0063395C"/>
    <w:rsid w:val="00633EEE"/>
    <w:rsid w:val="00633F5C"/>
    <w:rsid w:val="00634CA6"/>
    <w:rsid w:val="00634D41"/>
    <w:rsid w:val="006353EB"/>
    <w:rsid w:val="00635E00"/>
    <w:rsid w:val="00635EC1"/>
    <w:rsid w:val="00636543"/>
    <w:rsid w:val="00637745"/>
    <w:rsid w:val="0063792A"/>
    <w:rsid w:val="006402DA"/>
    <w:rsid w:val="0064129E"/>
    <w:rsid w:val="00641724"/>
    <w:rsid w:val="00641766"/>
    <w:rsid w:val="006418A1"/>
    <w:rsid w:val="00641EF6"/>
    <w:rsid w:val="006424FD"/>
    <w:rsid w:val="00642604"/>
    <w:rsid w:val="00642641"/>
    <w:rsid w:val="006426A8"/>
    <w:rsid w:val="00642910"/>
    <w:rsid w:val="00642AD0"/>
    <w:rsid w:val="006431CE"/>
    <w:rsid w:val="00643A47"/>
    <w:rsid w:val="006441AA"/>
    <w:rsid w:val="006449E7"/>
    <w:rsid w:val="00645005"/>
    <w:rsid w:val="006459D7"/>
    <w:rsid w:val="00645DA5"/>
    <w:rsid w:val="0064682F"/>
    <w:rsid w:val="00646997"/>
    <w:rsid w:val="00646CBE"/>
    <w:rsid w:val="00647DA6"/>
    <w:rsid w:val="006507A4"/>
    <w:rsid w:val="00650ACA"/>
    <w:rsid w:val="00650AF3"/>
    <w:rsid w:val="006512F4"/>
    <w:rsid w:val="00651397"/>
    <w:rsid w:val="006529E0"/>
    <w:rsid w:val="006529EF"/>
    <w:rsid w:val="00652C77"/>
    <w:rsid w:val="00653751"/>
    <w:rsid w:val="00654B3E"/>
    <w:rsid w:val="00654B5B"/>
    <w:rsid w:val="00654D17"/>
    <w:rsid w:val="00655250"/>
    <w:rsid w:val="006553CE"/>
    <w:rsid w:val="00655E8A"/>
    <w:rsid w:val="00656762"/>
    <w:rsid w:val="00656801"/>
    <w:rsid w:val="00656F9E"/>
    <w:rsid w:val="00657015"/>
    <w:rsid w:val="006573E7"/>
    <w:rsid w:val="006578EB"/>
    <w:rsid w:val="00660139"/>
    <w:rsid w:val="00660173"/>
    <w:rsid w:val="0066060E"/>
    <w:rsid w:val="006617BE"/>
    <w:rsid w:val="00661EEE"/>
    <w:rsid w:val="006620EB"/>
    <w:rsid w:val="0066255C"/>
    <w:rsid w:val="006625AE"/>
    <w:rsid w:val="0066269C"/>
    <w:rsid w:val="00662714"/>
    <w:rsid w:val="006629D8"/>
    <w:rsid w:val="00662DC5"/>
    <w:rsid w:val="006633BD"/>
    <w:rsid w:val="00663475"/>
    <w:rsid w:val="00663DF4"/>
    <w:rsid w:val="006642E0"/>
    <w:rsid w:val="00664308"/>
    <w:rsid w:val="00664824"/>
    <w:rsid w:val="00664B8A"/>
    <w:rsid w:val="00665E86"/>
    <w:rsid w:val="0066651D"/>
    <w:rsid w:val="00667198"/>
    <w:rsid w:val="00667FBC"/>
    <w:rsid w:val="00670105"/>
    <w:rsid w:val="00670122"/>
    <w:rsid w:val="00670F19"/>
    <w:rsid w:val="006716CE"/>
    <w:rsid w:val="00671835"/>
    <w:rsid w:val="006723E6"/>
    <w:rsid w:val="00672539"/>
    <w:rsid w:val="0067302D"/>
    <w:rsid w:val="006735E4"/>
    <w:rsid w:val="0067426C"/>
    <w:rsid w:val="0067468D"/>
    <w:rsid w:val="00674775"/>
    <w:rsid w:val="00674B72"/>
    <w:rsid w:val="006753E8"/>
    <w:rsid w:val="00675D80"/>
    <w:rsid w:val="006769D2"/>
    <w:rsid w:val="00676B8C"/>
    <w:rsid w:val="00676D84"/>
    <w:rsid w:val="00676F60"/>
    <w:rsid w:val="00677474"/>
    <w:rsid w:val="006776CC"/>
    <w:rsid w:val="006777F7"/>
    <w:rsid w:val="006801FE"/>
    <w:rsid w:val="00680BC5"/>
    <w:rsid w:val="00680EBC"/>
    <w:rsid w:val="00681EC0"/>
    <w:rsid w:val="00682358"/>
    <w:rsid w:val="006834EF"/>
    <w:rsid w:val="00683A0B"/>
    <w:rsid w:val="00684504"/>
    <w:rsid w:val="006845BE"/>
    <w:rsid w:val="006849D1"/>
    <w:rsid w:val="00684B82"/>
    <w:rsid w:val="00685BAA"/>
    <w:rsid w:val="006870F1"/>
    <w:rsid w:val="00687223"/>
    <w:rsid w:val="0068797E"/>
    <w:rsid w:val="00687A0F"/>
    <w:rsid w:val="00687ADF"/>
    <w:rsid w:val="00687F61"/>
    <w:rsid w:val="0068A3A7"/>
    <w:rsid w:val="00690013"/>
    <w:rsid w:val="006907F3"/>
    <w:rsid w:val="00690E9C"/>
    <w:rsid w:val="006917D1"/>
    <w:rsid w:val="00691A0B"/>
    <w:rsid w:val="00691B1C"/>
    <w:rsid w:val="00691E14"/>
    <w:rsid w:val="0069252D"/>
    <w:rsid w:val="00692C83"/>
    <w:rsid w:val="00692DB8"/>
    <w:rsid w:val="0069305F"/>
    <w:rsid w:val="006931A3"/>
    <w:rsid w:val="00693668"/>
    <w:rsid w:val="00694A2E"/>
    <w:rsid w:val="00694BB3"/>
    <w:rsid w:val="00694DBB"/>
    <w:rsid w:val="00695288"/>
    <w:rsid w:val="00695FE4"/>
    <w:rsid w:val="0069666E"/>
    <w:rsid w:val="006971A7"/>
    <w:rsid w:val="0069A95A"/>
    <w:rsid w:val="006A021F"/>
    <w:rsid w:val="006A026B"/>
    <w:rsid w:val="006A06D2"/>
    <w:rsid w:val="006A0A5C"/>
    <w:rsid w:val="006A0B01"/>
    <w:rsid w:val="006A0CB9"/>
    <w:rsid w:val="006A0DAA"/>
    <w:rsid w:val="006A0E52"/>
    <w:rsid w:val="006A115B"/>
    <w:rsid w:val="006A13B2"/>
    <w:rsid w:val="006A13BD"/>
    <w:rsid w:val="006A16FD"/>
    <w:rsid w:val="006A18C1"/>
    <w:rsid w:val="006A1A68"/>
    <w:rsid w:val="006A1E58"/>
    <w:rsid w:val="006A2AC8"/>
    <w:rsid w:val="006A2AE8"/>
    <w:rsid w:val="006A2E6C"/>
    <w:rsid w:val="006A3156"/>
    <w:rsid w:val="006A3BA6"/>
    <w:rsid w:val="006A40BC"/>
    <w:rsid w:val="006A4709"/>
    <w:rsid w:val="006A4C67"/>
    <w:rsid w:val="006A588D"/>
    <w:rsid w:val="006A65AF"/>
    <w:rsid w:val="006A7077"/>
    <w:rsid w:val="006A7173"/>
    <w:rsid w:val="006A74E8"/>
    <w:rsid w:val="006A7BFF"/>
    <w:rsid w:val="006A8B96"/>
    <w:rsid w:val="006B04F7"/>
    <w:rsid w:val="006B066F"/>
    <w:rsid w:val="006B06D0"/>
    <w:rsid w:val="006B0AD6"/>
    <w:rsid w:val="006B0B06"/>
    <w:rsid w:val="006B1BFC"/>
    <w:rsid w:val="006B1D7F"/>
    <w:rsid w:val="006B2F87"/>
    <w:rsid w:val="006B3418"/>
    <w:rsid w:val="006B3618"/>
    <w:rsid w:val="006B3B68"/>
    <w:rsid w:val="006B3CFE"/>
    <w:rsid w:val="006B47D7"/>
    <w:rsid w:val="006B4AF5"/>
    <w:rsid w:val="006B5D81"/>
    <w:rsid w:val="006B683A"/>
    <w:rsid w:val="006B694E"/>
    <w:rsid w:val="006B6BEB"/>
    <w:rsid w:val="006B76BD"/>
    <w:rsid w:val="006B776E"/>
    <w:rsid w:val="006B7ABB"/>
    <w:rsid w:val="006C006E"/>
    <w:rsid w:val="006C129C"/>
    <w:rsid w:val="006C1E41"/>
    <w:rsid w:val="006C2639"/>
    <w:rsid w:val="006C32F4"/>
    <w:rsid w:val="006C37D4"/>
    <w:rsid w:val="006C3F39"/>
    <w:rsid w:val="006C54BB"/>
    <w:rsid w:val="006C5636"/>
    <w:rsid w:val="006C5E3C"/>
    <w:rsid w:val="006C6AD8"/>
    <w:rsid w:val="006C6EB9"/>
    <w:rsid w:val="006C79E7"/>
    <w:rsid w:val="006C7BE6"/>
    <w:rsid w:val="006C7C79"/>
    <w:rsid w:val="006C7D43"/>
    <w:rsid w:val="006D1FF3"/>
    <w:rsid w:val="006D212C"/>
    <w:rsid w:val="006D3260"/>
    <w:rsid w:val="006D4F1F"/>
    <w:rsid w:val="006D5397"/>
    <w:rsid w:val="006D54A1"/>
    <w:rsid w:val="006D5530"/>
    <w:rsid w:val="006D5643"/>
    <w:rsid w:val="006D5984"/>
    <w:rsid w:val="006D6021"/>
    <w:rsid w:val="006D6234"/>
    <w:rsid w:val="006D70C8"/>
    <w:rsid w:val="006D7118"/>
    <w:rsid w:val="006D712B"/>
    <w:rsid w:val="006D72D1"/>
    <w:rsid w:val="006E03F0"/>
    <w:rsid w:val="006E05DB"/>
    <w:rsid w:val="006E07F9"/>
    <w:rsid w:val="006E090F"/>
    <w:rsid w:val="006E146B"/>
    <w:rsid w:val="006E1728"/>
    <w:rsid w:val="006E1B27"/>
    <w:rsid w:val="006E2364"/>
    <w:rsid w:val="006E2554"/>
    <w:rsid w:val="006E27E4"/>
    <w:rsid w:val="006E3404"/>
    <w:rsid w:val="006E4546"/>
    <w:rsid w:val="006E48A9"/>
    <w:rsid w:val="006E4BA5"/>
    <w:rsid w:val="006E52FD"/>
    <w:rsid w:val="006E5653"/>
    <w:rsid w:val="006E671E"/>
    <w:rsid w:val="006E67C1"/>
    <w:rsid w:val="006E69BA"/>
    <w:rsid w:val="006E6C20"/>
    <w:rsid w:val="006E7B16"/>
    <w:rsid w:val="006F03BD"/>
    <w:rsid w:val="006F10B0"/>
    <w:rsid w:val="006F166C"/>
    <w:rsid w:val="006F216E"/>
    <w:rsid w:val="006F27AE"/>
    <w:rsid w:val="006F295F"/>
    <w:rsid w:val="006F2EAE"/>
    <w:rsid w:val="006F338C"/>
    <w:rsid w:val="006F33DF"/>
    <w:rsid w:val="006F3763"/>
    <w:rsid w:val="006F3AC9"/>
    <w:rsid w:val="006F4234"/>
    <w:rsid w:val="006F4492"/>
    <w:rsid w:val="006F44E5"/>
    <w:rsid w:val="006F4B59"/>
    <w:rsid w:val="006F4B7F"/>
    <w:rsid w:val="00700210"/>
    <w:rsid w:val="00700266"/>
    <w:rsid w:val="00700349"/>
    <w:rsid w:val="00700819"/>
    <w:rsid w:val="00700A4C"/>
    <w:rsid w:val="00700A59"/>
    <w:rsid w:val="00700AED"/>
    <w:rsid w:val="007015C5"/>
    <w:rsid w:val="007019F6"/>
    <w:rsid w:val="00702246"/>
    <w:rsid w:val="007026D1"/>
    <w:rsid w:val="00702829"/>
    <w:rsid w:val="00702A52"/>
    <w:rsid w:val="00702B21"/>
    <w:rsid w:val="00702EE1"/>
    <w:rsid w:val="00703310"/>
    <w:rsid w:val="00703324"/>
    <w:rsid w:val="0070334F"/>
    <w:rsid w:val="00703B32"/>
    <w:rsid w:val="00704624"/>
    <w:rsid w:val="0070474A"/>
    <w:rsid w:val="007047F5"/>
    <w:rsid w:val="00704AE1"/>
    <w:rsid w:val="00704D24"/>
    <w:rsid w:val="0070528E"/>
    <w:rsid w:val="0070544A"/>
    <w:rsid w:val="00706004"/>
    <w:rsid w:val="007062AF"/>
    <w:rsid w:val="0070632E"/>
    <w:rsid w:val="00706396"/>
    <w:rsid w:val="00706F62"/>
    <w:rsid w:val="007074F6"/>
    <w:rsid w:val="00707A66"/>
    <w:rsid w:val="00710034"/>
    <w:rsid w:val="00710507"/>
    <w:rsid w:val="007117E1"/>
    <w:rsid w:val="0071190B"/>
    <w:rsid w:val="00712EF5"/>
    <w:rsid w:val="007130F7"/>
    <w:rsid w:val="007139F1"/>
    <w:rsid w:val="00713A47"/>
    <w:rsid w:val="00714DCB"/>
    <w:rsid w:val="007155ED"/>
    <w:rsid w:val="007168FA"/>
    <w:rsid w:val="00716905"/>
    <w:rsid w:val="00720713"/>
    <w:rsid w:val="0072105E"/>
    <w:rsid w:val="007211AE"/>
    <w:rsid w:val="007218D1"/>
    <w:rsid w:val="00721C13"/>
    <w:rsid w:val="0072244D"/>
    <w:rsid w:val="007228CE"/>
    <w:rsid w:val="00722910"/>
    <w:rsid w:val="00722CBE"/>
    <w:rsid w:val="00722F4F"/>
    <w:rsid w:val="00723C44"/>
    <w:rsid w:val="00724208"/>
    <w:rsid w:val="007248EF"/>
    <w:rsid w:val="00724BAC"/>
    <w:rsid w:val="0072512C"/>
    <w:rsid w:val="00725742"/>
    <w:rsid w:val="007269F6"/>
    <w:rsid w:val="0072703B"/>
    <w:rsid w:val="0072721A"/>
    <w:rsid w:val="0072768F"/>
    <w:rsid w:val="0073023E"/>
    <w:rsid w:val="00730B99"/>
    <w:rsid w:val="00731374"/>
    <w:rsid w:val="007319DE"/>
    <w:rsid w:val="00732316"/>
    <w:rsid w:val="007323DA"/>
    <w:rsid w:val="007335AB"/>
    <w:rsid w:val="00733CC0"/>
    <w:rsid w:val="00733F73"/>
    <w:rsid w:val="00734306"/>
    <w:rsid w:val="007345B8"/>
    <w:rsid w:val="0073488F"/>
    <w:rsid w:val="00734A88"/>
    <w:rsid w:val="00735922"/>
    <w:rsid w:val="00735C21"/>
    <w:rsid w:val="0073635A"/>
    <w:rsid w:val="00736702"/>
    <w:rsid w:val="00736713"/>
    <w:rsid w:val="00736A08"/>
    <w:rsid w:val="007371C7"/>
    <w:rsid w:val="00737987"/>
    <w:rsid w:val="00737CAE"/>
    <w:rsid w:val="00740DDE"/>
    <w:rsid w:val="00741501"/>
    <w:rsid w:val="00741DE8"/>
    <w:rsid w:val="00742440"/>
    <w:rsid w:val="00742740"/>
    <w:rsid w:val="0074308D"/>
    <w:rsid w:val="007439B6"/>
    <w:rsid w:val="00743D68"/>
    <w:rsid w:val="0074449D"/>
    <w:rsid w:val="0074576F"/>
    <w:rsid w:val="00746B19"/>
    <w:rsid w:val="00750A9A"/>
    <w:rsid w:val="00750C45"/>
    <w:rsid w:val="00751279"/>
    <w:rsid w:val="00751F69"/>
    <w:rsid w:val="007520D0"/>
    <w:rsid w:val="007522E2"/>
    <w:rsid w:val="00752644"/>
    <w:rsid w:val="00752A42"/>
    <w:rsid w:val="00753D79"/>
    <w:rsid w:val="007542E6"/>
    <w:rsid w:val="00754B8E"/>
    <w:rsid w:val="007557A4"/>
    <w:rsid w:val="0075714C"/>
    <w:rsid w:val="0075777D"/>
    <w:rsid w:val="00760575"/>
    <w:rsid w:val="007608E8"/>
    <w:rsid w:val="00761207"/>
    <w:rsid w:val="00761500"/>
    <w:rsid w:val="007628D9"/>
    <w:rsid w:val="00762B1D"/>
    <w:rsid w:val="00762E21"/>
    <w:rsid w:val="00763192"/>
    <w:rsid w:val="00763505"/>
    <w:rsid w:val="0076365A"/>
    <w:rsid w:val="00763DFD"/>
    <w:rsid w:val="00763FF6"/>
    <w:rsid w:val="007645B6"/>
    <w:rsid w:val="00764701"/>
    <w:rsid w:val="0076484E"/>
    <w:rsid w:val="00764C44"/>
    <w:rsid w:val="007656F6"/>
    <w:rsid w:val="00765772"/>
    <w:rsid w:val="00765DE0"/>
    <w:rsid w:val="00765E79"/>
    <w:rsid w:val="007666E0"/>
    <w:rsid w:val="0076692E"/>
    <w:rsid w:val="00766CDB"/>
    <w:rsid w:val="00767459"/>
    <w:rsid w:val="007702A0"/>
    <w:rsid w:val="007706B1"/>
    <w:rsid w:val="00770CD3"/>
    <w:rsid w:val="00770E50"/>
    <w:rsid w:val="00770FED"/>
    <w:rsid w:val="007712BC"/>
    <w:rsid w:val="00772644"/>
    <w:rsid w:val="00772EFC"/>
    <w:rsid w:val="007734DC"/>
    <w:rsid w:val="00773A7D"/>
    <w:rsid w:val="00775029"/>
    <w:rsid w:val="00775346"/>
    <w:rsid w:val="007753D4"/>
    <w:rsid w:val="007756DC"/>
    <w:rsid w:val="00775C53"/>
    <w:rsid w:val="00776261"/>
    <w:rsid w:val="00776BD3"/>
    <w:rsid w:val="0077757A"/>
    <w:rsid w:val="0077774F"/>
    <w:rsid w:val="00777C82"/>
    <w:rsid w:val="00777F9A"/>
    <w:rsid w:val="00780F33"/>
    <w:rsid w:val="00781052"/>
    <w:rsid w:val="0078114C"/>
    <w:rsid w:val="0078117D"/>
    <w:rsid w:val="0078131E"/>
    <w:rsid w:val="007816B7"/>
    <w:rsid w:val="007816BE"/>
    <w:rsid w:val="00781B17"/>
    <w:rsid w:val="00782BAE"/>
    <w:rsid w:val="00782C3B"/>
    <w:rsid w:val="00782CAF"/>
    <w:rsid w:val="00783480"/>
    <w:rsid w:val="007838DE"/>
    <w:rsid w:val="007840C4"/>
    <w:rsid w:val="007843A8"/>
    <w:rsid w:val="00784F5D"/>
    <w:rsid w:val="007853A7"/>
    <w:rsid w:val="0078556D"/>
    <w:rsid w:val="00785748"/>
    <w:rsid w:val="00785929"/>
    <w:rsid w:val="007862EA"/>
    <w:rsid w:val="00787C1B"/>
    <w:rsid w:val="0079066A"/>
    <w:rsid w:val="00792164"/>
    <w:rsid w:val="00792F1E"/>
    <w:rsid w:val="0079519F"/>
    <w:rsid w:val="00795F3C"/>
    <w:rsid w:val="0079630D"/>
    <w:rsid w:val="00796545"/>
    <w:rsid w:val="0079704D"/>
    <w:rsid w:val="007971D8"/>
    <w:rsid w:val="0079728C"/>
    <w:rsid w:val="00797592"/>
    <w:rsid w:val="00797957"/>
    <w:rsid w:val="00797BA6"/>
    <w:rsid w:val="007A08C0"/>
    <w:rsid w:val="007A0907"/>
    <w:rsid w:val="007A09B4"/>
    <w:rsid w:val="007A0CC0"/>
    <w:rsid w:val="007A0D5D"/>
    <w:rsid w:val="007A0D6F"/>
    <w:rsid w:val="007A17CA"/>
    <w:rsid w:val="007A1C50"/>
    <w:rsid w:val="007A2006"/>
    <w:rsid w:val="007A21BB"/>
    <w:rsid w:val="007A2589"/>
    <w:rsid w:val="007A258F"/>
    <w:rsid w:val="007A272C"/>
    <w:rsid w:val="007A29B9"/>
    <w:rsid w:val="007A2F8B"/>
    <w:rsid w:val="007A3113"/>
    <w:rsid w:val="007A34E4"/>
    <w:rsid w:val="007A354C"/>
    <w:rsid w:val="007A3C06"/>
    <w:rsid w:val="007A3ED6"/>
    <w:rsid w:val="007A4E73"/>
    <w:rsid w:val="007A5254"/>
    <w:rsid w:val="007A5D7F"/>
    <w:rsid w:val="007A5FA3"/>
    <w:rsid w:val="007A6276"/>
    <w:rsid w:val="007A6533"/>
    <w:rsid w:val="007A6B63"/>
    <w:rsid w:val="007A6F3F"/>
    <w:rsid w:val="007A7DFC"/>
    <w:rsid w:val="007AAE38"/>
    <w:rsid w:val="007B1614"/>
    <w:rsid w:val="007B16BE"/>
    <w:rsid w:val="007B1D63"/>
    <w:rsid w:val="007B1E00"/>
    <w:rsid w:val="007B222D"/>
    <w:rsid w:val="007B25C6"/>
    <w:rsid w:val="007B2E1B"/>
    <w:rsid w:val="007B2F8D"/>
    <w:rsid w:val="007B43C5"/>
    <w:rsid w:val="007B5CA0"/>
    <w:rsid w:val="007B5F6F"/>
    <w:rsid w:val="007B616E"/>
    <w:rsid w:val="007B6172"/>
    <w:rsid w:val="007B69C1"/>
    <w:rsid w:val="007B6DC2"/>
    <w:rsid w:val="007B7C01"/>
    <w:rsid w:val="007C020F"/>
    <w:rsid w:val="007C0C78"/>
    <w:rsid w:val="007C11DC"/>
    <w:rsid w:val="007C130B"/>
    <w:rsid w:val="007C16C7"/>
    <w:rsid w:val="007C1DD4"/>
    <w:rsid w:val="007C1F9C"/>
    <w:rsid w:val="007C2681"/>
    <w:rsid w:val="007C2C80"/>
    <w:rsid w:val="007C4540"/>
    <w:rsid w:val="007C5CD8"/>
    <w:rsid w:val="007C61C2"/>
    <w:rsid w:val="007C63AD"/>
    <w:rsid w:val="007C6B1E"/>
    <w:rsid w:val="007C761B"/>
    <w:rsid w:val="007D09CF"/>
    <w:rsid w:val="007D1AF7"/>
    <w:rsid w:val="007D1CA0"/>
    <w:rsid w:val="007D21A9"/>
    <w:rsid w:val="007D24D6"/>
    <w:rsid w:val="007D26DF"/>
    <w:rsid w:val="007D3046"/>
    <w:rsid w:val="007D31A2"/>
    <w:rsid w:val="007D325E"/>
    <w:rsid w:val="007D3875"/>
    <w:rsid w:val="007D392D"/>
    <w:rsid w:val="007D3A7E"/>
    <w:rsid w:val="007D3B8E"/>
    <w:rsid w:val="007D4600"/>
    <w:rsid w:val="007D472D"/>
    <w:rsid w:val="007D4E58"/>
    <w:rsid w:val="007D52F1"/>
    <w:rsid w:val="007D5CE1"/>
    <w:rsid w:val="007D6327"/>
    <w:rsid w:val="007D6728"/>
    <w:rsid w:val="007D726F"/>
    <w:rsid w:val="007D727E"/>
    <w:rsid w:val="007D7A94"/>
    <w:rsid w:val="007E1503"/>
    <w:rsid w:val="007E1991"/>
    <w:rsid w:val="007E1F99"/>
    <w:rsid w:val="007E22EA"/>
    <w:rsid w:val="007E2745"/>
    <w:rsid w:val="007E2A23"/>
    <w:rsid w:val="007E37ED"/>
    <w:rsid w:val="007E3963"/>
    <w:rsid w:val="007E3BF2"/>
    <w:rsid w:val="007E3DD8"/>
    <w:rsid w:val="007E4236"/>
    <w:rsid w:val="007E45F6"/>
    <w:rsid w:val="007E54D7"/>
    <w:rsid w:val="007E55D9"/>
    <w:rsid w:val="007E5FCA"/>
    <w:rsid w:val="007E6866"/>
    <w:rsid w:val="007E6871"/>
    <w:rsid w:val="007E7052"/>
    <w:rsid w:val="007E77F7"/>
    <w:rsid w:val="007E78A0"/>
    <w:rsid w:val="007E7E13"/>
    <w:rsid w:val="007E7EF9"/>
    <w:rsid w:val="007F0BB3"/>
    <w:rsid w:val="007F0CEA"/>
    <w:rsid w:val="007F188D"/>
    <w:rsid w:val="007F1AB2"/>
    <w:rsid w:val="007F1B57"/>
    <w:rsid w:val="007F1C7A"/>
    <w:rsid w:val="007F24AC"/>
    <w:rsid w:val="007F26E6"/>
    <w:rsid w:val="007F2F8F"/>
    <w:rsid w:val="007F302B"/>
    <w:rsid w:val="007F3522"/>
    <w:rsid w:val="007F36AE"/>
    <w:rsid w:val="007F3C74"/>
    <w:rsid w:val="007F4E85"/>
    <w:rsid w:val="007F5065"/>
    <w:rsid w:val="007F56E8"/>
    <w:rsid w:val="007F5937"/>
    <w:rsid w:val="007F7628"/>
    <w:rsid w:val="007F762E"/>
    <w:rsid w:val="007F7B1E"/>
    <w:rsid w:val="00800124"/>
    <w:rsid w:val="008001A7"/>
    <w:rsid w:val="00800FB7"/>
    <w:rsid w:val="00801234"/>
    <w:rsid w:val="008014FD"/>
    <w:rsid w:val="008019C3"/>
    <w:rsid w:val="008024DF"/>
    <w:rsid w:val="00802741"/>
    <w:rsid w:val="00802E32"/>
    <w:rsid w:val="008035D0"/>
    <w:rsid w:val="00803847"/>
    <w:rsid w:val="00803A84"/>
    <w:rsid w:val="00803F44"/>
    <w:rsid w:val="0080463A"/>
    <w:rsid w:val="00805856"/>
    <w:rsid w:val="008065C1"/>
    <w:rsid w:val="008077AA"/>
    <w:rsid w:val="00807CDA"/>
    <w:rsid w:val="008101C5"/>
    <w:rsid w:val="00810354"/>
    <w:rsid w:val="008110C5"/>
    <w:rsid w:val="00812252"/>
    <w:rsid w:val="00812883"/>
    <w:rsid w:val="00812B7C"/>
    <w:rsid w:val="008131A9"/>
    <w:rsid w:val="00813335"/>
    <w:rsid w:val="00813764"/>
    <w:rsid w:val="0081390B"/>
    <w:rsid w:val="00813EC8"/>
    <w:rsid w:val="00813F88"/>
    <w:rsid w:val="00814068"/>
    <w:rsid w:val="0081478B"/>
    <w:rsid w:val="008156BA"/>
    <w:rsid w:val="0081613F"/>
    <w:rsid w:val="00816623"/>
    <w:rsid w:val="00816B43"/>
    <w:rsid w:val="00816DC3"/>
    <w:rsid w:val="00816F3E"/>
    <w:rsid w:val="00817898"/>
    <w:rsid w:val="00817D3E"/>
    <w:rsid w:val="00820B18"/>
    <w:rsid w:val="00821270"/>
    <w:rsid w:val="00821924"/>
    <w:rsid w:val="00821C20"/>
    <w:rsid w:val="00822C49"/>
    <w:rsid w:val="00823326"/>
    <w:rsid w:val="008234A1"/>
    <w:rsid w:val="00823684"/>
    <w:rsid w:val="00823BD6"/>
    <w:rsid w:val="00823CD6"/>
    <w:rsid w:val="0082439A"/>
    <w:rsid w:val="00824EB1"/>
    <w:rsid w:val="00825354"/>
    <w:rsid w:val="00825606"/>
    <w:rsid w:val="0082708A"/>
    <w:rsid w:val="008270E6"/>
    <w:rsid w:val="00827606"/>
    <w:rsid w:val="00827971"/>
    <w:rsid w:val="008300F5"/>
    <w:rsid w:val="00830949"/>
    <w:rsid w:val="00830B71"/>
    <w:rsid w:val="00830BA0"/>
    <w:rsid w:val="00830CDB"/>
    <w:rsid w:val="008317A2"/>
    <w:rsid w:val="00831EB2"/>
    <w:rsid w:val="008325AF"/>
    <w:rsid w:val="00832C5C"/>
    <w:rsid w:val="008334A4"/>
    <w:rsid w:val="008340E7"/>
    <w:rsid w:val="008342C3"/>
    <w:rsid w:val="008346DF"/>
    <w:rsid w:val="008354AA"/>
    <w:rsid w:val="008358C3"/>
    <w:rsid w:val="00835F28"/>
    <w:rsid w:val="00836F94"/>
    <w:rsid w:val="0083705B"/>
    <w:rsid w:val="008370E4"/>
    <w:rsid w:val="008373E1"/>
    <w:rsid w:val="00837692"/>
    <w:rsid w:val="00837BFB"/>
    <w:rsid w:val="00840023"/>
    <w:rsid w:val="00840702"/>
    <w:rsid w:val="00840929"/>
    <w:rsid w:val="00841215"/>
    <w:rsid w:val="008415BF"/>
    <w:rsid w:val="00841E8E"/>
    <w:rsid w:val="008421B6"/>
    <w:rsid w:val="008422E2"/>
    <w:rsid w:val="00842426"/>
    <w:rsid w:val="008428AD"/>
    <w:rsid w:val="008439B2"/>
    <w:rsid w:val="00843B2A"/>
    <w:rsid w:val="00843C07"/>
    <w:rsid w:val="00843E2F"/>
    <w:rsid w:val="0084400D"/>
    <w:rsid w:val="00844606"/>
    <w:rsid w:val="00844692"/>
    <w:rsid w:val="00845528"/>
    <w:rsid w:val="00845CE1"/>
    <w:rsid w:val="00850BBB"/>
    <w:rsid w:val="00850E30"/>
    <w:rsid w:val="00850EE6"/>
    <w:rsid w:val="00850FD6"/>
    <w:rsid w:val="008511B7"/>
    <w:rsid w:val="008513B9"/>
    <w:rsid w:val="0085140D"/>
    <w:rsid w:val="0085242A"/>
    <w:rsid w:val="008525A4"/>
    <w:rsid w:val="008527D9"/>
    <w:rsid w:val="008530EA"/>
    <w:rsid w:val="00853352"/>
    <w:rsid w:val="00853667"/>
    <w:rsid w:val="00853C03"/>
    <w:rsid w:val="00854182"/>
    <w:rsid w:val="00854337"/>
    <w:rsid w:val="00854F3F"/>
    <w:rsid w:val="00855271"/>
    <w:rsid w:val="008556AC"/>
    <w:rsid w:val="00855EBA"/>
    <w:rsid w:val="00856ACB"/>
    <w:rsid w:val="00856F15"/>
    <w:rsid w:val="00857111"/>
    <w:rsid w:val="00857D17"/>
    <w:rsid w:val="008603CA"/>
    <w:rsid w:val="00860E83"/>
    <w:rsid w:val="00861337"/>
    <w:rsid w:val="008615E3"/>
    <w:rsid w:val="008618FD"/>
    <w:rsid w:val="00862938"/>
    <w:rsid w:val="00862B24"/>
    <w:rsid w:val="0086456E"/>
    <w:rsid w:val="0086492B"/>
    <w:rsid w:val="00864957"/>
    <w:rsid w:val="00864F02"/>
    <w:rsid w:val="008651C7"/>
    <w:rsid w:val="00865613"/>
    <w:rsid w:val="00865DF4"/>
    <w:rsid w:val="00865EE4"/>
    <w:rsid w:val="008660C7"/>
    <w:rsid w:val="0086628B"/>
    <w:rsid w:val="008666C2"/>
    <w:rsid w:val="008670C9"/>
    <w:rsid w:val="008670FA"/>
    <w:rsid w:val="00867E0A"/>
    <w:rsid w:val="0087037B"/>
    <w:rsid w:val="00870EE6"/>
    <w:rsid w:val="00871065"/>
    <w:rsid w:val="00871B61"/>
    <w:rsid w:val="008721AC"/>
    <w:rsid w:val="008722BD"/>
    <w:rsid w:val="0087265B"/>
    <w:rsid w:val="008728A1"/>
    <w:rsid w:val="00872B53"/>
    <w:rsid w:val="00872EA1"/>
    <w:rsid w:val="0087330D"/>
    <w:rsid w:val="00873AD7"/>
    <w:rsid w:val="00873B67"/>
    <w:rsid w:val="00873DC1"/>
    <w:rsid w:val="00874468"/>
    <w:rsid w:val="00874CD8"/>
    <w:rsid w:val="008751CB"/>
    <w:rsid w:val="008757B2"/>
    <w:rsid w:val="008759F3"/>
    <w:rsid w:val="00875E7D"/>
    <w:rsid w:val="00875FAC"/>
    <w:rsid w:val="00875FB5"/>
    <w:rsid w:val="00876AA1"/>
    <w:rsid w:val="0087795E"/>
    <w:rsid w:val="00877BF5"/>
    <w:rsid w:val="00880D7C"/>
    <w:rsid w:val="00880E21"/>
    <w:rsid w:val="00881677"/>
    <w:rsid w:val="00881739"/>
    <w:rsid w:val="00881B31"/>
    <w:rsid w:val="00881D65"/>
    <w:rsid w:val="008823BE"/>
    <w:rsid w:val="00883372"/>
    <w:rsid w:val="0088375B"/>
    <w:rsid w:val="008837D2"/>
    <w:rsid w:val="00883F7A"/>
    <w:rsid w:val="00885CA6"/>
    <w:rsid w:val="00885EF9"/>
    <w:rsid w:val="008861C3"/>
    <w:rsid w:val="0088654C"/>
    <w:rsid w:val="00886599"/>
    <w:rsid w:val="0088662B"/>
    <w:rsid w:val="00886B65"/>
    <w:rsid w:val="00886BA4"/>
    <w:rsid w:val="008879A6"/>
    <w:rsid w:val="00892630"/>
    <w:rsid w:val="008927D0"/>
    <w:rsid w:val="00892A49"/>
    <w:rsid w:val="00892DFC"/>
    <w:rsid w:val="0089352F"/>
    <w:rsid w:val="008937F0"/>
    <w:rsid w:val="00893AFE"/>
    <w:rsid w:val="00893D76"/>
    <w:rsid w:val="00894037"/>
    <w:rsid w:val="00894C1A"/>
    <w:rsid w:val="00894CD6"/>
    <w:rsid w:val="00894D02"/>
    <w:rsid w:val="0089544A"/>
    <w:rsid w:val="00895497"/>
    <w:rsid w:val="008954D5"/>
    <w:rsid w:val="00895D7D"/>
    <w:rsid w:val="008966C6"/>
    <w:rsid w:val="00896771"/>
    <w:rsid w:val="00897715"/>
    <w:rsid w:val="00897906"/>
    <w:rsid w:val="008A05AC"/>
    <w:rsid w:val="008A0878"/>
    <w:rsid w:val="008A1968"/>
    <w:rsid w:val="008A28B5"/>
    <w:rsid w:val="008A3286"/>
    <w:rsid w:val="008A3492"/>
    <w:rsid w:val="008A357A"/>
    <w:rsid w:val="008A4031"/>
    <w:rsid w:val="008A463F"/>
    <w:rsid w:val="008A4973"/>
    <w:rsid w:val="008A4EA8"/>
    <w:rsid w:val="008A552E"/>
    <w:rsid w:val="008A5647"/>
    <w:rsid w:val="008A56E0"/>
    <w:rsid w:val="008A597D"/>
    <w:rsid w:val="008A5C79"/>
    <w:rsid w:val="008A5DAB"/>
    <w:rsid w:val="008A60B7"/>
    <w:rsid w:val="008A6260"/>
    <w:rsid w:val="008A6624"/>
    <w:rsid w:val="008A6863"/>
    <w:rsid w:val="008A7315"/>
    <w:rsid w:val="008A7AF8"/>
    <w:rsid w:val="008A7D5D"/>
    <w:rsid w:val="008B0A1E"/>
    <w:rsid w:val="008B119E"/>
    <w:rsid w:val="008B1F55"/>
    <w:rsid w:val="008B344C"/>
    <w:rsid w:val="008B36A9"/>
    <w:rsid w:val="008B4C0F"/>
    <w:rsid w:val="008B53FD"/>
    <w:rsid w:val="008B57D7"/>
    <w:rsid w:val="008B64A2"/>
    <w:rsid w:val="008B654D"/>
    <w:rsid w:val="008B6610"/>
    <w:rsid w:val="008B6B41"/>
    <w:rsid w:val="008B6FDB"/>
    <w:rsid w:val="008B73C8"/>
    <w:rsid w:val="008B75FF"/>
    <w:rsid w:val="008B76E1"/>
    <w:rsid w:val="008B7721"/>
    <w:rsid w:val="008B79F5"/>
    <w:rsid w:val="008B7A66"/>
    <w:rsid w:val="008C0504"/>
    <w:rsid w:val="008C07DF"/>
    <w:rsid w:val="008C1158"/>
    <w:rsid w:val="008C1771"/>
    <w:rsid w:val="008C1AEB"/>
    <w:rsid w:val="008C24C9"/>
    <w:rsid w:val="008C255B"/>
    <w:rsid w:val="008C2AB5"/>
    <w:rsid w:val="008C2E98"/>
    <w:rsid w:val="008C3158"/>
    <w:rsid w:val="008C38B9"/>
    <w:rsid w:val="008C38E1"/>
    <w:rsid w:val="008C3CE6"/>
    <w:rsid w:val="008C45F1"/>
    <w:rsid w:val="008C4670"/>
    <w:rsid w:val="008C486B"/>
    <w:rsid w:val="008C54D9"/>
    <w:rsid w:val="008C59CB"/>
    <w:rsid w:val="008C5C54"/>
    <w:rsid w:val="008C6BDA"/>
    <w:rsid w:val="008C7FF0"/>
    <w:rsid w:val="008D006A"/>
    <w:rsid w:val="008D0249"/>
    <w:rsid w:val="008D03E3"/>
    <w:rsid w:val="008D089C"/>
    <w:rsid w:val="008D12B7"/>
    <w:rsid w:val="008D139F"/>
    <w:rsid w:val="008D2297"/>
    <w:rsid w:val="008D2F7B"/>
    <w:rsid w:val="008D37EE"/>
    <w:rsid w:val="008D394B"/>
    <w:rsid w:val="008D39C8"/>
    <w:rsid w:val="008D3AA5"/>
    <w:rsid w:val="008D3B7A"/>
    <w:rsid w:val="008D4DA2"/>
    <w:rsid w:val="008D5DB3"/>
    <w:rsid w:val="008D618B"/>
    <w:rsid w:val="008D63D0"/>
    <w:rsid w:val="008D6856"/>
    <w:rsid w:val="008D6862"/>
    <w:rsid w:val="008D68A9"/>
    <w:rsid w:val="008D7284"/>
    <w:rsid w:val="008D7DC3"/>
    <w:rsid w:val="008E0F20"/>
    <w:rsid w:val="008E14CE"/>
    <w:rsid w:val="008E1B23"/>
    <w:rsid w:val="008E1CFE"/>
    <w:rsid w:val="008E21CD"/>
    <w:rsid w:val="008E22E6"/>
    <w:rsid w:val="008E239D"/>
    <w:rsid w:val="008E295F"/>
    <w:rsid w:val="008E357D"/>
    <w:rsid w:val="008E3842"/>
    <w:rsid w:val="008E3F8E"/>
    <w:rsid w:val="008E40CE"/>
    <w:rsid w:val="008E42EF"/>
    <w:rsid w:val="008E47CD"/>
    <w:rsid w:val="008E4A63"/>
    <w:rsid w:val="008E580B"/>
    <w:rsid w:val="008E5F27"/>
    <w:rsid w:val="008E6442"/>
    <w:rsid w:val="008E6A26"/>
    <w:rsid w:val="008E6ADB"/>
    <w:rsid w:val="008E7386"/>
    <w:rsid w:val="008E789C"/>
    <w:rsid w:val="008F08A8"/>
    <w:rsid w:val="008F0BCE"/>
    <w:rsid w:val="008F0C7D"/>
    <w:rsid w:val="008F0CE7"/>
    <w:rsid w:val="008F10D0"/>
    <w:rsid w:val="008F19C4"/>
    <w:rsid w:val="008F1A39"/>
    <w:rsid w:val="008F1BCE"/>
    <w:rsid w:val="008F1EF8"/>
    <w:rsid w:val="008F2045"/>
    <w:rsid w:val="008F20DF"/>
    <w:rsid w:val="008F2520"/>
    <w:rsid w:val="008F2963"/>
    <w:rsid w:val="008F2CC6"/>
    <w:rsid w:val="008F339F"/>
    <w:rsid w:val="008F37A4"/>
    <w:rsid w:val="008F3D35"/>
    <w:rsid w:val="008F4B82"/>
    <w:rsid w:val="008F51DF"/>
    <w:rsid w:val="008F51E3"/>
    <w:rsid w:val="008F52EF"/>
    <w:rsid w:val="008F5B97"/>
    <w:rsid w:val="008F6DA8"/>
    <w:rsid w:val="008F732F"/>
    <w:rsid w:val="008F782B"/>
    <w:rsid w:val="008F7BC4"/>
    <w:rsid w:val="008F9360"/>
    <w:rsid w:val="0090122D"/>
    <w:rsid w:val="0090124E"/>
    <w:rsid w:val="00901664"/>
    <w:rsid w:val="009020D4"/>
    <w:rsid w:val="00902153"/>
    <w:rsid w:val="009028AB"/>
    <w:rsid w:val="00903328"/>
    <w:rsid w:val="009034A2"/>
    <w:rsid w:val="009036B6"/>
    <w:rsid w:val="009040CB"/>
    <w:rsid w:val="00904B12"/>
    <w:rsid w:val="00905212"/>
    <w:rsid w:val="0090565E"/>
    <w:rsid w:val="0090604D"/>
    <w:rsid w:val="0090718C"/>
    <w:rsid w:val="0090794B"/>
    <w:rsid w:val="00910199"/>
    <w:rsid w:val="0091192D"/>
    <w:rsid w:val="00912714"/>
    <w:rsid w:val="00912916"/>
    <w:rsid w:val="00912D82"/>
    <w:rsid w:val="00912F05"/>
    <w:rsid w:val="009131E1"/>
    <w:rsid w:val="009143C5"/>
    <w:rsid w:val="009144CF"/>
    <w:rsid w:val="00914AB5"/>
    <w:rsid w:val="009154D5"/>
    <w:rsid w:val="00915EBE"/>
    <w:rsid w:val="00916539"/>
    <w:rsid w:val="00917A40"/>
    <w:rsid w:val="00917A53"/>
    <w:rsid w:val="00920493"/>
    <w:rsid w:val="009206EB"/>
    <w:rsid w:val="00920780"/>
    <w:rsid w:val="009209B3"/>
    <w:rsid w:val="009216AB"/>
    <w:rsid w:val="00921B5A"/>
    <w:rsid w:val="00922284"/>
    <w:rsid w:val="00922BE7"/>
    <w:rsid w:val="00922E05"/>
    <w:rsid w:val="0092351E"/>
    <w:rsid w:val="009238B0"/>
    <w:rsid w:val="00923BA8"/>
    <w:rsid w:val="00924DC2"/>
    <w:rsid w:val="00925173"/>
    <w:rsid w:val="00925752"/>
    <w:rsid w:val="00925790"/>
    <w:rsid w:val="00925935"/>
    <w:rsid w:val="009263AA"/>
    <w:rsid w:val="009263B4"/>
    <w:rsid w:val="00926A07"/>
    <w:rsid w:val="00926C5B"/>
    <w:rsid w:val="00927072"/>
    <w:rsid w:val="0092730D"/>
    <w:rsid w:val="00930427"/>
    <w:rsid w:val="00930726"/>
    <w:rsid w:val="009310A9"/>
    <w:rsid w:val="00931159"/>
    <w:rsid w:val="009311D6"/>
    <w:rsid w:val="009313D5"/>
    <w:rsid w:val="00931595"/>
    <w:rsid w:val="00932443"/>
    <w:rsid w:val="00932962"/>
    <w:rsid w:val="009338B7"/>
    <w:rsid w:val="00933DFE"/>
    <w:rsid w:val="00933FAF"/>
    <w:rsid w:val="00935142"/>
    <w:rsid w:val="0093524D"/>
    <w:rsid w:val="0093572F"/>
    <w:rsid w:val="00936ED4"/>
    <w:rsid w:val="009378A5"/>
    <w:rsid w:val="00937B3A"/>
    <w:rsid w:val="00937D43"/>
    <w:rsid w:val="00940592"/>
    <w:rsid w:val="00940C2A"/>
    <w:rsid w:val="00940C94"/>
    <w:rsid w:val="00940E13"/>
    <w:rsid w:val="00941329"/>
    <w:rsid w:val="00941410"/>
    <w:rsid w:val="009415E5"/>
    <w:rsid w:val="00941888"/>
    <w:rsid w:val="00941C0C"/>
    <w:rsid w:val="00941C6A"/>
    <w:rsid w:val="0094223E"/>
    <w:rsid w:val="009424F7"/>
    <w:rsid w:val="009425AB"/>
    <w:rsid w:val="0094286D"/>
    <w:rsid w:val="0094295F"/>
    <w:rsid w:val="00942A0C"/>
    <w:rsid w:val="00942A2C"/>
    <w:rsid w:val="00942C56"/>
    <w:rsid w:val="009431B0"/>
    <w:rsid w:val="009433C2"/>
    <w:rsid w:val="009434C9"/>
    <w:rsid w:val="009434CC"/>
    <w:rsid w:val="009438E7"/>
    <w:rsid w:val="00944155"/>
    <w:rsid w:val="009442F1"/>
    <w:rsid w:val="00944466"/>
    <w:rsid w:val="00944470"/>
    <w:rsid w:val="00944D49"/>
    <w:rsid w:val="0094522A"/>
    <w:rsid w:val="00945FC8"/>
    <w:rsid w:val="00946F0F"/>
    <w:rsid w:val="00947243"/>
    <w:rsid w:val="009475A5"/>
    <w:rsid w:val="009476AC"/>
    <w:rsid w:val="00950BCA"/>
    <w:rsid w:val="0095146D"/>
    <w:rsid w:val="009515F3"/>
    <w:rsid w:val="00951A16"/>
    <w:rsid w:val="00952705"/>
    <w:rsid w:val="00952D7E"/>
    <w:rsid w:val="0095342C"/>
    <w:rsid w:val="009535B1"/>
    <w:rsid w:val="009540D0"/>
    <w:rsid w:val="00954113"/>
    <w:rsid w:val="00954F4C"/>
    <w:rsid w:val="00955104"/>
    <w:rsid w:val="00955CAA"/>
    <w:rsid w:val="00955DEE"/>
    <w:rsid w:val="00956B83"/>
    <w:rsid w:val="0095718B"/>
    <w:rsid w:val="00957E6C"/>
    <w:rsid w:val="00960A55"/>
    <w:rsid w:val="00960D4A"/>
    <w:rsid w:val="0096121D"/>
    <w:rsid w:val="009615C9"/>
    <w:rsid w:val="0096269E"/>
    <w:rsid w:val="00962C3D"/>
    <w:rsid w:val="00962D9E"/>
    <w:rsid w:val="00963202"/>
    <w:rsid w:val="009633FC"/>
    <w:rsid w:val="00963695"/>
    <w:rsid w:val="0096386B"/>
    <w:rsid w:val="00964655"/>
    <w:rsid w:val="00964777"/>
    <w:rsid w:val="009650E1"/>
    <w:rsid w:val="00965BD1"/>
    <w:rsid w:val="00965FFA"/>
    <w:rsid w:val="00967FB4"/>
    <w:rsid w:val="009703A2"/>
    <w:rsid w:val="009703D3"/>
    <w:rsid w:val="009704C0"/>
    <w:rsid w:val="0097061C"/>
    <w:rsid w:val="009709C0"/>
    <w:rsid w:val="00970D5B"/>
    <w:rsid w:val="00971068"/>
    <w:rsid w:val="0097146A"/>
    <w:rsid w:val="00971937"/>
    <w:rsid w:val="00971C96"/>
    <w:rsid w:val="009724B2"/>
    <w:rsid w:val="00973E08"/>
    <w:rsid w:val="009743AA"/>
    <w:rsid w:val="009747F0"/>
    <w:rsid w:val="00974DF5"/>
    <w:rsid w:val="00975BE3"/>
    <w:rsid w:val="00975D25"/>
    <w:rsid w:val="00975E3A"/>
    <w:rsid w:val="009772BA"/>
    <w:rsid w:val="009774ED"/>
    <w:rsid w:val="0097760B"/>
    <w:rsid w:val="00980264"/>
    <w:rsid w:val="00980318"/>
    <w:rsid w:val="00980834"/>
    <w:rsid w:val="00980CA1"/>
    <w:rsid w:val="0098152C"/>
    <w:rsid w:val="00981B7C"/>
    <w:rsid w:val="009821FA"/>
    <w:rsid w:val="00982A7D"/>
    <w:rsid w:val="00982D5E"/>
    <w:rsid w:val="00983208"/>
    <w:rsid w:val="0098394E"/>
    <w:rsid w:val="00983F79"/>
    <w:rsid w:val="009840EC"/>
    <w:rsid w:val="00984CEB"/>
    <w:rsid w:val="009857B9"/>
    <w:rsid w:val="00985C30"/>
    <w:rsid w:val="00986381"/>
    <w:rsid w:val="00986614"/>
    <w:rsid w:val="00986B00"/>
    <w:rsid w:val="00986B0A"/>
    <w:rsid w:val="009870C3"/>
    <w:rsid w:val="00987575"/>
    <w:rsid w:val="00987FBC"/>
    <w:rsid w:val="009906D2"/>
    <w:rsid w:val="00990D8F"/>
    <w:rsid w:val="0099128B"/>
    <w:rsid w:val="009916E0"/>
    <w:rsid w:val="00991E67"/>
    <w:rsid w:val="00992589"/>
    <w:rsid w:val="009928C4"/>
    <w:rsid w:val="00992C55"/>
    <w:rsid w:val="0099328B"/>
    <w:rsid w:val="0099352D"/>
    <w:rsid w:val="00994F7C"/>
    <w:rsid w:val="009951E9"/>
    <w:rsid w:val="00995577"/>
    <w:rsid w:val="0099647C"/>
    <w:rsid w:val="00996535"/>
    <w:rsid w:val="0099654B"/>
    <w:rsid w:val="009967AC"/>
    <w:rsid w:val="009971A7"/>
    <w:rsid w:val="00997512"/>
    <w:rsid w:val="009976DC"/>
    <w:rsid w:val="009976EF"/>
    <w:rsid w:val="0099794E"/>
    <w:rsid w:val="009A00C9"/>
    <w:rsid w:val="009A01A5"/>
    <w:rsid w:val="009A05A8"/>
    <w:rsid w:val="009A0D4B"/>
    <w:rsid w:val="009A1FA0"/>
    <w:rsid w:val="009A32AF"/>
    <w:rsid w:val="009A3427"/>
    <w:rsid w:val="009A4479"/>
    <w:rsid w:val="009A500A"/>
    <w:rsid w:val="009A5F6A"/>
    <w:rsid w:val="009A72C4"/>
    <w:rsid w:val="009A7707"/>
    <w:rsid w:val="009B05BD"/>
    <w:rsid w:val="009B0749"/>
    <w:rsid w:val="009B0765"/>
    <w:rsid w:val="009B0F79"/>
    <w:rsid w:val="009B24C3"/>
    <w:rsid w:val="009B2D42"/>
    <w:rsid w:val="009B3312"/>
    <w:rsid w:val="009B3ABB"/>
    <w:rsid w:val="009B4098"/>
    <w:rsid w:val="009B4BD6"/>
    <w:rsid w:val="009B533A"/>
    <w:rsid w:val="009B5340"/>
    <w:rsid w:val="009B58FA"/>
    <w:rsid w:val="009B7133"/>
    <w:rsid w:val="009B7271"/>
    <w:rsid w:val="009B90D8"/>
    <w:rsid w:val="009C0473"/>
    <w:rsid w:val="009C1E22"/>
    <w:rsid w:val="009C21D7"/>
    <w:rsid w:val="009C2289"/>
    <w:rsid w:val="009C2B79"/>
    <w:rsid w:val="009C2C1F"/>
    <w:rsid w:val="009C2F07"/>
    <w:rsid w:val="009C33B9"/>
    <w:rsid w:val="009C35B9"/>
    <w:rsid w:val="009C3A5E"/>
    <w:rsid w:val="009C4165"/>
    <w:rsid w:val="009C4357"/>
    <w:rsid w:val="009C4794"/>
    <w:rsid w:val="009C5262"/>
    <w:rsid w:val="009C59A6"/>
    <w:rsid w:val="009C6463"/>
    <w:rsid w:val="009C65BD"/>
    <w:rsid w:val="009C6AB3"/>
    <w:rsid w:val="009C6E63"/>
    <w:rsid w:val="009C7287"/>
    <w:rsid w:val="009C7436"/>
    <w:rsid w:val="009C77CD"/>
    <w:rsid w:val="009C790E"/>
    <w:rsid w:val="009C7991"/>
    <w:rsid w:val="009C7D7D"/>
    <w:rsid w:val="009C7E81"/>
    <w:rsid w:val="009D25CE"/>
    <w:rsid w:val="009D3F3B"/>
    <w:rsid w:val="009D4202"/>
    <w:rsid w:val="009D49BC"/>
    <w:rsid w:val="009D4A11"/>
    <w:rsid w:val="009D4C3F"/>
    <w:rsid w:val="009D556C"/>
    <w:rsid w:val="009D5A79"/>
    <w:rsid w:val="009D616A"/>
    <w:rsid w:val="009D6415"/>
    <w:rsid w:val="009D6A32"/>
    <w:rsid w:val="009D6A72"/>
    <w:rsid w:val="009D7057"/>
    <w:rsid w:val="009E0ABD"/>
    <w:rsid w:val="009E0C9C"/>
    <w:rsid w:val="009E0F78"/>
    <w:rsid w:val="009E1AAA"/>
    <w:rsid w:val="009E1F93"/>
    <w:rsid w:val="009E2251"/>
    <w:rsid w:val="009E2F57"/>
    <w:rsid w:val="009E337A"/>
    <w:rsid w:val="009E3442"/>
    <w:rsid w:val="009E3BFD"/>
    <w:rsid w:val="009E419D"/>
    <w:rsid w:val="009E43F6"/>
    <w:rsid w:val="009E469A"/>
    <w:rsid w:val="009E480D"/>
    <w:rsid w:val="009E4849"/>
    <w:rsid w:val="009E4913"/>
    <w:rsid w:val="009E4B56"/>
    <w:rsid w:val="009E5A6C"/>
    <w:rsid w:val="009E5F18"/>
    <w:rsid w:val="009E6547"/>
    <w:rsid w:val="009E67F6"/>
    <w:rsid w:val="009E6B2C"/>
    <w:rsid w:val="009E6FF0"/>
    <w:rsid w:val="009E74A4"/>
    <w:rsid w:val="009E7BB6"/>
    <w:rsid w:val="009E7CF0"/>
    <w:rsid w:val="009E7E1D"/>
    <w:rsid w:val="009F0108"/>
    <w:rsid w:val="009F0E87"/>
    <w:rsid w:val="009F2743"/>
    <w:rsid w:val="009F2825"/>
    <w:rsid w:val="009F2C4F"/>
    <w:rsid w:val="009F2DED"/>
    <w:rsid w:val="009F38CF"/>
    <w:rsid w:val="009F472E"/>
    <w:rsid w:val="009F4796"/>
    <w:rsid w:val="009F4FAC"/>
    <w:rsid w:val="009F55B0"/>
    <w:rsid w:val="009F5C8B"/>
    <w:rsid w:val="009F66EC"/>
    <w:rsid w:val="009F69F9"/>
    <w:rsid w:val="009F6A79"/>
    <w:rsid w:val="009F6B1F"/>
    <w:rsid w:val="009F6D41"/>
    <w:rsid w:val="009F6E32"/>
    <w:rsid w:val="00A00023"/>
    <w:rsid w:val="00A004F5"/>
    <w:rsid w:val="00A0054F"/>
    <w:rsid w:val="00A00C3B"/>
    <w:rsid w:val="00A01350"/>
    <w:rsid w:val="00A013DE"/>
    <w:rsid w:val="00A01634"/>
    <w:rsid w:val="00A03D7E"/>
    <w:rsid w:val="00A0462E"/>
    <w:rsid w:val="00A04ABE"/>
    <w:rsid w:val="00A05019"/>
    <w:rsid w:val="00A05262"/>
    <w:rsid w:val="00A05592"/>
    <w:rsid w:val="00A0580E"/>
    <w:rsid w:val="00A05F18"/>
    <w:rsid w:val="00A06AEC"/>
    <w:rsid w:val="00A076FE"/>
    <w:rsid w:val="00A07BB7"/>
    <w:rsid w:val="00A1028B"/>
    <w:rsid w:val="00A106C0"/>
    <w:rsid w:val="00A1136C"/>
    <w:rsid w:val="00A11A4E"/>
    <w:rsid w:val="00A12020"/>
    <w:rsid w:val="00A12730"/>
    <w:rsid w:val="00A140AB"/>
    <w:rsid w:val="00A1491A"/>
    <w:rsid w:val="00A15AAB"/>
    <w:rsid w:val="00A16390"/>
    <w:rsid w:val="00A17110"/>
    <w:rsid w:val="00A17832"/>
    <w:rsid w:val="00A17BA9"/>
    <w:rsid w:val="00A20366"/>
    <w:rsid w:val="00A20D19"/>
    <w:rsid w:val="00A20E15"/>
    <w:rsid w:val="00A21964"/>
    <w:rsid w:val="00A22498"/>
    <w:rsid w:val="00A25387"/>
    <w:rsid w:val="00A272FC"/>
    <w:rsid w:val="00A27C68"/>
    <w:rsid w:val="00A27D43"/>
    <w:rsid w:val="00A303B2"/>
    <w:rsid w:val="00A30A58"/>
    <w:rsid w:val="00A30C47"/>
    <w:rsid w:val="00A30F79"/>
    <w:rsid w:val="00A3137C"/>
    <w:rsid w:val="00A3149B"/>
    <w:rsid w:val="00A31DAC"/>
    <w:rsid w:val="00A31DEA"/>
    <w:rsid w:val="00A3207F"/>
    <w:rsid w:val="00A329DC"/>
    <w:rsid w:val="00A33E66"/>
    <w:rsid w:val="00A33EB1"/>
    <w:rsid w:val="00A34FF7"/>
    <w:rsid w:val="00A351D7"/>
    <w:rsid w:val="00A35F25"/>
    <w:rsid w:val="00A36004"/>
    <w:rsid w:val="00A3642B"/>
    <w:rsid w:val="00A36935"/>
    <w:rsid w:val="00A36CC0"/>
    <w:rsid w:val="00A36F07"/>
    <w:rsid w:val="00A37C9C"/>
    <w:rsid w:val="00A402F2"/>
    <w:rsid w:val="00A4085C"/>
    <w:rsid w:val="00A40DF3"/>
    <w:rsid w:val="00A40E3E"/>
    <w:rsid w:val="00A40F7A"/>
    <w:rsid w:val="00A4108B"/>
    <w:rsid w:val="00A41565"/>
    <w:rsid w:val="00A43C02"/>
    <w:rsid w:val="00A43EAE"/>
    <w:rsid w:val="00A44BCD"/>
    <w:rsid w:val="00A4509B"/>
    <w:rsid w:val="00A45AB2"/>
    <w:rsid w:val="00A46285"/>
    <w:rsid w:val="00A462E8"/>
    <w:rsid w:val="00A46336"/>
    <w:rsid w:val="00A47948"/>
    <w:rsid w:val="00A47AEF"/>
    <w:rsid w:val="00A47AFB"/>
    <w:rsid w:val="00A50B22"/>
    <w:rsid w:val="00A50F14"/>
    <w:rsid w:val="00A50FDD"/>
    <w:rsid w:val="00A51F77"/>
    <w:rsid w:val="00A51FBA"/>
    <w:rsid w:val="00A52469"/>
    <w:rsid w:val="00A52553"/>
    <w:rsid w:val="00A52A4C"/>
    <w:rsid w:val="00A53AAA"/>
    <w:rsid w:val="00A53FBF"/>
    <w:rsid w:val="00A54037"/>
    <w:rsid w:val="00A5438C"/>
    <w:rsid w:val="00A54885"/>
    <w:rsid w:val="00A5502A"/>
    <w:rsid w:val="00A5591B"/>
    <w:rsid w:val="00A55ABC"/>
    <w:rsid w:val="00A55E4E"/>
    <w:rsid w:val="00A55E5C"/>
    <w:rsid w:val="00A55EE5"/>
    <w:rsid w:val="00A569CA"/>
    <w:rsid w:val="00A56C38"/>
    <w:rsid w:val="00A57EF3"/>
    <w:rsid w:val="00A607B5"/>
    <w:rsid w:val="00A609A0"/>
    <w:rsid w:val="00A60A8E"/>
    <w:rsid w:val="00A610F1"/>
    <w:rsid w:val="00A61849"/>
    <w:rsid w:val="00A61968"/>
    <w:rsid w:val="00A61F44"/>
    <w:rsid w:val="00A62AE8"/>
    <w:rsid w:val="00A637BB"/>
    <w:rsid w:val="00A63A5D"/>
    <w:rsid w:val="00A6453F"/>
    <w:rsid w:val="00A64CBD"/>
    <w:rsid w:val="00A64CC6"/>
    <w:rsid w:val="00A65B4F"/>
    <w:rsid w:val="00A67894"/>
    <w:rsid w:val="00A70911"/>
    <w:rsid w:val="00A70B7C"/>
    <w:rsid w:val="00A70C4E"/>
    <w:rsid w:val="00A70EF8"/>
    <w:rsid w:val="00A71087"/>
    <w:rsid w:val="00A71AE3"/>
    <w:rsid w:val="00A71E79"/>
    <w:rsid w:val="00A72074"/>
    <w:rsid w:val="00A728FA"/>
    <w:rsid w:val="00A729AB"/>
    <w:rsid w:val="00A72AD1"/>
    <w:rsid w:val="00A72BFF"/>
    <w:rsid w:val="00A730F3"/>
    <w:rsid w:val="00A73379"/>
    <w:rsid w:val="00A73605"/>
    <w:rsid w:val="00A7363D"/>
    <w:rsid w:val="00A73708"/>
    <w:rsid w:val="00A738C7"/>
    <w:rsid w:val="00A74017"/>
    <w:rsid w:val="00A74126"/>
    <w:rsid w:val="00A741A7"/>
    <w:rsid w:val="00A761DA"/>
    <w:rsid w:val="00A76A84"/>
    <w:rsid w:val="00A76EB7"/>
    <w:rsid w:val="00A778A3"/>
    <w:rsid w:val="00A77908"/>
    <w:rsid w:val="00A8072D"/>
    <w:rsid w:val="00A82B5D"/>
    <w:rsid w:val="00A82F4D"/>
    <w:rsid w:val="00A84309"/>
    <w:rsid w:val="00A84C30"/>
    <w:rsid w:val="00A851CD"/>
    <w:rsid w:val="00A855A7"/>
    <w:rsid w:val="00A8568B"/>
    <w:rsid w:val="00A85A4F"/>
    <w:rsid w:val="00A861D9"/>
    <w:rsid w:val="00A864F5"/>
    <w:rsid w:val="00A8683D"/>
    <w:rsid w:val="00A86845"/>
    <w:rsid w:val="00A86FEA"/>
    <w:rsid w:val="00A87156"/>
    <w:rsid w:val="00A871E5"/>
    <w:rsid w:val="00A872D1"/>
    <w:rsid w:val="00A877A4"/>
    <w:rsid w:val="00A8782C"/>
    <w:rsid w:val="00A87A76"/>
    <w:rsid w:val="00A87F19"/>
    <w:rsid w:val="00A902EE"/>
    <w:rsid w:val="00A9087E"/>
    <w:rsid w:val="00A91386"/>
    <w:rsid w:val="00A91DB5"/>
    <w:rsid w:val="00A91ECB"/>
    <w:rsid w:val="00A9201C"/>
    <w:rsid w:val="00A927EA"/>
    <w:rsid w:val="00A94114"/>
    <w:rsid w:val="00A945F0"/>
    <w:rsid w:val="00A9479B"/>
    <w:rsid w:val="00A957C9"/>
    <w:rsid w:val="00A965BC"/>
    <w:rsid w:val="00A96658"/>
    <w:rsid w:val="00A9687B"/>
    <w:rsid w:val="00A97459"/>
    <w:rsid w:val="00A97825"/>
    <w:rsid w:val="00A97847"/>
    <w:rsid w:val="00A97EEF"/>
    <w:rsid w:val="00AA00E8"/>
    <w:rsid w:val="00AA0184"/>
    <w:rsid w:val="00AA1EDD"/>
    <w:rsid w:val="00AA21BA"/>
    <w:rsid w:val="00AA222D"/>
    <w:rsid w:val="00AA262E"/>
    <w:rsid w:val="00AA2715"/>
    <w:rsid w:val="00AA38D6"/>
    <w:rsid w:val="00AA53CD"/>
    <w:rsid w:val="00AA5859"/>
    <w:rsid w:val="00AA6136"/>
    <w:rsid w:val="00AA6F2D"/>
    <w:rsid w:val="00AA7F0D"/>
    <w:rsid w:val="00AB05E8"/>
    <w:rsid w:val="00AB0C85"/>
    <w:rsid w:val="00AB1201"/>
    <w:rsid w:val="00AB1564"/>
    <w:rsid w:val="00AB23E5"/>
    <w:rsid w:val="00AB2FBB"/>
    <w:rsid w:val="00AB3892"/>
    <w:rsid w:val="00AB3F3C"/>
    <w:rsid w:val="00AB3FD5"/>
    <w:rsid w:val="00AB468B"/>
    <w:rsid w:val="00AB4BAB"/>
    <w:rsid w:val="00AB4C37"/>
    <w:rsid w:val="00AB56F2"/>
    <w:rsid w:val="00AB5E4B"/>
    <w:rsid w:val="00AB6734"/>
    <w:rsid w:val="00AB692C"/>
    <w:rsid w:val="00AB6F82"/>
    <w:rsid w:val="00AB72C6"/>
    <w:rsid w:val="00AB80A4"/>
    <w:rsid w:val="00ABB5BE"/>
    <w:rsid w:val="00AC01E7"/>
    <w:rsid w:val="00AC0569"/>
    <w:rsid w:val="00AC06BC"/>
    <w:rsid w:val="00AC06E8"/>
    <w:rsid w:val="00AC074D"/>
    <w:rsid w:val="00AC07D7"/>
    <w:rsid w:val="00AC095F"/>
    <w:rsid w:val="00AC097E"/>
    <w:rsid w:val="00AC1DDA"/>
    <w:rsid w:val="00AC3100"/>
    <w:rsid w:val="00AC3446"/>
    <w:rsid w:val="00AC38DC"/>
    <w:rsid w:val="00AC3A3D"/>
    <w:rsid w:val="00AC3BA8"/>
    <w:rsid w:val="00AC3D12"/>
    <w:rsid w:val="00AC5AC0"/>
    <w:rsid w:val="00AC5D55"/>
    <w:rsid w:val="00AC5E32"/>
    <w:rsid w:val="00AC63CB"/>
    <w:rsid w:val="00AC6529"/>
    <w:rsid w:val="00AC674E"/>
    <w:rsid w:val="00AC6EF6"/>
    <w:rsid w:val="00AC71B0"/>
    <w:rsid w:val="00AC7656"/>
    <w:rsid w:val="00AC76A7"/>
    <w:rsid w:val="00AC7C2A"/>
    <w:rsid w:val="00AC7D07"/>
    <w:rsid w:val="00AC7EC1"/>
    <w:rsid w:val="00AD03E0"/>
    <w:rsid w:val="00AD1A37"/>
    <w:rsid w:val="00AD1A5B"/>
    <w:rsid w:val="00AD1BFC"/>
    <w:rsid w:val="00AD1D6F"/>
    <w:rsid w:val="00AD2DBC"/>
    <w:rsid w:val="00AD329C"/>
    <w:rsid w:val="00AD37A0"/>
    <w:rsid w:val="00AD3898"/>
    <w:rsid w:val="00AD3E57"/>
    <w:rsid w:val="00AD4040"/>
    <w:rsid w:val="00AD4BFC"/>
    <w:rsid w:val="00AD5023"/>
    <w:rsid w:val="00AD50DD"/>
    <w:rsid w:val="00AD59DB"/>
    <w:rsid w:val="00AD5E0E"/>
    <w:rsid w:val="00AD5E33"/>
    <w:rsid w:val="00AD63AF"/>
    <w:rsid w:val="00AD671F"/>
    <w:rsid w:val="00AD7024"/>
    <w:rsid w:val="00AD7132"/>
    <w:rsid w:val="00AD7381"/>
    <w:rsid w:val="00AD7FFD"/>
    <w:rsid w:val="00AE0006"/>
    <w:rsid w:val="00AE00C4"/>
    <w:rsid w:val="00AE035B"/>
    <w:rsid w:val="00AE037A"/>
    <w:rsid w:val="00AE083D"/>
    <w:rsid w:val="00AE096F"/>
    <w:rsid w:val="00AE0ECE"/>
    <w:rsid w:val="00AE1C56"/>
    <w:rsid w:val="00AE20C4"/>
    <w:rsid w:val="00AE26BF"/>
    <w:rsid w:val="00AE326C"/>
    <w:rsid w:val="00AE347F"/>
    <w:rsid w:val="00AE34BD"/>
    <w:rsid w:val="00AE3791"/>
    <w:rsid w:val="00AE3E93"/>
    <w:rsid w:val="00AE4471"/>
    <w:rsid w:val="00AE53D8"/>
    <w:rsid w:val="00AE5929"/>
    <w:rsid w:val="00AE6038"/>
    <w:rsid w:val="00AE6047"/>
    <w:rsid w:val="00AE661B"/>
    <w:rsid w:val="00AE6723"/>
    <w:rsid w:val="00AE6EEE"/>
    <w:rsid w:val="00AE6F11"/>
    <w:rsid w:val="00AE76A6"/>
    <w:rsid w:val="00AF053F"/>
    <w:rsid w:val="00AF0B71"/>
    <w:rsid w:val="00AF114A"/>
    <w:rsid w:val="00AF15C6"/>
    <w:rsid w:val="00AF198E"/>
    <w:rsid w:val="00AF2509"/>
    <w:rsid w:val="00AF25A8"/>
    <w:rsid w:val="00AF2B99"/>
    <w:rsid w:val="00AF403D"/>
    <w:rsid w:val="00AF4467"/>
    <w:rsid w:val="00AF50C1"/>
    <w:rsid w:val="00AF554A"/>
    <w:rsid w:val="00AF5694"/>
    <w:rsid w:val="00AF5DD2"/>
    <w:rsid w:val="00AF6DFC"/>
    <w:rsid w:val="00AF7573"/>
    <w:rsid w:val="00AF7DB0"/>
    <w:rsid w:val="00B00AFA"/>
    <w:rsid w:val="00B00C5D"/>
    <w:rsid w:val="00B01095"/>
    <w:rsid w:val="00B012CB"/>
    <w:rsid w:val="00B013BB"/>
    <w:rsid w:val="00B014F1"/>
    <w:rsid w:val="00B01F71"/>
    <w:rsid w:val="00B023B2"/>
    <w:rsid w:val="00B0344E"/>
    <w:rsid w:val="00B03721"/>
    <w:rsid w:val="00B0410D"/>
    <w:rsid w:val="00B04292"/>
    <w:rsid w:val="00B05190"/>
    <w:rsid w:val="00B051CA"/>
    <w:rsid w:val="00B0531A"/>
    <w:rsid w:val="00B054FA"/>
    <w:rsid w:val="00B0570A"/>
    <w:rsid w:val="00B05EA0"/>
    <w:rsid w:val="00B05ECD"/>
    <w:rsid w:val="00B06162"/>
    <w:rsid w:val="00B062F1"/>
    <w:rsid w:val="00B06315"/>
    <w:rsid w:val="00B07CAB"/>
    <w:rsid w:val="00B07D1E"/>
    <w:rsid w:val="00B0903A"/>
    <w:rsid w:val="00B101F5"/>
    <w:rsid w:val="00B10210"/>
    <w:rsid w:val="00B10F5F"/>
    <w:rsid w:val="00B11666"/>
    <w:rsid w:val="00B1197D"/>
    <w:rsid w:val="00B11A45"/>
    <w:rsid w:val="00B122CF"/>
    <w:rsid w:val="00B126DC"/>
    <w:rsid w:val="00B133D4"/>
    <w:rsid w:val="00B1390E"/>
    <w:rsid w:val="00B13BEF"/>
    <w:rsid w:val="00B13FE7"/>
    <w:rsid w:val="00B147A2"/>
    <w:rsid w:val="00B15A90"/>
    <w:rsid w:val="00B15C2C"/>
    <w:rsid w:val="00B1613F"/>
    <w:rsid w:val="00B164ED"/>
    <w:rsid w:val="00B1713C"/>
    <w:rsid w:val="00B1760B"/>
    <w:rsid w:val="00B177F6"/>
    <w:rsid w:val="00B179AC"/>
    <w:rsid w:val="00B17BCE"/>
    <w:rsid w:val="00B2057E"/>
    <w:rsid w:val="00B209B0"/>
    <w:rsid w:val="00B209F2"/>
    <w:rsid w:val="00B214B1"/>
    <w:rsid w:val="00B218AC"/>
    <w:rsid w:val="00B21BE9"/>
    <w:rsid w:val="00B2293C"/>
    <w:rsid w:val="00B22B8F"/>
    <w:rsid w:val="00B22BDE"/>
    <w:rsid w:val="00B231BE"/>
    <w:rsid w:val="00B23246"/>
    <w:rsid w:val="00B237D7"/>
    <w:rsid w:val="00B24429"/>
    <w:rsid w:val="00B24890"/>
    <w:rsid w:val="00B2508F"/>
    <w:rsid w:val="00B25D7B"/>
    <w:rsid w:val="00B26876"/>
    <w:rsid w:val="00B269F9"/>
    <w:rsid w:val="00B26AC2"/>
    <w:rsid w:val="00B26D52"/>
    <w:rsid w:val="00B274F2"/>
    <w:rsid w:val="00B27C01"/>
    <w:rsid w:val="00B30569"/>
    <w:rsid w:val="00B30702"/>
    <w:rsid w:val="00B30725"/>
    <w:rsid w:val="00B31318"/>
    <w:rsid w:val="00B31BED"/>
    <w:rsid w:val="00B32547"/>
    <w:rsid w:val="00B32752"/>
    <w:rsid w:val="00B327AB"/>
    <w:rsid w:val="00B33A71"/>
    <w:rsid w:val="00B34C8A"/>
    <w:rsid w:val="00B34ED2"/>
    <w:rsid w:val="00B3500B"/>
    <w:rsid w:val="00B351D9"/>
    <w:rsid w:val="00B35317"/>
    <w:rsid w:val="00B3567E"/>
    <w:rsid w:val="00B36664"/>
    <w:rsid w:val="00B3674A"/>
    <w:rsid w:val="00B37029"/>
    <w:rsid w:val="00B37E39"/>
    <w:rsid w:val="00B37FD3"/>
    <w:rsid w:val="00B4002E"/>
    <w:rsid w:val="00B40D1C"/>
    <w:rsid w:val="00B411D8"/>
    <w:rsid w:val="00B4143D"/>
    <w:rsid w:val="00B4190B"/>
    <w:rsid w:val="00B41AC8"/>
    <w:rsid w:val="00B4260F"/>
    <w:rsid w:val="00B42632"/>
    <w:rsid w:val="00B426D3"/>
    <w:rsid w:val="00B439E5"/>
    <w:rsid w:val="00B440FD"/>
    <w:rsid w:val="00B444B6"/>
    <w:rsid w:val="00B445E0"/>
    <w:rsid w:val="00B4564E"/>
    <w:rsid w:val="00B45C0B"/>
    <w:rsid w:val="00B462F2"/>
    <w:rsid w:val="00B47120"/>
    <w:rsid w:val="00B50A23"/>
    <w:rsid w:val="00B513C3"/>
    <w:rsid w:val="00B5213B"/>
    <w:rsid w:val="00B52360"/>
    <w:rsid w:val="00B52913"/>
    <w:rsid w:val="00B53179"/>
    <w:rsid w:val="00B546E6"/>
    <w:rsid w:val="00B54AD3"/>
    <w:rsid w:val="00B54D7D"/>
    <w:rsid w:val="00B55390"/>
    <w:rsid w:val="00B55943"/>
    <w:rsid w:val="00B55B6E"/>
    <w:rsid w:val="00B55D43"/>
    <w:rsid w:val="00B55E10"/>
    <w:rsid w:val="00B55EC2"/>
    <w:rsid w:val="00B55F12"/>
    <w:rsid w:val="00B5703B"/>
    <w:rsid w:val="00B579CA"/>
    <w:rsid w:val="00B6012D"/>
    <w:rsid w:val="00B605AA"/>
    <w:rsid w:val="00B60653"/>
    <w:rsid w:val="00B60EE3"/>
    <w:rsid w:val="00B61526"/>
    <w:rsid w:val="00B635B2"/>
    <w:rsid w:val="00B6401A"/>
    <w:rsid w:val="00B64922"/>
    <w:rsid w:val="00B650C0"/>
    <w:rsid w:val="00B65305"/>
    <w:rsid w:val="00B655BE"/>
    <w:rsid w:val="00B665A2"/>
    <w:rsid w:val="00B6741F"/>
    <w:rsid w:val="00B67498"/>
    <w:rsid w:val="00B67739"/>
    <w:rsid w:val="00B677A7"/>
    <w:rsid w:val="00B704B0"/>
    <w:rsid w:val="00B70B3F"/>
    <w:rsid w:val="00B70EFB"/>
    <w:rsid w:val="00B712CE"/>
    <w:rsid w:val="00B729A4"/>
    <w:rsid w:val="00B72B6F"/>
    <w:rsid w:val="00B7324D"/>
    <w:rsid w:val="00B738B0"/>
    <w:rsid w:val="00B74E15"/>
    <w:rsid w:val="00B75090"/>
    <w:rsid w:val="00B75A14"/>
    <w:rsid w:val="00B75C63"/>
    <w:rsid w:val="00B75EF6"/>
    <w:rsid w:val="00B76458"/>
    <w:rsid w:val="00B77136"/>
    <w:rsid w:val="00B77B3C"/>
    <w:rsid w:val="00B77E08"/>
    <w:rsid w:val="00B80073"/>
    <w:rsid w:val="00B80919"/>
    <w:rsid w:val="00B80ABD"/>
    <w:rsid w:val="00B81326"/>
    <w:rsid w:val="00B819E2"/>
    <w:rsid w:val="00B81B26"/>
    <w:rsid w:val="00B81F46"/>
    <w:rsid w:val="00B820A4"/>
    <w:rsid w:val="00B820AE"/>
    <w:rsid w:val="00B826AF"/>
    <w:rsid w:val="00B82EE2"/>
    <w:rsid w:val="00B8346B"/>
    <w:rsid w:val="00B8408B"/>
    <w:rsid w:val="00B84A33"/>
    <w:rsid w:val="00B85371"/>
    <w:rsid w:val="00B853C8"/>
    <w:rsid w:val="00B858D3"/>
    <w:rsid w:val="00B85BF4"/>
    <w:rsid w:val="00B85EA2"/>
    <w:rsid w:val="00B863C5"/>
    <w:rsid w:val="00B8719D"/>
    <w:rsid w:val="00B875AA"/>
    <w:rsid w:val="00B8BA9F"/>
    <w:rsid w:val="00B91D9D"/>
    <w:rsid w:val="00B926EB"/>
    <w:rsid w:val="00B93191"/>
    <w:rsid w:val="00B9423F"/>
    <w:rsid w:val="00B94B8D"/>
    <w:rsid w:val="00B94E17"/>
    <w:rsid w:val="00B957BD"/>
    <w:rsid w:val="00B9642E"/>
    <w:rsid w:val="00B97141"/>
    <w:rsid w:val="00B97553"/>
    <w:rsid w:val="00B9DEC6"/>
    <w:rsid w:val="00BA0181"/>
    <w:rsid w:val="00BA2E35"/>
    <w:rsid w:val="00BA343F"/>
    <w:rsid w:val="00BA48F7"/>
    <w:rsid w:val="00BA4CDF"/>
    <w:rsid w:val="00BA5E34"/>
    <w:rsid w:val="00BA5E57"/>
    <w:rsid w:val="00BA5FC0"/>
    <w:rsid w:val="00BA6C8E"/>
    <w:rsid w:val="00BA71D9"/>
    <w:rsid w:val="00BA7260"/>
    <w:rsid w:val="00BA76B2"/>
    <w:rsid w:val="00BA78C3"/>
    <w:rsid w:val="00BA7C66"/>
    <w:rsid w:val="00BA7D6C"/>
    <w:rsid w:val="00BB08BA"/>
    <w:rsid w:val="00BB0A99"/>
    <w:rsid w:val="00BB0EBD"/>
    <w:rsid w:val="00BB1AB9"/>
    <w:rsid w:val="00BB1EF1"/>
    <w:rsid w:val="00BB1F33"/>
    <w:rsid w:val="00BB26C4"/>
    <w:rsid w:val="00BB2CAE"/>
    <w:rsid w:val="00BB2DBE"/>
    <w:rsid w:val="00BB33C1"/>
    <w:rsid w:val="00BB3D6C"/>
    <w:rsid w:val="00BB3E8C"/>
    <w:rsid w:val="00BB4C28"/>
    <w:rsid w:val="00BB540F"/>
    <w:rsid w:val="00BB5886"/>
    <w:rsid w:val="00BB5FD8"/>
    <w:rsid w:val="00BB6071"/>
    <w:rsid w:val="00BB65DA"/>
    <w:rsid w:val="00BB65EA"/>
    <w:rsid w:val="00BB6ED2"/>
    <w:rsid w:val="00BB7411"/>
    <w:rsid w:val="00BB7905"/>
    <w:rsid w:val="00BB7D31"/>
    <w:rsid w:val="00BC04D3"/>
    <w:rsid w:val="00BC0C97"/>
    <w:rsid w:val="00BC1610"/>
    <w:rsid w:val="00BC1A2C"/>
    <w:rsid w:val="00BC20C6"/>
    <w:rsid w:val="00BC2667"/>
    <w:rsid w:val="00BC28A7"/>
    <w:rsid w:val="00BC296E"/>
    <w:rsid w:val="00BC2DC3"/>
    <w:rsid w:val="00BC2E0F"/>
    <w:rsid w:val="00BC3275"/>
    <w:rsid w:val="00BC3EEB"/>
    <w:rsid w:val="00BC47D7"/>
    <w:rsid w:val="00BC487E"/>
    <w:rsid w:val="00BC4D61"/>
    <w:rsid w:val="00BC53E2"/>
    <w:rsid w:val="00BC6711"/>
    <w:rsid w:val="00BC6B18"/>
    <w:rsid w:val="00BC6FB9"/>
    <w:rsid w:val="00BC7569"/>
    <w:rsid w:val="00BC76E1"/>
    <w:rsid w:val="00BD0421"/>
    <w:rsid w:val="00BD04E1"/>
    <w:rsid w:val="00BD18C7"/>
    <w:rsid w:val="00BD217B"/>
    <w:rsid w:val="00BD2471"/>
    <w:rsid w:val="00BD284C"/>
    <w:rsid w:val="00BD2D24"/>
    <w:rsid w:val="00BD3133"/>
    <w:rsid w:val="00BD326B"/>
    <w:rsid w:val="00BD33E1"/>
    <w:rsid w:val="00BD3923"/>
    <w:rsid w:val="00BD400A"/>
    <w:rsid w:val="00BD42C6"/>
    <w:rsid w:val="00BD4698"/>
    <w:rsid w:val="00BD482E"/>
    <w:rsid w:val="00BD4B29"/>
    <w:rsid w:val="00BD50AF"/>
    <w:rsid w:val="00BD54BE"/>
    <w:rsid w:val="00BD56AA"/>
    <w:rsid w:val="00BD5AEA"/>
    <w:rsid w:val="00BD5C8D"/>
    <w:rsid w:val="00BD7A8C"/>
    <w:rsid w:val="00BE03F1"/>
    <w:rsid w:val="00BE14C4"/>
    <w:rsid w:val="00BE1D09"/>
    <w:rsid w:val="00BE2485"/>
    <w:rsid w:val="00BE26F6"/>
    <w:rsid w:val="00BE294A"/>
    <w:rsid w:val="00BE3247"/>
    <w:rsid w:val="00BE406E"/>
    <w:rsid w:val="00BE45DE"/>
    <w:rsid w:val="00BE476D"/>
    <w:rsid w:val="00BE529D"/>
    <w:rsid w:val="00BE53F9"/>
    <w:rsid w:val="00BE5C60"/>
    <w:rsid w:val="00BE6413"/>
    <w:rsid w:val="00BE691B"/>
    <w:rsid w:val="00BE7000"/>
    <w:rsid w:val="00BE71DA"/>
    <w:rsid w:val="00BF0294"/>
    <w:rsid w:val="00BF0A40"/>
    <w:rsid w:val="00BF0BA0"/>
    <w:rsid w:val="00BF0DF2"/>
    <w:rsid w:val="00BF1C28"/>
    <w:rsid w:val="00BF266F"/>
    <w:rsid w:val="00BF272B"/>
    <w:rsid w:val="00BF27EE"/>
    <w:rsid w:val="00BF27F6"/>
    <w:rsid w:val="00BF2874"/>
    <w:rsid w:val="00BF2ACB"/>
    <w:rsid w:val="00BF2ADD"/>
    <w:rsid w:val="00BF2C38"/>
    <w:rsid w:val="00BF3AE2"/>
    <w:rsid w:val="00BF4193"/>
    <w:rsid w:val="00BF4370"/>
    <w:rsid w:val="00BF47FD"/>
    <w:rsid w:val="00BF4C5B"/>
    <w:rsid w:val="00BF51B7"/>
    <w:rsid w:val="00BF5B17"/>
    <w:rsid w:val="00BF665F"/>
    <w:rsid w:val="00BF696D"/>
    <w:rsid w:val="00BF7657"/>
    <w:rsid w:val="00BF7BE7"/>
    <w:rsid w:val="00BF7D13"/>
    <w:rsid w:val="00BF7EC8"/>
    <w:rsid w:val="00C01B26"/>
    <w:rsid w:val="00C0216A"/>
    <w:rsid w:val="00C0271F"/>
    <w:rsid w:val="00C04303"/>
    <w:rsid w:val="00C04F41"/>
    <w:rsid w:val="00C05000"/>
    <w:rsid w:val="00C05DB1"/>
    <w:rsid w:val="00C05EE3"/>
    <w:rsid w:val="00C0605F"/>
    <w:rsid w:val="00C06070"/>
    <w:rsid w:val="00C0613F"/>
    <w:rsid w:val="00C065CE"/>
    <w:rsid w:val="00C06991"/>
    <w:rsid w:val="00C0791E"/>
    <w:rsid w:val="00C10A2B"/>
    <w:rsid w:val="00C10AF2"/>
    <w:rsid w:val="00C1154A"/>
    <w:rsid w:val="00C11F22"/>
    <w:rsid w:val="00C11F55"/>
    <w:rsid w:val="00C1202D"/>
    <w:rsid w:val="00C125D3"/>
    <w:rsid w:val="00C12671"/>
    <w:rsid w:val="00C12800"/>
    <w:rsid w:val="00C12BA5"/>
    <w:rsid w:val="00C13154"/>
    <w:rsid w:val="00C13948"/>
    <w:rsid w:val="00C150D0"/>
    <w:rsid w:val="00C1547A"/>
    <w:rsid w:val="00C15B23"/>
    <w:rsid w:val="00C163D9"/>
    <w:rsid w:val="00C166F3"/>
    <w:rsid w:val="00C16D07"/>
    <w:rsid w:val="00C17DF6"/>
    <w:rsid w:val="00C2023E"/>
    <w:rsid w:val="00C20AC9"/>
    <w:rsid w:val="00C2180F"/>
    <w:rsid w:val="00C218E6"/>
    <w:rsid w:val="00C219A5"/>
    <w:rsid w:val="00C21BF1"/>
    <w:rsid w:val="00C21E5F"/>
    <w:rsid w:val="00C22454"/>
    <w:rsid w:val="00C225DD"/>
    <w:rsid w:val="00C227FA"/>
    <w:rsid w:val="00C22F63"/>
    <w:rsid w:val="00C237C6"/>
    <w:rsid w:val="00C23E03"/>
    <w:rsid w:val="00C24003"/>
    <w:rsid w:val="00C24064"/>
    <w:rsid w:val="00C2476A"/>
    <w:rsid w:val="00C25557"/>
    <w:rsid w:val="00C25F60"/>
    <w:rsid w:val="00C26335"/>
    <w:rsid w:val="00C268ED"/>
    <w:rsid w:val="00C26FC0"/>
    <w:rsid w:val="00C2736E"/>
    <w:rsid w:val="00C27A89"/>
    <w:rsid w:val="00C27D7D"/>
    <w:rsid w:val="00C305F3"/>
    <w:rsid w:val="00C30896"/>
    <w:rsid w:val="00C30F17"/>
    <w:rsid w:val="00C3117B"/>
    <w:rsid w:val="00C311ED"/>
    <w:rsid w:val="00C318FE"/>
    <w:rsid w:val="00C31982"/>
    <w:rsid w:val="00C31A36"/>
    <w:rsid w:val="00C32126"/>
    <w:rsid w:val="00C327A5"/>
    <w:rsid w:val="00C33139"/>
    <w:rsid w:val="00C33721"/>
    <w:rsid w:val="00C337A0"/>
    <w:rsid w:val="00C33D18"/>
    <w:rsid w:val="00C33D5A"/>
    <w:rsid w:val="00C33E76"/>
    <w:rsid w:val="00C3441F"/>
    <w:rsid w:val="00C34666"/>
    <w:rsid w:val="00C34A55"/>
    <w:rsid w:val="00C34E30"/>
    <w:rsid w:val="00C3549B"/>
    <w:rsid w:val="00C35BE1"/>
    <w:rsid w:val="00C35BEF"/>
    <w:rsid w:val="00C35CAA"/>
    <w:rsid w:val="00C3607F"/>
    <w:rsid w:val="00C363C3"/>
    <w:rsid w:val="00C4042E"/>
    <w:rsid w:val="00C405ED"/>
    <w:rsid w:val="00C406DF"/>
    <w:rsid w:val="00C40962"/>
    <w:rsid w:val="00C40EB5"/>
    <w:rsid w:val="00C40ECF"/>
    <w:rsid w:val="00C414AC"/>
    <w:rsid w:val="00C4156D"/>
    <w:rsid w:val="00C41691"/>
    <w:rsid w:val="00C41FF5"/>
    <w:rsid w:val="00C424DC"/>
    <w:rsid w:val="00C427C8"/>
    <w:rsid w:val="00C43192"/>
    <w:rsid w:val="00C4338D"/>
    <w:rsid w:val="00C434D7"/>
    <w:rsid w:val="00C43E1C"/>
    <w:rsid w:val="00C45320"/>
    <w:rsid w:val="00C46968"/>
    <w:rsid w:val="00C46CAE"/>
    <w:rsid w:val="00C46D6D"/>
    <w:rsid w:val="00C46F9C"/>
    <w:rsid w:val="00C4726D"/>
    <w:rsid w:val="00C501AE"/>
    <w:rsid w:val="00C50922"/>
    <w:rsid w:val="00C51466"/>
    <w:rsid w:val="00C517BF"/>
    <w:rsid w:val="00C518C3"/>
    <w:rsid w:val="00C51906"/>
    <w:rsid w:val="00C521F2"/>
    <w:rsid w:val="00C52C14"/>
    <w:rsid w:val="00C53355"/>
    <w:rsid w:val="00C53552"/>
    <w:rsid w:val="00C53C66"/>
    <w:rsid w:val="00C54650"/>
    <w:rsid w:val="00C549A9"/>
    <w:rsid w:val="00C549C1"/>
    <w:rsid w:val="00C54E38"/>
    <w:rsid w:val="00C561E0"/>
    <w:rsid w:val="00C56F92"/>
    <w:rsid w:val="00C57010"/>
    <w:rsid w:val="00C57E55"/>
    <w:rsid w:val="00C60B0D"/>
    <w:rsid w:val="00C61664"/>
    <w:rsid w:val="00C6184E"/>
    <w:rsid w:val="00C62D7E"/>
    <w:rsid w:val="00C631E9"/>
    <w:rsid w:val="00C63705"/>
    <w:rsid w:val="00C6432A"/>
    <w:rsid w:val="00C64A1E"/>
    <w:rsid w:val="00C64B3A"/>
    <w:rsid w:val="00C64F7E"/>
    <w:rsid w:val="00C6580B"/>
    <w:rsid w:val="00C66517"/>
    <w:rsid w:val="00C66A77"/>
    <w:rsid w:val="00C66B4D"/>
    <w:rsid w:val="00C70B1A"/>
    <w:rsid w:val="00C70F88"/>
    <w:rsid w:val="00C71796"/>
    <w:rsid w:val="00C71F5B"/>
    <w:rsid w:val="00C720C7"/>
    <w:rsid w:val="00C721EB"/>
    <w:rsid w:val="00C72278"/>
    <w:rsid w:val="00C72B20"/>
    <w:rsid w:val="00C72C9F"/>
    <w:rsid w:val="00C730BC"/>
    <w:rsid w:val="00C73118"/>
    <w:rsid w:val="00C737B1"/>
    <w:rsid w:val="00C742B7"/>
    <w:rsid w:val="00C747A8"/>
    <w:rsid w:val="00C74C2C"/>
    <w:rsid w:val="00C74F80"/>
    <w:rsid w:val="00C754AD"/>
    <w:rsid w:val="00C757E1"/>
    <w:rsid w:val="00C757F6"/>
    <w:rsid w:val="00C75956"/>
    <w:rsid w:val="00C75B89"/>
    <w:rsid w:val="00C75C80"/>
    <w:rsid w:val="00C75CE0"/>
    <w:rsid w:val="00C762EB"/>
    <w:rsid w:val="00C76401"/>
    <w:rsid w:val="00C76C83"/>
    <w:rsid w:val="00C771AF"/>
    <w:rsid w:val="00C778FE"/>
    <w:rsid w:val="00C802D8"/>
    <w:rsid w:val="00C8100B"/>
    <w:rsid w:val="00C81063"/>
    <w:rsid w:val="00C813C4"/>
    <w:rsid w:val="00C81862"/>
    <w:rsid w:val="00C8197A"/>
    <w:rsid w:val="00C81D20"/>
    <w:rsid w:val="00C827F5"/>
    <w:rsid w:val="00C82AF4"/>
    <w:rsid w:val="00C835F9"/>
    <w:rsid w:val="00C838D0"/>
    <w:rsid w:val="00C84138"/>
    <w:rsid w:val="00C84161"/>
    <w:rsid w:val="00C84167"/>
    <w:rsid w:val="00C841EE"/>
    <w:rsid w:val="00C8424A"/>
    <w:rsid w:val="00C844ED"/>
    <w:rsid w:val="00C84BCF"/>
    <w:rsid w:val="00C8563F"/>
    <w:rsid w:val="00C85DF7"/>
    <w:rsid w:val="00C85E39"/>
    <w:rsid w:val="00C85FC2"/>
    <w:rsid w:val="00C862E1"/>
    <w:rsid w:val="00C86B91"/>
    <w:rsid w:val="00C86F34"/>
    <w:rsid w:val="00C86FC5"/>
    <w:rsid w:val="00C90337"/>
    <w:rsid w:val="00C90534"/>
    <w:rsid w:val="00C910BA"/>
    <w:rsid w:val="00C918E5"/>
    <w:rsid w:val="00C91DC3"/>
    <w:rsid w:val="00C91FD2"/>
    <w:rsid w:val="00C92097"/>
    <w:rsid w:val="00C92A39"/>
    <w:rsid w:val="00C92B98"/>
    <w:rsid w:val="00C92BD1"/>
    <w:rsid w:val="00C92C4B"/>
    <w:rsid w:val="00C92D8A"/>
    <w:rsid w:val="00C93C62"/>
    <w:rsid w:val="00C93F2B"/>
    <w:rsid w:val="00C93FA4"/>
    <w:rsid w:val="00C94235"/>
    <w:rsid w:val="00C94886"/>
    <w:rsid w:val="00C95420"/>
    <w:rsid w:val="00C9627C"/>
    <w:rsid w:val="00C9649B"/>
    <w:rsid w:val="00C96924"/>
    <w:rsid w:val="00C975E0"/>
    <w:rsid w:val="00C97A70"/>
    <w:rsid w:val="00C9925C"/>
    <w:rsid w:val="00CA0C1B"/>
    <w:rsid w:val="00CA0D30"/>
    <w:rsid w:val="00CA0FA8"/>
    <w:rsid w:val="00CA141E"/>
    <w:rsid w:val="00CA1C3F"/>
    <w:rsid w:val="00CA1F28"/>
    <w:rsid w:val="00CA1F67"/>
    <w:rsid w:val="00CA2A87"/>
    <w:rsid w:val="00CA3968"/>
    <w:rsid w:val="00CA3AF3"/>
    <w:rsid w:val="00CA4124"/>
    <w:rsid w:val="00CA4990"/>
    <w:rsid w:val="00CA4BDE"/>
    <w:rsid w:val="00CA4DDF"/>
    <w:rsid w:val="00CA4EDE"/>
    <w:rsid w:val="00CA544F"/>
    <w:rsid w:val="00CA5735"/>
    <w:rsid w:val="00CA699B"/>
    <w:rsid w:val="00CA71EB"/>
    <w:rsid w:val="00CA748B"/>
    <w:rsid w:val="00CA7578"/>
    <w:rsid w:val="00CA75BD"/>
    <w:rsid w:val="00CA7C30"/>
    <w:rsid w:val="00CB0203"/>
    <w:rsid w:val="00CB07A0"/>
    <w:rsid w:val="00CB0CFF"/>
    <w:rsid w:val="00CB0D9D"/>
    <w:rsid w:val="00CB12EC"/>
    <w:rsid w:val="00CB326C"/>
    <w:rsid w:val="00CB32D5"/>
    <w:rsid w:val="00CB375B"/>
    <w:rsid w:val="00CB3896"/>
    <w:rsid w:val="00CB48DC"/>
    <w:rsid w:val="00CB4909"/>
    <w:rsid w:val="00CB4AFB"/>
    <w:rsid w:val="00CB510B"/>
    <w:rsid w:val="00CB522A"/>
    <w:rsid w:val="00CB5A99"/>
    <w:rsid w:val="00CB65A5"/>
    <w:rsid w:val="00CB686B"/>
    <w:rsid w:val="00CB68E1"/>
    <w:rsid w:val="00CB6FF0"/>
    <w:rsid w:val="00CB7313"/>
    <w:rsid w:val="00CB7423"/>
    <w:rsid w:val="00CB76B0"/>
    <w:rsid w:val="00CB7955"/>
    <w:rsid w:val="00CB79CE"/>
    <w:rsid w:val="00CC02A2"/>
    <w:rsid w:val="00CC0326"/>
    <w:rsid w:val="00CC063F"/>
    <w:rsid w:val="00CC0A28"/>
    <w:rsid w:val="00CC1185"/>
    <w:rsid w:val="00CC1196"/>
    <w:rsid w:val="00CC128A"/>
    <w:rsid w:val="00CC12EF"/>
    <w:rsid w:val="00CC151F"/>
    <w:rsid w:val="00CC163C"/>
    <w:rsid w:val="00CC1F91"/>
    <w:rsid w:val="00CC3E2C"/>
    <w:rsid w:val="00CC3E79"/>
    <w:rsid w:val="00CC3F28"/>
    <w:rsid w:val="00CC4714"/>
    <w:rsid w:val="00CC5F7B"/>
    <w:rsid w:val="00CC618F"/>
    <w:rsid w:val="00CC656B"/>
    <w:rsid w:val="00CC6A45"/>
    <w:rsid w:val="00CC6E2F"/>
    <w:rsid w:val="00CC7111"/>
    <w:rsid w:val="00CC73BC"/>
    <w:rsid w:val="00CC7F8C"/>
    <w:rsid w:val="00CCBD72"/>
    <w:rsid w:val="00CD01E4"/>
    <w:rsid w:val="00CD0215"/>
    <w:rsid w:val="00CD0223"/>
    <w:rsid w:val="00CD02ED"/>
    <w:rsid w:val="00CD057F"/>
    <w:rsid w:val="00CD08EE"/>
    <w:rsid w:val="00CD0F0D"/>
    <w:rsid w:val="00CD1403"/>
    <w:rsid w:val="00CD1B7E"/>
    <w:rsid w:val="00CD1BB3"/>
    <w:rsid w:val="00CD2B71"/>
    <w:rsid w:val="00CD2C9A"/>
    <w:rsid w:val="00CD35CD"/>
    <w:rsid w:val="00CD3DC8"/>
    <w:rsid w:val="00CD41B8"/>
    <w:rsid w:val="00CD41B9"/>
    <w:rsid w:val="00CD4796"/>
    <w:rsid w:val="00CD49E3"/>
    <w:rsid w:val="00CD4B85"/>
    <w:rsid w:val="00CD4EA5"/>
    <w:rsid w:val="00CD59BF"/>
    <w:rsid w:val="00CD5ED3"/>
    <w:rsid w:val="00CD604A"/>
    <w:rsid w:val="00CD6A73"/>
    <w:rsid w:val="00CD6FAC"/>
    <w:rsid w:val="00CD7F2D"/>
    <w:rsid w:val="00CE00D4"/>
    <w:rsid w:val="00CE0449"/>
    <w:rsid w:val="00CE0834"/>
    <w:rsid w:val="00CE1906"/>
    <w:rsid w:val="00CE1E95"/>
    <w:rsid w:val="00CE2854"/>
    <w:rsid w:val="00CE2A98"/>
    <w:rsid w:val="00CE2BC0"/>
    <w:rsid w:val="00CE2DD5"/>
    <w:rsid w:val="00CE2FFC"/>
    <w:rsid w:val="00CE37C3"/>
    <w:rsid w:val="00CE3A3E"/>
    <w:rsid w:val="00CE3BC4"/>
    <w:rsid w:val="00CE3ECA"/>
    <w:rsid w:val="00CE6250"/>
    <w:rsid w:val="00CE6FA9"/>
    <w:rsid w:val="00CE71C1"/>
    <w:rsid w:val="00CE79A3"/>
    <w:rsid w:val="00CF026C"/>
    <w:rsid w:val="00CF0856"/>
    <w:rsid w:val="00CF1544"/>
    <w:rsid w:val="00CF1B95"/>
    <w:rsid w:val="00CF2202"/>
    <w:rsid w:val="00CF3534"/>
    <w:rsid w:val="00CF3C32"/>
    <w:rsid w:val="00CF3E96"/>
    <w:rsid w:val="00CF3F19"/>
    <w:rsid w:val="00CF4482"/>
    <w:rsid w:val="00CF50FE"/>
    <w:rsid w:val="00CF51A5"/>
    <w:rsid w:val="00CF5220"/>
    <w:rsid w:val="00CF537A"/>
    <w:rsid w:val="00CF5710"/>
    <w:rsid w:val="00CF5CB1"/>
    <w:rsid w:val="00CF6633"/>
    <w:rsid w:val="00CF6DD0"/>
    <w:rsid w:val="00CF7A83"/>
    <w:rsid w:val="00CF7DC9"/>
    <w:rsid w:val="00CFEFDD"/>
    <w:rsid w:val="00D001DA"/>
    <w:rsid w:val="00D002E4"/>
    <w:rsid w:val="00D00482"/>
    <w:rsid w:val="00D00569"/>
    <w:rsid w:val="00D00918"/>
    <w:rsid w:val="00D01074"/>
    <w:rsid w:val="00D01915"/>
    <w:rsid w:val="00D01C20"/>
    <w:rsid w:val="00D01D5F"/>
    <w:rsid w:val="00D0216A"/>
    <w:rsid w:val="00D02DD4"/>
    <w:rsid w:val="00D03F48"/>
    <w:rsid w:val="00D0478F"/>
    <w:rsid w:val="00D052E8"/>
    <w:rsid w:val="00D05CCA"/>
    <w:rsid w:val="00D05D4D"/>
    <w:rsid w:val="00D05FF0"/>
    <w:rsid w:val="00D06109"/>
    <w:rsid w:val="00D06B5B"/>
    <w:rsid w:val="00D07438"/>
    <w:rsid w:val="00D075CE"/>
    <w:rsid w:val="00D109B3"/>
    <w:rsid w:val="00D10A5F"/>
    <w:rsid w:val="00D10B7B"/>
    <w:rsid w:val="00D11013"/>
    <w:rsid w:val="00D1110E"/>
    <w:rsid w:val="00D118E9"/>
    <w:rsid w:val="00D1295F"/>
    <w:rsid w:val="00D12C06"/>
    <w:rsid w:val="00D13675"/>
    <w:rsid w:val="00D13694"/>
    <w:rsid w:val="00D13A2E"/>
    <w:rsid w:val="00D13B5A"/>
    <w:rsid w:val="00D13DA0"/>
    <w:rsid w:val="00D140C1"/>
    <w:rsid w:val="00D15B56"/>
    <w:rsid w:val="00D16D54"/>
    <w:rsid w:val="00D16F51"/>
    <w:rsid w:val="00D1720B"/>
    <w:rsid w:val="00D17C88"/>
    <w:rsid w:val="00D17D2D"/>
    <w:rsid w:val="00D20052"/>
    <w:rsid w:val="00D2064C"/>
    <w:rsid w:val="00D21595"/>
    <w:rsid w:val="00D21732"/>
    <w:rsid w:val="00D22E52"/>
    <w:rsid w:val="00D24105"/>
    <w:rsid w:val="00D24338"/>
    <w:rsid w:val="00D244C1"/>
    <w:rsid w:val="00D24B3E"/>
    <w:rsid w:val="00D251C3"/>
    <w:rsid w:val="00D255BF"/>
    <w:rsid w:val="00D25B03"/>
    <w:rsid w:val="00D25C9B"/>
    <w:rsid w:val="00D25F1C"/>
    <w:rsid w:val="00D260D5"/>
    <w:rsid w:val="00D261A4"/>
    <w:rsid w:val="00D26A28"/>
    <w:rsid w:val="00D272D1"/>
    <w:rsid w:val="00D275AD"/>
    <w:rsid w:val="00D27CCD"/>
    <w:rsid w:val="00D2D957"/>
    <w:rsid w:val="00D30721"/>
    <w:rsid w:val="00D30DB0"/>
    <w:rsid w:val="00D3171E"/>
    <w:rsid w:val="00D32043"/>
    <w:rsid w:val="00D32A53"/>
    <w:rsid w:val="00D32A5A"/>
    <w:rsid w:val="00D33FEA"/>
    <w:rsid w:val="00D3410A"/>
    <w:rsid w:val="00D357BA"/>
    <w:rsid w:val="00D35D51"/>
    <w:rsid w:val="00D369A5"/>
    <w:rsid w:val="00D37697"/>
    <w:rsid w:val="00D3781A"/>
    <w:rsid w:val="00D37CE5"/>
    <w:rsid w:val="00D37F21"/>
    <w:rsid w:val="00D40123"/>
    <w:rsid w:val="00D4075B"/>
    <w:rsid w:val="00D4126B"/>
    <w:rsid w:val="00D41622"/>
    <w:rsid w:val="00D42098"/>
    <w:rsid w:val="00D42EFE"/>
    <w:rsid w:val="00D4304F"/>
    <w:rsid w:val="00D43461"/>
    <w:rsid w:val="00D434D4"/>
    <w:rsid w:val="00D43C87"/>
    <w:rsid w:val="00D43D0A"/>
    <w:rsid w:val="00D43DB2"/>
    <w:rsid w:val="00D43E1B"/>
    <w:rsid w:val="00D4467D"/>
    <w:rsid w:val="00D446EF"/>
    <w:rsid w:val="00D44861"/>
    <w:rsid w:val="00D44CF3"/>
    <w:rsid w:val="00D44E50"/>
    <w:rsid w:val="00D45179"/>
    <w:rsid w:val="00D45686"/>
    <w:rsid w:val="00D45FB8"/>
    <w:rsid w:val="00D461CE"/>
    <w:rsid w:val="00D4676E"/>
    <w:rsid w:val="00D46FCB"/>
    <w:rsid w:val="00D506C3"/>
    <w:rsid w:val="00D50B25"/>
    <w:rsid w:val="00D50C7F"/>
    <w:rsid w:val="00D511DC"/>
    <w:rsid w:val="00D5122F"/>
    <w:rsid w:val="00D52051"/>
    <w:rsid w:val="00D521C8"/>
    <w:rsid w:val="00D52B2B"/>
    <w:rsid w:val="00D52CF2"/>
    <w:rsid w:val="00D52FF5"/>
    <w:rsid w:val="00D535E1"/>
    <w:rsid w:val="00D54260"/>
    <w:rsid w:val="00D548FC"/>
    <w:rsid w:val="00D54C72"/>
    <w:rsid w:val="00D55AEE"/>
    <w:rsid w:val="00D56049"/>
    <w:rsid w:val="00D56133"/>
    <w:rsid w:val="00D56662"/>
    <w:rsid w:val="00D56C84"/>
    <w:rsid w:val="00D60231"/>
    <w:rsid w:val="00D602C8"/>
    <w:rsid w:val="00D6081A"/>
    <w:rsid w:val="00D61066"/>
    <w:rsid w:val="00D61614"/>
    <w:rsid w:val="00D62E7C"/>
    <w:rsid w:val="00D63528"/>
    <w:rsid w:val="00D63689"/>
    <w:rsid w:val="00D63E99"/>
    <w:rsid w:val="00D644D0"/>
    <w:rsid w:val="00D64AB9"/>
    <w:rsid w:val="00D64B9A"/>
    <w:rsid w:val="00D64C73"/>
    <w:rsid w:val="00D669F0"/>
    <w:rsid w:val="00D66E3D"/>
    <w:rsid w:val="00D67563"/>
    <w:rsid w:val="00D67587"/>
    <w:rsid w:val="00D67C20"/>
    <w:rsid w:val="00D71482"/>
    <w:rsid w:val="00D71A67"/>
    <w:rsid w:val="00D71F1E"/>
    <w:rsid w:val="00D72027"/>
    <w:rsid w:val="00D72BDE"/>
    <w:rsid w:val="00D733AA"/>
    <w:rsid w:val="00D738A5"/>
    <w:rsid w:val="00D74219"/>
    <w:rsid w:val="00D74C82"/>
    <w:rsid w:val="00D7502F"/>
    <w:rsid w:val="00D75628"/>
    <w:rsid w:val="00D758F4"/>
    <w:rsid w:val="00D75DB2"/>
    <w:rsid w:val="00D796E0"/>
    <w:rsid w:val="00D8013D"/>
    <w:rsid w:val="00D80183"/>
    <w:rsid w:val="00D802BF"/>
    <w:rsid w:val="00D80405"/>
    <w:rsid w:val="00D80512"/>
    <w:rsid w:val="00D80DA1"/>
    <w:rsid w:val="00D810A6"/>
    <w:rsid w:val="00D810A7"/>
    <w:rsid w:val="00D81581"/>
    <w:rsid w:val="00D81613"/>
    <w:rsid w:val="00D81816"/>
    <w:rsid w:val="00D8231A"/>
    <w:rsid w:val="00D82704"/>
    <w:rsid w:val="00D82765"/>
    <w:rsid w:val="00D8293C"/>
    <w:rsid w:val="00D82DEC"/>
    <w:rsid w:val="00D82F25"/>
    <w:rsid w:val="00D84442"/>
    <w:rsid w:val="00D844F0"/>
    <w:rsid w:val="00D84EE5"/>
    <w:rsid w:val="00D85042"/>
    <w:rsid w:val="00D858CA"/>
    <w:rsid w:val="00D85A9B"/>
    <w:rsid w:val="00D86039"/>
    <w:rsid w:val="00D8647A"/>
    <w:rsid w:val="00D8694D"/>
    <w:rsid w:val="00D86A23"/>
    <w:rsid w:val="00D86B0A"/>
    <w:rsid w:val="00D86DD5"/>
    <w:rsid w:val="00D8751E"/>
    <w:rsid w:val="00D87E93"/>
    <w:rsid w:val="00D90154"/>
    <w:rsid w:val="00D90FAA"/>
    <w:rsid w:val="00D910D6"/>
    <w:rsid w:val="00D9147C"/>
    <w:rsid w:val="00D91826"/>
    <w:rsid w:val="00D92320"/>
    <w:rsid w:val="00D92C17"/>
    <w:rsid w:val="00D92CA5"/>
    <w:rsid w:val="00D92CAD"/>
    <w:rsid w:val="00D9313E"/>
    <w:rsid w:val="00D933A0"/>
    <w:rsid w:val="00D935A1"/>
    <w:rsid w:val="00D94114"/>
    <w:rsid w:val="00D94763"/>
    <w:rsid w:val="00D94817"/>
    <w:rsid w:val="00D94D15"/>
    <w:rsid w:val="00D95E58"/>
    <w:rsid w:val="00D960C6"/>
    <w:rsid w:val="00D96451"/>
    <w:rsid w:val="00D966D8"/>
    <w:rsid w:val="00D96F31"/>
    <w:rsid w:val="00D97004"/>
    <w:rsid w:val="00D9713A"/>
    <w:rsid w:val="00D975EC"/>
    <w:rsid w:val="00D97D61"/>
    <w:rsid w:val="00D97ED5"/>
    <w:rsid w:val="00D97F7C"/>
    <w:rsid w:val="00DA0A67"/>
    <w:rsid w:val="00DA0B54"/>
    <w:rsid w:val="00DA0C58"/>
    <w:rsid w:val="00DA0D2B"/>
    <w:rsid w:val="00DA0FFF"/>
    <w:rsid w:val="00DA1037"/>
    <w:rsid w:val="00DA144E"/>
    <w:rsid w:val="00DA1E82"/>
    <w:rsid w:val="00DA298F"/>
    <w:rsid w:val="00DA2AB4"/>
    <w:rsid w:val="00DA2AF2"/>
    <w:rsid w:val="00DA2B0D"/>
    <w:rsid w:val="00DA3561"/>
    <w:rsid w:val="00DA3742"/>
    <w:rsid w:val="00DA3763"/>
    <w:rsid w:val="00DA38F9"/>
    <w:rsid w:val="00DA465C"/>
    <w:rsid w:val="00DA494C"/>
    <w:rsid w:val="00DA49D9"/>
    <w:rsid w:val="00DA57A8"/>
    <w:rsid w:val="00DA6095"/>
    <w:rsid w:val="00DA63B8"/>
    <w:rsid w:val="00DA6718"/>
    <w:rsid w:val="00DA76F7"/>
    <w:rsid w:val="00DA7E3A"/>
    <w:rsid w:val="00DB0127"/>
    <w:rsid w:val="00DB11C3"/>
    <w:rsid w:val="00DB1768"/>
    <w:rsid w:val="00DB1C7B"/>
    <w:rsid w:val="00DB1D3C"/>
    <w:rsid w:val="00DB261C"/>
    <w:rsid w:val="00DB2948"/>
    <w:rsid w:val="00DB29B7"/>
    <w:rsid w:val="00DB2C2C"/>
    <w:rsid w:val="00DB33D5"/>
    <w:rsid w:val="00DB3597"/>
    <w:rsid w:val="00DB3D51"/>
    <w:rsid w:val="00DB3E92"/>
    <w:rsid w:val="00DB4519"/>
    <w:rsid w:val="00DB45DA"/>
    <w:rsid w:val="00DB4CCF"/>
    <w:rsid w:val="00DB64A7"/>
    <w:rsid w:val="00DB67F2"/>
    <w:rsid w:val="00DB6AB5"/>
    <w:rsid w:val="00DB71D2"/>
    <w:rsid w:val="00DC0DBB"/>
    <w:rsid w:val="00DC102D"/>
    <w:rsid w:val="00DC1979"/>
    <w:rsid w:val="00DC199B"/>
    <w:rsid w:val="00DC2887"/>
    <w:rsid w:val="00DC382E"/>
    <w:rsid w:val="00DC395A"/>
    <w:rsid w:val="00DC3FF4"/>
    <w:rsid w:val="00DC48E0"/>
    <w:rsid w:val="00DC5708"/>
    <w:rsid w:val="00DC5FC5"/>
    <w:rsid w:val="00DC628D"/>
    <w:rsid w:val="00DC63BE"/>
    <w:rsid w:val="00DC6423"/>
    <w:rsid w:val="00DC6F44"/>
    <w:rsid w:val="00DC7004"/>
    <w:rsid w:val="00DC7460"/>
    <w:rsid w:val="00DC7961"/>
    <w:rsid w:val="00DD053D"/>
    <w:rsid w:val="00DD0775"/>
    <w:rsid w:val="00DD0905"/>
    <w:rsid w:val="00DD0C9C"/>
    <w:rsid w:val="00DD1EBF"/>
    <w:rsid w:val="00DD1F8B"/>
    <w:rsid w:val="00DD272B"/>
    <w:rsid w:val="00DD2C2D"/>
    <w:rsid w:val="00DD3481"/>
    <w:rsid w:val="00DD4372"/>
    <w:rsid w:val="00DD447E"/>
    <w:rsid w:val="00DD463D"/>
    <w:rsid w:val="00DD4F29"/>
    <w:rsid w:val="00DD5365"/>
    <w:rsid w:val="00DD5D3C"/>
    <w:rsid w:val="00DD6FF8"/>
    <w:rsid w:val="00DD761A"/>
    <w:rsid w:val="00DD784F"/>
    <w:rsid w:val="00DD79D3"/>
    <w:rsid w:val="00DD7F4E"/>
    <w:rsid w:val="00DD7F67"/>
    <w:rsid w:val="00DE0787"/>
    <w:rsid w:val="00DE07E8"/>
    <w:rsid w:val="00DE0EBD"/>
    <w:rsid w:val="00DE1A78"/>
    <w:rsid w:val="00DE1E9F"/>
    <w:rsid w:val="00DE1F4A"/>
    <w:rsid w:val="00DE2176"/>
    <w:rsid w:val="00DE2721"/>
    <w:rsid w:val="00DE288D"/>
    <w:rsid w:val="00DE2A57"/>
    <w:rsid w:val="00DE364B"/>
    <w:rsid w:val="00DE39D3"/>
    <w:rsid w:val="00DE4C3A"/>
    <w:rsid w:val="00DE4D54"/>
    <w:rsid w:val="00DE4ED2"/>
    <w:rsid w:val="00DE51C6"/>
    <w:rsid w:val="00DE51C8"/>
    <w:rsid w:val="00DE5DBE"/>
    <w:rsid w:val="00DE696E"/>
    <w:rsid w:val="00DE70B4"/>
    <w:rsid w:val="00DE7109"/>
    <w:rsid w:val="00DE7647"/>
    <w:rsid w:val="00DF0ADC"/>
    <w:rsid w:val="00DF0E14"/>
    <w:rsid w:val="00DF0F15"/>
    <w:rsid w:val="00DF1D5F"/>
    <w:rsid w:val="00DF1FB7"/>
    <w:rsid w:val="00DF2585"/>
    <w:rsid w:val="00DF3151"/>
    <w:rsid w:val="00DF40ED"/>
    <w:rsid w:val="00DF410A"/>
    <w:rsid w:val="00DF44A4"/>
    <w:rsid w:val="00DF4B1D"/>
    <w:rsid w:val="00DF5222"/>
    <w:rsid w:val="00DF53B7"/>
    <w:rsid w:val="00DF5BB8"/>
    <w:rsid w:val="00DF5E1D"/>
    <w:rsid w:val="00DF6187"/>
    <w:rsid w:val="00DF7684"/>
    <w:rsid w:val="00DF7CAC"/>
    <w:rsid w:val="00E0025D"/>
    <w:rsid w:val="00E00948"/>
    <w:rsid w:val="00E009A2"/>
    <w:rsid w:val="00E00A1D"/>
    <w:rsid w:val="00E00A94"/>
    <w:rsid w:val="00E00BC7"/>
    <w:rsid w:val="00E02191"/>
    <w:rsid w:val="00E0248F"/>
    <w:rsid w:val="00E0273F"/>
    <w:rsid w:val="00E02A88"/>
    <w:rsid w:val="00E03BCD"/>
    <w:rsid w:val="00E04423"/>
    <w:rsid w:val="00E04E09"/>
    <w:rsid w:val="00E052D2"/>
    <w:rsid w:val="00E05411"/>
    <w:rsid w:val="00E05739"/>
    <w:rsid w:val="00E05B83"/>
    <w:rsid w:val="00E0650D"/>
    <w:rsid w:val="00E06966"/>
    <w:rsid w:val="00E071B4"/>
    <w:rsid w:val="00E07660"/>
    <w:rsid w:val="00E10424"/>
    <w:rsid w:val="00E10BDD"/>
    <w:rsid w:val="00E112E3"/>
    <w:rsid w:val="00E13BC0"/>
    <w:rsid w:val="00E13F6D"/>
    <w:rsid w:val="00E13FF9"/>
    <w:rsid w:val="00E146D9"/>
    <w:rsid w:val="00E147B7"/>
    <w:rsid w:val="00E151B0"/>
    <w:rsid w:val="00E1575E"/>
    <w:rsid w:val="00E15764"/>
    <w:rsid w:val="00E1646C"/>
    <w:rsid w:val="00E16DA6"/>
    <w:rsid w:val="00E1702F"/>
    <w:rsid w:val="00E170B4"/>
    <w:rsid w:val="00E173C6"/>
    <w:rsid w:val="00E17864"/>
    <w:rsid w:val="00E17BF6"/>
    <w:rsid w:val="00E20892"/>
    <w:rsid w:val="00E211FE"/>
    <w:rsid w:val="00E2185D"/>
    <w:rsid w:val="00E2194F"/>
    <w:rsid w:val="00E235C5"/>
    <w:rsid w:val="00E2399F"/>
    <w:rsid w:val="00E23B19"/>
    <w:rsid w:val="00E2425C"/>
    <w:rsid w:val="00E245DA"/>
    <w:rsid w:val="00E24972"/>
    <w:rsid w:val="00E24B25"/>
    <w:rsid w:val="00E24C18"/>
    <w:rsid w:val="00E25591"/>
    <w:rsid w:val="00E2633A"/>
    <w:rsid w:val="00E26642"/>
    <w:rsid w:val="00E26807"/>
    <w:rsid w:val="00E27CB2"/>
    <w:rsid w:val="00E31038"/>
    <w:rsid w:val="00E31164"/>
    <w:rsid w:val="00E31AC3"/>
    <w:rsid w:val="00E31CDB"/>
    <w:rsid w:val="00E31F5F"/>
    <w:rsid w:val="00E32926"/>
    <w:rsid w:val="00E3327C"/>
    <w:rsid w:val="00E332FF"/>
    <w:rsid w:val="00E3341F"/>
    <w:rsid w:val="00E33EAC"/>
    <w:rsid w:val="00E33EDA"/>
    <w:rsid w:val="00E3488C"/>
    <w:rsid w:val="00E349C3"/>
    <w:rsid w:val="00E34A05"/>
    <w:rsid w:val="00E34DD7"/>
    <w:rsid w:val="00E352CC"/>
    <w:rsid w:val="00E35A01"/>
    <w:rsid w:val="00E35F75"/>
    <w:rsid w:val="00E36533"/>
    <w:rsid w:val="00E40118"/>
    <w:rsid w:val="00E40396"/>
    <w:rsid w:val="00E40402"/>
    <w:rsid w:val="00E4050C"/>
    <w:rsid w:val="00E40DA8"/>
    <w:rsid w:val="00E40EBE"/>
    <w:rsid w:val="00E4124A"/>
    <w:rsid w:val="00E4127C"/>
    <w:rsid w:val="00E414F6"/>
    <w:rsid w:val="00E41596"/>
    <w:rsid w:val="00E41902"/>
    <w:rsid w:val="00E41AD6"/>
    <w:rsid w:val="00E42379"/>
    <w:rsid w:val="00E42D03"/>
    <w:rsid w:val="00E42E1E"/>
    <w:rsid w:val="00E43250"/>
    <w:rsid w:val="00E4357D"/>
    <w:rsid w:val="00E436A5"/>
    <w:rsid w:val="00E43864"/>
    <w:rsid w:val="00E43F51"/>
    <w:rsid w:val="00E44517"/>
    <w:rsid w:val="00E449F7"/>
    <w:rsid w:val="00E44D06"/>
    <w:rsid w:val="00E4527F"/>
    <w:rsid w:val="00E45A82"/>
    <w:rsid w:val="00E4635D"/>
    <w:rsid w:val="00E46436"/>
    <w:rsid w:val="00E467E8"/>
    <w:rsid w:val="00E46D9F"/>
    <w:rsid w:val="00E47115"/>
    <w:rsid w:val="00E4782F"/>
    <w:rsid w:val="00E479E9"/>
    <w:rsid w:val="00E47BD1"/>
    <w:rsid w:val="00E51620"/>
    <w:rsid w:val="00E527DF"/>
    <w:rsid w:val="00E5283B"/>
    <w:rsid w:val="00E52E22"/>
    <w:rsid w:val="00E52F38"/>
    <w:rsid w:val="00E5372C"/>
    <w:rsid w:val="00E53CD2"/>
    <w:rsid w:val="00E5428B"/>
    <w:rsid w:val="00E54D36"/>
    <w:rsid w:val="00E55A55"/>
    <w:rsid w:val="00E56D7D"/>
    <w:rsid w:val="00E56FB9"/>
    <w:rsid w:val="00E571C7"/>
    <w:rsid w:val="00E5722D"/>
    <w:rsid w:val="00E57AC3"/>
    <w:rsid w:val="00E57B2B"/>
    <w:rsid w:val="00E602D7"/>
    <w:rsid w:val="00E60E9A"/>
    <w:rsid w:val="00E60EA0"/>
    <w:rsid w:val="00E63542"/>
    <w:rsid w:val="00E639A8"/>
    <w:rsid w:val="00E63A4F"/>
    <w:rsid w:val="00E63CDC"/>
    <w:rsid w:val="00E63E7D"/>
    <w:rsid w:val="00E63FFD"/>
    <w:rsid w:val="00E65297"/>
    <w:rsid w:val="00E65AA3"/>
    <w:rsid w:val="00E65AC3"/>
    <w:rsid w:val="00E65D9B"/>
    <w:rsid w:val="00E65E77"/>
    <w:rsid w:val="00E65EF7"/>
    <w:rsid w:val="00E66015"/>
    <w:rsid w:val="00E662D5"/>
    <w:rsid w:val="00E66876"/>
    <w:rsid w:val="00E66C44"/>
    <w:rsid w:val="00E672B7"/>
    <w:rsid w:val="00E67319"/>
    <w:rsid w:val="00E676CF"/>
    <w:rsid w:val="00E67E28"/>
    <w:rsid w:val="00E67FC8"/>
    <w:rsid w:val="00E700E2"/>
    <w:rsid w:val="00E7047E"/>
    <w:rsid w:val="00E70531"/>
    <w:rsid w:val="00E70702"/>
    <w:rsid w:val="00E710B1"/>
    <w:rsid w:val="00E7161B"/>
    <w:rsid w:val="00E71A00"/>
    <w:rsid w:val="00E71E64"/>
    <w:rsid w:val="00E7200A"/>
    <w:rsid w:val="00E728D0"/>
    <w:rsid w:val="00E72FA5"/>
    <w:rsid w:val="00E730A1"/>
    <w:rsid w:val="00E73577"/>
    <w:rsid w:val="00E7384A"/>
    <w:rsid w:val="00E73A29"/>
    <w:rsid w:val="00E741B3"/>
    <w:rsid w:val="00E75C47"/>
    <w:rsid w:val="00E75FCC"/>
    <w:rsid w:val="00E7605B"/>
    <w:rsid w:val="00E766BA"/>
    <w:rsid w:val="00E77048"/>
    <w:rsid w:val="00E77844"/>
    <w:rsid w:val="00E80290"/>
    <w:rsid w:val="00E805D3"/>
    <w:rsid w:val="00E80F2D"/>
    <w:rsid w:val="00E81458"/>
    <w:rsid w:val="00E824C8"/>
    <w:rsid w:val="00E82617"/>
    <w:rsid w:val="00E82994"/>
    <w:rsid w:val="00E82C7A"/>
    <w:rsid w:val="00E82CC1"/>
    <w:rsid w:val="00E82CF7"/>
    <w:rsid w:val="00E83146"/>
    <w:rsid w:val="00E83518"/>
    <w:rsid w:val="00E841F5"/>
    <w:rsid w:val="00E85407"/>
    <w:rsid w:val="00E85A51"/>
    <w:rsid w:val="00E85EFC"/>
    <w:rsid w:val="00E860A4"/>
    <w:rsid w:val="00E863B2"/>
    <w:rsid w:val="00E86CB4"/>
    <w:rsid w:val="00E875A9"/>
    <w:rsid w:val="00E87A10"/>
    <w:rsid w:val="00E87C4C"/>
    <w:rsid w:val="00E907ED"/>
    <w:rsid w:val="00E911BC"/>
    <w:rsid w:val="00E9150E"/>
    <w:rsid w:val="00E916BC"/>
    <w:rsid w:val="00E91A9C"/>
    <w:rsid w:val="00E92210"/>
    <w:rsid w:val="00E922F1"/>
    <w:rsid w:val="00E92C2B"/>
    <w:rsid w:val="00E932FD"/>
    <w:rsid w:val="00E9394B"/>
    <w:rsid w:val="00E93968"/>
    <w:rsid w:val="00E94B44"/>
    <w:rsid w:val="00E94F0A"/>
    <w:rsid w:val="00E953F0"/>
    <w:rsid w:val="00E960F9"/>
    <w:rsid w:val="00E96471"/>
    <w:rsid w:val="00E96505"/>
    <w:rsid w:val="00E96FD9"/>
    <w:rsid w:val="00E972AB"/>
    <w:rsid w:val="00E979E9"/>
    <w:rsid w:val="00EA1023"/>
    <w:rsid w:val="00EA1396"/>
    <w:rsid w:val="00EA191B"/>
    <w:rsid w:val="00EA1D28"/>
    <w:rsid w:val="00EA2086"/>
    <w:rsid w:val="00EA2AE6"/>
    <w:rsid w:val="00EA2BEE"/>
    <w:rsid w:val="00EA3C0E"/>
    <w:rsid w:val="00EA3E47"/>
    <w:rsid w:val="00EA3F5B"/>
    <w:rsid w:val="00EA40C1"/>
    <w:rsid w:val="00EA447E"/>
    <w:rsid w:val="00EA48F9"/>
    <w:rsid w:val="00EA4E47"/>
    <w:rsid w:val="00EA4E69"/>
    <w:rsid w:val="00EA5609"/>
    <w:rsid w:val="00EA5957"/>
    <w:rsid w:val="00EA5F2A"/>
    <w:rsid w:val="00EA5FDF"/>
    <w:rsid w:val="00EA600E"/>
    <w:rsid w:val="00EA68AD"/>
    <w:rsid w:val="00EA73A1"/>
    <w:rsid w:val="00EB0622"/>
    <w:rsid w:val="00EB0714"/>
    <w:rsid w:val="00EB1D55"/>
    <w:rsid w:val="00EB32FC"/>
    <w:rsid w:val="00EB3932"/>
    <w:rsid w:val="00EB416B"/>
    <w:rsid w:val="00EB4F2F"/>
    <w:rsid w:val="00EB597D"/>
    <w:rsid w:val="00EB64F9"/>
    <w:rsid w:val="00EB77B1"/>
    <w:rsid w:val="00EB7851"/>
    <w:rsid w:val="00EC0675"/>
    <w:rsid w:val="00EC0956"/>
    <w:rsid w:val="00EC13C5"/>
    <w:rsid w:val="00EC1721"/>
    <w:rsid w:val="00EC2FD8"/>
    <w:rsid w:val="00EC4270"/>
    <w:rsid w:val="00EC4858"/>
    <w:rsid w:val="00EC4D26"/>
    <w:rsid w:val="00EC5511"/>
    <w:rsid w:val="00EC5688"/>
    <w:rsid w:val="00EC591F"/>
    <w:rsid w:val="00EC74D4"/>
    <w:rsid w:val="00EC7EB5"/>
    <w:rsid w:val="00ED0869"/>
    <w:rsid w:val="00ED08CC"/>
    <w:rsid w:val="00ED0C39"/>
    <w:rsid w:val="00ED11D6"/>
    <w:rsid w:val="00ED2352"/>
    <w:rsid w:val="00ED288E"/>
    <w:rsid w:val="00ED2A3E"/>
    <w:rsid w:val="00ED37DF"/>
    <w:rsid w:val="00ED3EC5"/>
    <w:rsid w:val="00ED49DE"/>
    <w:rsid w:val="00ED54E2"/>
    <w:rsid w:val="00ED5983"/>
    <w:rsid w:val="00ED63CA"/>
    <w:rsid w:val="00ED6931"/>
    <w:rsid w:val="00ED69D9"/>
    <w:rsid w:val="00ED6D1D"/>
    <w:rsid w:val="00ED7176"/>
    <w:rsid w:val="00ED754B"/>
    <w:rsid w:val="00ED75E5"/>
    <w:rsid w:val="00ED7C9D"/>
    <w:rsid w:val="00EE04A9"/>
    <w:rsid w:val="00EE0BD6"/>
    <w:rsid w:val="00EE188C"/>
    <w:rsid w:val="00EE1C04"/>
    <w:rsid w:val="00EE2361"/>
    <w:rsid w:val="00EE2548"/>
    <w:rsid w:val="00EE2CAC"/>
    <w:rsid w:val="00EE30F2"/>
    <w:rsid w:val="00EE345A"/>
    <w:rsid w:val="00EE39EF"/>
    <w:rsid w:val="00EE3E68"/>
    <w:rsid w:val="00EE4350"/>
    <w:rsid w:val="00EE4570"/>
    <w:rsid w:val="00EE4AD8"/>
    <w:rsid w:val="00EE4B4D"/>
    <w:rsid w:val="00EE58B5"/>
    <w:rsid w:val="00EE5AD6"/>
    <w:rsid w:val="00EE5BDE"/>
    <w:rsid w:val="00EE662B"/>
    <w:rsid w:val="00EE6E98"/>
    <w:rsid w:val="00EE7405"/>
    <w:rsid w:val="00EF00FA"/>
    <w:rsid w:val="00EF0426"/>
    <w:rsid w:val="00EF1729"/>
    <w:rsid w:val="00EF1A60"/>
    <w:rsid w:val="00EF22C9"/>
    <w:rsid w:val="00EF23EF"/>
    <w:rsid w:val="00EF304A"/>
    <w:rsid w:val="00EF320B"/>
    <w:rsid w:val="00EF3272"/>
    <w:rsid w:val="00EF339D"/>
    <w:rsid w:val="00EF3E18"/>
    <w:rsid w:val="00EF5AB0"/>
    <w:rsid w:val="00EF5EDC"/>
    <w:rsid w:val="00EF7471"/>
    <w:rsid w:val="00F000ED"/>
    <w:rsid w:val="00F00577"/>
    <w:rsid w:val="00F00708"/>
    <w:rsid w:val="00F00914"/>
    <w:rsid w:val="00F010F3"/>
    <w:rsid w:val="00F0128A"/>
    <w:rsid w:val="00F014C3"/>
    <w:rsid w:val="00F014E6"/>
    <w:rsid w:val="00F01F25"/>
    <w:rsid w:val="00F0203B"/>
    <w:rsid w:val="00F02AA4"/>
    <w:rsid w:val="00F03B8A"/>
    <w:rsid w:val="00F03C62"/>
    <w:rsid w:val="00F0438D"/>
    <w:rsid w:val="00F04A3D"/>
    <w:rsid w:val="00F04CD9"/>
    <w:rsid w:val="00F04E4A"/>
    <w:rsid w:val="00F0583A"/>
    <w:rsid w:val="00F05EBE"/>
    <w:rsid w:val="00F062B8"/>
    <w:rsid w:val="00F0783D"/>
    <w:rsid w:val="00F07CA5"/>
    <w:rsid w:val="00F10E02"/>
    <w:rsid w:val="00F114BD"/>
    <w:rsid w:val="00F11530"/>
    <w:rsid w:val="00F11CF5"/>
    <w:rsid w:val="00F12060"/>
    <w:rsid w:val="00F12B5C"/>
    <w:rsid w:val="00F12CA2"/>
    <w:rsid w:val="00F1312D"/>
    <w:rsid w:val="00F1312E"/>
    <w:rsid w:val="00F132ED"/>
    <w:rsid w:val="00F146B0"/>
    <w:rsid w:val="00F14E7A"/>
    <w:rsid w:val="00F14F8F"/>
    <w:rsid w:val="00F15060"/>
    <w:rsid w:val="00F15AE0"/>
    <w:rsid w:val="00F15D20"/>
    <w:rsid w:val="00F15DCD"/>
    <w:rsid w:val="00F1611D"/>
    <w:rsid w:val="00F165DD"/>
    <w:rsid w:val="00F1662C"/>
    <w:rsid w:val="00F16A09"/>
    <w:rsid w:val="00F2017F"/>
    <w:rsid w:val="00F20182"/>
    <w:rsid w:val="00F202FE"/>
    <w:rsid w:val="00F2098F"/>
    <w:rsid w:val="00F209BC"/>
    <w:rsid w:val="00F20F5A"/>
    <w:rsid w:val="00F213E5"/>
    <w:rsid w:val="00F216FC"/>
    <w:rsid w:val="00F2184E"/>
    <w:rsid w:val="00F21DD8"/>
    <w:rsid w:val="00F22B4D"/>
    <w:rsid w:val="00F22C7F"/>
    <w:rsid w:val="00F232CA"/>
    <w:rsid w:val="00F233F9"/>
    <w:rsid w:val="00F24004"/>
    <w:rsid w:val="00F2448D"/>
    <w:rsid w:val="00F2485A"/>
    <w:rsid w:val="00F26786"/>
    <w:rsid w:val="00F26E52"/>
    <w:rsid w:val="00F26EF2"/>
    <w:rsid w:val="00F271F6"/>
    <w:rsid w:val="00F27C95"/>
    <w:rsid w:val="00F27EC7"/>
    <w:rsid w:val="00F30CC4"/>
    <w:rsid w:val="00F3119E"/>
    <w:rsid w:val="00F31692"/>
    <w:rsid w:val="00F31835"/>
    <w:rsid w:val="00F32098"/>
    <w:rsid w:val="00F3254C"/>
    <w:rsid w:val="00F33474"/>
    <w:rsid w:val="00F3353B"/>
    <w:rsid w:val="00F33616"/>
    <w:rsid w:val="00F33EB3"/>
    <w:rsid w:val="00F34138"/>
    <w:rsid w:val="00F34C40"/>
    <w:rsid w:val="00F35446"/>
    <w:rsid w:val="00F3640E"/>
    <w:rsid w:val="00F364F8"/>
    <w:rsid w:val="00F3651C"/>
    <w:rsid w:val="00F36E65"/>
    <w:rsid w:val="00F36F9B"/>
    <w:rsid w:val="00F37CE4"/>
    <w:rsid w:val="00F4026F"/>
    <w:rsid w:val="00F404FF"/>
    <w:rsid w:val="00F40C1D"/>
    <w:rsid w:val="00F41142"/>
    <w:rsid w:val="00F41307"/>
    <w:rsid w:val="00F418D7"/>
    <w:rsid w:val="00F41DC7"/>
    <w:rsid w:val="00F42590"/>
    <w:rsid w:val="00F425FF"/>
    <w:rsid w:val="00F42A50"/>
    <w:rsid w:val="00F42FFA"/>
    <w:rsid w:val="00F4383E"/>
    <w:rsid w:val="00F43DFE"/>
    <w:rsid w:val="00F43E32"/>
    <w:rsid w:val="00F43FF2"/>
    <w:rsid w:val="00F446D5"/>
    <w:rsid w:val="00F44812"/>
    <w:rsid w:val="00F4573D"/>
    <w:rsid w:val="00F4658B"/>
    <w:rsid w:val="00F46845"/>
    <w:rsid w:val="00F46B19"/>
    <w:rsid w:val="00F46D0F"/>
    <w:rsid w:val="00F47276"/>
    <w:rsid w:val="00F476E3"/>
    <w:rsid w:val="00F501FE"/>
    <w:rsid w:val="00F5060C"/>
    <w:rsid w:val="00F51001"/>
    <w:rsid w:val="00F510E4"/>
    <w:rsid w:val="00F512D1"/>
    <w:rsid w:val="00F516F5"/>
    <w:rsid w:val="00F517D8"/>
    <w:rsid w:val="00F52FD1"/>
    <w:rsid w:val="00F541CC"/>
    <w:rsid w:val="00F54AFE"/>
    <w:rsid w:val="00F5569D"/>
    <w:rsid w:val="00F55A4D"/>
    <w:rsid w:val="00F57168"/>
    <w:rsid w:val="00F57D3D"/>
    <w:rsid w:val="00F57D5B"/>
    <w:rsid w:val="00F601B6"/>
    <w:rsid w:val="00F601DD"/>
    <w:rsid w:val="00F60221"/>
    <w:rsid w:val="00F60309"/>
    <w:rsid w:val="00F6031E"/>
    <w:rsid w:val="00F60ABB"/>
    <w:rsid w:val="00F60AF5"/>
    <w:rsid w:val="00F6129A"/>
    <w:rsid w:val="00F61748"/>
    <w:rsid w:val="00F617A3"/>
    <w:rsid w:val="00F61C29"/>
    <w:rsid w:val="00F61C6D"/>
    <w:rsid w:val="00F62AB5"/>
    <w:rsid w:val="00F62DD2"/>
    <w:rsid w:val="00F62E0B"/>
    <w:rsid w:val="00F62FFE"/>
    <w:rsid w:val="00F63889"/>
    <w:rsid w:val="00F64B1B"/>
    <w:rsid w:val="00F65289"/>
    <w:rsid w:val="00F6626F"/>
    <w:rsid w:val="00F673EC"/>
    <w:rsid w:val="00F67678"/>
    <w:rsid w:val="00F679AE"/>
    <w:rsid w:val="00F67A1F"/>
    <w:rsid w:val="00F67BBC"/>
    <w:rsid w:val="00F67BD0"/>
    <w:rsid w:val="00F70014"/>
    <w:rsid w:val="00F70C06"/>
    <w:rsid w:val="00F70FEF"/>
    <w:rsid w:val="00F71A7A"/>
    <w:rsid w:val="00F71BDE"/>
    <w:rsid w:val="00F71DF2"/>
    <w:rsid w:val="00F7232F"/>
    <w:rsid w:val="00F73277"/>
    <w:rsid w:val="00F7371D"/>
    <w:rsid w:val="00F74063"/>
    <w:rsid w:val="00F7496C"/>
    <w:rsid w:val="00F74C40"/>
    <w:rsid w:val="00F75EA2"/>
    <w:rsid w:val="00F761E3"/>
    <w:rsid w:val="00F765AF"/>
    <w:rsid w:val="00F7691C"/>
    <w:rsid w:val="00F76D5D"/>
    <w:rsid w:val="00F778A5"/>
    <w:rsid w:val="00F778DC"/>
    <w:rsid w:val="00F77B9E"/>
    <w:rsid w:val="00F80251"/>
    <w:rsid w:val="00F8134D"/>
    <w:rsid w:val="00F81D91"/>
    <w:rsid w:val="00F8341B"/>
    <w:rsid w:val="00F8358D"/>
    <w:rsid w:val="00F83DDC"/>
    <w:rsid w:val="00F84098"/>
    <w:rsid w:val="00F84495"/>
    <w:rsid w:val="00F848AB"/>
    <w:rsid w:val="00F8494B"/>
    <w:rsid w:val="00F84B74"/>
    <w:rsid w:val="00F84CC8"/>
    <w:rsid w:val="00F84D0B"/>
    <w:rsid w:val="00F8553A"/>
    <w:rsid w:val="00F856C0"/>
    <w:rsid w:val="00F85FBA"/>
    <w:rsid w:val="00F8685D"/>
    <w:rsid w:val="00F86F80"/>
    <w:rsid w:val="00F87561"/>
    <w:rsid w:val="00F8777F"/>
    <w:rsid w:val="00F87CE4"/>
    <w:rsid w:val="00F87F6E"/>
    <w:rsid w:val="00F9083D"/>
    <w:rsid w:val="00F90D49"/>
    <w:rsid w:val="00F90FCA"/>
    <w:rsid w:val="00F90FD7"/>
    <w:rsid w:val="00F9135C"/>
    <w:rsid w:val="00F91534"/>
    <w:rsid w:val="00F91F08"/>
    <w:rsid w:val="00F91F2C"/>
    <w:rsid w:val="00F92030"/>
    <w:rsid w:val="00F92719"/>
    <w:rsid w:val="00F93180"/>
    <w:rsid w:val="00F94060"/>
    <w:rsid w:val="00F94C44"/>
    <w:rsid w:val="00F950DC"/>
    <w:rsid w:val="00F9572E"/>
    <w:rsid w:val="00F95F88"/>
    <w:rsid w:val="00F9600B"/>
    <w:rsid w:val="00F96454"/>
    <w:rsid w:val="00F9658E"/>
    <w:rsid w:val="00F96753"/>
    <w:rsid w:val="00F96A9B"/>
    <w:rsid w:val="00F96C12"/>
    <w:rsid w:val="00F97364"/>
    <w:rsid w:val="00F977D7"/>
    <w:rsid w:val="00FA051D"/>
    <w:rsid w:val="00FA0A6B"/>
    <w:rsid w:val="00FA0CA0"/>
    <w:rsid w:val="00FA10CB"/>
    <w:rsid w:val="00FA154F"/>
    <w:rsid w:val="00FA1729"/>
    <w:rsid w:val="00FA1E99"/>
    <w:rsid w:val="00FA20FF"/>
    <w:rsid w:val="00FA2120"/>
    <w:rsid w:val="00FA22B8"/>
    <w:rsid w:val="00FA2945"/>
    <w:rsid w:val="00FA2DD4"/>
    <w:rsid w:val="00FA3708"/>
    <w:rsid w:val="00FA3722"/>
    <w:rsid w:val="00FA562F"/>
    <w:rsid w:val="00FA59CD"/>
    <w:rsid w:val="00FA5EB3"/>
    <w:rsid w:val="00FA640E"/>
    <w:rsid w:val="00FA6536"/>
    <w:rsid w:val="00FA67BD"/>
    <w:rsid w:val="00FA7193"/>
    <w:rsid w:val="00FA7996"/>
    <w:rsid w:val="00FA7D03"/>
    <w:rsid w:val="00FB04FE"/>
    <w:rsid w:val="00FB13C0"/>
    <w:rsid w:val="00FB145F"/>
    <w:rsid w:val="00FB21DB"/>
    <w:rsid w:val="00FB2401"/>
    <w:rsid w:val="00FB2650"/>
    <w:rsid w:val="00FB6322"/>
    <w:rsid w:val="00FB641F"/>
    <w:rsid w:val="00FB66AC"/>
    <w:rsid w:val="00FB7A4D"/>
    <w:rsid w:val="00FC03CD"/>
    <w:rsid w:val="00FC0587"/>
    <w:rsid w:val="00FC05F7"/>
    <w:rsid w:val="00FC0EBF"/>
    <w:rsid w:val="00FC1AE1"/>
    <w:rsid w:val="00FC1D0B"/>
    <w:rsid w:val="00FC2922"/>
    <w:rsid w:val="00FC3757"/>
    <w:rsid w:val="00FC4178"/>
    <w:rsid w:val="00FC4487"/>
    <w:rsid w:val="00FC4555"/>
    <w:rsid w:val="00FC4894"/>
    <w:rsid w:val="00FC50D6"/>
    <w:rsid w:val="00FC54E5"/>
    <w:rsid w:val="00FC5780"/>
    <w:rsid w:val="00FC5BDE"/>
    <w:rsid w:val="00FC632F"/>
    <w:rsid w:val="00FC6F31"/>
    <w:rsid w:val="00FC7B63"/>
    <w:rsid w:val="00FD060F"/>
    <w:rsid w:val="00FD0701"/>
    <w:rsid w:val="00FD07C1"/>
    <w:rsid w:val="00FD0A6E"/>
    <w:rsid w:val="00FD1F1E"/>
    <w:rsid w:val="00FD2514"/>
    <w:rsid w:val="00FD258B"/>
    <w:rsid w:val="00FD2DAB"/>
    <w:rsid w:val="00FD36C3"/>
    <w:rsid w:val="00FD4923"/>
    <w:rsid w:val="00FD723B"/>
    <w:rsid w:val="00FE0A48"/>
    <w:rsid w:val="00FE0FE8"/>
    <w:rsid w:val="00FE1434"/>
    <w:rsid w:val="00FE153E"/>
    <w:rsid w:val="00FE1F78"/>
    <w:rsid w:val="00FE2029"/>
    <w:rsid w:val="00FE2116"/>
    <w:rsid w:val="00FE2728"/>
    <w:rsid w:val="00FE2A66"/>
    <w:rsid w:val="00FE330E"/>
    <w:rsid w:val="00FE360E"/>
    <w:rsid w:val="00FE38D9"/>
    <w:rsid w:val="00FE3F33"/>
    <w:rsid w:val="00FE4793"/>
    <w:rsid w:val="00FE52B2"/>
    <w:rsid w:val="00FE5506"/>
    <w:rsid w:val="00FE572A"/>
    <w:rsid w:val="00FE5B13"/>
    <w:rsid w:val="00FE67D2"/>
    <w:rsid w:val="00FE6891"/>
    <w:rsid w:val="00FE6D20"/>
    <w:rsid w:val="00FE7E7F"/>
    <w:rsid w:val="00FE7EAD"/>
    <w:rsid w:val="00FF002E"/>
    <w:rsid w:val="00FF00FA"/>
    <w:rsid w:val="00FF0458"/>
    <w:rsid w:val="00FF0A23"/>
    <w:rsid w:val="00FF1088"/>
    <w:rsid w:val="00FF15CA"/>
    <w:rsid w:val="00FF1C6A"/>
    <w:rsid w:val="00FF256C"/>
    <w:rsid w:val="00FF29AD"/>
    <w:rsid w:val="00FF306E"/>
    <w:rsid w:val="00FF412C"/>
    <w:rsid w:val="00FF4EA5"/>
    <w:rsid w:val="00FF59BE"/>
    <w:rsid w:val="00FF60D8"/>
    <w:rsid w:val="00FF66D3"/>
    <w:rsid w:val="00FF7527"/>
    <w:rsid w:val="00FF7973"/>
    <w:rsid w:val="0109B16E"/>
    <w:rsid w:val="01130AFE"/>
    <w:rsid w:val="0117BCF0"/>
    <w:rsid w:val="0124F5CA"/>
    <w:rsid w:val="012588D1"/>
    <w:rsid w:val="01270D21"/>
    <w:rsid w:val="01275DE1"/>
    <w:rsid w:val="012FFC8C"/>
    <w:rsid w:val="0133D5BD"/>
    <w:rsid w:val="013609AB"/>
    <w:rsid w:val="0148D651"/>
    <w:rsid w:val="014B6894"/>
    <w:rsid w:val="014FF960"/>
    <w:rsid w:val="0152C7B8"/>
    <w:rsid w:val="015A9AB4"/>
    <w:rsid w:val="015BADDE"/>
    <w:rsid w:val="015DF4A1"/>
    <w:rsid w:val="0162E670"/>
    <w:rsid w:val="0166BD80"/>
    <w:rsid w:val="016CDFC2"/>
    <w:rsid w:val="016E716E"/>
    <w:rsid w:val="0173B877"/>
    <w:rsid w:val="0180D1B3"/>
    <w:rsid w:val="018417BC"/>
    <w:rsid w:val="0186375A"/>
    <w:rsid w:val="018A02BB"/>
    <w:rsid w:val="018CCE64"/>
    <w:rsid w:val="0195ABDF"/>
    <w:rsid w:val="01990608"/>
    <w:rsid w:val="019F638D"/>
    <w:rsid w:val="01A27DB6"/>
    <w:rsid w:val="01A6CD24"/>
    <w:rsid w:val="01A9C898"/>
    <w:rsid w:val="01AD726A"/>
    <w:rsid w:val="01B2D5CE"/>
    <w:rsid w:val="01BF0FEA"/>
    <w:rsid w:val="01BF5195"/>
    <w:rsid w:val="01C12B82"/>
    <w:rsid w:val="01D9567A"/>
    <w:rsid w:val="01D9D32D"/>
    <w:rsid w:val="01DDB069"/>
    <w:rsid w:val="01E20F62"/>
    <w:rsid w:val="01EAF1EC"/>
    <w:rsid w:val="01F78638"/>
    <w:rsid w:val="01FCBC55"/>
    <w:rsid w:val="02018C73"/>
    <w:rsid w:val="020338F0"/>
    <w:rsid w:val="020F0D69"/>
    <w:rsid w:val="02102071"/>
    <w:rsid w:val="0214A3D3"/>
    <w:rsid w:val="0215498A"/>
    <w:rsid w:val="021B2F4D"/>
    <w:rsid w:val="021C3790"/>
    <w:rsid w:val="022DF00D"/>
    <w:rsid w:val="022EE6A1"/>
    <w:rsid w:val="02366AD0"/>
    <w:rsid w:val="023B7D84"/>
    <w:rsid w:val="02416EC2"/>
    <w:rsid w:val="024A1BB7"/>
    <w:rsid w:val="02510833"/>
    <w:rsid w:val="025A989A"/>
    <w:rsid w:val="02642842"/>
    <w:rsid w:val="026868BA"/>
    <w:rsid w:val="026D64CD"/>
    <w:rsid w:val="02712E87"/>
    <w:rsid w:val="0282798F"/>
    <w:rsid w:val="0287229A"/>
    <w:rsid w:val="0293D2D3"/>
    <w:rsid w:val="02A074E3"/>
    <w:rsid w:val="02A1C8C8"/>
    <w:rsid w:val="02A7774C"/>
    <w:rsid w:val="02AD4347"/>
    <w:rsid w:val="02B423EC"/>
    <w:rsid w:val="02BA725D"/>
    <w:rsid w:val="02BFA852"/>
    <w:rsid w:val="02D2C126"/>
    <w:rsid w:val="02EC124F"/>
    <w:rsid w:val="02FB09EA"/>
    <w:rsid w:val="02FC890D"/>
    <w:rsid w:val="02FDE655"/>
    <w:rsid w:val="03070869"/>
    <w:rsid w:val="03083A10"/>
    <w:rsid w:val="0308AE0A"/>
    <w:rsid w:val="03127B73"/>
    <w:rsid w:val="031853FC"/>
    <w:rsid w:val="0318CD0D"/>
    <w:rsid w:val="0324C3D4"/>
    <w:rsid w:val="0328A5FE"/>
    <w:rsid w:val="032EC2EE"/>
    <w:rsid w:val="033DBC36"/>
    <w:rsid w:val="033E0DBC"/>
    <w:rsid w:val="03596CA5"/>
    <w:rsid w:val="035C5ED2"/>
    <w:rsid w:val="0367633A"/>
    <w:rsid w:val="0369AABB"/>
    <w:rsid w:val="03736D77"/>
    <w:rsid w:val="0377F459"/>
    <w:rsid w:val="0378109D"/>
    <w:rsid w:val="0378E1F6"/>
    <w:rsid w:val="037B9A02"/>
    <w:rsid w:val="037F1355"/>
    <w:rsid w:val="038D5BD6"/>
    <w:rsid w:val="03913E99"/>
    <w:rsid w:val="0392B2CE"/>
    <w:rsid w:val="03930983"/>
    <w:rsid w:val="039BBEBF"/>
    <w:rsid w:val="03B43A88"/>
    <w:rsid w:val="03C05434"/>
    <w:rsid w:val="03C08A83"/>
    <w:rsid w:val="03C3B696"/>
    <w:rsid w:val="03C5CE31"/>
    <w:rsid w:val="03C6A6F0"/>
    <w:rsid w:val="03CD1E63"/>
    <w:rsid w:val="03CD9D51"/>
    <w:rsid w:val="03D0A782"/>
    <w:rsid w:val="03DDD19B"/>
    <w:rsid w:val="03E041D4"/>
    <w:rsid w:val="03E1E7FE"/>
    <w:rsid w:val="03FADDDA"/>
    <w:rsid w:val="0407A9B3"/>
    <w:rsid w:val="040D2173"/>
    <w:rsid w:val="040DF45F"/>
    <w:rsid w:val="041B2FC3"/>
    <w:rsid w:val="04200925"/>
    <w:rsid w:val="042F4C7F"/>
    <w:rsid w:val="0436D7F6"/>
    <w:rsid w:val="0441B263"/>
    <w:rsid w:val="0446A397"/>
    <w:rsid w:val="044D42D9"/>
    <w:rsid w:val="044DD775"/>
    <w:rsid w:val="0451FB0E"/>
    <w:rsid w:val="045A531E"/>
    <w:rsid w:val="045B4AC8"/>
    <w:rsid w:val="045EE473"/>
    <w:rsid w:val="04632466"/>
    <w:rsid w:val="0465B4D2"/>
    <w:rsid w:val="04664B29"/>
    <w:rsid w:val="04678603"/>
    <w:rsid w:val="0469375D"/>
    <w:rsid w:val="046C7F7D"/>
    <w:rsid w:val="0472C63C"/>
    <w:rsid w:val="047C7EC2"/>
    <w:rsid w:val="048357F7"/>
    <w:rsid w:val="048BAC9F"/>
    <w:rsid w:val="04934EA0"/>
    <w:rsid w:val="0494C354"/>
    <w:rsid w:val="049A4628"/>
    <w:rsid w:val="049D65E6"/>
    <w:rsid w:val="04A1EDCD"/>
    <w:rsid w:val="04A3E2BE"/>
    <w:rsid w:val="04A69A4B"/>
    <w:rsid w:val="04B47483"/>
    <w:rsid w:val="04BBDE13"/>
    <w:rsid w:val="04C6F9BD"/>
    <w:rsid w:val="04CA6623"/>
    <w:rsid w:val="04CB5AFC"/>
    <w:rsid w:val="04CB8776"/>
    <w:rsid w:val="04D6C893"/>
    <w:rsid w:val="04DAAD94"/>
    <w:rsid w:val="04DFFF05"/>
    <w:rsid w:val="04ED97D0"/>
    <w:rsid w:val="04F59DD8"/>
    <w:rsid w:val="04FA11A3"/>
    <w:rsid w:val="04FA3293"/>
    <w:rsid w:val="0505BF20"/>
    <w:rsid w:val="0506DE82"/>
    <w:rsid w:val="0506DEF8"/>
    <w:rsid w:val="050BA441"/>
    <w:rsid w:val="052D9F5A"/>
    <w:rsid w:val="053794A8"/>
    <w:rsid w:val="0539A354"/>
    <w:rsid w:val="053FEAF2"/>
    <w:rsid w:val="0547FF3B"/>
    <w:rsid w:val="05497516"/>
    <w:rsid w:val="0552CB55"/>
    <w:rsid w:val="055332E0"/>
    <w:rsid w:val="05570162"/>
    <w:rsid w:val="056895E1"/>
    <w:rsid w:val="056CB8CB"/>
    <w:rsid w:val="0575412F"/>
    <w:rsid w:val="0580CDFD"/>
    <w:rsid w:val="0583CC79"/>
    <w:rsid w:val="05882A58"/>
    <w:rsid w:val="05949E1D"/>
    <w:rsid w:val="05955E0D"/>
    <w:rsid w:val="0596AE3B"/>
    <w:rsid w:val="0598038C"/>
    <w:rsid w:val="05B8052F"/>
    <w:rsid w:val="05BB4731"/>
    <w:rsid w:val="05BBF0DE"/>
    <w:rsid w:val="05BDDB84"/>
    <w:rsid w:val="05CAA122"/>
    <w:rsid w:val="05D02F3F"/>
    <w:rsid w:val="05D28EA0"/>
    <w:rsid w:val="05DA1FAF"/>
    <w:rsid w:val="05DD82C4"/>
    <w:rsid w:val="05F0AA7B"/>
    <w:rsid w:val="05F281D8"/>
    <w:rsid w:val="05F29E0B"/>
    <w:rsid w:val="0610936A"/>
    <w:rsid w:val="0617F8D3"/>
    <w:rsid w:val="06311AE1"/>
    <w:rsid w:val="063625E0"/>
    <w:rsid w:val="06376753"/>
    <w:rsid w:val="06474F01"/>
    <w:rsid w:val="064D65AF"/>
    <w:rsid w:val="065E29A6"/>
    <w:rsid w:val="06691D02"/>
    <w:rsid w:val="0680FB0A"/>
    <w:rsid w:val="0682253E"/>
    <w:rsid w:val="06828202"/>
    <w:rsid w:val="0683DA80"/>
    <w:rsid w:val="0685203C"/>
    <w:rsid w:val="06863013"/>
    <w:rsid w:val="068646F1"/>
    <w:rsid w:val="068ED7D4"/>
    <w:rsid w:val="0693D6D7"/>
    <w:rsid w:val="069D0A6D"/>
    <w:rsid w:val="069EA4B7"/>
    <w:rsid w:val="06A08862"/>
    <w:rsid w:val="06A6C7F8"/>
    <w:rsid w:val="06A918BF"/>
    <w:rsid w:val="06AB0D46"/>
    <w:rsid w:val="06ACFD50"/>
    <w:rsid w:val="06B4B007"/>
    <w:rsid w:val="06B5F6C4"/>
    <w:rsid w:val="06B77F73"/>
    <w:rsid w:val="06BDC7A4"/>
    <w:rsid w:val="06BF8B30"/>
    <w:rsid w:val="06C5A590"/>
    <w:rsid w:val="06CFA91A"/>
    <w:rsid w:val="06D3253F"/>
    <w:rsid w:val="06D40B22"/>
    <w:rsid w:val="06DB1B53"/>
    <w:rsid w:val="06E1A1B0"/>
    <w:rsid w:val="06F4AC72"/>
    <w:rsid w:val="06FA6C66"/>
    <w:rsid w:val="06FEE51F"/>
    <w:rsid w:val="0706F98D"/>
    <w:rsid w:val="070B7567"/>
    <w:rsid w:val="0717DAD5"/>
    <w:rsid w:val="0721185D"/>
    <w:rsid w:val="072BC8B5"/>
    <w:rsid w:val="07348F99"/>
    <w:rsid w:val="0737766E"/>
    <w:rsid w:val="0738A934"/>
    <w:rsid w:val="0742E2B7"/>
    <w:rsid w:val="0753D590"/>
    <w:rsid w:val="0757C13F"/>
    <w:rsid w:val="075ABDA9"/>
    <w:rsid w:val="0767D0DD"/>
    <w:rsid w:val="076E78B8"/>
    <w:rsid w:val="07725B79"/>
    <w:rsid w:val="0773E606"/>
    <w:rsid w:val="07755D1D"/>
    <w:rsid w:val="07795325"/>
    <w:rsid w:val="077987CB"/>
    <w:rsid w:val="077F7605"/>
    <w:rsid w:val="0782DC54"/>
    <w:rsid w:val="07962642"/>
    <w:rsid w:val="079D64FE"/>
    <w:rsid w:val="07A19D92"/>
    <w:rsid w:val="07AE5126"/>
    <w:rsid w:val="07AE8E23"/>
    <w:rsid w:val="07C03073"/>
    <w:rsid w:val="07C57555"/>
    <w:rsid w:val="07C7365A"/>
    <w:rsid w:val="07CFBDC7"/>
    <w:rsid w:val="07D162B7"/>
    <w:rsid w:val="07D2F814"/>
    <w:rsid w:val="07D425BB"/>
    <w:rsid w:val="07D6D39D"/>
    <w:rsid w:val="07DEE19F"/>
    <w:rsid w:val="07E0E907"/>
    <w:rsid w:val="07E6133C"/>
    <w:rsid w:val="07F22653"/>
    <w:rsid w:val="0808812B"/>
    <w:rsid w:val="0810CF3D"/>
    <w:rsid w:val="0817CDC7"/>
    <w:rsid w:val="08183C9A"/>
    <w:rsid w:val="081BF0A0"/>
    <w:rsid w:val="081DCCCD"/>
    <w:rsid w:val="0828091B"/>
    <w:rsid w:val="082B1FE2"/>
    <w:rsid w:val="082E6846"/>
    <w:rsid w:val="083295CE"/>
    <w:rsid w:val="0833D13E"/>
    <w:rsid w:val="08368CB4"/>
    <w:rsid w:val="084336A6"/>
    <w:rsid w:val="0845E590"/>
    <w:rsid w:val="084C68CF"/>
    <w:rsid w:val="084FCBC8"/>
    <w:rsid w:val="085472A4"/>
    <w:rsid w:val="08547BA7"/>
    <w:rsid w:val="085EDA30"/>
    <w:rsid w:val="085F4ADE"/>
    <w:rsid w:val="087B968D"/>
    <w:rsid w:val="08899563"/>
    <w:rsid w:val="088A2FFD"/>
    <w:rsid w:val="08932F63"/>
    <w:rsid w:val="08A4FACD"/>
    <w:rsid w:val="08AD2403"/>
    <w:rsid w:val="08AE4A44"/>
    <w:rsid w:val="08B47439"/>
    <w:rsid w:val="08C6B56D"/>
    <w:rsid w:val="08C923FE"/>
    <w:rsid w:val="08D0392D"/>
    <w:rsid w:val="08D980CC"/>
    <w:rsid w:val="08DCD8BC"/>
    <w:rsid w:val="08E48CBE"/>
    <w:rsid w:val="08EAC8A9"/>
    <w:rsid w:val="08F9348E"/>
    <w:rsid w:val="08FD4FDB"/>
    <w:rsid w:val="090A6BF7"/>
    <w:rsid w:val="0915E913"/>
    <w:rsid w:val="091B78BA"/>
    <w:rsid w:val="092645A7"/>
    <w:rsid w:val="0926E1DE"/>
    <w:rsid w:val="092DC8C0"/>
    <w:rsid w:val="09315F2B"/>
    <w:rsid w:val="093404E2"/>
    <w:rsid w:val="0934B900"/>
    <w:rsid w:val="0939BC4C"/>
    <w:rsid w:val="093AA18D"/>
    <w:rsid w:val="093DCA2D"/>
    <w:rsid w:val="09468EDE"/>
    <w:rsid w:val="09500BE2"/>
    <w:rsid w:val="09510968"/>
    <w:rsid w:val="095218DE"/>
    <w:rsid w:val="095E4658"/>
    <w:rsid w:val="09617618"/>
    <w:rsid w:val="096A351E"/>
    <w:rsid w:val="096EAD49"/>
    <w:rsid w:val="096F4FE1"/>
    <w:rsid w:val="09744A63"/>
    <w:rsid w:val="0976C5B5"/>
    <w:rsid w:val="097944B5"/>
    <w:rsid w:val="097CEBCD"/>
    <w:rsid w:val="098A8F0F"/>
    <w:rsid w:val="09971621"/>
    <w:rsid w:val="0998CBA5"/>
    <w:rsid w:val="09A76B78"/>
    <w:rsid w:val="09B22B6C"/>
    <w:rsid w:val="09C1513A"/>
    <w:rsid w:val="09CDE7F6"/>
    <w:rsid w:val="09CE6CC6"/>
    <w:rsid w:val="09CF433F"/>
    <w:rsid w:val="09D5D8CD"/>
    <w:rsid w:val="09E5B605"/>
    <w:rsid w:val="09E8A0C2"/>
    <w:rsid w:val="09ED5EF3"/>
    <w:rsid w:val="09ED84A9"/>
    <w:rsid w:val="09F02B45"/>
    <w:rsid w:val="0A0A6FCC"/>
    <w:rsid w:val="0A0D09C6"/>
    <w:rsid w:val="0A1D7F29"/>
    <w:rsid w:val="0A1F0FF2"/>
    <w:rsid w:val="0A2AC9EE"/>
    <w:rsid w:val="0A3BF71F"/>
    <w:rsid w:val="0A3E5667"/>
    <w:rsid w:val="0A46CCF6"/>
    <w:rsid w:val="0A4E7781"/>
    <w:rsid w:val="0A4F16C6"/>
    <w:rsid w:val="0A5255DE"/>
    <w:rsid w:val="0A5E572D"/>
    <w:rsid w:val="0A5EFDB5"/>
    <w:rsid w:val="0A612000"/>
    <w:rsid w:val="0A6406E1"/>
    <w:rsid w:val="0A69BEA5"/>
    <w:rsid w:val="0A6A7DB4"/>
    <w:rsid w:val="0A73EA20"/>
    <w:rsid w:val="0A791038"/>
    <w:rsid w:val="0A7DB359"/>
    <w:rsid w:val="0A816292"/>
    <w:rsid w:val="0A8DD9BE"/>
    <w:rsid w:val="0A925E6B"/>
    <w:rsid w:val="0A9773C5"/>
    <w:rsid w:val="0A97CE4F"/>
    <w:rsid w:val="0A991537"/>
    <w:rsid w:val="0A9F637A"/>
    <w:rsid w:val="0AA86C8F"/>
    <w:rsid w:val="0AB2B9BD"/>
    <w:rsid w:val="0ABDD3A6"/>
    <w:rsid w:val="0AC197FE"/>
    <w:rsid w:val="0AD32421"/>
    <w:rsid w:val="0AE4C032"/>
    <w:rsid w:val="0AEA882C"/>
    <w:rsid w:val="0AEBEBC5"/>
    <w:rsid w:val="0AEC9F7B"/>
    <w:rsid w:val="0AEE5941"/>
    <w:rsid w:val="0AF86E5E"/>
    <w:rsid w:val="0AFB624F"/>
    <w:rsid w:val="0AFDF3EE"/>
    <w:rsid w:val="0B0704C1"/>
    <w:rsid w:val="0B15438D"/>
    <w:rsid w:val="0B1889C9"/>
    <w:rsid w:val="0B196AD7"/>
    <w:rsid w:val="0B19D637"/>
    <w:rsid w:val="0B478C4D"/>
    <w:rsid w:val="0B499847"/>
    <w:rsid w:val="0B4AC4D1"/>
    <w:rsid w:val="0B592FB4"/>
    <w:rsid w:val="0B5F99F1"/>
    <w:rsid w:val="0B6154C1"/>
    <w:rsid w:val="0B658C43"/>
    <w:rsid w:val="0B6A3D27"/>
    <w:rsid w:val="0B77393F"/>
    <w:rsid w:val="0B77812E"/>
    <w:rsid w:val="0B7BEB74"/>
    <w:rsid w:val="0B87198A"/>
    <w:rsid w:val="0B883113"/>
    <w:rsid w:val="0B8CF2DF"/>
    <w:rsid w:val="0B8D2ABC"/>
    <w:rsid w:val="0B9A982D"/>
    <w:rsid w:val="0BA22015"/>
    <w:rsid w:val="0BA8FAEA"/>
    <w:rsid w:val="0BAEC1DA"/>
    <w:rsid w:val="0BB5CD0E"/>
    <w:rsid w:val="0BC9EA9E"/>
    <w:rsid w:val="0BD6893C"/>
    <w:rsid w:val="0BE001A7"/>
    <w:rsid w:val="0BE4C4C5"/>
    <w:rsid w:val="0BE841DA"/>
    <w:rsid w:val="0BEA728C"/>
    <w:rsid w:val="0BEA94DE"/>
    <w:rsid w:val="0BEFED29"/>
    <w:rsid w:val="0BF5081D"/>
    <w:rsid w:val="0BF7F00D"/>
    <w:rsid w:val="0BF9DEC2"/>
    <w:rsid w:val="0BFCB29F"/>
    <w:rsid w:val="0BFEAC5B"/>
    <w:rsid w:val="0C06AC41"/>
    <w:rsid w:val="0C0DC9CD"/>
    <w:rsid w:val="0C1324F4"/>
    <w:rsid w:val="0C1653DA"/>
    <w:rsid w:val="0C1B8D36"/>
    <w:rsid w:val="0C718684"/>
    <w:rsid w:val="0C73C7B1"/>
    <w:rsid w:val="0C796E26"/>
    <w:rsid w:val="0C79E39A"/>
    <w:rsid w:val="0C7D7824"/>
    <w:rsid w:val="0C806505"/>
    <w:rsid w:val="0C845CEA"/>
    <w:rsid w:val="0C8D5488"/>
    <w:rsid w:val="0C91C9B1"/>
    <w:rsid w:val="0C93D5DF"/>
    <w:rsid w:val="0C9C9D1A"/>
    <w:rsid w:val="0CA6FA41"/>
    <w:rsid w:val="0CAC93D8"/>
    <w:rsid w:val="0CB2B883"/>
    <w:rsid w:val="0CD3D44E"/>
    <w:rsid w:val="0CD3D994"/>
    <w:rsid w:val="0CE7FC59"/>
    <w:rsid w:val="0D12A0C8"/>
    <w:rsid w:val="0D16170D"/>
    <w:rsid w:val="0D28293A"/>
    <w:rsid w:val="0D2E2338"/>
    <w:rsid w:val="0D332E3B"/>
    <w:rsid w:val="0D42FEDB"/>
    <w:rsid w:val="0D4A923B"/>
    <w:rsid w:val="0D5613F4"/>
    <w:rsid w:val="0D5AD6CF"/>
    <w:rsid w:val="0D62CCE8"/>
    <w:rsid w:val="0D636F61"/>
    <w:rsid w:val="0D660463"/>
    <w:rsid w:val="0D687743"/>
    <w:rsid w:val="0D687D31"/>
    <w:rsid w:val="0D688736"/>
    <w:rsid w:val="0D6B4057"/>
    <w:rsid w:val="0D6C5013"/>
    <w:rsid w:val="0D6C9E80"/>
    <w:rsid w:val="0D775A34"/>
    <w:rsid w:val="0D84486A"/>
    <w:rsid w:val="0D871641"/>
    <w:rsid w:val="0DA2A55B"/>
    <w:rsid w:val="0DA405FA"/>
    <w:rsid w:val="0DABA735"/>
    <w:rsid w:val="0DAE8BF9"/>
    <w:rsid w:val="0DB4A34E"/>
    <w:rsid w:val="0DBA1C59"/>
    <w:rsid w:val="0DC08854"/>
    <w:rsid w:val="0DC702C3"/>
    <w:rsid w:val="0DC90C9A"/>
    <w:rsid w:val="0DCCBCF5"/>
    <w:rsid w:val="0DDEF987"/>
    <w:rsid w:val="0DE2B50F"/>
    <w:rsid w:val="0DE4B735"/>
    <w:rsid w:val="0DE66478"/>
    <w:rsid w:val="0DE963AE"/>
    <w:rsid w:val="0DEA1A81"/>
    <w:rsid w:val="0DED6839"/>
    <w:rsid w:val="0DED8F27"/>
    <w:rsid w:val="0DF059F6"/>
    <w:rsid w:val="0DFA90D7"/>
    <w:rsid w:val="0DFEB1D4"/>
    <w:rsid w:val="0E05109A"/>
    <w:rsid w:val="0E08593F"/>
    <w:rsid w:val="0E087048"/>
    <w:rsid w:val="0E0B1D3E"/>
    <w:rsid w:val="0E157658"/>
    <w:rsid w:val="0E160B12"/>
    <w:rsid w:val="0E17ED9B"/>
    <w:rsid w:val="0E1AA29F"/>
    <w:rsid w:val="0E271B95"/>
    <w:rsid w:val="0E2FEECB"/>
    <w:rsid w:val="0E30D330"/>
    <w:rsid w:val="0E3365DD"/>
    <w:rsid w:val="0E35C5A0"/>
    <w:rsid w:val="0E3677DE"/>
    <w:rsid w:val="0E3AC35C"/>
    <w:rsid w:val="0E3D700A"/>
    <w:rsid w:val="0E3F4DA5"/>
    <w:rsid w:val="0E3FD0E0"/>
    <w:rsid w:val="0E458303"/>
    <w:rsid w:val="0E49F983"/>
    <w:rsid w:val="0E4A9A46"/>
    <w:rsid w:val="0E4B4EA7"/>
    <w:rsid w:val="0E50908D"/>
    <w:rsid w:val="0E66FFA0"/>
    <w:rsid w:val="0E76EA36"/>
    <w:rsid w:val="0E782A49"/>
    <w:rsid w:val="0E789C6A"/>
    <w:rsid w:val="0E79BC35"/>
    <w:rsid w:val="0E80DF1B"/>
    <w:rsid w:val="0E813909"/>
    <w:rsid w:val="0E95F268"/>
    <w:rsid w:val="0E9F004A"/>
    <w:rsid w:val="0EA3E0BF"/>
    <w:rsid w:val="0EA949F0"/>
    <w:rsid w:val="0EB1A3DD"/>
    <w:rsid w:val="0EC03A9F"/>
    <w:rsid w:val="0EC493A1"/>
    <w:rsid w:val="0EC90A65"/>
    <w:rsid w:val="0ECE8F07"/>
    <w:rsid w:val="0EEDF9BB"/>
    <w:rsid w:val="0EF3A096"/>
    <w:rsid w:val="0EFA81AC"/>
    <w:rsid w:val="0F03C4B8"/>
    <w:rsid w:val="0F04D41C"/>
    <w:rsid w:val="0F07C103"/>
    <w:rsid w:val="0F125F20"/>
    <w:rsid w:val="0F18F485"/>
    <w:rsid w:val="0F19EB9D"/>
    <w:rsid w:val="0F2287E9"/>
    <w:rsid w:val="0F22E73D"/>
    <w:rsid w:val="0F24F52B"/>
    <w:rsid w:val="0F34382A"/>
    <w:rsid w:val="0F3EB2BA"/>
    <w:rsid w:val="0F40E275"/>
    <w:rsid w:val="0F43F3D7"/>
    <w:rsid w:val="0F483AD6"/>
    <w:rsid w:val="0F4DF49C"/>
    <w:rsid w:val="0F571EFD"/>
    <w:rsid w:val="0F58D0E1"/>
    <w:rsid w:val="0F6266E5"/>
    <w:rsid w:val="0F7EF673"/>
    <w:rsid w:val="0F81F0B0"/>
    <w:rsid w:val="0F8D072A"/>
    <w:rsid w:val="0F966138"/>
    <w:rsid w:val="0FA7228F"/>
    <w:rsid w:val="0FA8FDD0"/>
    <w:rsid w:val="0FABDB92"/>
    <w:rsid w:val="0FC01940"/>
    <w:rsid w:val="0FCCC3E1"/>
    <w:rsid w:val="0FCF611E"/>
    <w:rsid w:val="0FDAB85C"/>
    <w:rsid w:val="0FDDEECD"/>
    <w:rsid w:val="0FE2935F"/>
    <w:rsid w:val="0FE3EF5E"/>
    <w:rsid w:val="0FE9D681"/>
    <w:rsid w:val="0FF12982"/>
    <w:rsid w:val="0FF6D6EB"/>
    <w:rsid w:val="0FF98FBA"/>
    <w:rsid w:val="0FFE0388"/>
    <w:rsid w:val="10012937"/>
    <w:rsid w:val="10111A6E"/>
    <w:rsid w:val="101D8149"/>
    <w:rsid w:val="10299969"/>
    <w:rsid w:val="102CBE6B"/>
    <w:rsid w:val="1038834B"/>
    <w:rsid w:val="103B5900"/>
    <w:rsid w:val="103D5DEC"/>
    <w:rsid w:val="10439411"/>
    <w:rsid w:val="10441053"/>
    <w:rsid w:val="10457638"/>
    <w:rsid w:val="1049DED9"/>
    <w:rsid w:val="105061AF"/>
    <w:rsid w:val="10589917"/>
    <w:rsid w:val="105F2640"/>
    <w:rsid w:val="10621F25"/>
    <w:rsid w:val="106369E7"/>
    <w:rsid w:val="1063F607"/>
    <w:rsid w:val="106F50E1"/>
    <w:rsid w:val="10730ACF"/>
    <w:rsid w:val="1077A004"/>
    <w:rsid w:val="10785CCD"/>
    <w:rsid w:val="107A0FD9"/>
    <w:rsid w:val="107AC95F"/>
    <w:rsid w:val="108AF82B"/>
    <w:rsid w:val="108FEFD8"/>
    <w:rsid w:val="1090CDE8"/>
    <w:rsid w:val="109A147A"/>
    <w:rsid w:val="109EC080"/>
    <w:rsid w:val="10A4BF11"/>
    <w:rsid w:val="10A7C09F"/>
    <w:rsid w:val="10AC3872"/>
    <w:rsid w:val="10B6CA3A"/>
    <w:rsid w:val="10BB547D"/>
    <w:rsid w:val="10C24881"/>
    <w:rsid w:val="10C35F6D"/>
    <w:rsid w:val="10D1CB44"/>
    <w:rsid w:val="10E80734"/>
    <w:rsid w:val="10E8B015"/>
    <w:rsid w:val="10EC4410"/>
    <w:rsid w:val="10FB4BAC"/>
    <w:rsid w:val="1107292A"/>
    <w:rsid w:val="1108B19F"/>
    <w:rsid w:val="111AF6B8"/>
    <w:rsid w:val="1124862C"/>
    <w:rsid w:val="112E63CE"/>
    <w:rsid w:val="1136369A"/>
    <w:rsid w:val="113754F0"/>
    <w:rsid w:val="1138744C"/>
    <w:rsid w:val="1139E47A"/>
    <w:rsid w:val="114448EE"/>
    <w:rsid w:val="11474D03"/>
    <w:rsid w:val="114B95CA"/>
    <w:rsid w:val="115ABC59"/>
    <w:rsid w:val="115BE9A1"/>
    <w:rsid w:val="115D7A27"/>
    <w:rsid w:val="115F12FB"/>
    <w:rsid w:val="11659C94"/>
    <w:rsid w:val="11692FD1"/>
    <w:rsid w:val="11693CEA"/>
    <w:rsid w:val="117072CE"/>
    <w:rsid w:val="11791648"/>
    <w:rsid w:val="118FD765"/>
    <w:rsid w:val="119AD21A"/>
    <w:rsid w:val="119AFF15"/>
    <w:rsid w:val="11A24740"/>
    <w:rsid w:val="11A93EDC"/>
    <w:rsid w:val="11B02CFB"/>
    <w:rsid w:val="11B8FE57"/>
    <w:rsid w:val="11BED6B6"/>
    <w:rsid w:val="11BF0FD0"/>
    <w:rsid w:val="11C8F998"/>
    <w:rsid w:val="11D53325"/>
    <w:rsid w:val="11D5F3AD"/>
    <w:rsid w:val="11D92FF9"/>
    <w:rsid w:val="11DA72C8"/>
    <w:rsid w:val="11E56790"/>
    <w:rsid w:val="11EE8278"/>
    <w:rsid w:val="11F5D515"/>
    <w:rsid w:val="1201A1B3"/>
    <w:rsid w:val="120267F1"/>
    <w:rsid w:val="1210133F"/>
    <w:rsid w:val="12253B9B"/>
    <w:rsid w:val="1226E0F9"/>
    <w:rsid w:val="1238E1D4"/>
    <w:rsid w:val="12484CE2"/>
    <w:rsid w:val="124BFCB0"/>
    <w:rsid w:val="125309E9"/>
    <w:rsid w:val="126E4E7D"/>
    <w:rsid w:val="127A6438"/>
    <w:rsid w:val="127C2C01"/>
    <w:rsid w:val="127C85EE"/>
    <w:rsid w:val="127C9616"/>
    <w:rsid w:val="127CEA6D"/>
    <w:rsid w:val="127D47FE"/>
    <w:rsid w:val="128F5970"/>
    <w:rsid w:val="12936304"/>
    <w:rsid w:val="12974CE2"/>
    <w:rsid w:val="129A73E6"/>
    <w:rsid w:val="129B7ED0"/>
    <w:rsid w:val="12A06F16"/>
    <w:rsid w:val="12A3204C"/>
    <w:rsid w:val="12A335A8"/>
    <w:rsid w:val="12A567A9"/>
    <w:rsid w:val="12A7436E"/>
    <w:rsid w:val="12A95394"/>
    <w:rsid w:val="12B59B87"/>
    <w:rsid w:val="12B6B9DD"/>
    <w:rsid w:val="12B9DB68"/>
    <w:rsid w:val="12BB8505"/>
    <w:rsid w:val="12C3C2E9"/>
    <w:rsid w:val="12DA53A0"/>
    <w:rsid w:val="12DEC351"/>
    <w:rsid w:val="12F2A368"/>
    <w:rsid w:val="12F2EE51"/>
    <w:rsid w:val="12F33DA1"/>
    <w:rsid w:val="1314389D"/>
    <w:rsid w:val="131BEF9A"/>
    <w:rsid w:val="131ECAFE"/>
    <w:rsid w:val="13318F6E"/>
    <w:rsid w:val="1332B300"/>
    <w:rsid w:val="1333DDFD"/>
    <w:rsid w:val="133A6EA6"/>
    <w:rsid w:val="133D3F6E"/>
    <w:rsid w:val="13472DFB"/>
    <w:rsid w:val="1347D37F"/>
    <w:rsid w:val="134BA499"/>
    <w:rsid w:val="134C3179"/>
    <w:rsid w:val="135AC4A4"/>
    <w:rsid w:val="135AE031"/>
    <w:rsid w:val="135FA3E2"/>
    <w:rsid w:val="1364D90C"/>
    <w:rsid w:val="136CB77F"/>
    <w:rsid w:val="136D20F6"/>
    <w:rsid w:val="137096B9"/>
    <w:rsid w:val="137C8B69"/>
    <w:rsid w:val="1387C5E2"/>
    <w:rsid w:val="13893754"/>
    <w:rsid w:val="138978EF"/>
    <w:rsid w:val="138AD69F"/>
    <w:rsid w:val="1392CB5C"/>
    <w:rsid w:val="13A765ED"/>
    <w:rsid w:val="13A7E6A2"/>
    <w:rsid w:val="13B0207F"/>
    <w:rsid w:val="13B9A784"/>
    <w:rsid w:val="13CBF798"/>
    <w:rsid w:val="13CFBA3A"/>
    <w:rsid w:val="13D28644"/>
    <w:rsid w:val="13DF7F3C"/>
    <w:rsid w:val="13E55CFA"/>
    <w:rsid w:val="13EAD48A"/>
    <w:rsid w:val="13EB4A3A"/>
    <w:rsid w:val="13EC30E0"/>
    <w:rsid w:val="13EEF7DC"/>
    <w:rsid w:val="13FCBFFD"/>
    <w:rsid w:val="13FCF86F"/>
    <w:rsid w:val="14026B46"/>
    <w:rsid w:val="14116AEE"/>
    <w:rsid w:val="14141A5E"/>
    <w:rsid w:val="141A7175"/>
    <w:rsid w:val="14219114"/>
    <w:rsid w:val="1422DB46"/>
    <w:rsid w:val="142F0137"/>
    <w:rsid w:val="1431EB13"/>
    <w:rsid w:val="143678D4"/>
    <w:rsid w:val="143D1483"/>
    <w:rsid w:val="1441FFE2"/>
    <w:rsid w:val="14444FE2"/>
    <w:rsid w:val="144FACA6"/>
    <w:rsid w:val="1453CBE4"/>
    <w:rsid w:val="145CC3D4"/>
    <w:rsid w:val="145FCFEE"/>
    <w:rsid w:val="14669999"/>
    <w:rsid w:val="146AAC52"/>
    <w:rsid w:val="1471DECE"/>
    <w:rsid w:val="148560D6"/>
    <w:rsid w:val="14A6D29F"/>
    <w:rsid w:val="14AE297F"/>
    <w:rsid w:val="14B157E2"/>
    <w:rsid w:val="14C58A7C"/>
    <w:rsid w:val="14C763B5"/>
    <w:rsid w:val="14CE8361"/>
    <w:rsid w:val="14D3128F"/>
    <w:rsid w:val="14DE21F1"/>
    <w:rsid w:val="14E41360"/>
    <w:rsid w:val="14F1D3A5"/>
    <w:rsid w:val="14F36411"/>
    <w:rsid w:val="1500D320"/>
    <w:rsid w:val="15030C5B"/>
    <w:rsid w:val="1515E9AE"/>
    <w:rsid w:val="152248CE"/>
    <w:rsid w:val="15251369"/>
    <w:rsid w:val="152E63E6"/>
    <w:rsid w:val="153C7BC3"/>
    <w:rsid w:val="1558122C"/>
    <w:rsid w:val="15589B45"/>
    <w:rsid w:val="155B31F1"/>
    <w:rsid w:val="15622027"/>
    <w:rsid w:val="15693F17"/>
    <w:rsid w:val="157B3616"/>
    <w:rsid w:val="157CF413"/>
    <w:rsid w:val="1589EEE8"/>
    <w:rsid w:val="158E52AC"/>
    <w:rsid w:val="15919519"/>
    <w:rsid w:val="1596C3EA"/>
    <w:rsid w:val="15B459E9"/>
    <w:rsid w:val="15B89EBE"/>
    <w:rsid w:val="15C28AE6"/>
    <w:rsid w:val="15C4651D"/>
    <w:rsid w:val="15C8ED94"/>
    <w:rsid w:val="15D82141"/>
    <w:rsid w:val="15DA5226"/>
    <w:rsid w:val="15E02BE6"/>
    <w:rsid w:val="15E0628D"/>
    <w:rsid w:val="15E6885F"/>
    <w:rsid w:val="15EA5EE7"/>
    <w:rsid w:val="15EFCFB9"/>
    <w:rsid w:val="15FC6588"/>
    <w:rsid w:val="1603701C"/>
    <w:rsid w:val="1606EC06"/>
    <w:rsid w:val="160CE06E"/>
    <w:rsid w:val="162B3232"/>
    <w:rsid w:val="16379496"/>
    <w:rsid w:val="16388BB8"/>
    <w:rsid w:val="163D805F"/>
    <w:rsid w:val="165431D0"/>
    <w:rsid w:val="16641454"/>
    <w:rsid w:val="166A97C1"/>
    <w:rsid w:val="166FB027"/>
    <w:rsid w:val="16782ADC"/>
    <w:rsid w:val="16806FFF"/>
    <w:rsid w:val="168997DB"/>
    <w:rsid w:val="168DA10C"/>
    <w:rsid w:val="169280F3"/>
    <w:rsid w:val="169715D4"/>
    <w:rsid w:val="16972FFB"/>
    <w:rsid w:val="1697DE65"/>
    <w:rsid w:val="169CBAE8"/>
    <w:rsid w:val="16A35D53"/>
    <w:rsid w:val="16A77D03"/>
    <w:rsid w:val="16BBD62A"/>
    <w:rsid w:val="16BCAA3C"/>
    <w:rsid w:val="16C03BAC"/>
    <w:rsid w:val="16C31F94"/>
    <w:rsid w:val="16C84602"/>
    <w:rsid w:val="16E36E7E"/>
    <w:rsid w:val="16E54AD5"/>
    <w:rsid w:val="16ED8763"/>
    <w:rsid w:val="16F2D9EA"/>
    <w:rsid w:val="16F44198"/>
    <w:rsid w:val="16F5A544"/>
    <w:rsid w:val="16FB482D"/>
    <w:rsid w:val="1728E3AC"/>
    <w:rsid w:val="17430B83"/>
    <w:rsid w:val="174A6C34"/>
    <w:rsid w:val="174BC94E"/>
    <w:rsid w:val="174C1EF7"/>
    <w:rsid w:val="17509996"/>
    <w:rsid w:val="1761252B"/>
    <w:rsid w:val="17649550"/>
    <w:rsid w:val="17689EA5"/>
    <w:rsid w:val="176C8617"/>
    <w:rsid w:val="177005AA"/>
    <w:rsid w:val="1771ABBE"/>
    <w:rsid w:val="177BAA85"/>
    <w:rsid w:val="177CEA63"/>
    <w:rsid w:val="17831ED6"/>
    <w:rsid w:val="17950652"/>
    <w:rsid w:val="1796796F"/>
    <w:rsid w:val="1796B317"/>
    <w:rsid w:val="17ADFA19"/>
    <w:rsid w:val="17B84C68"/>
    <w:rsid w:val="17BA0CF4"/>
    <w:rsid w:val="17C177D6"/>
    <w:rsid w:val="17C704F4"/>
    <w:rsid w:val="17C80056"/>
    <w:rsid w:val="17C95B60"/>
    <w:rsid w:val="17CB2B25"/>
    <w:rsid w:val="17CF26FF"/>
    <w:rsid w:val="17DC4146"/>
    <w:rsid w:val="17E089F3"/>
    <w:rsid w:val="17E3FC68"/>
    <w:rsid w:val="17E8203E"/>
    <w:rsid w:val="17E900B2"/>
    <w:rsid w:val="17FABBD2"/>
    <w:rsid w:val="17FFF6EF"/>
    <w:rsid w:val="18073CE8"/>
    <w:rsid w:val="18075B80"/>
    <w:rsid w:val="180D1469"/>
    <w:rsid w:val="180E5931"/>
    <w:rsid w:val="180E785F"/>
    <w:rsid w:val="18142DBA"/>
    <w:rsid w:val="181FE9D4"/>
    <w:rsid w:val="18207EFA"/>
    <w:rsid w:val="1825A424"/>
    <w:rsid w:val="18281B4F"/>
    <w:rsid w:val="182BC0DE"/>
    <w:rsid w:val="184028A2"/>
    <w:rsid w:val="184056C8"/>
    <w:rsid w:val="184BC78D"/>
    <w:rsid w:val="184F4FB5"/>
    <w:rsid w:val="185B9770"/>
    <w:rsid w:val="185C4B4C"/>
    <w:rsid w:val="1864C2F4"/>
    <w:rsid w:val="1865DA6F"/>
    <w:rsid w:val="1868BC52"/>
    <w:rsid w:val="18779E6A"/>
    <w:rsid w:val="18785141"/>
    <w:rsid w:val="1879376D"/>
    <w:rsid w:val="18814958"/>
    <w:rsid w:val="1882AF33"/>
    <w:rsid w:val="188339E2"/>
    <w:rsid w:val="1884688F"/>
    <w:rsid w:val="188BD720"/>
    <w:rsid w:val="189A066C"/>
    <w:rsid w:val="189D62BF"/>
    <w:rsid w:val="18A49B2F"/>
    <w:rsid w:val="18A569EF"/>
    <w:rsid w:val="18A7CB53"/>
    <w:rsid w:val="18AA71AB"/>
    <w:rsid w:val="18AA7B27"/>
    <w:rsid w:val="18AB3658"/>
    <w:rsid w:val="18B041D2"/>
    <w:rsid w:val="18BD456B"/>
    <w:rsid w:val="18BF83B2"/>
    <w:rsid w:val="18CC6297"/>
    <w:rsid w:val="18CFC737"/>
    <w:rsid w:val="18D233CF"/>
    <w:rsid w:val="18D5795A"/>
    <w:rsid w:val="18DAB4F8"/>
    <w:rsid w:val="18DC0169"/>
    <w:rsid w:val="18F372D1"/>
    <w:rsid w:val="18F650A1"/>
    <w:rsid w:val="18F7F619"/>
    <w:rsid w:val="19008DBD"/>
    <w:rsid w:val="19014B6C"/>
    <w:rsid w:val="1904D02B"/>
    <w:rsid w:val="19084286"/>
    <w:rsid w:val="1915451C"/>
    <w:rsid w:val="191742F1"/>
    <w:rsid w:val="1918034F"/>
    <w:rsid w:val="192227E6"/>
    <w:rsid w:val="1925CE27"/>
    <w:rsid w:val="193F6C64"/>
    <w:rsid w:val="1945DA9F"/>
    <w:rsid w:val="1949F24E"/>
    <w:rsid w:val="194D64FE"/>
    <w:rsid w:val="1951F050"/>
    <w:rsid w:val="195A1526"/>
    <w:rsid w:val="19649C0A"/>
    <w:rsid w:val="1966848E"/>
    <w:rsid w:val="196D8D2B"/>
    <w:rsid w:val="1978F97A"/>
    <w:rsid w:val="197AA008"/>
    <w:rsid w:val="19A30D49"/>
    <w:rsid w:val="19A32C3C"/>
    <w:rsid w:val="19B2FE5F"/>
    <w:rsid w:val="19BDC629"/>
    <w:rsid w:val="19BE5DE2"/>
    <w:rsid w:val="19C21D7E"/>
    <w:rsid w:val="19CA19D9"/>
    <w:rsid w:val="19D2974A"/>
    <w:rsid w:val="19D95061"/>
    <w:rsid w:val="19DA5300"/>
    <w:rsid w:val="19DEA432"/>
    <w:rsid w:val="19E0450A"/>
    <w:rsid w:val="19E05D8D"/>
    <w:rsid w:val="19F6BA90"/>
    <w:rsid w:val="19FAB62D"/>
    <w:rsid w:val="1A0B0BF3"/>
    <w:rsid w:val="1A0E7EE1"/>
    <w:rsid w:val="1A1865C8"/>
    <w:rsid w:val="1A1BED72"/>
    <w:rsid w:val="1A262963"/>
    <w:rsid w:val="1A294BF9"/>
    <w:rsid w:val="1A2A7AAC"/>
    <w:rsid w:val="1A2E4502"/>
    <w:rsid w:val="1A370CEC"/>
    <w:rsid w:val="1A371CD0"/>
    <w:rsid w:val="1A473D38"/>
    <w:rsid w:val="1A47B0DC"/>
    <w:rsid w:val="1A4ABB5D"/>
    <w:rsid w:val="1A4D0860"/>
    <w:rsid w:val="1A4DC9E5"/>
    <w:rsid w:val="1A4F215E"/>
    <w:rsid w:val="1A53B4E5"/>
    <w:rsid w:val="1A653A90"/>
    <w:rsid w:val="1A7C2751"/>
    <w:rsid w:val="1A852961"/>
    <w:rsid w:val="1AA121A5"/>
    <w:rsid w:val="1AA25EC7"/>
    <w:rsid w:val="1AA42CE3"/>
    <w:rsid w:val="1AAE5B71"/>
    <w:rsid w:val="1AB828C6"/>
    <w:rsid w:val="1AC3273B"/>
    <w:rsid w:val="1AC5228C"/>
    <w:rsid w:val="1AC81F73"/>
    <w:rsid w:val="1AD36D5B"/>
    <w:rsid w:val="1AD63486"/>
    <w:rsid w:val="1AE27AF4"/>
    <w:rsid w:val="1AF10036"/>
    <w:rsid w:val="1AF714E0"/>
    <w:rsid w:val="1AFDD2D7"/>
    <w:rsid w:val="1AFF2232"/>
    <w:rsid w:val="1B02D814"/>
    <w:rsid w:val="1B064AD0"/>
    <w:rsid w:val="1B09782C"/>
    <w:rsid w:val="1B0B85E6"/>
    <w:rsid w:val="1B182809"/>
    <w:rsid w:val="1B18DF5F"/>
    <w:rsid w:val="1B1C352B"/>
    <w:rsid w:val="1B1D256B"/>
    <w:rsid w:val="1B299F9E"/>
    <w:rsid w:val="1B2ABEEA"/>
    <w:rsid w:val="1B2B032C"/>
    <w:rsid w:val="1B381778"/>
    <w:rsid w:val="1B4B5937"/>
    <w:rsid w:val="1B4E6445"/>
    <w:rsid w:val="1B51E0BC"/>
    <w:rsid w:val="1B538DE3"/>
    <w:rsid w:val="1B5B8471"/>
    <w:rsid w:val="1B5C4D1A"/>
    <w:rsid w:val="1B5EC9FA"/>
    <w:rsid w:val="1B6B311E"/>
    <w:rsid w:val="1B70668E"/>
    <w:rsid w:val="1B715F58"/>
    <w:rsid w:val="1B76AA93"/>
    <w:rsid w:val="1B7B3531"/>
    <w:rsid w:val="1B7B7F23"/>
    <w:rsid w:val="1B901B5F"/>
    <w:rsid w:val="1B928AF1"/>
    <w:rsid w:val="1B945F5B"/>
    <w:rsid w:val="1B96D7DA"/>
    <w:rsid w:val="1B97674E"/>
    <w:rsid w:val="1B9DAD10"/>
    <w:rsid w:val="1B9F20FD"/>
    <w:rsid w:val="1BA1DB8C"/>
    <w:rsid w:val="1BA22ED2"/>
    <w:rsid w:val="1BA3FFA7"/>
    <w:rsid w:val="1BB249B3"/>
    <w:rsid w:val="1BC7A10A"/>
    <w:rsid w:val="1BC813BA"/>
    <w:rsid w:val="1BCB6105"/>
    <w:rsid w:val="1BCC7960"/>
    <w:rsid w:val="1BD29C64"/>
    <w:rsid w:val="1BD4C2ED"/>
    <w:rsid w:val="1BEC1A0D"/>
    <w:rsid w:val="1BED7AA3"/>
    <w:rsid w:val="1BF4B5A3"/>
    <w:rsid w:val="1C03FE97"/>
    <w:rsid w:val="1C14ABF8"/>
    <w:rsid w:val="1C24B31C"/>
    <w:rsid w:val="1C282C10"/>
    <w:rsid w:val="1C2A631E"/>
    <w:rsid w:val="1C2DEF89"/>
    <w:rsid w:val="1C546EF9"/>
    <w:rsid w:val="1C5DF082"/>
    <w:rsid w:val="1C6CC38B"/>
    <w:rsid w:val="1C7E53E2"/>
    <w:rsid w:val="1C8942A9"/>
    <w:rsid w:val="1C94882C"/>
    <w:rsid w:val="1CAA4EEB"/>
    <w:rsid w:val="1CB5BC4A"/>
    <w:rsid w:val="1CB90AA5"/>
    <w:rsid w:val="1CC74382"/>
    <w:rsid w:val="1CCD8B4A"/>
    <w:rsid w:val="1CD0D7FC"/>
    <w:rsid w:val="1CE0E872"/>
    <w:rsid w:val="1CE1B068"/>
    <w:rsid w:val="1CE24746"/>
    <w:rsid w:val="1CE28B42"/>
    <w:rsid w:val="1CF15597"/>
    <w:rsid w:val="1CF725D8"/>
    <w:rsid w:val="1D0537DE"/>
    <w:rsid w:val="1D0E6101"/>
    <w:rsid w:val="1D0FE6F5"/>
    <w:rsid w:val="1D1623DD"/>
    <w:rsid w:val="1D19B829"/>
    <w:rsid w:val="1D1F66AA"/>
    <w:rsid w:val="1D214037"/>
    <w:rsid w:val="1D21BAF1"/>
    <w:rsid w:val="1D21CD31"/>
    <w:rsid w:val="1D350964"/>
    <w:rsid w:val="1D53E501"/>
    <w:rsid w:val="1D642B5A"/>
    <w:rsid w:val="1D724EE1"/>
    <w:rsid w:val="1D76CBC8"/>
    <w:rsid w:val="1D78DADA"/>
    <w:rsid w:val="1D7BC828"/>
    <w:rsid w:val="1D84F3F9"/>
    <w:rsid w:val="1D85CCD8"/>
    <w:rsid w:val="1D9DEE8F"/>
    <w:rsid w:val="1DA1D297"/>
    <w:rsid w:val="1DA6067E"/>
    <w:rsid w:val="1DA638D9"/>
    <w:rsid w:val="1DA99CEC"/>
    <w:rsid w:val="1DAB6315"/>
    <w:rsid w:val="1DB38206"/>
    <w:rsid w:val="1DC25BBC"/>
    <w:rsid w:val="1DC3FC71"/>
    <w:rsid w:val="1DC6C29D"/>
    <w:rsid w:val="1DD1780E"/>
    <w:rsid w:val="1DD4E32B"/>
    <w:rsid w:val="1DDE4990"/>
    <w:rsid w:val="1DE6DB72"/>
    <w:rsid w:val="1DF2CCF5"/>
    <w:rsid w:val="1DF8E088"/>
    <w:rsid w:val="1DFD33ED"/>
    <w:rsid w:val="1E0DA4DF"/>
    <w:rsid w:val="1E10979B"/>
    <w:rsid w:val="1E14C136"/>
    <w:rsid w:val="1E16B3FB"/>
    <w:rsid w:val="1E1981A0"/>
    <w:rsid w:val="1E1D8E78"/>
    <w:rsid w:val="1E244340"/>
    <w:rsid w:val="1E29637E"/>
    <w:rsid w:val="1E2A5F14"/>
    <w:rsid w:val="1E2E773E"/>
    <w:rsid w:val="1E343294"/>
    <w:rsid w:val="1E371009"/>
    <w:rsid w:val="1E3CEC65"/>
    <w:rsid w:val="1E49730F"/>
    <w:rsid w:val="1E4A5D6E"/>
    <w:rsid w:val="1E4A5F32"/>
    <w:rsid w:val="1E543BD6"/>
    <w:rsid w:val="1E54EFB8"/>
    <w:rsid w:val="1E5510C9"/>
    <w:rsid w:val="1E63DCBE"/>
    <w:rsid w:val="1E7DC68D"/>
    <w:rsid w:val="1E82F4FC"/>
    <w:rsid w:val="1E8614E4"/>
    <w:rsid w:val="1E8720C2"/>
    <w:rsid w:val="1E8C98D4"/>
    <w:rsid w:val="1E8E09A1"/>
    <w:rsid w:val="1E9065C5"/>
    <w:rsid w:val="1E96CE4C"/>
    <w:rsid w:val="1EA16A18"/>
    <w:rsid w:val="1EA598D9"/>
    <w:rsid w:val="1EA863F9"/>
    <w:rsid w:val="1EAAE108"/>
    <w:rsid w:val="1EB1F43E"/>
    <w:rsid w:val="1EB38482"/>
    <w:rsid w:val="1EB3BFE8"/>
    <w:rsid w:val="1EB86752"/>
    <w:rsid w:val="1EBD2202"/>
    <w:rsid w:val="1EC0E2DC"/>
    <w:rsid w:val="1EC7BC21"/>
    <w:rsid w:val="1EDC9691"/>
    <w:rsid w:val="1EDE973E"/>
    <w:rsid w:val="1EDFC4AB"/>
    <w:rsid w:val="1EE120C6"/>
    <w:rsid w:val="1EE30913"/>
    <w:rsid w:val="1EE653FE"/>
    <w:rsid w:val="1EE8103A"/>
    <w:rsid w:val="1EEA758B"/>
    <w:rsid w:val="1EED93E0"/>
    <w:rsid w:val="1EF44095"/>
    <w:rsid w:val="1EF7A676"/>
    <w:rsid w:val="1EFA40B3"/>
    <w:rsid w:val="1F00DDC6"/>
    <w:rsid w:val="1F0C57C5"/>
    <w:rsid w:val="1F1B7ED6"/>
    <w:rsid w:val="1F23C05C"/>
    <w:rsid w:val="1F28B293"/>
    <w:rsid w:val="1F2B5769"/>
    <w:rsid w:val="1F2EA3DC"/>
    <w:rsid w:val="1F48CEB8"/>
    <w:rsid w:val="1F4E5E5E"/>
    <w:rsid w:val="1F5E8F78"/>
    <w:rsid w:val="1F6A845E"/>
    <w:rsid w:val="1F6AAA23"/>
    <w:rsid w:val="1F710DF9"/>
    <w:rsid w:val="1F76A1A0"/>
    <w:rsid w:val="1F7873B0"/>
    <w:rsid w:val="1F80DC02"/>
    <w:rsid w:val="1F817AD5"/>
    <w:rsid w:val="1F9761A6"/>
    <w:rsid w:val="1F9C6283"/>
    <w:rsid w:val="1F9EFDDD"/>
    <w:rsid w:val="1FA0243D"/>
    <w:rsid w:val="1FA66211"/>
    <w:rsid w:val="1FA66B48"/>
    <w:rsid w:val="1FA9DBAF"/>
    <w:rsid w:val="1FB0729F"/>
    <w:rsid w:val="1FB2A182"/>
    <w:rsid w:val="1FC070A0"/>
    <w:rsid w:val="1FC533DF"/>
    <w:rsid w:val="1FCB65C5"/>
    <w:rsid w:val="1FCBB939"/>
    <w:rsid w:val="1FD22F3E"/>
    <w:rsid w:val="1FD81ABD"/>
    <w:rsid w:val="1FE20F8C"/>
    <w:rsid w:val="1FE3225F"/>
    <w:rsid w:val="1FE9C104"/>
    <w:rsid w:val="1FEF80C1"/>
    <w:rsid w:val="1FF3FB8A"/>
    <w:rsid w:val="1FFA17F7"/>
    <w:rsid w:val="2009C6D1"/>
    <w:rsid w:val="201005F5"/>
    <w:rsid w:val="20118C24"/>
    <w:rsid w:val="201521CC"/>
    <w:rsid w:val="202CBE58"/>
    <w:rsid w:val="204ADE50"/>
    <w:rsid w:val="204B0194"/>
    <w:rsid w:val="205B02E0"/>
    <w:rsid w:val="2060B34C"/>
    <w:rsid w:val="2060D21F"/>
    <w:rsid w:val="20685B5F"/>
    <w:rsid w:val="20694E44"/>
    <w:rsid w:val="206B7A08"/>
    <w:rsid w:val="207D5159"/>
    <w:rsid w:val="207D5559"/>
    <w:rsid w:val="207FB2DC"/>
    <w:rsid w:val="2084E62E"/>
    <w:rsid w:val="20865C37"/>
    <w:rsid w:val="2087A054"/>
    <w:rsid w:val="208A574E"/>
    <w:rsid w:val="208B79A4"/>
    <w:rsid w:val="208BF273"/>
    <w:rsid w:val="208F9CC5"/>
    <w:rsid w:val="20956F2A"/>
    <w:rsid w:val="209C0C3A"/>
    <w:rsid w:val="209C3D88"/>
    <w:rsid w:val="209D428A"/>
    <w:rsid w:val="20A24BBA"/>
    <w:rsid w:val="20A420BE"/>
    <w:rsid w:val="20AC5D78"/>
    <w:rsid w:val="20BA10CD"/>
    <w:rsid w:val="20BB2927"/>
    <w:rsid w:val="20BD8FC1"/>
    <w:rsid w:val="20BEC666"/>
    <w:rsid w:val="20BFEC77"/>
    <w:rsid w:val="20C54063"/>
    <w:rsid w:val="20C593CC"/>
    <w:rsid w:val="20C5B2AF"/>
    <w:rsid w:val="20D53206"/>
    <w:rsid w:val="20DF7455"/>
    <w:rsid w:val="20E2F72F"/>
    <w:rsid w:val="20E765C1"/>
    <w:rsid w:val="20E7E1D4"/>
    <w:rsid w:val="20ECF9A3"/>
    <w:rsid w:val="20EE03A5"/>
    <w:rsid w:val="20F73854"/>
    <w:rsid w:val="20F8A976"/>
    <w:rsid w:val="21052D37"/>
    <w:rsid w:val="210B08A8"/>
    <w:rsid w:val="2131D99E"/>
    <w:rsid w:val="2135AA4E"/>
    <w:rsid w:val="2135DDB9"/>
    <w:rsid w:val="214D1CFA"/>
    <w:rsid w:val="2154E472"/>
    <w:rsid w:val="215A9D4E"/>
    <w:rsid w:val="215C18BA"/>
    <w:rsid w:val="21610440"/>
    <w:rsid w:val="21718065"/>
    <w:rsid w:val="21756DE5"/>
    <w:rsid w:val="217C18F2"/>
    <w:rsid w:val="218335F1"/>
    <w:rsid w:val="218917EF"/>
    <w:rsid w:val="2189A8BD"/>
    <w:rsid w:val="21911987"/>
    <w:rsid w:val="2194EAE1"/>
    <w:rsid w:val="21956DF0"/>
    <w:rsid w:val="2199EA6E"/>
    <w:rsid w:val="219BF703"/>
    <w:rsid w:val="21A4ACD1"/>
    <w:rsid w:val="21AA2D1D"/>
    <w:rsid w:val="21B215D0"/>
    <w:rsid w:val="21C0A265"/>
    <w:rsid w:val="21C79753"/>
    <w:rsid w:val="21CB6FB5"/>
    <w:rsid w:val="21CC651C"/>
    <w:rsid w:val="21CD462A"/>
    <w:rsid w:val="21D1AA07"/>
    <w:rsid w:val="21E16276"/>
    <w:rsid w:val="21E70AE8"/>
    <w:rsid w:val="21EC3A53"/>
    <w:rsid w:val="21F8EEFD"/>
    <w:rsid w:val="21F8F3B9"/>
    <w:rsid w:val="21F992D1"/>
    <w:rsid w:val="21FD9EE7"/>
    <w:rsid w:val="21FDBB44"/>
    <w:rsid w:val="21FFB528"/>
    <w:rsid w:val="22046510"/>
    <w:rsid w:val="22177604"/>
    <w:rsid w:val="221E990E"/>
    <w:rsid w:val="22272372"/>
    <w:rsid w:val="22319217"/>
    <w:rsid w:val="2232DB22"/>
    <w:rsid w:val="223D1378"/>
    <w:rsid w:val="223DD0E9"/>
    <w:rsid w:val="2241873A"/>
    <w:rsid w:val="2243ABCD"/>
    <w:rsid w:val="224C08CF"/>
    <w:rsid w:val="224E1A0F"/>
    <w:rsid w:val="2260E272"/>
    <w:rsid w:val="226442B9"/>
    <w:rsid w:val="226A9337"/>
    <w:rsid w:val="226D6E30"/>
    <w:rsid w:val="2274728A"/>
    <w:rsid w:val="2274D734"/>
    <w:rsid w:val="22750562"/>
    <w:rsid w:val="2279A540"/>
    <w:rsid w:val="227FF0E4"/>
    <w:rsid w:val="22871D24"/>
    <w:rsid w:val="2291C3AA"/>
    <w:rsid w:val="22935EDD"/>
    <w:rsid w:val="229B5F92"/>
    <w:rsid w:val="229CB759"/>
    <w:rsid w:val="229DD42D"/>
    <w:rsid w:val="229F99AD"/>
    <w:rsid w:val="22A9B4C0"/>
    <w:rsid w:val="22AF139A"/>
    <w:rsid w:val="22AF2E98"/>
    <w:rsid w:val="22B01472"/>
    <w:rsid w:val="22C14031"/>
    <w:rsid w:val="22C15ADC"/>
    <w:rsid w:val="22C67DFF"/>
    <w:rsid w:val="22DDF388"/>
    <w:rsid w:val="22E0D362"/>
    <w:rsid w:val="22F0E54A"/>
    <w:rsid w:val="22FEA762"/>
    <w:rsid w:val="230D93DA"/>
    <w:rsid w:val="230F8901"/>
    <w:rsid w:val="2323F09F"/>
    <w:rsid w:val="232E8DEF"/>
    <w:rsid w:val="2330DEB7"/>
    <w:rsid w:val="23328BBF"/>
    <w:rsid w:val="233564C4"/>
    <w:rsid w:val="234251DC"/>
    <w:rsid w:val="2345EAEA"/>
    <w:rsid w:val="23492CE6"/>
    <w:rsid w:val="23528DC0"/>
    <w:rsid w:val="235627E3"/>
    <w:rsid w:val="23573577"/>
    <w:rsid w:val="235D11BD"/>
    <w:rsid w:val="235F404D"/>
    <w:rsid w:val="23627037"/>
    <w:rsid w:val="23665BDF"/>
    <w:rsid w:val="236FA7D6"/>
    <w:rsid w:val="2377F265"/>
    <w:rsid w:val="23785619"/>
    <w:rsid w:val="237C42D9"/>
    <w:rsid w:val="237CD555"/>
    <w:rsid w:val="23823EE8"/>
    <w:rsid w:val="2382DB49"/>
    <w:rsid w:val="239200FC"/>
    <w:rsid w:val="2393E16B"/>
    <w:rsid w:val="23961507"/>
    <w:rsid w:val="2397B1EF"/>
    <w:rsid w:val="239A7C50"/>
    <w:rsid w:val="23A31ACA"/>
    <w:rsid w:val="23A560AA"/>
    <w:rsid w:val="23B438FB"/>
    <w:rsid w:val="23BA6449"/>
    <w:rsid w:val="23BC3BB1"/>
    <w:rsid w:val="23C46B5C"/>
    <w:rsid w:val="23C60779"/>
    <w:rsid w:val="23CB02D7"/>
    <w:rsid w:val="23CB4366"/>
    <w:rsid w:val="23CC4478"/>
    <w:rsid w:val="23E829A3"/>
    <w:rsid w:val="23FC9F9C"/>
    <w:rsid w:val="24092151"/>
    <w:rsid w:val="241053F0"/>
    <w:rsid w:val="24106CDF"/>
    <w:rsid w:val="2410A795"/>
    <w:rsid w:val="241EA1E2"/>
    <w:rsid w:val="242DD0E7"/>
    <w:rsid w:val="243A5987"/>
    <w:rsid w:val="243CF2E7"/>
    <w:rsid w:val="2441565A"/>
    <w:rsid w:val="2444E9A0"/>
    <w:rsid w:val="244B6E5E"/>
    <w:rsid w:val="244BE4D3"/>
    <w:rsid w:val="2465236C"/>
    <w:rsid w:val="24684A73"/>
    <w:rsid w:val="2469D8C5"/>
    <w:rsid w:val="246B5424"/>
    <w:rsid w:val="24716F82"/>
    <w:rsid w:val="2476505C"/>
    <w:rsid w:val="24804994"/>
    <w:rsid w:val="2487A981"/>
    <w:rsid w:val="248BD9F2"/>
    <w:rsid w:val="248D7A93"/>
    <w:rsid w:val="248F551A"/>
    <w:rsid w:val="2490F1BF"/>
    <w:rsid w:val="24957AED"/>
    <w:rsid w:val="24993A0E"/>
    <w:rsid w:val="24A5FE98"/>
    <w:rsid w:val="24A694B2"/>
    <w:rsid w:val="24ABD3F7"/>
    <w:rsid w:val="24B68E99"/>
    <w:rsid w:val="24B6BB2F"/>
    <w:rsid w:val="24BA35E1"/>
    <w:rsid w:val="24BDE587"/>
    <w:rsid w:val="24C5D8D3"/>
    <w:rsid w:val="24C813FF"/>
    <w:rsid w:val="24CA0287"/>
    <w:rsid w:val="24E11D15"/>
    <w:rsid w:val="24E7CF18"/>
    <w:rsid w:val="24F8104F"/>
    <w:rsid w:val="24FC623F"/>
    <w:rsid w:val="25002F7B"/>
    <w:rsid w:val="2509A374"/>
    <w:rsid w:val="2516A773"/>
    <w:rsid w:val="251BE89D"/>
    <w:rsid w:val="25208838"/>
    <w:rsid w:val="2522F97F"/>
    <w:rsid w:val="2524C97A"/>
    <w:rsid w:val="25260BC0"/>
    <w:rsid w:val="25265754"/>
    <w:rsid w:val="252D2D11"/>
    <w:rsid w:val="252FD84D"/>
    <w:rsid w:val="2534A40C"/>
    <w:rsid w:val="253F8357"/>
    <w:rsid w:val="254F2DDE"/>
    <w:rsid w:val="25641D8D"/>
    <w:rsid w:val="25683280"/>
    <w:rsid w:val="2569BB83"/>
    <w:rsid w:val="2570A5D0"/>
    <w:rsid w:val="25821284"/>
    <w:rsid w:val="258E8350"/>
    <w:rsid w:val="25A20142"/>
    <w:rsid w:val="25A36CB6"/>
    <w:rsid w:val="25A9052D"/>
    <w:rsid w:val="25AC101E"/>
    <w:rsid w:val="25ADCD62"/>
    <w:rsid w:val="25AFBF0A"/>
    <w:rsid w:val="25B0D906"/>
    <w:rsid w:val="25B400D2"/>
    <w:rsid w:val="25CCFEA6"/>
    <w:rsid w:val="25D42B59"/>
    <w:rsid w:val="25DE2AE6"/>
    <w:rsid w:val="25E2B797"/>
    <w:rsid w:val="25E31C9A"/>
    <w:rsid w:val="25E59C73"/>
    <w:rsid w:val="25F25BA9"/>
    <w:rsid w:val="25F39696"/>
    <w:rsid w:val="25F3F26E"/>
    <w:rsid w:val="25FB670E"/>
    <w:rsid w:val="25FED51A"/>
    <w:rsid w:val="2600113D"/>
    <w:rsid w:val="26040678"/>
    <w:rsid w:val="260CE81F"/>
    <w:rsid w:val="26113717"/>
    <w:rsid w:val="262C7B6D"/>
    <w:rsid w:val="2630E8D2"/>
    <w:rsid w:val="26362D72"/>
    <w:rsid w:val="263A1C94"/>
    <w:rsid w:val="263E9EAC"/>
    <w:rsid w:val="263FF530"/>
    <w:rsid w:val="2641713A"/>
    <w:rsid w:val="26460493"/>
    <w:rsid w:val="2654FD6B"/>
    <w:rsid w:val="26633D0E"/>
    <w:rsid w:val="266C384A"/>
    <w:rsid w:val="266FAA71"/>
    <w:rsid w:val="26700E4A"/>
    <w:rsid w:val="267C44F1"/>
    <w:rsid w:val="267D8BAC"/>
    <w:rsid w:val="26866616"/>
    <w:rsid w:val="2690181C"/>
    <w:rsid w:val="26947CA5"/>
    <w:rsid w:val="26964081"/>
    <w:rsid w:val="269BFFDC"/>
    <w:rsid w:val="269E089D"/>
    <w:rsid w:val="26A07F01"/>
    <w:rsid w:val="26A859BF"/>
    <w:rsid w:val="26AC9BE8"/>
    <w:rsid w:val="26ADF480"/>
    <w:rsid w:val="26B7B8FE"/>
    <w:rsid w:val="26BD6631"/>
    <w:rsid w:val="26C484E4"/>
    <w:rsid w:val="26D6B908"/>
    <w:rsid w:val="26D84E18"/>
    <w:rsid w:val="26DB30CC"/>
    <w:rsid w:val="26FCA048"/>
    <w:rsid w:val="2701F994"/>
    <w:rsid w:val="2708FDB4"/>
    <w:rsid w:val="270C2CEA"/>
    <w:rsid w:val="270C7E6C"/>
    <w:rsid w:val="27100B6F"/>
    <w:rsid w:val="27102D48"/>
    <w:rsid w:val="27126556"/>
    <w:rsid w:val="271AFEFC"/>
    <w:rsid w:val="271FCA65"/>
    <w:rsid w:val="27223AE8"/>
    <w:rsid w:val="27291518"/>
    <w:rsid w:val="272B5ADE"/>
    <w:rsid w:val="272F8E32"/>
    <w:rsid w:val="273DD1C5"/>
    <w:rsid w:val="2741FCB5"/>
    <w:rsid w:val="2743F9C4"/>
    <w:rsid w:val="27540FAE"/>
    <w:rsid w:val="275565C2"/>
    <w:rsid w:val="2763285F"/>
    <w:rsid w:val="2764CE8D"/>
    <w:rsid w:val="276B4FF2"/>
    <w:rsid w:val="27812E13"/>
    <w:rsid w:val="278309C0"/>
    <w:rsid w:val="278BF7A4"/>
    <w:rsid w:val="278EC768"/>
    <w:rsid w:val="27943975"/>
    <w:rsid w:val="27A0E0F9"/>
    <w:rsid w:val="27AA416E"/>
    <w:rsid w:val="27AB277C"/>
    <w:rsid w:val="27AC4554"/>
    <w:rsid w:val="27ACA5C9"/>
    <w:rsid w:val="27B10B03"/>
    <w:rsid w:val="27C37AB4"/>
    <w:rsid w:val="27C94ECD"/>
    <w:rsid w:val="27CD5D2C"/>
    <w:rsid w:val="27DD82B4"/>
    <w:rsid w:val="27E6106F"/>
    <w:rsid w:val="27EA07DE"/>
    <w:rsid w:val="27EC2B8D"/>
    <w:rsid w:val="27F4EF14"/>
    <w:rsid w:val="27F65C8C"/>
    <w:rsid w:val="27F7166B"/>
    <w:rsid w:val="27F85973"/>
    <w:rsid w:val="280017E9"/>
    <w:rsid w:val="2802BC7F"/>
    <w:rsid w:val="28068D5A"/>
    <w:rsid w:val="2808CB3B"/>
    <w:rsid w:val="281928E2"/>
    <w:rsid w:val="283023A6"/>
    <w:rsid w:val="283DCDC8"/>
    <w:rsid w:val="2842D31F"/>
    <w:rsid w:val="2844D71E"/>
    <w:rsid w:val="284A17C5"/>
    <w:rsid w:val="285298DE"/>
    <w:rsid w:val="2853E960"/>
    <w:rsid w:val="28551529"/>
    <w:rsid w:val="28564C6C"/>
    <w:rsid w:val="2865D422"/>
    <w:rsid w:val="286703A6"/>
    <w:rsid w:val="286A0D1B"/>
    <w:rsid w:val="286E8C25"/>
    <w:rsid w:val="287593C1"/>
    <w:rsid w:val="28802264"/>
    <w:rsid w:val="28893347"/>
    <w:rsid w:val="2895B599"/>
    <w:rsid w:val="2899BA17"/>
    <w:rsid w:val="28ACB811"/>
    <w:rsid w:val="28AE8448"/>
    <w:rsid w:val="28B77BFC"/>
    <w:rsid w:val="28C379DD"/>
    <w:rsid w:val="28C476B3"/>
    <w:rsid w:val="28CAFDC6"/>
    <w:rsid w:val="28E02475"/>
    <w:rsid w:val="28EFC68A"/>
    <w:rsid w:val="2901FD81"/>
    <w:rsid w:val="2907E3FA"/>
    <w:rsid w:val="2909518A"/>
    <w:rsid w:val="2918CAD3"/>
    <w:rsid w:val="29238A68"/>
    <w:rsid w:val="29291E4C"/>
    <w:rsid w:val="293B1742"/>
    <w:rsid w:val="2940BAEF"/>
    <w:rsid w:val="294611CF"/>
    <w:rsid w:val="2948762A"/>
    <w:rsid w:val="294FCE0D"/>
    <w:rsid w:val="295C3447"/>
    <w:rsid w:val="2968EC10"/>
    <w:rsid w:val="2977F2D6"/>
    <w:rsid w:val="297A995E"/>
    <w:rsid w:val="298027AB"/>
    <w:rsid w:val="298A000C"/>
    <w:rsid w:val="2994F4BA"/>
    <w:rsid w:val="299BFDA5"/>
    <w:rsid w:val="29A2438B"/>
    <w:rsid w:val="29A4FD58"/>
    <w:rsid w:val="29A64A8D"/>
    <w:rsid w:val="29A7DB26"/>
    <w:rsid w:val="29B0F385"/>
    <w:rsid w:val="29B51E7B"/>
    <w:rsid w:val="29C3E333"/>
    <w:rsid w:val="29DA7264"/>
    <w:rsid w:val="29EDE024"/>
    <w:rsid w:val="29F04502"/>
    <w:rsid w:val="29F97818"/>
    <w:rsid w:val="29F9EB66"/>
    <w:rsid w:val="2A034970"/>
    <w:rsid w:val="2A08F0F7"/>
    <w:rsid w:val="2A0A118F"/>
    <w:rsid w:val="2A1E8C2B"/>
    <w:rsid w:val="2A29002F"/>
    <w:rsid w:val="2A3150BF"/>
    <w:rsid w:val="2A3B4758"/>
    <w:rsid w:val="2A3BBF25"/>
    <w:rsid w:val="2A4182C4"/>
    <w:rsid w:val="2A4AFC28"/>
    <w:rsid w:val="2A57AF4E"/>
    <w:rsid w:val="2A5A05D8"/>
    <w:rsid w:val="2A63466F"/>
    <w:rsid w:val="2A765765"/>
    <w:rsid w:val="2A7BF1D8"/>
    <w:rsid w:val="2A80BF80"/>
    <w:rsid w:val="2A8A23ED"/>
    <w:rsid w:val="2A8D0684"/>
    <w:rsid w:val="2A9031E7"/>
    <w:rsid w:val="2A9878C5"/>
    <w:rsid w:val="2AAD82B8"/>
    <w:rsid w:val="2AAEEF03"/>
    <w:rsid w:val="2ABF6214"/>
    <w:rsid w:val="2AC47DFF"/>
    <w:rsid w:val="2ADDAFA5"/>
    <w:rsid w:val="2AE31E2C"/>
    <w:rsid w:val="2AEE82AA"/>
    <w:rsid w:val="2AF44962"/>
    <w:rsid w:val="2B06AF16"/>
    <w:rsid w:val="2B074856"/>
    <w:rsid w:val="2B0E7F17"/>
    <w:rsid w:val="2B19F255"/>
    <w:rsid w:val="2B247FBC"/>
    <w:rsid w:val="2B273CD3"/>
    <w:rsid w:val="2B3418DD"/>
    <w:rsid w:val="2B3AE6AD"/>
    <w:rsid w:val="2B3C9173"/>
    <w:rsid w:val="2B3E15CF"/>
    <w:rsid w:val="2B4C0F23"/>
    <w:rsid w:val="2B4ED9CD"/>
    <w:rsid w:val="2B62502E"/>
    <w:rsid w:val="2B653BB9"/>
    <w:rsid w:val="2B6A8C40"/>
    <w:rsid w:val="2B6B6D26"/>
    <w:rsid w:val="2B6FCD77"/>
    <w:rsid w:val="2B74C4D1"/>
    <w:rsid w:val="2B77125F"/>
    <w:rsid w:val="2B7A9994"/>
    <w:rsid w:val="2B8B0C63"/>
    <w:rsid w:val="2B8B42DB"/>
    <w:rsid w:val="2B8FC9BC"/>
    <w:rsid w:val="2B92B4F5"/>
    <w:rsid w:val="2B9483C6"/>
    <w:rsid w:val="2BA9A8F9"/>
    <w:rsid w:val="2BB2836B"/>
    <w:rsid w:val="2BBD214A"/>
    <w:rsid w:val="2BC5E570"/>
    <w:rsid w:val="2BD7717D"/>
    <w:rsid w:val="2BE92A3E"/>
    <w:rsid w:val="2BEB5B0E"/>
    <w:rsid w:val="2BEE6B30"/>
    <w:rsid w:val="2BEF558B"/>
    <w:rsid w:val="2BF6CDC6"/>
    <w:rsid w:val="2BFA11EF"/>
    <w:rsid w:val="2BFC1A1D"/>
    <w:rsid w:val="2BFC6981"/>
    <w:rsid w:val="2BFF326A"/>
    <w:rsid w:val="2C114640"/>
    <w:rsid w:val="2C118CDB"/>
    <w:rsid w:val="2C149075"/>
    <w:rsid w:val="2C1DDB2A"/>
    <w:rsid w:val="2C210456"/>
    <w:rsid w:val="2C22BB45"/>
    <w:rsid w:val="2C2975E3"/>
    <w:rsid w:val="2C308D6D"/>
    <w:rsid w:val="2C349A6D"/>
    <w:rsid w:val="2C42E60D"/>
    <w:rsid w:val="2C47E857"/>
    <w:rsid w:val="2C4DCD2D"/>
    <w:rsid w:val="2C5A29A7"/>
    <w:rsid w:val="2C5B2455"/>
    <w:rsid w:val="2C5E3762"/>
    <w:rsid w:val="2C61FE44"/>
    <w:rsid w:val="2C63DFA6"/>
    <w:rsid w:val="2C68D032"/>
    <w:rsid w:val="2C6CDD53"/>
    <w:rsid w:val="2C73E1D8"/>
    <w:rsid w:val="2C7801DA"/>
    <w:rsid w:val="2C78E5B5"/>
    <w:rsid w:val="2C7C787A"/>
    <w:rsid w:val="2C818A5C"/>
    <w:rsid w:val="2C82DCAC"/>
    <w:rsid w:val="2C85B3D2"/>
    <w:rsid w:val="2C939436"/>
    <w:rsid w:val="2C9F5776"/>
    <w:rsid w:val="2CC156C4"/>
    <w:rsid w:val="2CCA3C3F"/>
    <w:rsid w:val="2CCD749B"/>
    <w:rsid w:val="2CDA92EE"/>
    <w:rsid w:val="2CDAA017"/>
    <w:rsid w:val="2CE04EB7"/>
    <w:rsid w:val="2CE77EE6"/>
    <w:rsid w:val="2CF8AAAC"/>
    <w:rsid w:val="2CFCCB7E"/>
    <w:rsid w:val="2D067697"/>
    <w:rsid w:val="2D06AB6A"/>
    <w:rsid w:val="2D06DC2B"/>
    <w:rsid w:val="2D0B1714"/>
    <w:rsid w:val="2D0D0068"/>
    <w:rsid w:val="2D149736"/>
    <w:rsid w:val="2D1C332A"/>
    <w:rsid w:val="2D25BD85"/>
    <w:rsid w:val="2D2FA3A8"/>
    <w:rsid w:val="2D35C71D"/>
    <w:rsid w:val="2D380602"/>
    <w:rsid w:val="2D3986E1"/>
    <w:rsid w:val="2D3AEA32"/>
    <w:rsid w:val="2D46C0E3"/>
    <w:rsid w:val="2D46D5E2"/>
    <w:rsid w:val="2D59E1E3"/>
    <w:rsid w:val="2D6226DF"/>
    <w:rsid w:val="2D65A552"/>
    <w:rsid w:val="2D697C20"/>
    <w:rsid w:val="2D6A1A05"/>
    <w:rsid w:val="2D7FBC28"/>
    <w:rsid w:val="2D8346C4"/>
    <w:rsid w:val="2D85C468"/>
    <w:rsid w:val="2D899A1C"/>
    <w:rsid w:val="2D8AD552"/>
    <w:rsid w:val="2D8ED416"/>
    <w:rsid w:val="2D8FB692"/>
    <w:rsid w:val="2D90F4BA"/>
    <w:rsid w:val="2DA25482"/>
    <w:rsid w:val="2DAD3035"/>
    <w:rsid w:val="2DAD9B2B"/>
    <w:rsid w:val="2DB801E2"/>
    <w:rsid w:val="2DD08E2E"/>
    <w:rsid w:val="2DE08502"/>
    <w:rsid w:val="2DE5AA20"/>
    <w:rsid w:val="2DE6EA84"/>
    <w:rsid w:val="2DEE7660"/>
    <w:rsid w:val="2E1982F2"/>
    <w:rsid w:val="2E19A295"/>
    <w:rsid w:val="2E28C343"/>
    <w:rsid w:val="2E2B9833"/>
    <w:rsid w:val="2E3633AD"/>
    <w:rsid w:val="2E3A4191"/>
    <w:rsid w:val="2E3F559C"/>
    <w:rsid w:val="2E42E7E6"/>
    <w:rsid w:val="2E571661"/>
    <w:rsid w:val="2E5E4240"/>
    <w:rsid w:val="2E6E3B7F"/>
    <w:rsid w:val="2E6F4209"/>
    <w:rsid w:val="2E72EFB0"/>
    <w:rsid w:val="2E75EDB8"/>
    <w:rsid w:val="2E7EFFAF"/>
    <w:rsid w:val="2E9071DB"/>
    <w:rsid w:val="2E942F94"/>
    <w:rsid w:val="2E996D8C"/>
    <w:rsid w:val="2EA023B0"/>
    <w:rsid w:val="2EA82570"/>
    <w:rsid w:val="2EAAE824"/>
    <w:rsid w:val="2EADBD4B"/>
    <w:rsid w:val="2EAF8E82"/>
    <w:rsid w:val="2EBAFDE6"/>
    <w:rsid w:val="2ECBD6C7"/>
    <w:rsid w:val="2ED0E157"/>
    <w:rsid w:val="2ED4914E"/>
    <w:rsid w:val="2EED4AFB"/>
    <w:rsid w:val="2EF0FCAB"/>
    <w:rsid w:val="2EF3AAAB"/>
    <w:rsid w:val="2EF7564C"/>
    <w:rsid w:val="2F044B49"/>
    <w:rsid w:val="2F05FA0D"/>
    <w:rsid w:val="2F24AAD6"/>
    <w:rsid w:val="2F2548AE"/>
    <w:rsid w:val="2F27E77B"/>
    <w:rsid w:val="2F2B2B09"/>
    <w:rsid w:val="2F2BDC28"/>
    <w:rsid w:val="2F388A84"/>
    <w:rsid w:val="2F40B1D0"/>
    <w:rsid w:val="2F419621"/>
    <w:rsid w:val="2F43C5DA"/>
    <w:rsid w:val="2F467CE0"/>
    <w:rsid w:val="2F491D3C"/>
    <w:rsid w:val="2F4C8C41"/>
    <w:rsid w:val="2F4CD092"/>
    <w:rsid w:val="2F616BDC"/>
    <w:rsid w:val="2F63E541"/>
    <w:rsid w:val="2F6D1A0E"/>
    <w:rsid w:val="2F7882B5"/>
    <w:rsid w:val="2F83AE6E"/>
    <w:rsid w:val="2F8663E4"/>
    <w:rsid w:val="2F8E7EA3"/>
    <w:rsid w:val="2F9CAF26"/>
    <w:rsid w:val="2FA2EBDF"/>
    <w:rsid w:val="2FB900E6"/>
    <w:rsid w:val="2FC9BAF2"/>
    <w:rsid w:val="2FDBAC9D"/>
    <w:rsid w:val="2FEA58E6"/>
    <w:rsid w:val="2FF070BE"/>
    <w:rsid w:val="2FF33F73"/>
    <w:rsid w:val="2FFBDFB1"/>
    <w:rsid w:val="3004C81E"/>
    <w:rsid w:val="30071D7B"/>
    <w:rsid w:val="300AD629"/>
    <w:rsid w:val="30124776"/>
    <w:rsid w:val="30141009"/>
    <w:rsid w:val="301C0A93"/>
    <w:rsid w:val="301DA210"/>
    <w:rsid w:val="301DD20D"/>
    <w:rsid w:val="3027D4D4"/>
    <w:rsid w:val="3031A641"/>
    <w:rsid w:val="30418FF0"/>
    <w:rsid w:val="30515803"/>
    <w:rsid w:val="3055C71E"/>
    <w:rsid w:val="3057A9CA"/>
    <w:rsid w:val="305C18B0"/>
    <w:rsid w:val="305DE9D9"/>
    <w:rsid w:val="305E561A"/>
    <w:rsid w:val="305E98A0"/>
    <w:rsid w:val="3062723E"/>
    <w:rsid w:val="3064A819"/>
    <w:rsid w:val="30684B93"/>
    <w:rsid w:val="306CB1B8"/>
    <w:rsid w:val="306DA724"/>
    <w:rsid w:val="308563AC"/>
    <w:rsid w:val="309334BA"/>
    <w:rsid w:val="309B9906"/>
    <w:rsid w:val="309D55A8"/>
    <w:rsid w:val="30A17476"/>
    <w:rsid w:val="30B471B5"/>
    <w:rsid w:val="30B7CD80"/>
    <w:rsid w:val="30B9085A"/>
    <w:rsid w:val="30BC6403"/>
    <w:rsid w:val="30C7A1AC"/>
    <w:rsid w:val="30DE758C"/>
    <w:rsid w:val="30DEE286"/>
    <w:rsid w:val="30DFE6A3"/>
    <w:rsid w:val="30DFF02A"/>
    <w:rsid w:val="30E4832A"/>
    <w:rsid w:val="30EC6841"/>
    <w:rsid w:val="30F7EC67"/>
    <w:rsid w:val="30FDE247"/>
    <w:rsid w:val="3103BD73"/>
    <w:rsid w:val="31058684"/>
    <w:rsid w:val="3120C4B2"/>
    <w:rsid w:val="31223445"/>
    <w:rsid w:val="31278E81"/>
    <w:rsid w:val="31355CEC"/>
    <w:rsid w:val="313BBB64"/>
    <w:rsid w:val="3156BA74"/>
    <w:rsid w:val="3156FDD2"/>
    <w:rsid w:val="3158D395"/>
    <w:rsid w:val="31593808"/>
    <w:rsid w:val="315BB6B6"/>
    <w:rsid w:val="315EA846"/>
    <w:rsid w:val="3176DDBB"/>
    <w:rsid w:val="3179F22C"/>
    <w:rsid w:val="317C3BD1"/>
    <w:rsid w:val="31916D49"/>
    <w:rsid w:val="319FE932"/>
    <w:rsid w:val="31A6E4EF"/>
    <w:rsid w:val="31AA19A5"/>
    <w:rsid w:val="31AAE6FE"/>
    <w:rsid w:val="31AC6691"/>
    <w:rsid w:val="31B23A99"/>
    <w:rsid w:val="31B65269"/>
    <w:rsid w:val="31BDE899"/>
    <w:rsid w:val="31C093CE"/>
    <w:rsid w:val="31C797CC"/>
    <w:rsid w:val="31CE97FB"/>
    <w:rsid w:val="31CEF699"/>
    <w:rsid w:val="31E0D151"/>
    <w:rsid w:val="31E22C54"/>
    <w:rsid w:val="31E24C35"/>
    <w:rsid w:val="31E3BBB3"/>
    <w:rsid w:val="31E9EE00"/>
    <w:rsid w:val="31ED050F"/>
    <w:rsid w:val="31ED2864"/>
    <w:rsid w:val="31EF6593"/>
    <w:rsid w:val="31F03B61"/>
    <w:rsid w:val="31FCAA3F"/>
    <w:rsid w:val="31FCEFE6"/>
    <w:rsid w:val="320460B3"/>
    <w:rsid w:val="3204EA43"/>
    <w:rsid w:val="3206F01E"/>
    <w:rsid w:val="32096FAD"/>
    <w:rsid w:val="321D207B"/>
    <w:rsid w:val="321D6E33"/>
    <w:rsid w:val="321E5A63"/>
    <w:rsid w:val="322EFD41"/>
    <w:rsid w:val="323098B3"/>
    <w:rsid w:val="323FAD8D"/>
    <w:rsid w:val="3241D187"/>
    <w:rsid w:val="324CFEC6"/>
    <w:rsid w:val="325C023A"/>
    <w:rsid w:val="325E77E7"/>
    <w:rsid w:val="326C7C8D"/>
    <w:rsid w:val="32720A1A"/>
    <w:rsid w:val="328E6317"/>
    <w:rsid w:val="3291AD7A"/>
    <w:rsid w:val="329A8642"/>
    <w:rsid w:val="32B97797"/>
    <w:rsid w:val="32BDCFDF"/>
    <w:rsid w:val="32CD5018"/>
    <w:rsid w:val="32D60303"/>
    <w:rsid w:val="32E803AC"/>
    <w:rsid w:val="32E8EE0B"/>
    <w:rsid w:val="32F18BB7"/>
    <w:rsid w:val="3304C358"/>
    <w:rsid w:val="330CCD1C"/>
    <w:rsid w:val="330DE1B7"/>
    <w:rsid w:val="3311661B"/>
    <w:rsid w:val="3311FCB3"/>
    <w:rsid w:val="33123E13"/>
    <w:rsid w:val="331BBB36"/>
    <w:rsid w:val="331BF0C2"/>
    <w:rsid w:val="33214D1E"/>
    <w:rsid w:val="33229FD5"/>
    <w:rsid w:val="334B5824"/>
    <w:rsid w:val="334BEEBD"/>
    <w:rsid w:val="33518F19"/>
    <w:rsid w:val="335226A1"/>
    <w:rsid w:val="336530EA"/>
    <w:rsid w:val="3368AC95"/>
    <w:rsid w:val="337197ED"/>
    <w:rsid w:val="3372C2B0"/>
    <w:rsid w:val="337A76D0"/>
    <w:rsid w:val="3387EB50"/>
    <w:rsid w:val="3388F8C5"/>
    <w:rsid w:val="3389A6C3"/>
    <w:rsid w:val="33901E60"/>
    <w:rsid w:val="33902131"/>
    <w:rsid w:val="339AF9D3"/>
    <w:rsid w:val="339C2673"/>
    <w:rsid w:val="33B066F5"/>
    <w:rsid w:val="33BF515C"/>
    <w:rsid w:val="33C9A94C"/>
    <w:rsid w:val="33CC4553"/>
    <w:rsid w:val="33CD0026"/>
    <w:rsid w:val="33CF22DB"/>
    <w:rsid w:val="33D1F49C"/>
    <w:rsid w:val="33D47F0D"/>
    <w:rsid w:val="33E63083"/>
    <w:rsid w:val="33E8B630"/>
    <w:rsid w:val="33EDD6E2"/>
    <w:rsid w:val="33EDE40B"/>
    <w:rsid w:val="33F0A91C"/>
    <w:rsid w:val="3404186D"/>
    <w:rsid w:val="34071AD6"/>
    <w:rsid w:val="340835CD"/>
    <w:rsid w:val="3411B6CE"/>
    <w:rsid w:val="3412E91D"/>
    <w:rsid w:val="3415F7D2"/>
    <w:rsid w:val="341A9DBA"/>
    <w:rsid w:val="3420B7D8"/>
    <w:rsid w:val="342123AD"/>
    <w:rsid w:val="3423F43A"/>
    <w:rsid w:val="3424A032"/>
    <w:rsid w:val="3424A5D5"/>
    <w:rsid w:val="342E1857"/>
    <w:rsid w:val="3433091F"/>
    <w:rsid w:val="343789A2"/>
    <w:rsid w:val="343DFAF8"/>
    <w:rsid w:val="3440EB38"/>
    <w:rsid w:val="344453A6"/>
    <w:rsid w:val="34458CF1"/>
    <w:rsid w:val="3445FCE8"/>
    <w:rsid w:val="3448DA92"/>
    <w:rsid w:val="3454F7CE"/>
    <w:rsid w:val="3456AE03"/>
    <w:rsid w:val="34592889"/>
    <w:rsid w:val="345DA044"/>
    <w:rsid w:val="346294CF"/>
    <w:rsid w:val="346E53F5"/>
    <w:rsid w:val="34748E8F"/>
    <w:rsid w:val="34782A73"/>
    <w:rsid w:val="347E59D7"/>
    <w:rsid w:val="348334BC"/>
    <w:rsid w:val="34879683"/>
    <w:rsid w:val="3489A376"/>
    <w:rsid w:val="3489D070"/>
    <w:rsid w:val="348A0B52"/>
    <w:rsid w:val="34911B43"/>
    <w:rsid w:val="3494E6FB"/>
    <w:rsid w:val="3497F669"/>
    <w:rsid w:val="349E2043"/>
    <w:rsid w:val="349FF064"/>
    <w:rsid w:val="34A46E16"/>
    <w:rsid w:val="34A9ED60"/>
    <w:rsid w:val="34B31DB4"/>
    <w:rsid w:val="34C2DDD5"/>
    <w:rsid w:val="34D58B02"/>
    <w:rsid w:val="34D73D06"/>
    <w:rsid w:val="34D8AEF6"/>
    <w:rsid w:val="34E908F3"/>
    <w:rsid w:val="3501014B"/>
    <w:rsid w:val="350638BD"/>
    <w:rsid w:val="3509C9AA"/>
    <w:rsid w:val="350D6ECE"/>
    <w:rsid w:val="350DC503"/>
    <w:rsid w:val="351045FE"/>
    <w:rsid w:val="35109608"/>
    <w:rsid w:val="351376F6"/>
    <w:rsid w:val="35196407"/>
    <w:rsid w:val="351CC737"/>
    <w:rsid w:val="351FECF9"/>
    <w:rsid w:val="352DE5DB"/>
    <w:rsid w:val="352EABB1"/>
    <w:rsid w:val="3532DDC2"/>
    <w:rsid w:val="35333630"/>
    <w:rsid w:val="3539E4CF"/>
    <w:rsid w:val="354534D3"/>
    <w:rsid w:val="3548D8D4"/>
    <w:rsid w:val="354EA10F"/>
    <w:rsid w:val="35547E8C"/>
    <w:rsid w:val="3559693F"/>
    <w:rsid w:val="35603B75"/>
    <w:rsid w:val="356AA407"/>
    <w:rsid w:val="35710B34"/>
    <w:rsid w:val="3574DB30"/>
    <w:rsid w:val="35806E12"/>
    <w:rsid w:val="358200E4"/>
    <w:rsid w:val="35887D9F"/>
    <w:rsid w:val="35896362"/>
    <w:rsid w:val="358B3EA3"/>
    <w:rsid w:val="35923655"/>
    <w:rsid w:val="35A27E54"/>
    <w:rsid w:val="35A6CED5"/>
    <w:rsid w:val="35A9EB6A"/>
    <w:rsid w:val="35AA3F28"/>
    <w:rsid w:val="35B22821"/>
    <w:rsid w:val="35B8F8C9"/>
    <w:rsid w:val="35BBD022"/>
    <w:rsid w:val="35C373DC"/>
    <w:rsid w:val="35C48D08"/>
    <w:rsid w:val="35C6C50C"/>
    <w:rsid w:val="35CE3B9F"/>
    <w:rsid w:val="35D33844"/>
    <w:rsid w:val="35D68E10"/>
    <w:rsid w:val="35F06953"/>
    <w:rsid w:val="36067A77"/>
    <w:rsid w:val="3613D749"/>
    <w:rsid w:val="361E908D"/>
    <w:rsid w:val="361F051D"/>
    <w:rsid w:val="362494D7"/>
    <w:rsid w:val="3628F0EC"/>
    <w:rsid w:val="362A2D8A"/>
    <w:rsid w:val="362A6EF5"/>
    <w:rsid w:val="363C6770"/>
    <w:rsid w:val="3640250E"/>
    <w:rsid w:val="3642F480"/>
    <w:rsid w:val="3647A29A"/>
    <w:rsid w:val="3648813E"/>
    <w:rsid w:val="365EE2C2"/>
    <w:rsid w:val="366218FE"/>
    <w:rsid w:val="36679E36"/>
    <w:rsid w:val="367313C0"/>
    <w:rsid w:val="367D19C4"/>
    <w:rsid w:val="367F0CD3"/>
    <w:rsid w:val="36814E5E"/>
    <w:rsid w:val="3682E4BF"/>
    <w:rsid w:val="368E7AD5"/>
    <w:rsid w:val="36965355"/>
    <w:rsid w:val="369CD1AC"/>
    <w:rsid w:val="36A475B3"/>
    <w:rsid w:val="36A7712A"/>
    <w:rsid w:val="36A8DE79"/>
    <w:rsid w:val="36B08E8B"/>
    <w:rsid w:val="36B15472"/>
    <w:rsid w:val="36B8B9AF"/>
    <w:rsid w:val="36C283EF"/>
    <w:rsid w:val="36C6912B"/>
    <w:rsid w:val="36D4ED89"/>
    <w:rsid w:val="36DB73E8"/>
    <w:rsid w:val="36E6D774"/>
    <w:rsid w:val="36E7CC37"/>
    <w:rsid w:val="36F0DB04"/>
    <w:rsid w:val="36F263D2"/>
    <w:rsid w:val="36F6C108"/>
    <w:rsid w:val="37054DCB"/>
    <w:rsid w:val="370BDB08"/>
    <w:rsid w:val="371DD145"/>
    <w:rsid w:val="37214DB9"/>
    <w:rsid w:val="3722FF46"/>
    <w:rsid w:val="3727466A"/>
    <w:rsid w:val="373253D2"/>
    <w:rsid w:val="37338A17"/>
    <w:rsid w:val="373F5BA2"/>
    <w:rsid w:val="3742D63B"/>
    <w:rsid w:val="374CE4A6"/>
    <w:rsid w:val="374F4EBE"/>
    <w:rsid w:val="37500875"/>
    <w:rsid w:val="3754AAAE"/>
    <w:rsid w:val="375D5C79"/>
    <w:rsid w:val="37607B8B"/>
    <w:rsid w:val="3762D80D"/>
    <w:rsid w:val="376B71F7"/>
    <w:rsid w:val="3774E81F"/>
    <w:rsid w:val="377C7EA5"/>
    <w:rsid w:val="37802D25"/>
    <w:rsid w:val="37861A00"/>
    <w:rsid w:val="378702CB"/>
    <w:rsid w:val="378C9890"/>
    <w:rsid w:val="379B7D5A"/>
    <w:rsid w:val="37AEC9D7"/>
    <w:rsid w:val="37B7CA28"/>
    <w:rsid w:val="37C06538"/>
    <w:rsid w:val="37C36945"/>
    <w:rsid w:val="37C3B4D0"/>
    <w:rsid w:val="37C7C8D4"/>
    <w:rsid w:val="37CC0997"/>
    <w:rsid w:val="37CD8035"/>
    <w:rsid w:val="37CE5DC4"/>
    <w:rsid w:val="37CE96FB"/>
    <w:rsid w:val="37D62B30"/>
    <w:rsid w:val="37DA5BFF"/>
    <w:rsid w:val="37DB44FB"/>
    <w:rsid w:val="37E1354E"/>
    <w:rsid w:val="37E22518"/>
    <w:rsid w:val="37E41134"/>
    <w:rsid w:val="37E5B55B"/>
    <w:rsid w:val="37F4E403"/>
    <w:rsid w:val="37FB9404"/>
    <w:rsid w:val="3805757D"/>
    <w:rsid w:val="380AC667"/>
    <w:rsid w:val="3813D4A2"/>
    <w:rsid w:val="3814FE2D"/>
    <w:rsid w:val="381AABC0"/>
    <w:rsid w:val="381B539B"/>
    <w:rsid w:val="381E4021"/>
    <w:rsid w:val="381E6A6D"/>
    <w:rsid w:val="381FDA9B"/>
    <w:rsid w:val="38230683"/>
    <w:rsid w:val="3825CB25"/>
    <w:rsid w:val="3828156F"/>
    <w:rsid w:val="3837EB56"/>
    <w:rsid w:val="383A0BEB"/>
    <w:rsid w:val="383A9501"/>
    <w:rsid w:val="383DD97F"/>
    <w:rsid w:val="3843418B"/>
    <w:rsid w:val="3847AB55"/>
    <w:rsid w:val="384D3D6E"/>
    <w:rsid w:val="384E34F6"/>
    <w:rsid w:val="38535055"/>
    <w:rsid w:val="385642E0"/>
    <w:rsid w:val="3858C1EE"/>
    <w:rsid w:val="385AAA27"/>
    <w:rsid w:val="385CE947"/>
    <w:rsid w:val="3861B6C1"/>
    <w:rsid w:val="38638BDB"/>
    <w:rsid w:val="38647291"/>
    <w:rsid w:val="38683C99"/>
    <w:rsid w:val="386881B3"/>
    <w:rsid w:val="3869ABDA"/>
    <w:rsid w:val="38804202"/>
    <w:rsid w:val="388DE88A"/>
    <w:rsid w:val="3892D5AD"/>
    <w:rsid w:val="38A66BA6"/>
    <w:rsid w:val="38B02B0D"/>
    <w:rsid w:val="38B1713A"/>
    <w:rsid w:val="38B6575C"/>
    <w:rsid w:val="38BE46B2"/>
    <w:rsid w:val="38C071C1"/>
    <w:rsid w:val="38C1B194"/>
    <w:rsid w:val="38C24719"/>
    <w:rsid w:val="38C8362D"/>
    <w:rsid w:val="38DEA4AE"/>
    <w:rsid w:val="38E0BBC4"/>
    <w:rsid w:val="38EA5CBE"/>
    <w:rsid w:val="38ECF092"/>
    <w:rsid w:val="38EE781A"/>
    <w:rsid w:val="38F56E82"/>
    <w:rsid w:val="38F9BC6C"/>
    <w:rsid w:val="390AD584"/>
    <w:rsid w:val="391306C3"/>
    <w:rsid w:val="391A827E"/>
    <w:rsid w:val="392997A1"/>
    <w:rsid w:val="393CAEE8"/>
    <w:rsid w:val="39427B5F"/>
    <w:rsid w:val="395EFBE6"/>
    <w:rsid w:val="39663CB1"/>
    <w:rsid w:val="3966725F"/>
    <w:rsid w:val="39724A5E"/>
    <w:rsid w:val="3975DF38"/>
    <w:rsid w:val="397B6CF6"/>
    <w:rsid w:val="3980E289"/>
    <w:rsid w:val="398E86E5"/>
    <w:rsid w:val="398EF50D"/>
    <w:rsid w:val="39A3ABB1"/>
    <w:rsid w:val="39AC5926"/>
    <w:rsid w:val="39ADAE8C"/>
    <w:rsid w:val="39B0D6A2"/>
    <w:rsid w:val="39B8EF20"/>
    <w:rsid w:val="39CA3396"/>
    <w:rsid w:val="39DB4FF2"/>
    <w:rsid w:val="39DD2D05"/>
    <w:rsid w:val="39E15B2D"/>
    <w:rsid w:val="39E40442"/>
    <w:rsid w:val="39F83F9F"/>
    <w:rsid w:val="39FB0AD2"/>
    <w:rsid w:val="3A024AC9"/>
    <w:rsid w:val="3A0B9EB0"/>
    <w:rsid w:val="3A1E5ADC"/>
    <w:rsid w:val="3A1E6A18"/>
    <w:rsid w:val="3A245BA2"/>
    <w:rsid w:val="3A2C580D"/>
    <w:rsid w:val="3A2F9306"/>
    <w:rsid w:val="3A38B7C5"/>
    <w:rsid w:val="3A5AA486"/>
    <w:rsid w:val="3A64EB48"/>
    <w:rsid w:val="3A689A08"/>
    <w:rsid w:val="3A752E61"/>
    <w:rsid w:val="3A75D3F6"/>
    <w:rsid w:val="3A7B2D7B"/>
    <w:rsid w:val="3A83C895"/>
    <w:rsid w:val="3A9D6637"/>
    <w:rsid w:val="3AA288A5"/>
    <w:rsid w:val="3AA92CCA"/>
    <w:rsid w:val="3AAA77AE"/>
    <w:rsid w:val="3AB5EF3D"/>
    <w:rsid w:val="3AC726D6"/>
    <w:rsid w:val="3ACDDC33"/>
    <w:rsid w:val="3ACF8DB7"/>
    <w:rsid w:val="3ACFDCD8"/>
    <w:rsid w:val="3AD04C56"/>
    <w:rsid w:val="3AD2BB60"/>
    <w:rsid w:val="3AE68D4A"/>
    <w:rsid w:val="3AEAFE59"/>
    <w:rsid w:val="3AFACC47"/>
    <w:rsid w:val="3B063F8B"/>
    <w:rsid w:val="3B0756F1"/>
    <w:rsid w:val="3B110A8C"/>
    <w:rsid w:val="3B110FF3"/>
    <w:rsid w:val="3B2506C8"/>
    <w:rsid w:val="3B36126F"/>
    <w:rsid w:val="3B3A976E"/>
    <w:rsid w:val="3B3AC7EE"/>
    <w:rsid w:val="3B47FE11"/>
    <w:rsid w:val="3B4D7149"/>
    <w:rsid w:val="3B58273D"/>
    <w:rsid w:val="3B585F0A"/>
    <w:rsid w:val="3B5AA745"/>
    <w:rsid w:val="3B64FD97"/>
    <w:rsid w:val="3B6DF86D"/>
    <w:rsid w:val="3B74C2F3"/>
    <w:rsid w:val="3B7F16CF"/>
    <w:rsid w:val="3B877D6F"/>
    <w:rsid w:val="3B8ACE93"/>
    <w:rsid w:val="3B8F5F7C"/>
    <w:rsid w:val="3B92815E"/>
    <w:rsid w:val="3B960643"/>
    <w:rsid w:val="3BB45634"/>
    <w:rsid w:val="3BB6837F"/>
    <w:rsid w:val="3BB88ACB"/>
    <w:rsid w:val="3BBCBDAF"/>
    <w:rsid w:val="3BC5B33E"/>
    <w:rsid w:val="3BDA9C5F"/>
    <w:rsid w:val="3BE366B6"/>
    <w:rsid w:val="3BE7A685"/>
    <w:rsid w:val="3C01AF4E"/>
    <w:rsid w:val="3C053D50"/>
    <w:rsid w:val="3C089078"/>
    <w:rsid w:val="3C0B97A6"/>
    <w:rsid w:val="3C0E88FC"/>
    <w:rsid w:val="3C107C1B"/>
    <w:rsid w:val="3C185C86"/>
    <w:rsid w:val="3C1F60B1"/>
    <w:rsid w:val="3C219D82"/>
    <w:rsid w:val="3C262641"/>
    <w:rsid w:val="3C2D131C"/>
    <w:rsid w:val="3C34B8C0"/>
    <w:rsid w:val="3C39466F"/>
    <w:rsid w:val="3C408042"/>
    <w:rsid w:val="3C442B11"/>
    <w:rsid w:val="3C460B64"/>
    <w:rsid w:val="3C500832"/>
    <w:rsid w:val="3C5407C7"/>
    <w:rsid w:val="3C56CA5C"/>
    <w:rsid w:val="3C56CDBB"/>
    <w:rsid w:val="3C6317DA"/>
    <w:rsid w:val="3C73654C"/>
    <w:rsid w:val="3C751E44"/>
    <w:rsid w:val="3C79653B"/>
    <w:rsid w:val="3C83E49F"/>
    <w:rsid w:val="3C8A9A7D"/>
    <w:rsid w:val="3C90945F"/>
    <w:rsid w:val="3C93B350"/>
    <w:rsid w:val="3C949E38"/>
    <w:rsid w:val="3C95A034"/>
    <w:rsid w:val="3C96C9BD"/>
    <w:rsid w:val="3CA6C803"/>
    <w:rsid w:val="3CA7480D"/>
    <w:rsid w:val="3CAF7609"/>
    <w:rsid w:val="3CB06410"/>
    <w:rsid w:val="3CC50888"/>
    <w:rsid w:val="3CDAE232"/>
    <w:rsid w:val="3CDB7CF0"/>
    <w:rsid w:val="3CE88A41"/>
    <w:rsid w:val="3CF677A6"/>
    <w:rsid w:val="3D01FB8A"/>
    <w:rsid w:val="3D164119"/>
    <w:rsid w:val="3D2DE25E"/>
    <w:rsid w:val="3D316DBD"/>
    <w:rsid w:val="3D34E204"/>
    <w:rsid w:val="3D3CE6D5"/>
    <w:rsid w:val="3D3EFCF3"/>
    <w:rsid w:val="3D401FE5"/>
    <w:rsid w:val="3D42234B"/>
    <w:rsid w:val="3D43BF9F"/>
    <w:rsid w:val="3D49D132"/>
    <w:rsid w:val="3D50834A"/>
    <w:rsid w:val="3D557140"/>
    <w:rsid w:val="3D58FB82"/>
    <w:rsid w:val="3D6E6686"/>
    <w:rsid w:val="3D6EAED7"/>
    <w:rsid w:val="3D797D0F"/>
    <w:rsid w:val="3D827F4E"/>
    <w:rsid w:val="3D882806"/>
    <w:rsid w:val="3D8B9828"/>
    <w:rsid w:val="3D9456A8"/>
    <w:rsid w:val="3D97A933"/>
    <w:rsid w:val="3D997855"/>
    <w:rsid w:val="3D9AE4E0"/>
    <w:rsid w:val="3DA34B93"/>
    <w:rsid w:val="3DA38350"/>
    <w:rsid w:val="3DB1E2E0"/>
    <w:rsid w:val="3DB55897"/>
    <w:rsid w:val="3DC767F9"/>
    <w:rsid w:val="3DC9CB5F"/>
    <w:rsid w:val="3DD05685"/>
    <w:rsid w:val="3E015392"/>
    <w:rsid w:val="3E028942"/>
    <w:rsid w:val="3E053642"/>
    <w:rsid w:val="3E078966"/>
    <w:rsid w:val="3E0C01DE"/>
    <w:rsid w:val="3E0CD866"/>
    <w:rsid w:val="3E15573A"/>
    <w:rsid w:val="3E166FE5"/>
    <w:rsid w:val="3E1A503E"/>
    <w:rsid w:val="3E232851"/>
    <w:rsid w:val="3E2534E5"/>
    <w:rsid w:val="3E270F13"/>
    <w:rsid w:val="3E2794BC"/>
    <w:rsid w:val="3E2794F6"/>
    <w:rsid w:val="3E2D30E8"/>
    <w:rsid w:val="3E30ECD8"/>
    <w:rsid w:val="3E326D09"/>
    <w:rsid w:val="3E3585EE"/>
    <w:rsid w:val="3E3B2EE1"/>
    <w:rsid w:val="3E3E7D33"/>
    <w:rsid w:val="3E4603FC"/>
    <w:rsid w:val="3E4D3879"/>
    <w:rsid w:val="3E536DF5"/>
    <w:rsid w:val="3E5F6B77"/>
    <w:rsid w:val="3E639E20"/>
    <w:rsid w:val="3E663D5E"/>
    <w:rsid w:val="3E69EC21"/>
    <w:rsid w:val="3E7337E6"/>
    <w:rsid w:val="3E74F676"/>
    <w:rsid w:val="3E7777C1"/>
    <w:rsid w:val="3E9104DA"/>
    <w:rsid w:val="3E924807"/>
    <w:rsid w:val="3E94256B"/>
    <w:rsid w:val="3E9E08B3"/>
    <w:rsid w:val="3EA04A7C"/>
    <w:rsid w:val="3EA458D3"/>
    <w:rsid w:val="3EAD2973"/>
    <w:rsid w:val="3EAF5F3E"/>
    <w:rsid w:val="3EB95ED7"/>
    <w:rsid w:val="3EB9DF79"/>
    <w:rsid w:val="3EBAE6EE"/>
    <w:rsid w:val="3EBD767A"/>
    <w:rsid w:val="3EC4B620"/>
    <w:rsid w:val="3ECA7A9A"/>
    <w:rsid w:val="3ECED54F"/>
    <w:rsid w:val="3EE38579"/>
    <w:rsid w:val="3EE5DA2B"/>
    <w:rsid w:val="3EEC1212"/>
    <w:rsid w:val="3EEEF2A7"/>
    <w:rsid w:val="3EEFBB21"/>
    <w:rsid w:val="3EF3F193"/>
    <w:rsid w:val="3EF76E3E"/>
    <w:rsid w:val="3EF8EE37"/>
    <w:rsid w:val="3F02D18F"/>
    <w:rsid w:val="3F16D402"/>
    <w:rsid w:val="3F1955C3"/>
    <w:rsid w:val="3F20EFF3"/>
    <w:rsid w:val="3F255224"/>
    <w:rsid w:val="3F26B8BB"/>
    <w:rsid w:val="3F30F9AD"/>
    <w:rsid w:val="3F32C41C"/>
    <w:rsid w:val="3F387141"/>
    <w:rsid w:val="3F3A470A"/>
    <w:rsid w:val="3F585957"/>
    <w:rsid w:val="3F606A21"/>
    <w:rsid w:val="3F619A61"/>
    <w:rsid w:val="3F620A81"/>
    <w:rsid w:val="3F650FAA"/>
    <w:rsid w:val="3F6A105A"/>
    <w:rsid w:val="3F8AD248"/>
    <w:rsid w:val="3F90614C"/>
    <w:rsid w:val="3F98BE62"/>
    <w:rsid w:val="3FA0DBD9"/>
    <w:rsid w:val="3FADBAAC"/>
    <w:rsid w:val="3FB191B3"/>
    <w:rsid w:val="3FBA0CA2"/>
    <w:rsid w:val="3FC0A6BD"/>
    <w:rsid w:val="3FC589BD"/>
    <w:rsid w:val="3FC86561"/>
    <w:rsid w:val="3FCDDA08"/>
    <w:rsid w:val="3FCFA6DB"/>
    <w:rsid w:val="3FCFC143"/>
    <w:rsid w:val="3FE5F1B8"/>
    <w:rsid w:val="3FFFF47C"/>
    <w:rsid w:val="40048DAC"/>
    <w:rsid w:val="400578B8"/>
    <w:rsid w:val="400DC3E2"/>
    <w:rsid w:val="4012ED35"/>
    <w:rsid w:val="401990FD"/>
    <w:rsid w:val="4021064B"/>
    <w:rsid w:val="40215BB8"/>
    <w:rsid w:val="40240D3E"/>
    <w:rsid w:val="40261A33"/>
    <w:rsid w:val="40327F38"/>
    <w:rsid w:val="403A1AA9"/>
    <w:rsid w:val="403ABA85"/>
    <w:rsid w:val="403AEFA5"/>
    <w:rsid w:val="403BC1C3"/>
    <w:rsid w:val="4041723C"/>
    <w:rsid w:val="40494F19"/>
    <w:rsid w:val="404F713A"/>
    <w:rsid w:val="40663630"/>
    <w:rsid w:val="4070FA70"/>
    <w:rsid w:val="40730CD2"/>
    <w:rsid w:val="407458FF"/>
    <w:rsid w:val="40829861"/>
    <w:rsid w:val="4090160C"/>
    <w:rsid w:val="40909C44"/>
    <w:rsid w:val="4092267C"/>
    <w:rsid w:val="40929FB9"/>
    <w:rsid w:val="40932344"/>
    <w:rsid w:val="409A2CDF"/>
    <w:rsid w:val="40B41F42"/>
    <w:rsid w:val="40B5149B"/>
    <w:rsid w:val="40B62294"/>
    <w:rsid w:val="40BB54B2"/>
    <w:rsid w:val="40C72699"/>
    <w:rsid w:val="40DBB072"/>
    <w:rsid w:val="40E15758"/>
    <w:rsid w:val="40E237E2"/>
    <w:rsid w:val="40E6388D"/>
    <w:rsid w:val="40FA5999"/>
    <w:rsid w:val="4107A02E"/>
    <w:rsid w:val="410BA8C1"/>
    <w:rsid w:val="410F8F44"/>
    <w:rsid w:val="4111CFA8"/>
    <w:rsid w:val="41126CA1"/>
    <w:rsid w:val="411564E2"/>
    <w:rsid w:val="4116DBAB"/>
    <w:rsid w:val="411970A0"/>
    <w:rsid w:val="411B85F2"/>
    <w:rsid w:val="411D779D"/>
    <w:rsid w:val="4123BAFC"/>
    <w:rsid w:val="4126E3B2"/>
    <w:rsid w:val="41276D16"/>
    <w:rsid w:val="412C7249"/>
    <w:rsid w:val="4130B878"/>
    <w:rsid w:val="413A5D0A"/>
    <w:rsid w:val="415D2FE4"/>
    <w:rsid w:val="4169A146"/>
    <w:rsid w:val="416F3504"/>
    <w:rsid w:val="41730E54"/>
    <w:rsid w:val="417BE440"/>
    <w:rsid w:val="41826E8C"/>
    <w:rsid w:val="4185ACB5"/>
    <w:rsid w:val="4191549B"/>
    <w:rsid w:val="419A59DE"/>
    <w:rsid w:val="41A5C1FE"/>
    <w:rsid w:val="41A99470"/>
    <w:rsid w:val="41AAFC0C"/>
    <w:rsid w:val="41B393D4"/>
    <w:rsid w:val="41B872B3"/>
    <w:rsid w:val="41BCB89C"/>
    <w:rsid w:val="41BD6473"/>
    <w:rsid w:val="41C3EFD1"/>
    <w:rsid w:val="41C79AEC"/>
    <w:rsid w:val="41C904AC"/>
    <w:rsid w:val="41D0F51B"/>
    <w:rsid w:val="41D7A43D"/>
    <w:rsid w:val="41D96DFD"/>
    <w:rsid w:val="41E06388"/>
    <w:rsid w:val="41E8100D"/>
    <w:rsid w:val="41EB8926"/>
    <w:rsid w:val="41EBB039"/>
    <w:rsid w:val="41F5901A"/>
    <w:rsid w:val="41F6056A"/>
    <w:rsid w:val="41FB5FD6"/>
    <w:rsid w:val="41FE7CA4"/>
    <w:rsid w:val="41FF6A9A"/>
    <w:rsid w:val="420C0239"/>
    <w:rsid w:val="420C845B"/>
    <w:rsid w:val="420D4B11"/>
    <w:rsid w:val="4212A135"/>
    <w:rsid w:val="42137EC1"/>
    <w:rsid w:val="421B34C6"/>
    <w:rsid w:val="422519BD"/>
    <w:rsid w:val="42569DB8"/>
    <w:rsid w:val="425883B6"/>
    <w:rsid w:val="425B1B5A"/>
    <w:rsid w:val="427D8563"/>
    <w:rsid w:val="427EA423"/>
    <w:rsid w:val="42848EC0"/>
    <w:rsid w:val="4288E037"/>
    <w:rsid w:val="428AE691"/>
    <w:rsid w:val="428E0CA6"/>
    <w:rsid w:val="42947778"/>
    <w:rsid w:val="429C6F5C"/>
    <w:rsid w:val="42A6511E"/>
    <w:rsid w:val="42B02402"/>
    <w:rsid w:val="42BE608A"/>
    <w:rsid w:val="42BFC0AD"/>
    <w:rsid w:val="42C3F4B0"/>
    <w:rsid w:val="42C7802D"/>
    <w:rsid w:val="42CD85EB"/>
    <w:rsid w:val="42CFD685"/>
    <w:rsid w:val="42DB087B"/>
    <w:rsid w:val="42DC9B8A"/>
    <w:rsid w:val="42E4D3DC"/>
    <w:rsid w:val="42E5DFCE"/>
    <w:rsid w:val="42EC42CA"/>
    <w:rsid w:val="42F0EF6E"/>
    <w:rsid w:val="42F906D9"/>
    <w:rsid w:val="42FD74C8"/>
    <w:rsid w:val="43057362"/>
    <w:rsid w:val="430745DD"/>
    <w:rsid w:val="431584F3"/>
    <w:rsid w:val="4317F053"/>
    <w:rsid w:val="431A95AC"/>
    <w:rsid w:val="432C4D17"/>
    <w:rsid w:val="43348431"/>
    <w:rsid w:val="43386966"/>
    <w:rsid w:val="4338EA4F"/>
    <w:rsid w:val="43390683"/>
    <w:rsid w:val="433A130F"/>
    <w:rsid w:val="433BC365"/>
    <w:rsid w:val="4344F2DD"/>
    <w:rsid w:val="4348B7F8"/>
    <w:rsid w:val="435B7ABE"/>
    <w:rsid w:val="435FD166"/>
    <w:rsid w:val="4362733B"/>
    <w:rsid w:val="43671430"/>
    <w:rsid w:val="4367CAE4"/>
    <w:rsid w:val="4370352A"/>
    <w:rsid w:val="43785DCB"/>
    <w:rsid w:val="4381B2ED"/>
    <w:rsid w:val="43835093"/>
    <w:rsid w:val="43835945"/>
    <w:rsid w:val="43852761"/>
    <w:rsid w:val="438DC593"/>
    <w:rsid w:val="438E0BB3"/>
    <w:rsid w:val="4395CF6E"/>
    <w:rsid w:val="43995899"/>
    <w:rsid w:val="439A8A97"/>
    <w:rsid w:val="43A6344F"/>
    <w:rsid w:val="43A8DCD5"/>
    <w:rsid w:val="43ADAA48"/>
    <w:rsid w:val="43B313F8"/>
    <w:rsid w:val="43BAB379"/>
    <w:rsid w:val="43C0644B"/>
    <w:rsid w:val="43D0776A"/>
    <w:rsid w:val="43D1CC9C"/>
    <w:rsid w:val="43DC1AA7"/>
    <w:rsid w:val="43EA8FCF"/>
    <w:rsid w:val="43ECB691"/>
    <w:rsid w:val="43ED4EF0"/>
    <w:rsid w:val="43F53B84"/>
    <w:rsid w:val="43FB5C30"/>
    <w:rsid w:val="440B4DBC"/>
    <w:rsid w:val="4412B808"/>
    <w:rsid w:val="4416E1EA"/>
    <w:rsid w:val="441AAFA4"/>
    <w:rsid w:val="4427D07B"/>
    <w:rsid w:val="442BB6F0"/>
    <w:rsid w:val="442CC7EB"/>
    <w:rsid w:val="4432922C"/>
    <w:rsid w:val="44385071"/>
    <w:rsid w:val="4443DA56"/>
    <w:rsid w:val="444637F0"/>
    <w:rsid w:val="445640A8"/>
    <w:rsid w:val="4457AB62"/>
    <w:rsid w:val="446B16F8"/>
    <w:rsid w:val="446BBB4B"/>
    <w:rsid w:val="446DEC10"/>
    <w:rsid w:val="4470C8D4"/>
    <w:rsid w:val="4471101D"/>
    <w:rsid w:val="44799DA6"/>
    <w:rsid w:val="447A4C9B"/>
    <w:rsid w:val="448065C8"/>
    <w:rsid w:val="44852E06"/>
    <w:rsid w:val="44897EED"/>
    <w:rsid w:val="449120B7"/>
    <w:rsid w:val="44AE33E3"/>
    <w:rsid w:val="44CCDE42"/>
    <w:rsid w:val="44E10804"/>
    <w:rsid w:val="44E1F54F"/>
    <w:rsid w:val="44E48479"/>
    <w:rsid w:val="44E76861"/>
    <w:rsid w:val="44F272D5"/>
    <w:rsid w:val="44FAB2A9"/>
    <w:rsid w:val="45095A52"/>
    <w:rsid w:val="450C5F32"/>
    <w:rsid w:val="450E507E"/>
    <w:rsid w:val="451F29A6"/>
    <w:rsid w:val="4521DA0B"/>
    <w:rsid w:val="45293B13"/>
    <w:rsid w:val="452AFB79"/>
    <w:rsid w:val="452D94F2"/>
    <w:rsid w:val="453F2381"/>
    <w:rsid w:val="45462317"/>
    <w:rsid w:val="45595828"/>
    <w:rsid w:val="455DBC0E"/>
    <w:rsid w:val="457806EE"/>
    <w:rsid w:val="457E4F7F"/>
    <w:rsid w:val="458081C1"/>
    <w:rsid w:val="4587F1CB"/>
    <w:rsid w:val="458A7C96"/>
    <w:rsid w:val="458AC8E5"/>
    <w:rsid w:val="4595EF62"/>
    <w:rsid w:val="45AE3E90"/>
    <w:rsid w:val="45B2CAC8"/>
    <w:rsid w:val="45BE898B"/>
    <w:rsid w:val="45BF2A22"/>
    <w:rsid w:val="45C00F34"/>
    <w:rsid w:val="45C335AF"/>
    <w:rsid w:val="45C784B3"/>
    <w:rsid w:val="45C80859"/>
    <w:rsid w:val="45CD1418"/>
    <w:rsid w:val="45D34344"/>
    <w:rsid w:val="45F48262"/>
    <w:rsid w:val="45F661C0"/>
    <w:rsid w:val="45F936CB"/>
    <w:rsid w:val="45FBEACA"/>
    <w:rsid w:val="46013D0A"/>
    <w:rsid w:val="4602B61F"/>
    <w:rsid w:val="46043B27"/>
    <w:rsid w:val="4604520E"/>
    <w:rsid w:val="460C5352"/>
    <w:rsid w:val="461061D5"/>
    <w:rsid w:val="4610F952"/>
    <w:rsid w:val="46110700"/>
    <w:rsid w:val="461682B8"/>
    <w:rsid w:val="461C2147"/>
    <w:rsid w:val="461F9A78"/>
    <w:rsid w:val="462EEC67"/>
    <w:rsid w:val="4642F4B9"/>
    <w:rsid w:val="4646F23A"/>
    <w:rsid w:val="46509D33"/>
    <w:rsid w:val="46579F43"/>
    <w:rsid w:val="46596549"/>
    <w:rsid w:val="465C06D7"/>
    <w:rsid w:val="465D00C1"/>
    <w:rsid w:val="4661D9CF"/>
    <w:rsid w:val="4661FE3F"/>
    <w:rsid w:val="4669A646"/>
    <w:rsid w:val="46765520"/>
    <w:rsid w:val="467825C3"/>
    <w:rsid w:val="467851E7"/>
    <w:rsid w:val="467AA70F"/>
    <w:rsid w:val="467BFD03"/>
    <w:rsid w:val="467EFA17"/>
    <w:rsid w:val="468A74E3"/>
    <w:rsid w:val="468C462E"/>
    <w:rsid w:val="46979DFC"/>
    <w:rsid w:val="469A01B6"/>
    <w:rsid w:val="469D1ED2"/>
    <w:rsid w:val="46A2F8C2"/>
    <w:rsid w:val="46A5957E"/>
    <w:rsid w:val="46AE7B4D"/>
    <w:rsid w:val="46B0E00F"/>
    <w:rsid w:val="46B6C8A2"/>
    <w:rsid w:val="46B93673"/>
    <w:rsid w:val="46CA86AE"/>
    <w:rsid w:val="46D0574B"/>
    <w:rsid w:val="46D7F532"/>
    <w:rsid w:val="46E301C3"/>
    <w:rsid w:val="46E72A8C"/>
    <w:rsid w:val="46E810B1"/>
    <w:rsid w:val="46EC984C"/>
    <w:rsid w:val="46FFA52A"/>
    <w:rsid w:val="47015828"/>
    <w:rsid w:val="4703CECC"/>
    <w:rsid w:val="4705D8BA"/>
    <w:rsid w:val="470FC37D"/>
    <w:rsid w:val="471E296B"/>
    <w:rsid w:val="47383F38"/>
    <w:rsid w:val="47428945"/>
    <w:rsid w:val="474BF7B2"/>
    <w:rsid w:val="474D6DC0"/>
    <w:rsid w:val="474ED150"/>
    <w:rsid w:val="475A1F4F"/>
    <w:rsid w:val="475BDF95"/>
    <w:rsid w:val="4762586F"/>
    <w:rsid w:val="4763A833"/>
    <w:rsid w:val="4767E89B"/>
    <w:rsid w:val="47687FEB"/>
    <w:rsid w:val="476A61B6"/>
    <w:rsid w:val="477749DC"/>
    <w:rsid w:val="477BAF4A"/>
    <w:rsid w:val="47853787"/>
    <w:rsid w:val="478937B0"/>
    <w:rsid w:val="478DA1D1"/>
    <w:rsid w:val="478E82B0"/>
    <w:rsid w:val="47AAA9E0"/>
    <w:rsid w:val="47AAFAF4"/>
    <w:rsid w:val="47ADDAEB"/>
    <w:rsid w:val="47AE10E9"/>
    <w:rsid w:val="47BB8A3D"/>
    <w:rsid w:val="47C09C19"/>
    <w:rsid w:val="47C49EB1"/>
    <w:rsid w:val="47DDB0EF"/>
    <w:rsid w:val="47EF3169"/>
    <w:rsid w:val="47F3DCFC"/>
    <w:rsid w:val="48015016"/>
    <w:rsid w:val="480264BD"/>
    <w:rsid w:val="480C55FA"/>
    <w:rsid w:val="480EDA5E"/>
    <w:rsid w:val="481A1A2C"/>
    <w:rsid w:val="482502E6"/>
    <w:rsid w:val="4829497E"/>
    <w:rsid w:val="483CC85C"/>
    <w:rsid w:val="48433255"/>
    <w:rsid w:val="48452BD2"/>
    <w:rsid w:val="484D8AA6"/>
    <w:rsid w:val="484FCF96"/>
    <w:rsid w:val="48557843"/>
    <w:rsid w:val="4858A834"/>
    <w:rsid w:val="48596BFE"/>
    <w:rsid w:val="4870F7F9"/>
    <w:rsid w:val="48832AA5"/>
    <w:rsid w:val="48914E10"/>
    <w:rsid w:val="489369B5"/>
    <w:rsid w:val="489815BE"/>
    <w:rsid w:val="48A01249"/>
    <w:rsid w:val="48A0239F"/>
    <w:rsid w:val="48A6D409"/>
    <w:rsid w:val="48AB0754"/>
    <w:rsid w:val="48B0B42C"/>
    <w:rsid w:val="48B3AE67"/>
    <w:rsid w:val="48B6BA58"/>
    <w:rsid w:val="48B6E42D"/>
    <w:rsid w:val="48BAAD7A"/>
    <w:rsid w:val="48BF2F97"/>
    <w:rsid w:val="48CA1884"/>
    <w:rsid w:val="48D2A2C2"/>
    <w:rsid w:val="48DD61EE"/>
    <w:rsid w:val="48F76765"/>
    <w:rsid w:val="490D265C"/>
    <w:rsid w:val="4915502C"/>
    <w:rsid w:val="49230091"/>
    <w:rsid w:val="4929E14D"/>
    <w:rsid w:val="4939AC93"/>
    <w:rsid w:val="4939E293"/>
    <w:rsid w:val="49454056"/>
    <w:rsid w:val="4948891A"/>
    <w:rsid w:val="49568E22"/>
    <w:rsid w:val="4956BA35"/>
    <w:rsid w:val="49588BB0"/>
    <w:rsid w:val="495A797F"/>
    <w:rsid w:val="496A9A64"/>
    <w:rsid w:val="496E2F01"/>
    <w:rsid w:val="49716B8B"/>
    <w:rsid w:val="4975D5B1"/>
    <w:rsid w:val="497782BC"/>
    <w:rsid w:val="49779A49"/>
    <w:rsid w:val="4988CD2E"/>
    <w:rsid w:val="4988D359"/>
    <w:rsid w:val="498AA2DE"/>
    <w:rsid w:val="498FAD5D"/>
    <w:rsid w:val="499DA332"/>
    <w:rsid w:val="49A95493"/>
    <w:rsid w:val="49B1C284"/>
    <w:rsid w:val="49BE3B68"/>
    <w:rsid w:val="49C0D52B"/>
    <w:rsid w:val="49CDDC3B"/>
    <w:rsid w:val="49CE544A"/>
    <w:rsid w:val="49CF2BEF"/>
    <w:rsid w:val="49D04AF0"/>
    <w:rsid w:val="49D0B38D"/>
    <w:rsid w:val="49D0D9EE"/>
    <w:rsid w:val="49D74F2F"/>
    <w:rsid w:val="49DDB33E"/>
    <w:rsid w:val="49EAAA8E"/>
    <w:rsid w:val="49ED6532"/>
    <w:rsid w:val="49EF9B63"/>
    <w:rsid w:val="49EFF16A"/>
    <w:rsid w:val="49F3B193"/>
    <w:rsid w:val="49F9ECE4"/>
    <w:rsid w:val="49FF997F"/>
    <w:rsid w:val="4A00F4E3"/>
    <w:rsid w:val="4A1A9F3D"/>
    <w:rsid w:val="4A33A7AC"/>
    <w:rsid w:val="4A3951CD"/>
    <w:rsid w:val="4A3C22E1"/>
    <w:rsid w:val="4A405EB7"/>
    <w:rsid w:val="4A4524F7"/>
    <w:rsid w:val="4A492C9F"/>
    <w:rsid w:val="4A49F395"/>
    <w:rsid w:val="4A528ABF"/>
    <w:rsid w:val="4A618529"/>
    <w:rsid w:val="4A66BCBD"/>
    <w:rsid w:val="4A6757C1"/>
    <w:rsid w:val="4A70B7A8"/>
    <w:rsid w:val="4A7BA2B7"/>
    <w:rsid w:val="4A7C8F70"/>
    <w:rsid w:val="4A865408"/>
    <w:rsid w:val="4A938057"/>
    <w:rsid w:val="4A93DC40"/>
    <w:rsid w:val="4A9D5C3A"/>
    <w:rsid w:val="4AA21AA6"/>
    <w:rsid w:val="4AAA8848"/>
    <w:rsid w:val="4AB92568"/>
    <w:rsid w:val="4AC2CDED"/>
    <w:rsid w:val="4AC67566"/>
    <w:rsid w:val="4AD8F61C"/>
    <w:rsid w:val="4AD8F9BC"/>
    <w:rsid w:val="4ADB2A1C"/>
    <w:rsid w:val="4ADDDE15"/>
    <w:rsid w:val="4AE24AA2"/>
    <w:rsid w:val="4AE3FC5D"/>
    <w:rsid w:val="4AE52BCA"/>
    <w:rsid w:val="4AE5B3A3"/>
    <w:rsid w:val="4AE78C23"/>
    <w:rsid w:val="4B01F5E1"/>
    <w:rsid w:val="4B024EEE"/>
    <w:rsid w:val="4B1540A5"/>
    <w:rsid w:val="4B2076C9"/>
    <w:rsid w:val="4B2475AE"/>
    <w:rsid w:val="4B292832"/>
    <w:rsid w:val="4B2FBC04"/>
    <w:rsid w:val="4B3236A5"/>
    <w:rsid w:val="4B3B4B1B"/>
    <w:rsid w:val="4B41BF46"/>
    <w:rsid w:val="4B47CF93"/>
    <w:rsid w:val="4B48FF2D"/>
    <w:rsid w:val="4B4CE2BC"/>
    <w:rsid w:val="4B4E9A81"/>
    <w:rsid w:val="4B5136D3"/>
    <w:rsid w:val="4B513A1F"/>
    <w:rsid w:val="4B51BAEE"/>
    <w:rsid w:val="4B5DE606"/>
    <w:rsid w:val="4B6185E4"/>
    <w:rsid w:val="4B69EF20"/>
    <w:rsid w:val="4B6BD661"/>
    <w:rsid w:val="4B6CAA49"/>
    <w:rsid w:val="4B6CF13D"/>
    <w:rsid w:val="4B70E9FA"/>
    <w:rsid w:val="4B875267"/>
    <w:rsid w:val="4B893593"/>
    <w:rsid w:val="4B8A5163"/>
    <w:rsid w:val="4B8AF445"/>
    <w:rsid w:val="4B8E5F35"/>
    <w:rsid w:val="4B962CDB"/>
    <w:rsid w:val="4B9AD924"/>
    <w:rsid w:val="4BB35ABF"/>
    <w:rsid w:val="4BB9A0F3"/>
    <w:rsid w:val="4BE350D4"/>
    <w:rsid w:val="4BE3B11D"/>
    <w:rsid w:val="4BEE2E83"/>
    <w:rsid w:val="4BF0D8AE"/>
    <w:rsid w:val="4BF2E274"/>
    <w:rsid w:val="4BF61B6C"/>
    <w:rsid w:val="4BFE5CC5"/>
    <w:rsid w:val="4C050826"/>
    <w:rsid w:val="4C190135"/>
    <w:rsid w:val="4C310277"/>
    <w:rsid w:val="4C363505"/>
    <w:rsid w:val="4C41A218"/>
    <w:rsid w:val="4C433855"/>
    <w:rsid w:val="4C472507"/>
    <w:rsid w:val="4C546A42"/>
    <w:rsid w:val="4C6921DF"/>
    <w:rsid w:val="4C706867"/>
    <w:rsid w:val="4C859BE9"/>
    <w:rsid w:val="4C87010F"/>
    <w:rsid w:val="4C884459"/>
    <w:rsid w:val="4C8B6704"/>
    <w:rsid w:val="4C8E2EE4"/>
    <w:rsid w:val="4C8F336C"/>
    <w:rsid w:val="4C917E22"/>
    <w:rsid w:val="4C9F19AD"/>
    <w:rsid w:val="4CA4EC3F"/>
    <w:rsid w:val="4CA524BB"/>
    <w:rsid w:val="4CA617C4"/>
    <w:rsid w:val="4CA85BC9"/>
    <w:rsid w:val="4CA87468"/>
    <w:rsid w:val="4CB75862"/>
    <w:rsid w:val="4CBFBBD7"/>
    <w:rsid w:val="4CC17BB6"/>
    <w:rsid w:val="4CC49621"/>
    <w:rsid w:val="4CD3F7A3"/>
    <w:rsid w:val="4CD50C75"/>
    <w:rsid w:val="4CD85F5A"/>
    <w:rsid w:val="4CE0983B"/>
    <w:rsid w:val="4CE83D1D"/>
    <w:rsid w:val="4CF1D0B7"/>
    <w:rsid w:val="4CF575BE"/>
    <w:rsid w:val="4CF5ADD3"/>
    <w:rsid w:val="4CF7B99A"/>
    <w:rsid w:val="4D0B9AAE"/>
    <w:rsid w:val="4D0C8E95"/>
    <w:rsid w:val="4D15A310"/>
    <w:rsid w:val="4D1966C9"/>
    <w:rsid w:val="4D1BD988"/>
    <w:rsid w:val="4D224B50"/>
    <w:rsid w:val="4D234E81"/>
    <w:rsid w:val="4D243A44"/>
    <w:rsid w:val="4D2A2480"/>
    <w:rsid w:val="4D2B058E"/>
    <w:rsid w:val="4D2DAA77"/>
    <w:rsid w:val="4D3030B8"/>
    <w:rsid w:val="4D3FB49F"/>
    <w:rsid w:val="4D4759A6"/>
    <w:rsid w:val="4D4ADA2C"/>
    <w:rsid w:val="4D53EFF8"/>
    <w:rsid w:val="4D55C3DB"/>
    <w:rsid w:val="4D5FD165"/>
    <w:rsid w:val="4D619BA5"/>
    <w:rsid w:val="4D66DD85"/>
    <w:rsid w:val="4D6AF64D"/>
    <w:rsid w:val="4D6AFD38"/>
    <w:rsid w:val="4D73D72D"/>
    <w:rsid w:val="4D7BF65C"/>
    <w:rsid w:val="4D7E2DD8"/>
    <w:rsid w:val="4D84E4C2"/>
    <w:rsid w:val="4D87EEAB"/>
    <w:rsid w:val="4D897112"/>
    <w:rsid w:val="4D8D63B2"/>
    <w:rsid w:val="4D964105"/>
    <w:rsid w:val="4D9A6FB7"/>
    <w:rsid w:val="4D9AC3D6"/>
    <w:rsid w:val="4DA5AA9E"/>
    <w:rsid w:val="4DAAA947"/>
    <w:rsid w:val="4DAB0EF8"/>
    <w:rsid w:val="4DAD8537"/>
    <w:rsid w:val="4DAECC0B"/>
    <w:rsid w:val="4DAFD940"/>
    <w:rsid w:val="4DB0C0DE"/>
    <w:rsid w:val="4DB292C4"/>
    <w:rsid w:val="4DB38CC8"/>
    <w:rsid w:val="4DC3D6E8"/>
    <w:rsid w:val="4DCACF72"/>
    <w:rsid w:val="4DD8CC2E"/>
    <w:rsid w:val="4DE68B60"/>
    <w:rsid w:val="4DEA5C77"/>
    <w:rsid w:val="4DF1FAEA"/>
    <w:rsid w:val="4DF9DB5E"/>
    <w:rsid w:val="4E03F29B"/>
    <w:rsid w:val="4E13040A"/>
    <w:rsid w:val="4E13964F"/>
    <w:rsid w:val="4E142C87"/>
    <w:rsid w:val="4E172CBA"/>
    <w:rsid w:val="4E19EB64"/>
    <w:rsid w:val="4E1F64E2"/>
    <w:rsid w:val="4E1FA3F5"/>
    <w:rsid w:val="4E298463"/>
    <w:rsid w:val="4E2A2B58"/>
    <w:rsid w:val="4E2B03CD"/>
    <w:rsid w:val="4E381701"/>
    <w:rsid w:val="4E3CB526"/>
    <w:rsid w:val="4E407391"/>
    <w:rsid w:val="4E4547F8"/>
    <w:rsid w:val="4E4671C4"/>
    <w:rsid w:val="4E4CD61E"/>
    <w:rsid w:val="4E523C6A"/>
    <w:rsid w:val="4E617A63"/>
    <w:rsid w:val="4E67171B"/>
    <w:rsid w:val="4E678799"/>
    <w:rsid w:val="4E6B31E4"/>
    <w:rsid w:val="4E6B73C3"/>
    <w:rsid w:val="4E798648"/>
    <w:rsid w:val="4E83E58A"/>
    <w:rsid w:val="4E983D79"/>
    <w:rsid w:val="4E993314"/>
    <w:rsid w:val="4E9D499C"/>
    <w:rsid w:val="4EA34F40"/>
    <w:rsid w:val="4EA8A66F"/>
    <w:rsid w:val="4EACE48A"/>
    <w:rsid w:val="4EAE111C"/>
    <w:rsid w:val="4EBFD4DB"/>
    <w:rsid w:val="4EC15721"/>
    <w:rsid w:val="4ECEFC79"/>
    <w:rsid w:val="4ED4D93E"/>
    <w:rsid w:val="4ED902AE"/>
    <w:rsid w:val="4EE680C6"/>
    <w:rsid w:val="4EEE1060"/>
    <w:rsid w:val="4F00E0A9"/>
    <w:rsid w:val="4F1C809C"/>
    <w:rsid w:val="4F27394C"/>
    <w:rsid w:val="4F287970"/>
    <w:rsid w:val="4F2EE28D"/>
    <w:rsid w:val="4F323071"/>
    <w:rsid w:val="4F352E9B"/>
    <w:rsid w:val="4F3BF879"/>
    <w:rsid w:val="4F5151DE"/>
    <w:rsid w:val="4F5188A5"/>
    <w:rsid w:val="4F555EEF"/>
    <w:rsid w:val="4F611B40"/>
    <w:rsid w:val="4F62155A"/>
    <w:rsid w:val="4F6B477C"/>
    <w:rsid w:val="4F6CD924"/>
    <w:rsid w:val="4F79BA4C"/>
    <w:rsid w:val="4F7EBF2D"/>
    <w:rsid w:val="4F823483"/>
    <w:rsid w:val="4F8243A6"/>
    <w:rsid w:val="4F86268C"/>
    <w:rsid w:val="4F86357C"/>
    <w:rsid w:val="4F893F14"/>
    <w:rsid w:val="4F93D74B"/>
    <w:rsid w:val="4F98FB69"/>
    <w:rsid w:val="4F9B4924"/>
    <w:rsid w:val="4FA3BE5B"/>
    <w:rsid w:val="4FA4D082"/>
    <w:rsid w:val="4FA9B9D9"/>
    <w:rsid w:val="4FAD1755"/>
    <w:rsid w:val="4FBC030A"/>
    <w:rsid w:val="4FBE6184"/>
    <w:rsid w:val="4FBEFF59"/>
    <w:rsid w:val="4FC0EFBE"/>
    <w:rsid w:val="4FE5BD14"/>
    <w:rsid w:val="4FE6442B"/>
    <w:rsid w:val="4FFBE8F4"/>
    <w:rsid w:val="5009D982"/>
    <w:rsid w:val="500B6FD3"/>
    <w:rsid w:val="500C3856"/>
    <w:rsid w:val="501D972A"/>
    <w:rsid w:val="501E606B"/>
    <w:rsid w:val="502B4E73"/>
    <w:rsid w:val="5036D757"/>
    <w:rsid w:val="50399282"/>
    <w:rsid w:val="50442159"/>
    <w:rsid w:val="504476D0"/>
    <w:rsid w:val="50495575"/>
    <w:rsid w:val="504AF521"/>
    <w:rsid w:val="505A5E96"/>
    <w:rsid w:val="505D42F7"/>
    <w:rsid w:val="505DB640"/>
    <w:rsid w:val="50624014"/>
    <w:rsid w:val="506EEE48"/>
    <w:rsid w:val="5073DCCA"/>
    <w:rsid w:val="5074B542"/>
    <w:rsid w:val="507F81D5"/>
    <w:rsid w:val="50849202"/>
    <w:rsid w:val="50850258"/>
    <w:rsid w:val="50930FF0"/>
    <w:rsid w:val="5096EAE3"/>
    <w:rsid w:val="509929CC"/>
    <w:rsid w:val="50A0152B"/>
    <w:rsid w:val="50ABBB5B"/>
    <w:rsid w:val="50B3F932"/>
    <w:rsid w:val="50B68CE0"/>
    <w:rsid w:val="50BC6970"/>
    <w:rsid w:val="50C709F2"/>
    <w:rsid w:val="50CBC8F0"/>
    <w:rsid w:val="50CDF59E"/>
    <w:rsid w:val="50CF506A"/>
    <w:rsid w:val="50D38563"/>
    <w:rsid w:val="50D3CBFE"/>
    <w:rsid w:val="50DBBF59"/>
    <w:rsid w:val="50DC06CC"/>
    <w:rsid w:val="50E14A3A"/>
    <w:rsid w:val="50E92BB7"/>
    <w:rsid w:val="50EFE05B"/>
    <w:rsid w:val="50F65BFF"/>
    <w:rsid w:val="50F676C0"/>
    <w:rsid w:val="50F780EF"/>
    <w:rsid w:val="50F7BD70"/>
    <w:rsid w:val="50FB5A6C"/>
    <w:rsid w:val="51063E59"/>
    <w:rsid w:val="51110FD8"/>
    <w:rsid w:val="5115055D"/>
    <w:rsid w:val="511B82B5"/>
    <w:rsid w:val="511F052E"/>
    <w:rsid w:val="511F4ECF"/>
    <w:rsid w:val="51249D19"/>
    <w:rsid w:val="51253163"/>
    <w:rsid w:val="512708CB"/>
    <w:rsid w:val="512D8CC6"/>
    <w:rsid w:val="513216E5"/>
    <w:rsid w:val="513AE6BA"/>
    <w:rsid w:val="514275B0"/>
    <w:rsid w:val="51481898"/>
    <w:rsid w:val="514ABA0B"/>
    <w:rsid w:val="514D4FAB"/>
    <w:rsid w:val="514F00FD"/>
    <w:rsid w:val="51537F39"/>
    <w:rsid w:val="5153D8F3"/>
    <w:rsid w:val="51558835"/>
    <w:rsid w:val="515B6A07"/>
    <w:rsid w:val="515D3248"/>
    <w:rsid w:val="516056E1"/>
    <w:rsid w:val="5166AB22"/>
    <w:rsid w:val="51691CAA"/>
    <w:rsid w:val="517032A3"/>
    <w:rsid w:val="517A7F6A"/>
    <w:rsid w:val="5187EC11"/>
    <w:rsid w:val="518A8D95"/>
    <w:rsid w:val="518EB09E"/>
    <w:rsid w:val="5198C0DD"/>
    <w:rsid w:val="519D0127"/>
    <w:rsid w:val="519EAEDF"/>
    <w:rsid w:val="51BA410E"/>
    <w:rsid w:val="51CD556E"/>
    <w:rsid w:val="51D6166F"/>
    <w:rsid w:val="51D99440"/>
    <w:rsid w:val="51DAB1EA"/>
    <w:rsid w:val="51E04731"/>
    <w:rsid w:val="51E224E1"/>
    <w:rsid w:val="51E44BE2"/>
    <w:rsid w:val="51E604C6"/>
    <w:rsid w:val="51E8ADD6"/>
    <w:rsid w:val="51EB4268"/>
    <w:rsid w:val="51ECF625"/>
    <w:rsid w:val="51F2CA3F"/>
    <w:rsid w:val="51F76076"/>
    <w:rsid w:val="51FF21FF"/>
    <w:rsid w:val="5207D7FD"/>
    <w:rsid w:val="521CD3F0"/>
    <w:rsid w:val="522D1766"/>
    <w:rsid w:val="52308F9A"/>
    <w:rsid w:val="5230A391"/>
    <w:rsid w:val="52424FD2"/>
    <w:rsid w:val="52477C9A"/>
    <w:rsid w:val="52478A52"/>
    <w:rsid w:val="524C5A5F"/>
    <w:rsid w:val="524D4BAD"/>
    <w:rsid w:val="52526BBD"/>
    <w:rsid w:val="52583B3C"/>
    <w:rsid w:val="525AD83C"/>
    <w:rsid w:val="5268D34E"/>
    <w:rsid w:val="5268D530"/>
    <w:rsid w:val="528484CD"/>
    <w:rsid w:val="52866FCB"/>
    <w:rsid w:val="5287B3DA"/>
    <w:rsid w:val="5294C053"/>
    <w:rsid w:val="529724C1"/>
    <w:rsid w:val="5299CCCF"/>
    <w:rsid w:val="52A57932"/>
    <w:rsid w:val="52B93D44"/>
    <w:rsid w:val="52C7667C"/>
    <w:rsid w:val="52C91BCE"/>
    <w:rsid w:val="52C9CB86"/>
    <w:rsid w:val="52D1D9E6"/>
    <w:rsid w:val="52D24FFF"/>
    <w:rsid w:val="52D2DE30"/>
    <w:rsid w:val="52E608F8"/>
    <w:rsid w:val="52EC4059"/>
    <w:rsid w:val="53007806"/>
    <w:rsid w:val="5306302E"/>
    <w:rsid w:val="53152823"/>
    <w:rsid w:val="53154B0A"/>
    <w:rsid w:val="53166D7B"/>
    <w:rsid w:val="531F0670"/>
    <w:rsid w:val="531FE97A"/>
    <w:rsid w:val="53257E3E"/>
    <w:rsid w:val="532F8B54"/>
    <w:rsid w:val="533A4E76"/>
    <w:rsid w:val="5341EAA8"/>
    <w:rsid w:val="53466C92"/>
    <w:rsid w:val="5346CE5B"/>
    <w:rsid w:val="5347D270"/>
    <w:rsid w:val="534CA7D2"/>
    <w:rsid w:val="53507ABD"/>
    <w:rsid w:val="5352E2DF"/>
    <w:rsid w:val="5356BBBF"/>
    <w:rsid w:val="535A800B"/>
    <w:rsid w:val="535F041A"/>
    <w:rsid w:val="53620A64"/>
    <w:rsid w:val="53689D8F"/>
    <w:rsid w:val="536CD983"/>
    <w:rsid w:val="536F8E0F"/>
    <w:rsid w:val="53756772"/>
    <w:rsid w:val="537AD54C"/>
    <w:rsid w:val="53865B81"/>
    <w:rsid w:val="5389C2E9"/>
    <w:rsid w:val="5392F0C1"/>
    <w:rsid w:val="5393A8B4"/>
    <w:rsid w:val="539FC008"/>
    <w:rsid w:val="53A1F542"/>
    <w:rsid w:val="53ABE05B"/>
    <w:rsid w:val="53AF151C"/>
    <w:rsid w:val="53C0B46F"/>
    <w:rsid w:val="53C2CA8C"/>
    <w:rsid w:val="53C7C510"/>
    <w:rsid w:val="53D1E8CB"/>
    <w:rsid w:val="53D89DFF"/>
    <w:rsid w:val="53DC2847"/>
    <w:rsid w:val="53EE4685"/>
    <w:rsid w:val="53F45B00"/>
    <w:rsid w:val="53FB32D0"/>
    <w:rsid w:val="53FE2820"/>
    <w:rsid w:val="540154F6"/>
    <w:rsid w:val="5403A998"/>
    <w:rsid w:val="5409795B"/>
    <w:rsid w:val="540B624D"/>
    <w:rsid w:val="5410BBE2"/>
    <w:rsid w:val="54162C25"/>
    <w:rsid w:val="54168C98"/>
    <w:rsid w:val="5416F705"/>
    <w:rsid w:val="541B00EC"/>
    <w:rsid w:val="54231D03"/>
    <w:rsid w:val="5429BB4B"/>
    <w:rsid w:val="542D3424"/>
    <w:rsid w:val="543A699D"/>
    <w:rsid w:val="543ECD08"/>
    <w:rsid w:val="544EFBEC"/>
    <w:rsid w:val="5451F16E"/>
    <w:rsid w:val="5452EC7D"/>
    <w:rsid w:val="545622FA"/>
    <w:rsid w:val="545F016E"/>
    <w:rsid w:val="54661C68"/>
    <w:rsid w:val="54662591"/>
    <w:rsid w:val="546A374B"/>
    <w:rsid w:val="5472842F"/>
    <w:rsid w:val="5481A5FD"/>
    <w:rsid w:val="5481B47F"/>
    <w:rsid w:val="548D13FE"/>
    <w:rsid w:val="54AE89BA"/>
    <w:rsid w:val="54B05BCB"/>
    <w:rsid w:val="54BB2C4F"/>
    <w:rsid w:val="54BB49D3"/>
    <w:rsid w:val="54BBA0FB"/>
    <w:rsid w:val="54CE453F"/>
    <w:rsid w:val="54D09409"/>
    <w:rsid w:val="54DD49B8"/>
    <w:rsid w:val="54EE9E7D"/>
    <w:rsid w:val="54F3F4C0"/>
    <w:rsid w:val="550B1BC5"/>
    <w:rsid w:val="550EB73C"/>
    <w:rsid w:val="55135927"/>
    <w:rsid w:val="551795AB"/>
    <w:rsid w:val="551C801D"/>
    <w:rsid w:val="551DE3F1"/>
    <w:rsid w:val="5520C0FC"/>
    <w:rsid w:val="55240D77"/>
    <w:rsid w:val="552C5304"/>
    <w:rsid w:val="5535C404"/>
    <w:rsid w:val="55370FD8"/>
    <w:rsid w:val="55380F25"/>
    <w:rsid w:val="554159A0"/>
    <w:rsid w:val="5543F33B"/>
    <w:rsid w:val="5552E710"/>
    <w:rsid w:val="55597295"/>
    <w:rsid w:val="555C62E8"/>
    <w:rsid w:val="556249E0"/>
    <w:rsid w:val="55668EF3"/>
    <w:rsid w:val="5567099C"/>
    <w:rsid w:val="55745743"/>
    <w:rsid w:val="5577F858"/>
    <w:rsid w:val="5579C29F"/>
    <w:rsid w:val="55818043"/>
    <w:rsid w:val="5587C721"/>
    <w:rsid w:val="558ECC3F"/>
    <w:rsid w:val="5592D3DB"/>
    <w:rsid w:val="559601E6"/>
    <w:rsid w:val="5598DB67"/>
    <w:rsid w:val="55AF234E"/>
    <w:rsid w:val="55B0803A"/>
    <w:rsid w:val="55B91350"/>
    <w:rsid w:val="55C31C76"/>
    <w:rsid w:val="55C41451"/>
    <w:rsid w:val="55C8E358"/>
    <w:rsid w:val="55DF14B3"/>
    <w:rsid w:val="55E9C449"/>
    <w:rsid w:val="55EDC1CF"/>
    <w:rsid w:val="55F3C02B"/>
    <w:rsid w:val="55F8E7ED"/>
    <w:rsid w:val="55FC369E"/>
    <w:rsid w:val="560A5A06"/>
    <w:rsid w:val="561779F5"/>
    <w:rsid w:val="5619F0D4"/>
    <w:rsid w:val="561A93BD"/>
    <w:rsid w:val="561B2BAA"/>
    <w:rsid w:val="5623B2C7"/>
    <w:rsid w:val="562C39CA"/>
    <w:rsid w:val="563F0FB7"/>
    <w:rsid w:val="56413834"/>
    <w:rsid w:val="56578D91"/>
    <w:rsid w:val="56617A1C"/>
    <w:rsid w:val="56655F1F"/>
    <w:rsid w:val="56673563"/>
    <w:rsid w:val="566E06C9"/>
    <w:rsid w:val="5670F70C"/>
    <w:rsid w:val="5673BE8D"/>
    <w:rsid w:val="567AFEB0"/>
    <w:rsid w:val="567F8C3D"/>
    <w:rsid w:val="5685473A"/>
    <w:rsid w:val="568E7EFF"/>
    <w:rsid w:val="5696E37A"/>
    <w:rsid w:val="56A3D898"/>
    <w:rsid w:val="56AAAA40"/>
    <w:rsid w:val="56B27EB3"/>
    <w:rsid w:val="56B8593B"/>
    <w:rsid w:val="56BA3ED1"/>
    <w:rsid w:val="56BE3B8F"/>
    <w:rsid w:val="56BEBBED"/>
    <w:rsid w:val="56C0BE69"/>
    <w:rsid w:val="56C4CC6F"/>
    <w:rsid w:val="56CA2CDC"/>
    <w:rsid w:val="56D3084E"/>
    <w:rsid w:val="56D51DE9"/>
    <w:rsid w:val="56E68FD2"/>
    <w:rsid w:val="56F38051"/>
    <w:rsid w:val="56F5BA21"/>
    <w:rsid w:val="56FA95A0"/>
    <w:rsid w:val="57037E49"/>
    <w:rsid w:val="57062C67"/>
    <w:rsid w:val="570DAB2E"/>
    <w:rsid w:val="571209BE"/>
    <w:rsid w:val="571AE55E"/>
    <w:rsid w:val="571FDFD6"/>
    <w:rsid w:val="57269095"/>
    <w:rsid w:val="572E59D9"/>
    <w:rsid w:val="576AAD54"/>
    <w:rsid w:val="576C3250"/>
    <w:rsid w:val="57739C0B"/>
    <w:rsid w:val="5775B30A"/>
    <w:rsid w:val="577C9947"/>
    <w:rsid w:val="57811321"/>
    <w:rsid w:val="57816902"/>
    <w:rsid w:val="57931DA3"/>
    <w:rsid w:val="579A15DB"/>
    <w:rsid w:val="57AF063D"/>
    <w:rsid w:val="57B87244"/>
    <w:rsid w:val="57BED712"/>
    <w:rsid w:val="57C1B96C"/>
    <w:rsid w:val="57C988E4"/>
    <w:rsid w:val="57CF3BBC"/>
    <w:rsid w:val="57D17315"/>
    <w:rsid w:val="57F749BC"/>
    <w:rsid w:val="58005842"/>
    <w:rsid w:val="580511CD"/>
    <w:rsid w:val="580B4C3B"/>
    <w:rsid w:val="581177EA"/>
    <w:rsid w:val="581E72E3"/>
    <w:rsid w:val="581F4ADD"/>
    <w:rsid w:val="5820D772"/>
    <w:rsid w:val="58291722"/>
    <w:rsid w:val="58319786"/>
    <w:rsid w:val="5831AAD5"/>
    <w:rsid w:val="58322835"/>
    <w:rsid w:val="58387A3B"/>
    <w:rsid w:val="583A9E73"/>
    <w:rsid w:val="583AC107"/>
    <w:rsid w:val="583CE430"/>
    <w:rsid w:val="584BAF1D"/>
    <w:rsid w:val="587552CE"/>
    <w:rsid w:val="5877F819"/>
    <w:rsid w:val="58784C94"/>
    <w:rsid w:val="58803268"/>
    <w:rsid w:val="58813099"/>
    <w:rsid w:val="588405C8"/>
    <w:rsid w:val="5885CE17"/>
    <w:rsid w:val="5887916C"/>
    <w:rsid w:val="588AB7BB"/>
    <w:rsid w:val="5891C434"/>
    <w:rsid w:val="58926EB5"/>
    <w:rsid w:val="58958C2E"/>
    <w:rsid w:val="589B38C4"/>
    <w:rsid w:val="589D8789"/>
    <w:rsid w:val="58A0CF2A"/>
    <w:rsid w:val="58A53051"/>
    <w:rsid w:val="58AA9A62"/>
    <w:rsid w:val="58AF8665"/>
    <w:rsid w:val="58B0167A"/>
    <w:rsid w:val="58BD7A88"/>
    <w:rsid w:val="58C1F024"/>
    <w:rsid w:val="58C3AB00"/>
    <w:rsid w:val="58CACC9C"/>
    <w:rsid w:val="58CC2F03"/>
    <w:rsid w:val="58CD1726"/>
    <w:rsid w:val="58CEBFBE"/>
    <w:rsid w:val="58D137C9"/>
    <w:rsid w:val="58D25B1C"/>
    <w:rsid w:val="58D66B64"/>
    <w:rsid w:val="58DEB044"/>
    <w:rsid w:val="58DF19DA"/>
    <w:rsid w:val="58E3EFAD"/>
    <w:rsid w:val="58E86E2E"/>
    <w:rsid w:val="58E98D1D"/>
    <w:rsid w:val="58EBF871"/>
    <w:rsid w:val="58F3C693"/>
    <w:rsid w:val="59155A65"/>
    <w:rsid w:val="596AA631"/>
    <w:rsid w:val="596AAE36"/>
    <w:rsid w:val="596F5A94"/>
    <w:rsid w:val="597376FD"/>
    <w:rsid w:val="597B7013"/>
    <w:rsid w:val="59843357"/>
    <w:rsid w:val="599B4EDA"/>
    <w:rsid w:val="599C23FA"/>
    <w:rsid w:val="599CAB41"/>
    <w:rsid w:val="59A474DF"/>
    <w:rsid w:val="59A68E1E"/>
    <w:rsid w:val="59B06E12"/>
    <w:rsid w:val="59B232FA"/>
    <w:rsid w:val="59BC2D2B"/>
    <w:rsid w:val="59C507EA"/>
    <w:rsid w:val="59CF8DB7"/>
    <w:rsid w:val="59D27337"/>
    <w:rsid w:val="59D8DD7B"/>
    <w:rsid w:val="59DA65F0"/>
    <w:rsid w:val="59E0DCFF"/>
    <w:rsid w:val="59F39935"/>
    <w:rsid w:val="59F8160D"/>
    <w:rsid w:val="5A0B7682"/>
    <w:rsid w:val="5A11FBD0"/>
    <w:rsid w:val="5A19FFF6"/>
    <w:rsid w:val="5A21F33E"/>
    <w:rsid w:val="5A2272F4"/>
    <w:rsid w:val="5A2A6478"/>
    <w:rsid w:val="5A331449"/>
    <w:rsid w:val="5A451FBB"/>
    <w:rsid w:val="5A552790"/>
    <w:rsid w:val="5A557FFF"/>
    <w:rsid w:val="5A5849ED"/>
    <w:rsid w:val="5A5FCE11"/>
    <w:rsid w:val="5A62801D"/>
    <w:rsid w:val="5A66DD9C"/>
    <w:rsid w:val="5A680BCF"/>
    <w:rsid w:val="5A69328C"/>
    <w:rsid w:val="5A695940"/>
    <w:rsid w:val="5A6F8920"/>
    <w:rsid w:val="5A712C28"/>
    <w:rsid w:val="5A843E8F"/>
    <w:rsid w:val="5A868809"/>
    <w:rsid w:val="5A8A6A09"/>
    <w:rsid w:val="5A98694A"/>
    <w:rsid w:val="5A997A1B"/>
    <w:rsid w:val="5A9B352B"/>
    <w:rsid w:val="5A9C9B60"/>
    <w:rsid w:val="5AA6A3CF"/>
    <w:rsid w:val="5AB346AE"/>
    <w:rsid w:val="5AB52FF4"/>
    <w:rsid w:val="5ABC2168"/>
    <w:rsid w:val="5AC0B783"/>
    <w:rsid w:val="5AC0FBAB"/>
    <w:rsid w:val="5AC2F3E6"/>
    <w:rsid w:val="5AC3EF4B"/>
    <w:rsid w:val="5AC74577"/>
    <w:rsid w:val="5ACD996A"/>
    <w:rsid w:val="5AD659F0"/>
    <w:rsid w:val="5AD70D0F"/>
    <w:rsid w:val="5AE4A5FB"/>
    <w:rsid w:val="5AE7C16C"/>
    <w:rsid w:val="5AE92EE4"/>
    <w:rsid w:val="5AF3AB25"/>
    <w:rsid w:val="5AF5E1CD"/>
    <w:rsid w:val="5AF72428"/>
    <w:rsid w:val="5AFA1223"/>
    <w:rsid w:val="5B00CD8D"/>
    <w:rsid w:val="5B07D874"/>
    <w:rsid w:val="5B081E9D"/>
    <w:rsid w:val="5B0F7655"/>
    <w:rsid w:val="5B2348C2"/>
    <w:rsid w:val="5B2B7225"/>
    <w:rsid w:val="5B37970B"/>
    <w:rsid w:val="5B3DD1FC"/>
    <w:rsid w:val="5B404985"/>
    <w:rsid w:val="5B44BB52"/>
    <w:rsid w:val="5B4C5113"/>
    <w:rsid w:val="5B4D3A69"/>
    <w:rsid w:val="5B5831B5"/>
    <w:rsid w:val="5B5C2619"/>
    <w:rsid w:val="5B605F6C"/>
    <w:rsid w:val="5B63A69E"/>
    <w:rsid w:val="5B68C64E"/>
    <w:rsid w:val="5B6BF3BE"/>
    <w:rsid w:val="5B6D23A0"/>
    <w:rsid w:val="5B7CAD60"/>
    <w:rsid w:val="5B80534D"/>
    <w:rsid w:val="5B84A55C"/>
    <w:rsid w:val="5B8B92ED"/>
    <w:rsid w:val="5B8E120A"/>
    <w:rsid w:val="5B8E4499"/>
    <w:rsid w:val="5B9170DC"/>
    <w:rsid w:val="5B96161B"/>
    <w:rsid w:val="5BAD27EF"/>
    <w:rsid w:val="5BAD3DAA"/>
    <w:rsid w:val="5BAEB5E6"/>
    <w:rsid w:val="5BB46813"/>
    <w:rsid w:val="5BC3D253"/>
    <w:rsid w:val="5BC5B323"/>
    <w:rsid w:val="5BC9F137"/>
    <w:rsid w:val="5BD00534"/>
    <w:rsid w:val="5BD6B128"/>
    <w:rsid w:val="5BE2DD7B"/>
    <w:rsid w:val="5BE461CE"/>
    <w:rsid w:val="5BF26731"/>
    <w:rsid w:val="5BF370C8"/>
    <w:rsid w:val="5BF42726"/>
    <w:rsid w:val="5BFC2E69"/>
    <w:rsid w:val="5BFEB14F"/>
    <w:rsid w:val="5C02F94F"/>
    <w:rsid w:val="5C04D3B1"/>
    <w:rsid w:val="5C13B1A3"/>
    <w:rsid w:val="5C174227"/>
    <w:rsid w:val="5C208072"/>
    <w:rsid w:val="5C216242"/>
    <w:rsid w:val="5C32A10F"/>
    <w:rsid w:val="5C35BE76"/>
    <w:rsid w:val="5C3BDB3D"/>
    <w:rsid w:val="5C3FFEA0"/>
    <w:rsid w:val="5C405261"/>
    <w:rsid w:val="5C5BB2E5"/>
    <w:rsid w:val="5C636189"/>
    <w:rsid w:val="5C683C5D"/>
    <w:rsid w:val="5C79E49F"/>
    <w:rsid w:val="5C7E6117"/>
    <w:rsid w:val="5C7EBB04"/>
    <w:rsid w:val="5C7F497B"/>
    <w:rsid w:val="5C87819E"/>
    <w:rsid w:val="5C9C0475"/>
    <w:rsid w:val="5C9CDFD0"/>
    <w:rsid w:val="5CABA829"/>
    <w:rsid w:val="5CB3F495"/>
    <w:rsid w:val="5CC40D4B"/>
    <w:rsid w:val="5CC7EF39"/>
    <w:rsid w:val="5CCD4966"/>
    <w:rsid w:val="5CCE741D"/>
    <w:rsid w:val="5CD258E2"/>
    <w:rsid w:val="5CD2CE1F"/>
    <w:rsid w:val="5CDFCD34"/>
    <w:rsid w:val="5CE3ABAB"/>
    <w:rsid w:val="5CE839F4"/>
    <w:rsid w:val="5CEEC0B7"/>
    <w:rsid w:val="5D008342"/>
    <w:rsid w:val="5D1C5387"/>
    <w:rsid w:val="5D2B9DD9"/>
    <w:rsid w:val="5D3A5B8E"/>
    <w:rsid w:val="5D3F47DA"/>
    <w:rsid w:val="5D42087A"/>
    <w:rsid w:val="5D445F6D"/>
    <w:rsid w:val="5D46BC94"/>
    <w:rsid w:val="5D5011DC"/>
    <w:rsid w:val="5D57A462"/>
    <w:rsid w:val="5D5A29D0"/>
    <w:rsid w:val="5D602131"/>
    <w:rsid w:val="5D62804B"/>
    <w:rsid w:val="5D676A9A"/>
    <w:rsid w:val="5D78BF8C"/>
    <w:rsid w:val="5D8D945B"/>
    <w:rsid w:val="5D8DF660"/>
    <w:rsid w:val="5D92CD1F"/>
    <w:rsid w:val="5D97E211"/>
    <w:rsid w:val="5DABD995"/>
    <w:rsid w:val="5DAC860A"/>
    <w:rsid w:val="5DB1F702"/>
    <w:rsid w:val="5DB8C2E5"/>
    <w:rsid w:val="5DBC3F9A"/>
    <w:rsid w:val="5DBF9397"/>
    <w:rsid w:val="5DCBFCD1"/>
    <w:rsid w:val="5DDB3204"/>
    <w:rsid w:val="5DDD03F8"/>
    <w:rsid w:val="5DDFAB57"/>
    <w:rsid w:val="5DE426B9"/>
    <w:rsid w:val="5DECBB57"/>
    <w:rsid w:val="5DF2E277"/>
    <w:rsid w:val="5DF471EC"/>
    <w:rsid w:val="5DFBC4DC"/>
    <w:rsid w:val="5E1121F4"/>
    <w:rsid w:val="5E136B0A"/>
    <w:rsid w:val="5E17ECAE"/>
    <w:rsid w:val="5E1965C9"/>
    <w:rsid w:val="5E1AE2E0"/>
    <w:rsid w:val="5E1BC3EE"/>
    <w:rsid w:val="5E201A52"/>
    <w:rsid w:val="5E2B3EFD"/>
    <w:rsid w:val="5E2D1C80"/>
    <w:rsid w:val="5E404C78"/>
    <w:rsid w:val="5E40DC13"/>
    <w:rsid w:val="5E471717"/>
    <w:rsid w:val="5E4A4194"/>
    <w:rsid w:val="5E51043F"/>
    <w:rsid w:val="5E519573"/>
    <w:rsid w:val="5E548E52"/>
    <w:rsid w:val="5E58B54C"/>
    <w:rsid w:val="5E598F97"/>
    <w:rsid w:val="5E5FDDAC"/>
    <w:rsid w:val="5E6F4713"/>
    <w:rsid w:val="5E759EDC"/>
    <w:rsid w:val="5E79AC1B"/>
    <w:rsid w:val="5E81A170"/>
    <w:rsid w:val="5E906F59"/>
    <w:rsid w:val="5E94805B"/>
    <w:rsid w:val="5E978CCB"/>
    <w:rsid w:val="5E9B25C5"/>
    <w:rsid w:val="5E9F8E26"/>
    <w:rsid w:val="5EB1809B"/>
    <w:rsid w:val="5EB1D2A3"/>
    <w:rsid w:val="5EB634B0"/>
    <w:rsid w:val="5ECB6FC2"/>
    <w:rsid w:val="5ED1AAF5"/>
    <w:rsid w:val="5ED3F5A8"/>
    <w:rsid w:val="5ED405C2"/>
    <w:rsid w:val="5EE70D88"/>
    <w:rsid w:val="5EF83696"/>
    <w:rsid w:val="5EFAB98B"/>
    <w:rsid w:val="5F027B2E"/>
    <w:rsid w:val="5F04AB54"/>
    <w:rsid w:val="5F07FB93"/>
    <w:rsid w:val="5F08DA80"/>
    <w:rsid w:val="5F09856F"/>
    <w:rsid w:val="5F0CA7A9"/>
    <w:rsid w:val="5F0E09BB"/>
    <w:rsid w:val="5F1162D8"/>
    <w:rsid w:val="5F18BACF"/>
    <w:rsid w:val="5F1BC22D"/>
    <w:rsid w:val="5F22ABDA"/>
    <w:rsid w:val="5F2A1AB8"/>
    <w:rsid w:val="5F2D97A6"/>
    <w:rsid w:val="5F31A70C"/>
    <w:rsid w:val="5F3688CF"/>
    <w:rsid w:val="5F3B7087"/>
    <w:rsid w:val="5F3D8C7D"/>
    <w:rsid w:val="5F482850"/>
    <w:rsid w:val="5F497748"/>
    <w:rsid w:val="5F499776"/>
    <w:rsid w:val="5F519E4F"/>
    <w:rsid w:val="5F5883DB"/>
    <w:rsid w:val="5F5CE683"/>
    <w:rsid w:val="5F67326C"/>
    <w:rsid w:val="5F682B39"/>
    <w:rsid w:val="5F729042"/>
    <w:rsid w:val="5F74BB05"/>
    <w:rsid w:val="5F80A12C"/>
    <w:rsid w:val="5F8C5F0E"/>
    <w:rsid w:val="5F954D0A"/>
    <w:rsid w:val="5F96AB1C"/>
    <w:rsid w:val="5F9701AF"/>
    <w:rsid w:val="5FC0FF01"/>
    <w:rsid w:val="5FC174E3"/>
    <w:rsid w:val="5FD9CC26"/>
    <w:rsid w:val="5FDC33FC"/>
    <w:rsid w:val="5FE14725"/>
    <w:rsid w:val="5FEACA6F"/>
    <w:rsid w:val="5FEBD3AF"/>
    <w:rsid w:val="5FFB27E8"/>
    <w:rsid w:val="5FFDD582"/>
    <w:rsid w:val="5FFEE0DF"/>
    <w:rsid w:val="600E0BEB"/>
    <w:rsid w:val="6016BA3C"/>
    <w:rsid w:val="601F8A19"/>
    <w:rsid w:val="6023F64A"/>
    <w:rsid w:val="602ABE87"/>
    <w:rsid w:val="6031C187"/>
    <w:rsid w:val="6032A2A6"/>
    <w:rsid w:val="6032E8D4"/>
    <w:rsid w:val="6034F071"/>
    <w:rsid w:val="603CA62D"/>
    <w:rsid w:val="603F1558"/>
    <w:rsid w:val="60434EB4"/>
    <w:rsid w:val="6045DF36"/>
    <w:rsid w:val="604E456A"/>
    <w:rsid w:val="6050D546"/>
    <w:rsid w:val="605CF05D"/>
    <w:rsid w:val="605DE4E6"/>
    <w:rsid w:val="606CBADA"/>
    <w:rsid w:val="60752BB5"/>
    <w:rsid w:val="6082B78C"/>
    <w:rsid w:val="60830075"/>
    <w:rsid w:val="60940ADC"/>
    <w:rsid w:val="60943B4C"/>
    <w:rsid w:val="60994073"/>
    <w:rsid w:val="60A36F8C"/>
    <w:rsid w:val="60AC8339"/>
    <w:rsid w:val="60AD124E"/>
    <w:rsid w:val="60B2D5BE"/>
    <w:rsid w:val="60B7928E"/>
    <w:rsid w:val="60B8D392"/>
    <w:rsid w:val="60C0A9C3"/>
    <w:rsid w:val="60D82E2D"/>
    <w:rsid w:val="60E42A76"/>
    <w:rsid w:val="60F401CE"/>
    <w:rsid w:val="60F4CBD3"/>
    <w:rsid w:val="60F90FE3"/>
    <w:rsid w:val="60F9960F"/>
    <w:rsid w:val="60FA0A62"/>
    <w:rsid w:val="610739DC"/>
    <w:rsid w:val="61145697"/>
    <w:rsid w:val="6114F98E"/>
    <w:rsid w:val="6118EFB0"/>
    <w:rsid w:val="61275A18"/>
    <w:rsid w:val="61317E5A"/>
    <w:rsid w:val="6139047F"/>
    <w:rsid w:val="613D6E37"/>
    <w:rsid w:val="6140876D"/>
    <w:rsid w:val="614705FA"/>
    <w:rsid w:val="614AA265"/>
    <w:rsid w:val="6162FFA3"/>
    <w:rsid w:val="61847532"/>
    <w:rsid w:val="619413A7"/>
    <w:rsid w:val="61988768"/>
    <w:rsid w:val="619E1F65"/>
    <w:rsid w:val="61A4FCAC"/>
    <w:rsid w:val="61A6D0FC"/>
    <w:rsid w:val="61A715A7"/>
    <w:rsid w:val="61A91B43"/>
    <w:rsid w:val="61B93ABE"/>
    <w:rsid w:val="61BA325A"/>
    <w:rsid w:val="61BD3429"/>
    <w:rsid w:val="61CA974E"/>
    <w:rsid w:val="61CCF8B6"/>
    <w:rsid w:val="61D0E22E"/>
    <w:rsid w:val="61E2C00B"/>
    <w:rsid w:val="61E507C6"/>
    <w:rsid w:val="61E50E66"/>
    <w:rsid w:val="61E53024"/>
    <w:rsid w:val="61E85797"/>
    <w:rsid w:val="61F2E8C0"/>
    <w:rsid w:val="61F54FCB"/>
    <w:rsid w:val="61F5DE6C"/>
    <w:rsid w:val="61FBC3DD"/>
    <w:rsid w:val="62037766"/>
    <w:rsid w:val="6212C45D"/>
    <w:rsid w:val="621821DA"/>
    <w:rsid w:val="621AF350"/>
    <w:rsid w:val="622262E2"/>
    <w:rsid w:val="622C3F62"/>
    <w:rsid w:val="622E9ACD"/>
    <w:rsid w:val="6234D026"/>
    <w:rsid w:val="62358E60"/>
    <w:rsid w:val="6235A345"/>
    <w:rsid w:val="623707CD"/>
    <w:rsid w:val="623B1D0B"/>
    <w:rsid w:val="623D9EFB"/>
    <w:rsid w:val="623E7FCF"/>
    <w:rsid w:val="62418A34"/>
    <w:rsid w:val="6242F872"/>
    <w:rsid w:val="6251434E"/>
    <w:rsid w:val="625362EF"/>
    <w:rsid w:val="6259ED94"/>
    <w:rsid w:val="625E7E01"/>
    <w:rsid w:val="6272518F"/>
    <w:rsid w:val="627472DF"/>
    <w:rsid w:val="6275F126"/>
    <w:rsid w:val="627E37CB"/>
    <w:rsid w:val="6287F0CD"/>
    <w:rsid w:val="6292539C"/>
    <w:rsid w:val="6299EA78"/>
    <w:rsid w:val="629D756D"/>
    <w:rsid w:val="62A579BF"/>
    <w:rsid w:val="62AF8689"/>
    <w:rsid w:val="62B27BFC"/>
    <w:rsid w:val="62BE862A"/>
    <w:rsid w:val="62BF34B0"/>
    <w:rsid w:val="62C21C83"/>
    <w:rsid w:val="62CBD645"/>
    <w:rsid w:val="62D15C52"/>
    <w:rsid w:val="62D7D665"/>
    <w:rsid w:val="62DCDF73"/>
    <w:rsid w:val="62EB412B"/>
    <w:rsid w:val="62EFD46F"/>
    <w:rsid w:val="62F400F4"/>
    <w:rsid w:val="62F5F3D2"/>
    <w:rsid w:val="62F5F80A"/>
    <w:rsid w:val="62FC2233"/>
    <w:rsid w:val="62FF649D"/>
    <w:rsid w:val="6302ACC5"/>
    <w:rsid w:val="631150CC"/>
    <w:rsid w:val="63243625"/>
    <w:rsid w:val="63275225"/>
    <w:rsid w:val="63292041"/>
    <w:rsid w:val="633806B0"/>
    <w:rsid w:val="63502E5C"/>
    <w:rsid w:val="6351D2D9"/>
    <w:rsid w:val="6355F995"/>
    <w:rsid w:val="6358BDF2"/>
    <w:rsid w:val="635F68FE"/>
    <w:rsid w:val="63603BA2"/>
    <w:rsid w:val="636131AB"/>
    <w:rsid w:val="63675512"/>
    <w:rsid w:val="6368DA73"/>
    <w:rsid w:val="636A9FB3"/>
    <w:rsid w:val="6372CB4B"/>
    <w:rsid w:val="63797E48"/>
    <w:rsid w:val="637A4C60"/>
    <w:rsid w:val="63810F37"/>
    <w:rsid w:val="638C6C75"/>
    <w:rsid w:val="63912F14"/>
    <w:rsid w:val="63959CB0"/>
    <w:rsid w:val="639BEE36"/>
    <w:rsid w:val="63A21DB8"/>
    <w:rsid w:val="63A3BCB1"/>
    <w:rsid w:val="63A7E399"/>
    <w:rsid w:val="63AA38C5"/>
    <w:rsid w:val="63B34E9B"/>
    <w:rsid w:val="63BE96B5"/>
    <w:rsid w:val="63CF82F0"/>
    <w:rsid w:val="63D26F33"/>
    <w:rsid w:val="63DA2C30"/>
    <w:rsid w:val="63DA69BA"/>
    <w:rsid w:val="63E4A9FB"/>
    <w:rsid w:val="63EF3350"/>
    <w:rsid w:val="63F3F3E0"/>
    <w:rsid w:val="63FAC9A4"/>
    <w:rsid w:val="64071FEB"/>
    <w:rsid w:val="640B34EE"/>
    <w:rsid w:val="640E6F4C"/>
    <w:rsid w:val="64103B87"/>
    <w:rsid w:val="64115585"/>
    <w:rsid w:val="64120852"/>
    <w:rsid w:val="64177E4F"/>
    <w:rsid w:val="6419FBB9"/>
    <w:rsid w:val="641A256A"/>
    <w:rsid w:val="642F2F7F"/>
    <w:rsid w:val="643D7A2D"/>
    <w:rsid w:val="64437BAF"/>
    <w:rsid w:val="644487FE"/>
    <w:rsid w:val="6448EF9A"/>
    <w:rsid w:val="645851FF"/>
    <w:rsid w:val="646FF5EE"/>
    <w:rsid w:val="6470DE1E"/>
    <w:rsid w:val="647AE320"/>
    <w:rsid w:val="647E1724"/>
    <w:rsid w:val="64824B34"/>
    <w:rsid w:val="6484A594"/>
    <w:rsid w:val="648934D1"/>
    <w:rsid w:val="648BDFD8"/>
    <w:rsid w:val="6493F298"/>
    <w:rsid w:val="64988702"/>
    <w:rsid w:val="6498EC28"/>
    <w:rsid w:val="64B54651"/>
    <w:rsid w:val="64BBDEC9"/>
    <w:rsid w:val="64BFB4ED"/>
    <w:rsid w:val="64D0755E"/>
    <w:rsid w:val="64D57E58"/>
    <w:rsid w:val="64D837FF"/>
    <w:rsid w:val="64E6C69B"/>
    <w:rsid w:val="64F5A159"/>
    <w:rsid w:val="64F65410"/>
    <w:rsid w:val="6504AA79"/>
    <w:rsid w:val="65074212"/>
    <w:rsid w:val="651E9D84"/>
    <w:rsid w:val="65283CD6"/>
    <w:rsid w:val="652FFBDA"/>
    <w:rsid w:val="653C6E69"/>
    <w:rsid w:val="654C2495"/>
    <w:rsid w:val="6553DF6E"/>
    <w:rsid w:val="6559140C"/>
    <w:rsid w:val="655A4493"/>
    <w:rsid w:val="655EF8FF"/>
    <w:rsid w:val="656153E7"/>
    <w:rsid w:val="65707642"/>
    <w:rsid w:val="6571C893"/>
    <w:rsid w:val="6578D9AD"/>
    <w:rsid w:val="657AA9C1"/>
    <w:rsid w:val="657AD1B9"/>
    <w:rsid w:val="658A2B3C"/>
    <w:rsid w:val="659B4831"/>
    <w:rsid w:val="65A98351"/>
    <w:rsid w:val="65AB24D4"/>
    <w:rsid w:val="65B0B130"/>
    <w:rsid w:val="65BBA65E"/>
    <w:rsid w:val="65C8896C"/>
    <w:rsid w:val="65CAE613"/>
    <w:rsid w:val="65D47DF0"/>
    <w:rsid w:val="65D9DDEA"/>
    <w:rsid w:val="65F273BE"/>
    <w:rsid w:val="66012854"/>
    <w:rsid w:val="6603247E"/>
    <w:rsid w:val="6622B256"/>
    <w:rsid w:val="66267C74"/>
    <w:rsid w:val="6637D627"/>
    <w:rsid w:val="663DB774"/>
    <w:rsid w:val="663E44DA"/>
    <w:rsid w:val="663ED859"/>
    <w:rsid w:val="663FFD6A"/>
    <w:rsid w:val="66465E92"/>
    <w:rsid w:val="665116B2"/>
    <w:rsid w:val="665BC878"/>
    <w:rsid w:val="66620D81"/>
    <w:rsid w:val="6665BC15"/>
    <w:rsid w:val="668371A3"/>
    <w:rsid w:val="668D96C5"/>
    <w:rsid w:val="6693A72B"/>
    <w:rsid w:val="66952E7F"/>
    <w:rsid w:val="66A87141"/>
    <w:rsid w:val="66A8AF26"/>
    <w:rsid w:val="66C66F1D"/>
    <w:rsid w:val="66CE7380"/>
    <w:rsid w:val="66E74BB7"/>
    <w:rsid w:val="66E86457"/>
    <w:rsid w:val="66EB3ABE"/>
    <w:rsid w:val="66F4855D"/>
    <w:rsid w:val="66FE0B38"/>
    <w:rsid w:val="67034C60"/>
    <w:rsid w:val="67095DD9"/>
    <w:rsid w:val="670CA24C"/>
    <w:rsid w:val="67105ED7"/>
    <w:rsid w:val="6714992C"/>
    <w:rsid w:val="6718DA91"/>
    <w:rsid w:val="671AAAE5"/>
    <w:rsid w:val="67249194"/>
    <w:rsid w:val="672C8B93"/>
    <w:rsid w:val="6735D2DB"/>
    <w:rsid w:val="67363A7C"/>
    <w:rsid w:val="673A6D90"/>
    <w:rsid w:val="673DBCF9"/>
    <w:rsid w:val="673FFC6F"/>
    <w:rsid w:val="67419E4E"/>
    <w:rsid w:val="674A4CF9"/>
    <w:rsid w:val="674D9E7B"/>
    <w:rsid w:val="67538323"/>
    <w:rsid w:val="6756137E"/>
    <w:rsid w:val="675C7BF4"/>
    <w:rsid w:val="675EB9DE"/>
    <w:rsid w:val="6766605F"/>
    <w:rsid w:val="67694265"/>
    <w:rsid w:val="676B9849"/>
    <w:rsid w:val="6790B243"/>
    <w:rsid w:val="67919355"/>
    <w:rsid w:val="6791EF85"/>
    <w:rsid w:val="6799BC8E"/>
    <w:rsid w:val="67A5EDFE"/>
    <w:rsid w:val="67B923FA"/>
    <w:rsid w:val="67C37F9F"/>
    <w:rsid w:val="67CC64A4"/>
    <w:rsid w:val="67CFA45B"/>
    <w:rsid w:val="67D1226D"/>
    <w:rsid w:val="67DAAFCB"/>
    <w:rsid w:val="67E84898"/>
    <w:rsid w:val="67EFF763"/>
    <w:rsid w:val="67F20355"/>
    <w:rsid w:val="67FD0CE6"/>
    <w:rsid w:val="6806A9FD"/>
    <w:rsid w:val="6807C44F"/>
    <w:rsid w:val="6819C16B"/>
    <w:rsid w:val="682807AB"/>
    <w:rsid w:val="682857E6"/>
    <w:rsid w:val="68394E26"/>
    <w:rsid w:val="683DA7DE"/>
    <w:rsid w:val="68415201"/>
    <w:rsid w:val="684FE3A7"/>
    <w:rsid w:val="685B5261"/>
    <w:rsid w:val="68660220"/>
    <w:rsid w:val="6867E029"/>
    <w:rsid w:val="6869E6EA"/>
    <w:rsid w:val="686A4EB8"/>
    <w:rsid w:val="68732381"/>
    <w:rsid w:val="6877FE57"/>
    <w:rsid w:val="687BBC87"/>
    <w:rsid w:val="68846602"/>
    <w:rsid w:val="688A335E"/>
    <w:rsid w:val="68915ED5"/>
    <w:rsid w:val="6891AC2E"/>
    <w:rsid w:val="6895ABA9"/>
    <w:rsid w:val="68994D8A"/>
    <w:rsid w:val="689BF0D7"/>
    <w:rsid w:val="689F1CC1"/>
    <w:rsid w:val="68A0BFCB"/>
    <w:rsid w:val="68A3797B"/>
    <w:rsid w:val="68AED9ED"/>
    <w:rsid w:val="68B63CA9"/>
    <w:rsid w:val="68BB72C7"/>
    <w:rsid w:val="68C6A09B"/>
    <w:rsid w:val="68D11A56"/>
    <w:rsid w:val="68E00023"/>
    <w:rsid w:val="68F67B33"/>
    <w:rsid w:val="68FC3157"/>
    <w:rsid w:val="691B81A2"/>
    <w:rsid w:val="691CC9E1"/>
    <w:rsid w:val="692DE7BA"/>
    <w:rsid w:val="6933CF47"/>
    <w:rsid w:val="6934CBF5"/>
    <w:rsid w:val="693529DB"/>
    <w:rsid w:val="694CBCB9"/>
    <w:rsid w:val="694E6D2D"/>
    <w:rsid w:val="69528240"/>
    <w:rsid w:val="695306CB"/>
    <w:rsid w:val="69699AB1"/>
    <w:rsid w:val="696B74BC"/>
    <w:rsid w:val="6988F363"/>
    <w:rsid w:val="69944364"/>
    <w:rsid w:val="69967693"/>
    <w:rsid w:val="69A5C954"/>
    <w:rsid w:val="69AB48D7"/>
    <w:rsid w:val="69ABD742"/>
    <w:rsid w:val="69ABE385"/>
    <w:rsid w:val="69BFB291"/>
    <w:rsid w:val="69D99EB1"/>
    <w:rsid w:val="69DA4CBC"/>
    <w:rsid w:val="69DD52E6"/>
    <w:rsid w:val="69E16A06"/>
    <w:rsid w:val="69E1BC4E"/>
    <w:rsid w:val="69E2CD89"/>
    <w:rsid w:val="69EF7842"/>
    <w:rsid w:val="69F64543"/>
    <w:rsid w:val="69F722C2"/>
    <w:rsid w:val="6A0C7340"/>
    <w:rsid w:val="6A161CC5"/>
    <w:rsid w:val="6A224BC0"/>
    <w:rsid w:val="6A28F4C4"/>
    <w:rsid w:val="6A30DA20"/>
    <w:rsid w:val="6A4AA015"/>
    <w:rsid w:val="6A52F7E6"/>
    <w:rsid w:val="6A6149FA"/>
    <w:rsid w:val="6A69CE91"/>
    <w:rsid w:val="6A80B8AC"/>
    <w:rsid w:val="6A8610B4"/>
    <w:rsid w:val="6A8C69DF"/>
    <w:rsid w:val="6A8F07A3"/>
    <w:rsid w:val="6A8F1381"/>
    <w:rsid w:val="6A976E26"/>
    <w:rsid w:val="6AA20416"/>
    <w:rsid w:val="6AA97654"/>
    <w:rsid w:val="6AAEF618"/>
    <w:rsid w:val="6AB68542"/>
    <w:rsid w:val="6AB70E1F"/>
    <w:rsid w:val="6ACD47DF"/>
    <w:rsid w:val="6ACE8D64"/>
    <w:rsid w:val="6AD44209"/>
    <w:rsid w:val="6ADDE01F"/>
    <w:rsid w:val="6AE139CD"/>
    <w:rsid w:val="6AE744E9"/>
    <w:rsid w:val="6AED2895"/>
    <w:rsid w:val="6AED6F77"/>
    <w:rsid w:val="6AF9E0BA"/>
    <w:rsid w:val="6AFA9781"/>
    <w:rsid w:val="6AFC468C"/>
    <w:rsid w:val="6AFFB009"/>
    <w:rsid w:val="6B129034"/>
    <w:rsid w:val="6B1479BB"/>
    <w:rsid w:val="6B172C71"/>
    <w:rsid w:val="6B176214"/>
    <w:rsid w:val="6B188295"/>
    <w:rsid w:val="6B1AA64B"/>
    <w:rsid w:val="6B24EDCE"/>
    <w:rsid w:val="6B2D58AE"/>
    <w:rsid w:val="6B2E147C"/>
    <w:rsid w:val="6B2E4CF0"/>
    <w:rsid w:val="6B3F73F4"/>
    <w:rsid w:val="6B4877DE"/>
    <w:rsid w:val="6B59253E"/>
    <w:rsid w:val="6B65BABC"/>
    <w:rsid w:val="6B661D6A"/>
    <w:rsid w:val="6B6CAAEA"/>
    <w:rsid w:val="6B6DDD3C"/>
    <w:rsid w:val="6B8265AA"/>
    <w:rsid w:val="6B87A0F2"/>
    <w:rsid w:val="6B881EEE"/>
    <w:rsid w:val="6B8C126A"/>
    <w:rsid w:val="6B8DB4C8"/>
    <w:rsid w:val="6B8F04EF"/>
    <w:rsid w:val="6B968E51"/>
    <w:rsid w:val="6B992CF9"/>
    <w:rsid w:val="6B9A2DCC"/>
    <w:rsid w:val="6BA8A36B"/>
    <w:rsid w:val="6BC062DF"/>
    <w:rsid w:val="6BC72C8F"/>
    <w:rsid w:val="6BD30767"/>
    <w:rsid w:val="6BD63AD5"/>
    <w:rsid w:val="6BF31389"/>
    <w:rsid w:val="6BF478AE"/>
    <w:rsid w:val="6C03F0BA"/>
    <w:rsid w:val="6C0943FD"/>
    <w:rsid w:val="6C0B975F"/>
    <w:rsid w:val="6C13F0DD"/>
    <w:rsid w:val="6C22AD9B"/>
    <w:rsid w:val="6C2626FD"/>
    <w:rsid w:val="6C3B59D1"/>
    <w:rsid w:val="6C3B8F2F"/>
    <w:rsid w:val="6C3C4470"/>
    <w:rsid w:val="6C46AEC4"/>
    <w:rsid w:val="6C524AFB"/>
    <w:rsid w:val="6C56561B"/>
    <w:rsid w:val="6C5891F9"/>
    <w:rsid w:val="6C5AA2BE"/>
    <w:rsid w:val="6C5B49D0"/>
    <w:rsid w:val="6C5C9477"/>
    <w:rsid w:val="6C646F8C"/>
    <w:rsid w:val="6C64F066"/>
    <w:rsid w:val="6C672A92"/>
    <w:rsid w:val="6C6B6E75"/>
    <w:rsid w:val="6C70C8B4"/>
    <w:rsid w:val="6C74EE24"/>
    <w:rsid w:val="6C81455E"/>
    <w:rsid w:val="6C949E4E"/>
    <w:rsid w:val="6C9CB62D"/>
    <w:rsid w:val="6CAFFE02"/>
    <w:rsid w:val="6CB4EC41"/>
    <w:rsid w:val="6CD5A382"/>
    <w:rsid w:val="6CD97F98"/>
    <w:rsid w:val="6CE0CD08"/>
    <w:rsid w:val="6CE7841E"/>
    <w:rsid w:val="6CE80728"/>
    <w:rsid w:val="6CE81C24"/>
    <w:rsid w:val="6CEECC23"/>
    <w:rsid w:val="6CF78AEE"/>
    <w:rsid w:val="6CFABB38"/>
    <w:rsid w:val="6D01B507"/>
    <w:rsid w:val="6D020262"/>
    <w:rsid w:val="6D064B44"/>
    <w:rsid w:val="6D1795A5"/>
    <w:rsid w:val="6D1C63CF"/>
    <w:rsid w:val="6D38EEE5"/>
    <w:rsid w:val="6D397E29"/>
    <w:rsid w:val="6D3AAED0"/>
    <w:rsid w:val="6D3BF5C7"/>
    <w:rsid w:val="6D3E5C2F"/>
    <w:rsid w:val="6D40D36D"/>
    <w:rsid w:val="6D4C0B78"/>
    <w:rsid w:val="6D55CE91"/>
    <w:rsid w:val="6D7D03AA"/>
    <w:rsid w:val="6D81200C"/>
    <w:rsid w:val="6D844788"/>
    <w:rsid w:val="6D9502B3"/>
    <w:rsid w:val="6D9777B8"/>
    <w:rsid w:val="6D977EC5"/>
    <w:rsid w:val="6D994917"/>
    <w:rsid w:val="6DAA8B7F"/>
    <w:rsid w:val="6DB455F1"/>
    <w:rsid w:val="6DBE6A8E"/>
    <w:rsid w:val="6DC2625D"/>
    <w:rsid w:val="6DCA4F10"/>
    <w:rsid w:val="6DD0DBE8"/>
    <w:rsid w:val="6DD70895"/>
    <w:rsid w:val="6DDD96A2"/>
    <w:rsid w:val="6DE1DF97"/>
    <w:rsid w:val="6DE973DD"/>
    <w:rsid w:val="6DFBD173"/>
    <w:rsid w:val="6E04D43E"/>
    <w:rsid w:val="6E13C74D"/>
    <w:rsid w:val="6E259127"/>
    <w:rsid w:val="6E2A479B"/>
    <w:rsid w:val="6E30E32A"/>
    <w:rsid w:val="6E317A41"/>
    <w:rsid w:val="6E335F64"/>
    <w:rsid w:val="6E3861E2"/>
    <w:rsid w:val="6E3BA05F"/>
    <w:rsid w:val="6E48F08D"/>
    <w:rsid w:val="6E4A5781"/>
    <w:rsid w:val="6E4BA127"/>
    <w:rsid w:val="6E501916"/>
    <w:rsid w:val="6E56DE4E"/>
    <w:rsid w:val="6E5AAB41"/>
    <w:rsid w:val="6E5AE365"/>
    <w:rsid w:val="6E61C9A5"/>
    <w:rsid w:val="6E67315B"/>
    <w:rsid w:val="6E69F360"/>
    <w:rsid w:val="6E6BADFF"/>
    <w:rsid w:val="6E7956A0"/>
    <w:rsid w:val="6E844C7D"/>
    <w:rsid w:val="6E8D43DF"/>
    <w:rsid w:val="6EA832EB"/>
    <w:rsid w:val="6EB495F9"/>
    <w:rsid w:val="6EB63EAC"/>
    <w:rsid w:val="6EB68E73"/>
    <w:rsid w:val="6EDDDAC5"/>
    <w:rsid w:val="6EDF8F05"/>
    <w:rsid w:val="6EE6958B"/>
    <w:rsid w:val="6EF19EF2"/>
    <w:rsid w:val="6EF39F40"/>
    <w:rsid w:val="6EF5EDE8"/>
    <w:rsid w:val="6EF65709"/>
    <w:rsid w:val="6EF7B714"/>
    <w:rsid w:val="6EF7C80B"/>
    <w:rsid w:val="6EF90481"/>
    <w:rsid w:val="6EFBFEE9"/>
    <w:rsid w:val="6F01A967"/>
    <w:rsid w:val="6F027F0A"/>
    <w:rsid w:val="6F061F08"/>
    <w:rsid w:val="6F0BD5EC"/>
    <w:rsid w:val="6F0DD8B6"/>
    <w:rsid w:val="6F169726"/>
    <w:rsid w:val="6F16F0F9"/>
    <w:rsid w:val="6F195227"/>
    <w:rsid w:val="6F19C2B5"/>
    <w:rsid w:val="6F1B5F59"/>
    <w:rsid w:val="6F1CA386"/>
    <w:rsid w:val="6F210158"/>
    <w:rsid w:val="6F21A7A3"/>
    <w:rsid w:val="6F226DD2"/>
    <w:rsid w:val="6F26470C"/>
    <w:rsid w:val="6F2B1860"/>
    <w:rsid w:val="6F2CBDF8"/>
    <w:rsid w:val="6F57172F"/>
    <w:rsid w:val="6F575CDF"/>
    <w:rsid w:val="6F5981D7"/>
    <w:rsid w:val="6F59EEA5"/>
    <w:rsid w:val="6F5C334F"/>
    <w:rsid w:val="6F5D1E52"/>
    <w:rsid w:val="6F675031"/>
    <w:rsid w:val="6F6A5F4B"/>
    <w:rsid w:val="6F7CE2D5"/>
    <w:rsid w:val="6F7DD452"/>
    <w:rsid w:val="6F81FE37"/>
    <w:rsid w:val="6F83F633"/>
    <w:rsid w:val="6F8780C3"/>
    <w:rsid w:val="6F912E4E"/>
    <w:rsid w:val="6F935446"/>
    <w:rsid w:val="6F9C104E"/>
    <w:rsid w:val="6FA9B114"/>
    <w:rsid w:val="6FAA0068"/>
    <w:rsid w:val="6FB41C08"/>
    <w:rsid w:val="6FBD078F"/>
    <w:rsid w:val="6FC039E9"/>
    <w:rsid w:val="6FC2D7D0"/>
    <w:rsid w:val="6FC53B44"/>
    <w:rsid w:val="6FCE8C04"/>
    <w:rsid w:val="6FD40404"/>
    <w:rsid w:val="6FD77689"/>
    <w:rsid w:val="6FDD92F1"/>
    <w:rsid w:val="6FE210D5"/>
    <w:rsid w:val="6FEADAF0"/>
    <w:rsid w:val="6FFA1D89"/>
    <w:rsid w:val="70022138"/>
    <w:rsid w:val="7005B1A3"/>
    <w:rsid w:val="7009C844"/>
    <w:rsid w:val="700F7404"/>
    <w:rsid w:val="70177C8E"/>
    <w:rsid w:val="70181BD2"/>
    <w:rsid w:val="701D5A19"/>
    <w:rsid w:val="702286E9"/>
    <w:rsid w:val="7028B7F1"/>
    <w:rsid w:val="702F69FA"/>
    <w:rsid w:val="7036AD49"/>
    <w:rsid w:val="70383EEE"/>
    <w:rsid w:val="703DD43E"/>
    <w:rsid w:val="704E7020"/>
    <w:rsid w:val="70528515"/>
    <w:rsid w:val="705F94BB"/>
    <w:rsid w:val="7061830E"/>
    <w:rsid w:val="706313D3"/>
    <w:rsid w:val="706EE6FD"/>
    <w:rsid w:val="7075F099"/>
    <w:rsid w:val="707D145A"/>
    <w:rsid w:val="707E1B6C"/>
    <w:rsid w:val="70951DC3"/>
    <w:rsid w:val="70981B40"/>
    <w:rsid w:val="709E4F6B"/>
    <w:rsid w:val="70A031DF"/>
    <w:rsid w:val="70AA0C56"/>
    <w:rsid w:val="70AF0203"/>
    <w:rsid w:val="70B1769D"/>
    <w:rsid w:val="70C2176D"/>
    <w:rsid w:val="70C48ABE"/>
    <w:rsid w:val="70CF7C92"/>
    <w:rsid w:val="70D667D9"/>
    <w:rsid w:val="70D6B05D"/>
    <w:rsid w:val="70DBE4E1"/>
    <w:rsid w:val="70DD0B24"/>
    <w:rsid w:val="70E125E3"/>
    <w:rsid w:val="70E48654"/>
    <w:rsid w:val="70E77957"/>
    <w:rsid w:val="70E7E141"/>
    <w:rsid w:val="70F64174"/>
    <w:rsid w:val="7100368A"/>
    <w:rsid w:val="710C815F"/>
    <w:rsid w:val="710CED2C"/>
    <w:rsid w:val="710EE48C"/>
    <w:rsid w:val="7115B73C"/>
    <w:rsid w:val="711D6392"/>
    <w:rsid w:val="711DCE98"/>
    <w:rsid w:val="712086CB"/>
    <w:rsid w:val="712AAC5D"/>
    <w:rsid w:val="7132ABFF"/>
    <w:rsid w:val="71336EB0"/>
    <w:rsid w:val="71348B0B"/>
    <w:rsid w:val="71379B4A"/>
    <w:rsid w:val="713C2A9C"/>
    <w:rsid w:val="714C6C37"/>
    <w:rsid w:val="714ECB83"/>
    <w:rsid w:val="714F1C38"/>
    <w:rsid w:val="71565C93"/>
    <w:rsid w:val="715ADD16"/>
    <w:rsid w:val="715E809A"/>
    <w:rsid w:val="71706333"/>
    <w:rsid w:val="71785D0C"/>
    <w:rsid w:val="717A59C0"/>
    <w:rsid w:val="717EB333"/>
    <w:rsid w:val="71889BDC"/>
    <w:rsid w:val="718CD758"/>
    <w:rsid w:val="71910565"/>
    <w:rsid w:val="7192A1E9"/>
    <w:rsid w:val="719432F4"/>
    <w:rsid w:val="71A0E8F0"/>
    <w:rsid w:val="71A138B6"/>
    <w:rsid w:val="71A7E071"/>
    <w:rsid w:val="71A93B1D"/>
    <w:rsid w:val="71B7EBB0"/>
    <w:rsid w:val="71BAD83D"/>
    <w:rsid w:val="71C71FCF"/>
    <w:rsid w:val="71C88AD4"/>
    <w:rsid w:val="71D37977"/>
    <w:rsid w:val="71D6F7E5"/>
    <w:rsid w:val="71D7FA6A"/>
    <w:rsid w:val="71D8DCBC"/>
    <w:rsid w:val="71E9C1BA"/>
    <w:rsid w:val="71EC4ACB"/>
    <w:rsid w:val="71F3C6AB"/>
    <w:rsid w:val="71F64375"/>
    <w:rsid w:val="71F89D27"/>
    <w:rsid w:val="71FEFF24"/>
    <w:rsid w:val="72074C2D"/>
    <w:rsid w:val="720F51E9"/>
    <w:rsid w:val="7211918B"/>
    <w:rsid w:val="721219CE"/>
    <w:rsid w:val="72238568"/>
    <w:rsid w:val="7227F589"/>
    <w:rsid w:val="722DD199"/>
    <w:rsid w:val="723400BE"/>
    <w:rsid w:val="72442310"/>
    <w:rsid w:val="72512527"/>
    <w:rsid w:val="72531380"/>
    <w:rsid w:val="725ACC91"/>
    <w:rsid w:val="726ADE74"/>
    <w:rsid w:val="7277DB27"/>
    <w:rsid w:val="728349B8"/>
    <w:rsid w:val="728A53F4"/>
    <w:rsid w:val="729AA3BF"/>
    <w:rsid w:val="729D42CD"/>
    <w:rsid w:val="72A27EE6"/>
    <w:rsid w:val="72B0BE64"/>
    <w:rsid w:val="72B99EF9"/>
    <w:rsid w:val="72BD7744"/>
    <w:rsid w:val="72C01E67"/>
    <w:rsid w:val="72C04056"/>
    <w:rsid w:val="72CE9F17"/>
    <w:rsid w:val="72D01AE1"/>
    <w:rsid w:val="72D51041"/>
    <w:rsid w:val="72D90CF9"/>
    <w:rsid w:val="72E57E99"/>
    <w:rsid w:val="72E5B805"/>
    <w:rsid w:val="72FBC57A"/>
    <w:rsid w:val="73071B4C"/>
    <w:rsid w:val="73098A78"/>
    <w:rsid w:val="730BE183"/>
    <w:rsid w:val="73180427"/>
    <w:rsid w:val="732A1816"/>
    <w:rsid w:val="732BF748"/>
    <w:rsid w:val="733152AF"/>
    <w:rsid w:val="7331A8C6"/>
    <w:rsid w:val="7335A828"/>
    <w:rsid w:val="7339A072"/>
    <w:rsid w:val="733D1AE2"/>
    <w:rsid w:val="734A7D27"/>
    <w:rsid w:val="73538295"/>
    <w:rsid w:val="735625FB"/>
    <w:rsid w:val="7356DEC3"/>
    <w:rsid w:val="735C4B72"/>
    <w:rsid w:val="735D328C"/>
    <w:rsid w:val="73647563"/>
    <w:rsid w:val="736B2CA1"/>
    <w:rsid w:val="737650EA"/>
    <w:rsid w:val="73800DC3"/>
    <w:rsid w:val="7395669D"/>
    <w:rsid w:val="73A2ABFF"/>
    <w:rsid w:val="73A5015C"/>
    <w:rsid w:val="73AF0B95"/>
    <w:rsid w:val="73B71E8A"/>
    <w:rsid w:val="73B96AF2"/>
    <w:rsid w:val="73BC94A5"/>
    <w:rsid w:val="73C49D05"/>
    <w:rsid w:val="73C9C223"/>
    <w:rsid w:val="73CC6F11"/>
    <w:rsid w:val="73D3CD2B"/>
    <w:rsid w:val="73D5DFA0"/>
    <w:rsid w:val="73D8C4B4"/>
    <w:rsid w:val="73EFACAD"/>
    <w:rsid w:val="73FF8170"/>
    <w:rsid w:val="73FF9340"/>
    <w:rsid w:val="74020F2C"/>
    <w:rsid w:val="74104972"/>
    <w:rsid w:val="74181085"/>
    <w:rsid w:val="741AE800"/>
    <w:rsid w:val="741DCDC7"/>
    <w:rsid w:val="741F0751"/>
    <w:rsid w:val="74275346"/>
    <w:rsid w:val="742A2C86"/>
    <w:rsid w:val="742AECF8"/>
    <w:rsid w:val="744258D2"/>
    <w:rsid w:val="74437E71"/>
    <w:rsid w:val="7445EA8A"/>
    <w:rsid w:val="7466BFBB"/>
    <w:rsid w:val="74726EC2"/>
    <w:rsid w:val="74745513"/>
    <w:rsid w:val="7478F999"/>
    <w:rsid w:val="74852C96"/>
    <w:rsid w:val="74857767"/>
    <w:rsid w:val="7489ACF0"/>
    <w:rsid w:val="74948EE4"/>
    <w:rsid w:val="74998F57"/>
    <w:rsid w:val="74A42DEF"/>
    <w:rsid w:val="74A73F54"/>
    <w:rsid w:val="74AF3B50"/>
    <w:rsid w:val="74BF4FCB"/>
    <w:rsid w:val="74CCEDF0"/>
    <w:rsid w:val="74E02500"/>
    <w:rsid w:val="74E5E3C1"/>
    <w:rsid w:val="74E975F6"/>
    <w:rsid w:val="74F13E82"/>
    <w:rsid w:val="74F197B4"/>
    <w:rsid w:val="74F21B43"/>
    <w:rsid w:val="74F3E4E3"/>
    <w:rsid w:val="74F549BE"/>
    <w:rsid w:val="74F9DF6F"/>
    <w:rsid w:val="74FFA00A"/>
    <w:rsid w:val="750205D9"/>
    <w:rsid w:val="75090A8C"/>
    <w:rsid w:val="750ACBE2"/>
    <w:rsid w:val="75118B9C"/>
    <w:rsid w:val="75159897"/>
    <w:rsid w:val="7523740D"/>
    <w:rsid w:val="75248C1A"/>
    <w:rsid w:val="752892B4"/>
    <w:rsid w:val="7537767E"/>
    <w:rsid w:val="753CE24C"/>
    <w:rsid w:val="75408991"/>
    <w:rsid w:val="7547401F"/>
    <w:rsid w:val="755ACBD6"/>
    <w:rsid w:val="756505A0"/>
    <w:rsid w:val="756A0D30"/>
    <w:rsid w:val="757039C3"/>
    <w:rsid w:val="757B811A"/>
    <w:rsid w:val="757C6368"/>
    <w:rsid w:val="7584F376"/>
    <w:rsid w:val="758583E7"/>
    <w:rsid w:val="759DDF8D"/>
    <w:rsid w:val="75A716FB"/>
    <w:rsid w:val="75AB8935"/>
    <w:rsid w:val="75AC7CF9"/>
    <w:rsid w:val="75B66A14"/>
    <w:rsid w:val="75B79623"/>
    <w:rsid w:val="75D36A7D"/>
    <w:rsid w:val="75D9593E"/>
    <w:rsid w:val="75E0DE70"/>
    <w:rsid w:val="75E70DE9"/>
    <w:rsid w:val="7602CD44"/>
    <w:rsid w:val="76034099"/>
    <w:rsid w:val="760874F0"/>
    <w:rsid w:val="76090062"/>
    <w:rsid w:val="760EA408"/>
    <w:rsid w:val="7618219E"/>
    <w:rsid w:val="7618FB36"/>
    <w:rsid w:val="7626A466"/>
    <w:rsid w:val="76331DDC"/>
    <w:rsid w:val="7633B004"/>
    <w:rsid w:val="7637A7F8"/>
    <w:rsid w:val="763AAFF0"/>
    <w:rsid w:val="7641DB8F"/>
    <w:rsid w:val="764264A9"/>
    <w:rsid w:val="76441D20"/>
    <w:rsid w:val="764BF3DC"/>
    <w:rsid w:val="76577286"/>
    <w:rsid w:val="765AABD1"/>
    <w:rsid w:val="76665F29"/>
    <w:rsid w:val="7668C46F"/>
    <w:rsid w:val="7670F94C"/>
    <w:rsid w:val="767E975D"/>
    <w:rsid w:val="768813FD"/>
    <w:rsid w:val="768A1A9C"/>
    <w:rsid w:val="76938C25"/>
    <w:rsid w:val="7694A597"/>
    <w:rsid w:val="7694C638"/>
    <w:rsid w:val="76A1A7B6"/>
    <w:rsid w:val="76A4FE24"/>
    <w:rsid w:val="76A78B33"/>
    <w:rsid w:val="76B24D70"/>
    <w:rsid w:val="76BAE76E"/>
    <w:rsid w:val="76BE6782"/>
    <w:rsid w:val="76DC86FD"/>
    <w:rsid w:val="76E0497B"/>
    <w:rsid w:val="76EB4EC2"/>
    <w:rsid w:val="76EDA7E9"/>
    <w:rsid w:val="76F43567"/>
    <w:rsid w:val="76F46892"/>
    <w:rsid w:val="77006CF5"/>
    <w:rsid w:val="77038E09"/>
    <w:rsid w:val="7709A7E4"/>
    <w:rsid w:val="770B6DED"/>
    <w:rsid w:val="770FA19D"/>
    <w:rsid w:val="771C821A"/>
    <w:rsid w:val="77276F29"/>
    <w:rsid w:val="773158F1"/>
    <w:rsid w:val="7733F2A5"/>
    <w:rsid w:val="7739AFEE"/>
    <w:rsid w:val="7741794C"/>
    <w:rsid w:val="77433878"/>
    <w:rsid w:val="7745515D"/>
    <w:rsid w:val="7748936C"/>
    <w:rsid w:val="7751E71F"/>
    <w:rsid w:val="77571682"/>
    <w:rsid w:val="77663EE0"/>
    <w:rsid w:val="776BDCA2"/>
    <w:rsid w:val="7778F92B"/>
    <w:rsid w:val="7781F277"/>
    <w:rsid w:val="778F2423"/>
    <w:rsid w:val="77903155"/>
    <w:rsid w:val="7792F32D"/>
    <w:rsid w:val="77966EFE"/>
    <w:rsid w:val="77B4CB97"/>
    <w:rsid w:val="77B8302E"/>
    <w:rsid w:val="77C2D7B6"/>
    <w:rsid w:val="77C94F8E"/>
    <w:rsid w:val="77D2CABD"/>
    <w:rsid w:val="77E0939A"/>
    <w:rsid w:val="77E0B784"/>
    <w:rsid w:val="77F2D9B8"/>
    <w:rsid w:val="77F7CBAD"/>
    <w:rsid w:val="7800E79D"/>
    <w:rsid w:val="7809CBB2"/>
    <w:rsid w:val="780C6B48"/>
    <w:rsid w:val="780E17ED"/>
    <w:rsid w:val="7812D7EA"/>
    <w:rsid w:val="7814D0B9"/>
    <w:rsid w:val="782BF316"/>
    <w:rsid w:val="7832A7DB"/>
    <w:rsid w:val="78366153"/>
    <w:rsid w:val="783FF3A6"/>
    <w:rsid w:val="7842949C"/>
    <w:rsid w:val="78443B9F"/>
    <w:rsid w:val="78673601"/>
    <w:rsid w:val="7867D2FE"/>
    <w:rsid w:val="786E1CB2"/>
    <w:rsid w:val="786F4C44"/>
    <w:rsid w:val="7875663A"/>
    <w:rsid w:val="7878ED68"/>
    <w:rsid w:val="789005C8"/>
    <w:rsid w:val="78952502"/>
    <w:rsid w:val="789D2C9C"/>
    <w:rsid w:val="789D5F3E"/>
    <w:rsid w:val="78A235DE"/>
    <w:rsid w:val="78A7319B"/>
    <w:rsid w:val="78AC6CB6"/>
    <w:rsid w:val="78B06DAA"/>
    <w:rsid w:val="78BA4AAE"/>
    <w:rsid w:val="78BC8830"/>
    <w:rsid w:val="78C68386"/>
    <w:rsid w:val="78CAEE0D"/>
    <w:rsid w:val="78CB4E6A"/>
    <w:rsid w:val="78CD3FEC"/>
    <w:rsid w:val="78D178AB"/>
    <w:rsid w:val="78DCB108"/>
    <w:rsid w:val="78ECD34C"/>
    <w:rsid w:val="78F77E52"/>
    <w:rsid w:val="78FD2B44"/>
    <w:rsid w:val="790343FA"/>
    <w:rsid w:val="790A2B6A"/>
    <w:rsid w:val="7915E64C"/>
    <w:rsid w:val="791888DE"/>
    <w:rsid w:val="791C8F49"/>
    <w:rsid w:val="7925D9FB"/>
    <w:rsid w:val="7926BD34"/>
    <w:rsid w:val="7927C3F7"/>
    <w:rsid w:val="792A9732"/>
    <w:rsid w:val="792E2D46"/>
    <w:rsid w:val="792E3924"/>
    <w:rsid w:val="79330CF3"/>
    <w:rsid w:val="79331A69"/>
    <w:rsid w:val="794E0E01"/>
    <w:rsid w:val="7951CF33"/>
    <w:rsid w:val="795479DF"/>
    <w:rsid w:val="79551BF5"/>
    <w:rsid w:val="795594B6"/>
    <w:rsid w:val="7967494C"/>
    <w:rsid w:val="7968A220"/>
    <w:rsid w:val="79697D09"/>
    <w:rsid w:val="79742E92"/>
    <w:rsid w:val="79775D8C"/>
    <w:rsid w:val="797A5625"/>
    <w:rsid w:val="797C87E5"/>
    <w:rsid w:val="798472E0"/>
    <w:rsid w:val="798FAC2F"/>
    <w:rsid w:val="79A82363"/>
    <w:rsid w:val="79A8B119"/>
    <w:rsid w:val="79A93851"/>
    <w:rsid w:val="79B27FDF"/>
    <w:rsid w:val="79CFC2F1"/>
    <w:rsid w:val="79D61712"/>
    <w:rsid w:val="79D95C9A"/>
    <w:rsid w:val="79E27B5C"/>
    <w:rsid w:val="79E3BE0A"/>
    <w:rsid w:val="79E9E972"/>
    <w:rsid w:val="79EAEA25"/>
    <w:rsid w:val="79F1E2A1"/>
    <w:rsid w:val="79F3193B"/>
    <w:rsid w:val="79F8ADB4"/>
    <w:rsid w:val="79FFC96E"/>
    <w:rsid w:val="7A0312F5"/>
    <w:rsid w:val="7A06E470"/>
    <w:rsid w:val="7A0AFDFD"/>
    <w:rsid w:val="7A0F8C27"/>
    <w:rsid w:val="7A13C1AB"/>
    <w:rsid w:val="7A1B5EBC"/>
    <w:rsid w:val="7A2313C0"/>
    <w:rsid w:val="7A3319B5"/>
    <w:rsid w:val="7A36F1FC"/>
    <w:rsid w:val="7A3E19EB"/>
    <w:rsid w:val="7A3F12A3"/>
    <w:rsid w:val="7A464216"/>
    <w:rsid w:val="7A4B410F"/>
    <w:rsid w:val="7A4CAEB9"/>
    <w:rsid w:val="7A527240"/>
    <w:rsid w:val="7A5C69FC"/>
    <w:rsid w:val="7A71007B"/>
    <w:rsid w:val="7A73C7B4"/>
    <w:rsid w:val="7A753340"/>
    <w:rsid w:val="7A78A0F3"/>
    <w:rsid w:val="7A7D8EFC"/>
    <w:rsid w:val="7A88B4A7"/>
    <w:rsid w:val="7A8900CC"/>
    <w:rsid w:val="7A91770B"/>
    <w:rsid w:val="7A93076E"/>
    <w:rsid w:val="7A945F3A"/>
    <w:rsid w:val="7A9A3632"/>
    <w:rsid w:val="7AAB795B"/>
    <w:rsid w:val="7AAE4E98"/>
    <w:rsid w:val="7AB7824C"/>
    <w:rsid w:val="7ABFAA69"/>
    <w:rsid w:val="7AC2A499"/>
    <w:rsid w:val="7AC31C94"/>
    <w:rsid w:val="7ACABB56"/>
    <w:rsid w:val="7ADB1B06"/>
    <w:rsid w:val="7AE32639"/>
    <w:rsid w:val="7AEC0DCB"/>
    <w:rsid w:val="7AEF2783"/>
    <w:rsid w:val="7AF0CF36"/>
    <w:rsid w:val="7AF4A16A"/>
    <w:rsid w:val="7AF826DD"/>
    <w:rsid w:val="7AFD37F1"/>
    <w:rsid w:val="7B02ECE0"/>
    <w:rsid w:val="7B03E36A"/>
    <w:rsid w:val="7B082C8F"/>
    <w:rsid w:val="7B0FA21F"/>
    <w:rsid w:val="7B12ED47"/>
    <w:rsid w:val="7B13C446"/>
    <w:rsid w:val="7B303B63"/>
    <w:rsid w:val="7B419265"/>
    <w:rsid w:val="7B518662"/>
    <w:rsid w:val="7B656886"/>
    <w:rsid w:val="7B71EB7D"/>
    <w:rsid w:val="7B7EAE66"/>
    <w:rsid w:val="7B7ECD6D"/>
    <w:rsid w:val="7B81D987"/>
    <w:rsid w:val="7B85F950"/>
    <w:rsid w:val="7BC0F8F9"/>
    <w:rsid w:val="7BE62399"/>
    <w:rsid w:val="7BE8DAC2"/>
    <w:rsid w:val="7BEA5A48"/>
    <w:rsid w:val="7BEBC06F"/>
    <w:rsid w:val="7BF1A2E9"/>
    <w:rsid w:val="7BF474CB"/>
    <w:rsid w:val="7BF60E55"/>
    <w:rsid w:val="7BF86D24"/>
    <w:rsid w:val="7C03113F"/>
    <w:rsid w:val="7C109E67"/>
    <w:rsid w:val="7C289B05"/>
    <w:rsid w:val="7C3A2DBE"/>
    <w:rsid w:val="7C40B68A"/>
    <w:rsid w:val="7C48CE4D"/>
    <w:rsid w:val="7C56748E"/>
    <w:rsid w:val="7C581687"/>
    <w:rsid w:val="7C5866F8"/>
    <w:rsid w:val="7C601BE5"/>
    <w:rsid w:val="7C6237F4"/>
    <w:rsid w:val="7C65F96A"/>
    <w:rsid w:val="7C673F22"/>
    <w:rsid w:val="7C6F579B"/>
    <w:rsid w:val="7C80DCB3"/>
    <w:rsid w:val="7C951CD0"/>
    <w:rsid w:val="7C9648D9"/>
    <w:rsid w:val="7C985553"/>
    <w:rsid w:val="7C9BDC4C"/>
    <w:rsid w:val="7CA026A9"/>
    <w:rsid w:val="7CA0DF41"/>
    <w:rsid w:val="7CAA0A91"/>
    <w:rsid w:val="7CAB305B"/>
    <w:rsid w:val="7CAB6A78"/>
    <w:rsid w:val="7CAD5497"/>
    <w:rsid w:val="7CB66648"/>
    <w:rsid w:val="7CBA3476"/>
    <w:rsid w:val="7CC9E57A"/>
    <w:rsid w:val="7CE9301E"/>
    <w:rsid w:val="7CEEB3FA"/>
    <w:rsid w:val="7CEF10BA"/>
    <w:rsid w:val="7CF9C5AB"/>
    <w:rsid w:val="7D07673F"/>
    <w:rsid w:val="7D10BBE1"/>
    <w:rsid w:val="7D1769B8"/>
    <w:rsid w:val="7D190E0E"/>
    <w:rsid w:val="7D1BD487"/>
    <w:rsid w:val="7D1C180A"/>
    <w:rsid w:val="7D255F60"/>
    <w:rsid w:val="7D2EADF5"/>
    <w:rsid w:val="7D33693E"/>
    <w:rsid w:val="7D3D87ED"/>
    <w:rsid w:val="7D47920A"/>
    <w:rsid w:val="7D51C51C"/>
    <w:rsid w:val="7D523E59"/>
    <w:rsid w:val="7D584FF0"/>
    <w:rsid w:val="7D5B7192"/>
    <w:rsid w:val="7D633CD2"/>
    <w:rsid w:val="7D73B58D"/>
    <w:rsid w:val="7D7587F1"/>
    <w:rsid w:val="7D8EBD08"/>
    <w:rsid w:val="7D91E4CC"/>
    <w:rsid w:val="7D97AD7B"/>
    <w:rsid w:val="7D9B457D"/>
    <w:rsid w:val="7DA0484C"/>
    <w:rsid w:val="7DA08354"/>
    <w:rsid w:val="7DA2C1C3"/>
    <w:rsid w:val="7DA37E2F"/>
    <w:rsid w:val="7DA435BE"/>
    <w:rsid w:val="7DA78361"/>
    <w:rsid w:val="7DAB5772"/>
    <w:rsid w:val="7DB426E6"/>
    <w:rsid w:val="7DBC85B0"/>
    <w:rsid w:val="7DC570FC"/>
    <w:rsid w:val="7DCB2218"/>
    <w:rsid w:val="7DD8B1D3"/>
    <w:rsid w:val="7DE89E8A"/>
    <w:rsid w:val="7DEA1E18"/>
    <w:rsid w:val="7DEB993B"/>
    <w:rsid w:val="7DF0006C"/>
    <w:rsid w:val="7DF5142C"/>
    <w:rsid w:val="7DF5ED14"/>
    <w:rsid w:val="7DF81A10"/>
    <w:rsid w:val="7DF88F45"/>
    <w:rsid w:val="7DFA1228"/>
    <w:rsid w:val="7DFB5189"/>
    <w:rsid w:val="7DFF3F12"/>
    <w:rsid w:val="7E006B5C"/>
    <w:rsid w:val="7E05497B"/>
    <w:rsid w:val="7E058184"/>
    <w:rsid w:val="7E1AFCF8"/>
    <w:rsid w:val="7E29427F"/>
    <w:rsid w:val="7E2E166D"/>
    <w:rsid w:val="7E3741B5"/>
    <w:rsid w:val="7E37B367"/>
    <w:rsid w:val="7E3F8636"/>
    <w:rsid w:val="7E479884"/>
    <w:rsid w:val="7E59E4ED"/>
    <w:rsid w:val="7E634C44"/>
    <w:rsid w:val="7E64CA48"/>
    <w:rsid w:val="7E6B00A6"/>
    <w:rsid w:val="7E6D54D8"/>
    <w:rsid w:val="7E7456EC"/>
    <w:rsid w:val="7E7525A3"/>
    <w:rsid w:val="7E7E74CF"/>
    <w:rsid w:val="7E94036D"/>
    <w:rsid w:val="7EA5577D"/>
    <w:rsid w:val="7EA817C1"/>
    <w:rsid w:val="7EAF6253"/>
    <w:rsid w:val="7EB6AABA"/>
    <w:rsid w:val="7EBB3327"/>
    <w:rsid w:val="7EBFB36B"/>
    <w:rsid w:val="7EC2EAAC"/>
    <w:rsid w:val="7EC3AC5C"/>
    <w:rsid w:val="7ECC2160"/>
    <w:rsid w:val="7ED538BE"/>
    <w:rsid w:val="7ED8015F"/>
    <w:rsid w:val="7EE08A4B"/>
    <w:rsid w:val="7EE745A1"/>
    <w:rsid w:val="7EFCE14E"/>
    <w:rsid w:val="7F052279"/>
    <w:rsid w:val="7F08C787"/>
    <w:rsid w:val="7F18E8D3"/>
    <w:rsid w:val="7F24E62D"/>
    <w:rsid w:val="7F2D0F01"/>
    <w:rsid w:val="7F2E7018"/>
    <w:rsid w:val="7F32810E"/>
    <w:rsid w:val="7F32D952"/>
    <w:rsid w:val="7F3B2415"/>
    <w:rsid w:val="7F494D27"/>
    <w:rsid w:val="7F4B7BBA"/>
    <w:rsid w:val="7F6E1D09"/>
    <w:rsid w:val="7F7FD98E"/>
    <w:rsid w:val="7F846EEB"/>
    <w:rsid w:val="7F8A4129"/>
    <w:rsid w:val="7F8F02E5"/>
    <w:rsid w:val="7F992B9C"/>
    <w:rsid w:val="7FA463C9"/>
    <w:rsid w:val="7FAA9436"/>
    <w:rsid w:val="7FB03B66"/>
    <w:rsid w:val="7FB36302"/>
    <w:rsid w:val="7FBE6E6C"/>
    <w:rsid w:val="7FC429E8"/>
    <w:rsid w:val="7FC8E3C7"/>
    <w:rsid w:val="7FD20BE6"/>
    <w:rsid w:val="7FE138C2"/>
    <w:rsid w:val="7FE34B7A"/>
    <w:rsid w:val="7FEB3D25"/>
    <w:rsid w:val="7FED6772"/>
    <w:rsid w:val="7FF6CCE9"/>
    <w:rsid w:val="7FFD40CA"/>
    <w:rsid w:val="7FFE8FD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654F34"/>
  <w15:chartTrackingRefBased/>
  <w15:docId w15:val="{4E5D9E36-4FDE-47B5-87CD-F5B6C1790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4B8A"/>
    <w:pPr>
      <w:spacing w:after="240"/>
    </w:pPr>
    <w:rPr>
      <w:rFonts w:ascii="Calibri" w:eastAsia="Times New Roman" w:hAnsi="Calibri" w:cs="Times New Roman"/>
      <w:color w:val="000000"/>
      <w:sz w:val="22"/>
      <w:szCs w:val="20"/>
    </w:rPr>
  </w:style>
  <w:style w:type="paragraph" w:styleId="Heading1">
    <w:name w:val="heading 1"/>
    <w:basedOn w:val="Normal"/>
    <w:next w:val="Normal"/>
    <w:link w:val="Heading1Char"/>
    <w:qFormat/>
    <w:rsid w:val="00664B8A"/>
    <w:pPr>
      <w:keepNext/>
      <w:pageBreakBefore/>
      <w:spacing w:after="480"/>
      <w:ind w:left="720" w:hanging="720"/>
      <w:outlineLvl w:val="0"/>
    </w:pPr>
    <w:rPr>
      <w:rFonts w:cs="Arial"/>
      <w:b/>
      <w:bCs/>
      <w:kern w:val="32"/>
      <w:sz w:val="40"/>
      <w:szCs w:val="32"/>
    </w:rPr>
  </w:style>
  <w:style w:type="paragraph" w:styleId="Heading2">
    <w:name w:val="heading 2"/>
    <w:basedOn w:val="Normal"/>
    <w:next w:val="Normal"/>
    <w:link w:val="Heading2Char"/>
    <w:qFormat/>
    <w:rsid w:val="00664B8A"/>
    <w:pPr>
      <w:keepNext/>
      <w:spacing w:before="240"/>
      <w:ind w:left="720" w:hanging="720"/>
      <w:outlineLvl w:val="1"/>
    </w:pPr>
    <w:rPr>
      <w:rFonts w:cs="Arial"/>
      <w:b/>
      <w:bCs/>
      <w:iCs/>
      <w:sz w:val="28"/>
      <w:szCs w:val="28"/>
    </w:rPr>
  </w:style>
  <w:style w:type="paragraph" w:styleId="Heading3">
    <w:name w:val="heading 3"/>
    <w:basedOn w:val="Normal"/>
    <w:next w:val="Normal"/>
    <w:link w:val="Heading3Char"/>
    <w:qFormat/>
    <w:rsid w:val="00664B8A"/>
    <w:pPr>
      <w:keepNext/>
      <w:spacing w:before="240"/>
      <w:ind w:left="720" w:hanging="720"/>
      <w:outlineLvl w:val="2"/>
    </w:pPr>
    <w:rPr>
      <w:rFonts w:cs="Arial"/>
      <w:b/>
      <w:bCs/>
      <w:szCs w:val="26"/>
    </w:rPr>
  </w:style>
  <w:style w:type="paragraph" w:styleId="Heading4">
    <w:name w:val="heading 4"/>
    <w:basedOn w:val="Normal"/>
    <w:next w:val="Normal"/>
    <w:link w:val="Heading4Char"/>
    <w:rsid w:val="00664B8A"/>
    <w:pPr>
      <w:keepNext/>
      <w:spacing w:before="120" w:after="120"/>
      <w:outlineLvl w:val="3"/>
    </w:pPr>
    <w:rPr>
      <w:b/>
      <w:bCs/>
      <w:i/>
      <w:szCs w:val="28"/>
    </w:rPr>
  </w:style>
  <w:style w:type="paragraph" w:styleId="Heading5">
    <w:name w:val="heading 5"/>
    <w:basedOn w:val="Normal"/>
    <w:next w:val="Normal"/>
    <w:link w:val="Heading5Char"/>
    <w:rsid w:val="00664B8A"/>
    <w:pPr>
      <w:keepNext/>
      <w:spacing w:before="60" w:after="60"/>
      <w:outlineLvl w:val="4"/>
    </w:pPr>
    <w:rPr>
      <w:bCs/>
      <w:i/>
      <w:iCs/>
      <w:szCs w:val="26"/>
    </w:rPr>
  </w:style>
  <w:style w:type="paragraph" w:styleId="Heading6">
    <w:name w:val="heading 6"/>
    <w:basedOn w:val="Normal"/>
    <w:next w:val="Normal"/>
    <w:link w:val="Heading6Char"/>
    <w:uiPriority w:val="9"/>
    <w:unhideWhenUsed/>
    <w:rsid w:val="00E82CC1"/>
    <w:pPr>
      <w:keepNext/>
      <w:keepLines/>
      <w:spacing w:before="40"/>
      <w:outlineLvl w:val="5"/>
    </w:pPr>
    <w:rPr>
      <w:rFonts w:eastAsiaTheme="majorEastAsia"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64B8A"/>
    <w:rPr>
      <w:rFonts w:ascii="Calibri" w:eastAsia="Times New Roman" w:hAnsi="Calibri" w:cs="Arial"/>
      <w:b/>
      <w:bCs/>
      <w:color w:val="000000"/>
      <w:kern w:val="32"/>
      <w:sz w:val="40"/>
      <w:szCs w:val="32"/>
    </w:rPr>
  </w:style>
  <w:style w:type="character" w:customStyle="1" w:styleId="Heading2Char">
    <w:name w:val="Heading 2 Char"/>
    <w:basedOn w:val="DefaultParagraphFont"/>
    <w:link w:val="Heading2"/>
    <w:rsid w:val="00664B8A"/>
    <w:rPr>
      <w:rFonts w:ascii="Calibri" w:eastAsia="Times New Roman" w:hAnsi="Calibri" w:cs="Arial"/>
      <w:b/>
      <w:bCs/>
      <w:iCs/>
      <w:color w:val="000000"/>
      <w:sz w:val="28"/>
      <w:szCs w:val="28"/>
    </w:rPr>
  </w:style>
  <w:style w:type="character" w:customStyle="1" w:styleId="Heading3Char">
    <w:name w:val="Heading 3 Char"/>
    <w:basedOn w:val="DefaultParagraphFont"/>
    <w:link w:val="Heading3"/>
    <w:rsid w:val="00664B8A"/>
    <w:rPr>
      <w:rFonts w:ascii="Calibri" w:eastAsia="Times New Roman" w:hAnsi="Calibri" w:cs="Arial"/>
      <w:b/>
      <w:bCs/>
      <w:color w:val="000000"/>
      <w:sz w:val="22"/>
      <w:szCs w:val="26"/>
    </w:rPr>
  </w:style>
  <w:style w:type="character" w:customStyle="1" w:styleId="Heading4Char">
    <w:name w:val="Heading 4 Char"/>
    <w:basedOn w:val="DefaultParagraphFont"/>
    <w:link w:val="Heading4"/>
    <w:rsid w:val="00664B8A"/>
    <w:rPr>
      <w:rFonts w:ascii="Calibri" w:eastAsia="Times New Roman" w:hAnsi="Calibri" w:cs="Times New Roman"/>
      <w:b/>
      <w:bCs/>
      <w:i/>
      <w:color w:val="000000"/>
      <w:sz w:val="22"/>
      <w:szCs w:val="28"/>
    </w:rPr>
  </w:style>
  <w:style w:type="character" w:customStyle="1" w:styleId="Heading5Char">
    <w:name w:val="Heading 5 Char"/>
    <w:basedOn w:val="DefaultParagraphFont"/>
    <w:link w:val="Heading5"/>
    <w:rsid w:val="00664B8A"/>
    <w:rPr>
      <w:rFonts w:ascii="Calibri" w:eastAsia="Times New Roman" w:hAnsi="Calibri" w:cs="Times New Roman"/>
      <w:bCs/>
      <w:i/>
      <w:iCs/>
      <w:color w:val="000000"/>
      <w:sz w:val="22"/>
      <w:szCs w:val="26"/>
    </w:rPr>
  </w:style>
  <w:style w:type="paragraph" w:styleId="Subtitle">
    <w:name w:val="Subtitle"/>
    <w:basedOn w:val="Normal"/>
    <w:next w:val="Normal"/>
    <w:link w:val="SubtitleChar"/>
    <w:uiPriority w:val="11"/>
    <w:rsid w:val="00664B8A"/>
    <w:pPr>
      <w:numPr>
        <w:ilvl w:val="1"/>
      </w:numPr>
      <w:jc w:val="center"/>
    </w:pPr>
    <w:rPr>
      <w:rFonts w:eastAsiaTheme="majorEastAsia" w:cstheme="majorBidi"/>
      <w:b/>
      <w:iCs/>
      <w:color w:val="auto"/>
      <w:sz w:val="40"/>
      <w:szCs w:val="24"/>
    </w:rPr>
  </w:style>
  <w:style w:type="character" w:customStyle="1" w:styleId="SubtitleChar">
    <w:name w:val="Subtitle Char"/>
    <w:basedOn w:val="DefaultParagraphFont"/>
    <w:link w:val="Subtitle"/>
    <w:uiPriority w:val="11"/>
    <w:rsid w:val="00664B8A"/>
    <w:rPr>
      <w:rFonts w:ascii="Calibri" w:eastAsiaTheme="majorEastAsia" w:hAnsi="Calibri" w:cstheme="majorBidi"/>
      <w:b/>
      <w:iCs/>
      <w:sz w:val="40"/>
    </w:rPr>
  </w:style>
  <w:style w:type="paragraph" w:customStyle="1" w:styleId="PullQuote">
    <w:name w:val="PullQuote"/>
    <w:basedOn w:val="Normal"/>
    <w:next w:val="Normal"/>
    <w:rsid w:val="00664B8A"/>
    <w:rPr>
      <w:b/>
      <w:color w:val="7B7B7B" w:themeColor="accent3" w:themeShade="BF"/>
    </w:rPr>
  </w:style>
  <w:style w:type="paragraph" w:customStyle="1" w:styleId="ReportDate">
    <w:name w:val="ReportDate"/>
    <w:basedOn w:val="Normal"/>
    <w:rsid w:val="00664B8A"/>
    <w:pPr>
      <w:jc w:val="center"/>
    </w:pPr>
    <w:rPr>
      <w:sz w:val="40"/>
    </w:rPr>
  </w:style>
  <w:style w:type="paragraph" w:customStyle="1" w:styleId="Heading1a">
    <w:name w:val="Heading 1a"/>
    <w:basedOn w:val="Heading1"/>
    <w:next w:val="Normal"/>
    <w:rsid w:val="00664B8A"/>
    <w:pPr>
      <w:outlineLvl w:val="9"/>
    </w:pPr>
  </w:style>
  <w:style w:type="paragraph" w:customStyle="1" w:styleId="Heading2a">
    <w:name w:val="Heading 2a"/>
    <w:basedOn w:val="Heading2"/>
    <w:next w:val="Normal"/>
    <w:rsid w:val="00664B8A"/>
    <w:pPr>
      <w:ind w:left="0" w:firstLine="0"/>
      <w:outlineLvl w:val="9"/>
    </w:pPr>
  </w:style>
  <w:style w:type="paragraph" w:customStyle="1" w:styleId="Heading3a">
    <w:name w:val="Heading 3a"/>
    <w:basedOn w:val="Heading3"/>
    <w:next w:val="Normal"/>
    <w:rsid w:val="00664B8A"/>
    <w:pPr>
      <w:ind w:left="0" w:firstLine="0"/>
      <w:outlineLvl w:val="9"/>
    </w:pPr>
  </w:style>
  <w:style w:type="paragraph" w:styleId="Header">
    <w:name w:val="header"/>
    <w:basedOn w:val="Normal"/>
    <w:link w:val="HeaderChar"/>
    <w:semiHidden/>
    <w:rsid w:val="00664B8A"/>
    <w:pPr>
      <w:tabs>
        <w:tab w:val="right" w:pos="9000"/>
      </w:tabs>
      <w:spacing w:after="0"/>
    </w:pPr>
    <w:rPr>
      <w:sz w:val="18"/>
    </w:rPr>
  </w:style>
  <w:style w:type="character" w:customStyle="1" w:styleId="HeaderChar">
    <w:name w:val="Header Char"/>
    <w:basedOn w:val="DefaultParagraphFont"/>
    <w:link w:val="Header"/>
    <w:semiHidden/>
    <w:rsid w:val="00664B8A"/>
    <w:rPr>
      <w:rFonts w:ascii="Calibri" w:eastAsia="Times New Roman" w:hAnsi="Calibri" w:cs="Times New Roman"/>
      <w:color w:val="000000"/>
      <w:sz w:val="18"/>
      <w:szCs w:val="20"/>
    </w:rPr>
  </w:style>
  <w:style w:type="paragraph" w:styleId="Footer">
    <w:name w:val="footer"/>
    <w:basedOn w:val="Normal"/>
    <w:link w:val="FooterChar"/>
    <w:uiPriority w:val="99"/>
    <w:rsid w:val="00664B8A"/>
    <w:pPr>
      <w:tabs>
        <w:tab w:val="right" w:pos="9000"/>
      </w:tabs>
      <w:spacing w:after="0"/>
    </w:pPr>
    <w:rPr>
      <w:sz w:val="20"/>
    </w:rPr>
  </w:style>
  <w:style w:type="character" w:customStyle="1" w:styleId="FooterChar">
    <w:name w:val="Footer Char"/>
    <w:basedOn w:val="DefaultParagraphFont"/>
    <w:link w:val="Footer"/>
    <w:uiPriority w:val="99"/>
    <w:rsid w:val="00664B8A"/>
    <w:rPr>
      <w:rFonts w:ascii="Calibri" w:eastAsia="Times New Roman" w:hAnsi="Calibri" w:cs="Times New Roman"/>
      <w:color w:val="000000"/>
      <w:sz w:val="20"/>
      <w:szCs w:val="20"/>
    </w:rPr>
  </w:style>
  <w:style w:type="character" w:styleId="PageNumber">
    <w:name w:val="page number"/>
    <w:basedOn w:val="DefaultParagraphFont"/>
    <w:semiHidden/>
    <w:rsid w:val="00664B8A"/>
    <w:rPr>
      <w:rFonts w:ascii="Times New Roman" w:hAnsi="Times New Roman"/>
      <w:b/>
      <w:sz w:val="20"/>
    </w:rPr>
  </w:style>
  <w:style w:type="paragraph" w:customStyle="1" w:styleId="TableText">
    <w:name w:val="TableText"/>
    <w:basedOn w:val="Normal"/>
    <w:rsid w:val="00664B8A"/>
    <w:pPr>
      <w:keepNext/>
      <w:spacing w:before="60" w:after="60"/>
    </w:pPr>
    <w:rPr>
      <w:sz w:val="21"/>
      <w:szCs w:val="21"/>
    </w:rPr>
  </w:style>
  <w:style w:type="paragraph" w:customStyle="1" w:styleId="TFListNotesSpace">
    <w:name w:val="TFListNotes+Space"/>
    <w:basedOn w:val="TableText"/>
    <w:next w:val="Normal"/>
    <w:rsid w:val="00664B8A"/>
    <w:pPr>
      <w:keepNext w:val="0"/>
      <w:keepLines/>
      <w:spacing w:before="0" w:after="360"/>
      <w:ind w:left="170" w:hanging="170"/>
    </w:pPr>
    <w:rPr>
      <w:sz w:val="18"/>
      <w:szCs w:val="18"/>
    </w:rPr>
  </w:style>
  <w:style w:type="paragraph" w:customStyle="1" w:styleId="TFListNotes">
    <w:name w:val="TFListNotes"/>
    <w:basedOn w:val="TFListNotesSpace"/>
    <w:rsid w:val="00664B8A"/>
    <w:pPr>
      <w:keepNext/>
      <w:spacing w:after="0"/>
    </w:pPr>
  </w:style>
  <w:style w:type="paragraph" w:customStyle="1" w:styleId="TableTitle">
    <w:name w:val="TableTitle"/>
    <w:basedOn w:val="TableText"/>
    <w:rsid w:val="00664B8A"/>
    <w:pPr>
      <w:tabs>
        <w:tab w:val="left" w:pos="1080"/>
      </w:tabs>
      <w:spacing w:before="120" w:after="120"/>
      <w:ind w:left="1080" w:hanging="1080"/>
    </w:pPr>
    <w:rPr>
      <w:b/>
      <w:bCs/>
      <w:sz w:val="22"/>
    </w:rPr>
  </w:style>
  <w:style w:type="paragraph" w:customStyle="1" w:styleId="TableHeading">
    <w:name w:val="TableHeading"/>
    <w:basedOn w:val="TableText"/>
    <w:rsid w:val="00664B8A"/>
    <w:rPr>
      <w:b/>
      <w:bCs/>
    </w:rPr>
  </w:style>
  <w:style w:type="paragraph" w:customStyle="1" w:styleId="TableBullet">
    <w:name w:val="TableBullet"/>
    <w:basedOn w:val="TableText"/>
    <w:rsid w:val="00664B8A"/>
    <w:pPr>
      <w:numPr>
        <w:numId w:val="1"/>
      </w:numPr>
      <w:tabs>
        <w:tab w:val="clear" w:pos="360"/>
        <w:tab w:val="left" w:pos="216"/>
      </w:tabs>
    </w:pPr>
  </w:style>
  <w:style w:type="paragraph" w:customStyle="1" w:styleId="TableDash">
    <w:name w:val="TableDash"/>
    <w:basedOn w:val="TableText"/>
    <w:rsid w:val="00664B8A"/>
    <w:pPr>
      <w:numPr>
        <w:numId w:val="2"/>
      </w:numPr>
      <w:tabs>
        <w:tab w:val="clear" w:pos="216"/>
        <w:tab w:val="num" w:pos="432"/>
      </w:tabs>
    </w:pPr>
  </w:style>
  <w:style w:type="paragraph" w:styleId="Quote">
    <w:name w:val="Quote"/>
    <w:basedOn w:val="Normal"/>
    <w:link w:val="QuoteChar"/>
    <w:rsid w:val="00664B8A"/>
    <w:pPr>
      <w:ind w:left="720" w:right="720"/>
    </w:pPr>
    <w:rPr>
      <w:sz w:val="20"/>
    </w:rPr>
  </w:style>
  <w:style w:type="character" w:customStyle="1" w:styleId="QuoteChar">
    <w:name w:val="Quote Char"/>
    <w:basedOn w:val="DefaultParagraphFont"/>
    <w:link w:val="Quote"/>
    <w:rsid w:val="00664B8A"/>
    <w:rPr>
      <w:rFonts w:ascii="Calibri" w:eastAsia="Times New Roman" w:hAnsi="Calibri" w:cs="Times New Roman"/>
      <w:color w:val="000000"/>
      <w:sz w:val="20"/>
      <w:szCs w:val="20"/>
    </w:rPr>
  </w:style>
  <w:style w:type="paragraph" w:customStyle="1" w:styleId="References">
    <w:name w:val="References"/>
    <w:basedOn w:val="Normal"/>
    <w:rsid w:val="00664B8A"/>
    <w:pPr>
      <w:keepLines/>
      <w:ind w:left="720" w:hanging="720"/>
    </w:pPr>
  </w:style>
  <w:style w:type="paragraph" w:styleId="FootnoteText">
    <w:name w:val="footnote text"/>
    <w:basedOn w:val="Normal"/>
    <w:link w:val="FootnoteTextChar"/>
    <w:semiHidden/>
    <w:rsid w:val="00664B8A"/>
    <w:pPr>
      <w:spacing w:after="0"/>
      <w:ind w:left="360" w:hanging="360"/>
    </w:pPr>
    <w:rPr>
      <w:sz w:val="20"/>
    </w:rPr>
  </w:style>
  <w:style w:type="character" w:customStyle="1" w:styleId="FootnoteTextChar">
    <w:name w:val="Footnote Text Char"/>
    <w:basedOn w:val="DefaultParagraphFont"/>
    <w:link w:val="FootnoteText"/>
    <w:semiHidden/>
    <w:rsid w:val="00664B8A"/>
    <w:rPr>
      <w:rFonts w:ascii="Calibri" w:eastAsia="Times New Roman" w:hAnsi="Calibri" w:cs="Times New Roman"/>
      <w:color w:val="000000"/>
      <w:sz w:val="20"/>
      <w:szCs w:val="20"/>
    </w:rPr>
  </w:style>
  <w:style w:type="character" w:styleId="FootnoteReference">
    <w:name w:val="footnote reference"/>
    <w:basedOn w:val="DefaultParagraphFont"/>
    <w:semiHidden/>
    <w:rsid w:val="00664B8A"/>
    <w:rPr>
      <w:vertAlign w:val="superscript"/>
    </w:rPr>
  </w:style>
  <w:style w:type="paragraph" w:customStyle="1" w:styleId="FigTabPara">
    <w:name w:val="FigTabPara"/>
    <w:basedOn w:val="Normal"/>
    <w:next w:val="Normal"/>
    <w:rsid w:val="00664B8A"/>
    <w:pPr>
      <w:keepNext/>
      <w:spacing w:after="120"/>
      <w:ind w:left="1077"/>
    </w:pPr>
  </w:style>
  <w:style w:type="paragraph" w:customStyle="1" w:styleId="TFIHolder">
    <w:name w:val="TFIHolder"/>
    <w:basedOn w:val="TFAbbrevs"/>
    <w:qFormat/>
    <w:rsid w:val="00664B8A"/>
    <w:rPr>
      <w:sz w:val="12"/>
    </w:rPr>
  </w:style>
  <w:style w:type="paragraph" w:customStyle="1" w:styleId="TFAbbrevs">
    <w:name w:val="TFAbbrevs"/>
    <w:basedOn w:val="TFListNotes"/>
    <w:rsid w:val="00664B8A"/>
  </w:style>
  <w:style w:type="paragraph" w:customStyle="1" w:styleId="FigureTitleSpace">
    <w:name w:val="FigureTitle+Space"/>
    <w:basedOn w:val="Normal"/>
    <w:next w:val="Normal"/>
    <w:rsid w:val="000741AC"/>
    <w:pPr>
      <w:keepLines/>
      <w:tabs>
        <w:tab w:val="left" w:pos="1080"/>
      </w:tabs>
      <w:spacing w:before="120" w:after="360"/>
    </w:pPr>
    <w:rPr>
      <w:b/>
      <w:bCs/>
    </w:rPr>
  </w:style>
  <w:style w:type="paragraph" w:styleId="TOC1">
    <w:name w:val="toc 1"/>
    <w:basedOn w:val="Normal"/>
    <w:next w:val="Normal"/>
    <w:autoRedefine/>
    <w:uiPriority w:val="39"/>
    <w:rsid w:val="00302DDD"/>
    <w:pPr>
      <w:tabs>
        <w:tab w:val="left" w:pos="720"/>
        <w:tab w:val="right" w:leader="dot" w:pos="9016"/>
      </w:tabs>
      <w:spacing w:before="360" w:after="60"/>
      <w:ind w:left="720" w:right="720" w:hanging="720"/>
    </w:pPr>
    <w:rPr>
      <w:b/>
      <w:bCs/>
      <w:noProof/>
    </w:rPr>
  </w:style>
  <w:style w:type="paragraph" w:styleId="TOC2">
    <w:name w:val="toc 2"/>
    <w:basedOn w:val="Normal"/>
    <w:next w:val="Normal"/>
    <w:autoRedefine/>
    <w:uiPriority w:val="39"/>
    <w:rsid w:val="00302DDD"/>
    <w:pPr>
      <w:tabs>
        <w:tab w:val="left" w:pos="1440"/>
        <w:tab w:val="right" w:leader="dot" w:pos="9016"/>
      </w:tabs>
      <w:spacing w:before="120" w:after="60"/>
      <w:ind w:left="1440" w:right="720" w:hanging="720"/>
    </w:pPr>
  </w:style>
  <w:style w:type="paragraph" w:styleId="TOC3">
    <w:name w:val="toc 3"/>
    <w:basedOn w:val="Normal"/>
    <w:next w:val="Normal"/>
    <w:autoRedefine/>
    <w:uiPriority w:val="39"/>
    <w:rsid w:val="00664B8A"/>
    <w:pPr>
      <w:tabs>
        <w:tab w:val="left" w:pos="2160"/>
        <w:tab w:val="right" w:leader="dot" w:pos="9016"/>
      </w:tabs>
      <w:spacing w:after="20"/>
      <w:ind w:left="2160" w:right="720" w:hanging="720"/>
    </w:pPr>
  </w:style>
  <w:style w:type="paragraph" w:styleId="TableofFigures">
    <w:name w:val="table of figures"/>
    <w:basedOn w:val="Normal"/>
    <w:next w:val="Normal"/>
    <w:uiPriority w:val="99"/>
    <w:rsid w:val="00664B8A"/>
    <w:pPr>
      <w:tabs>
        <w:tab w:val="left" w:pos="1080"/>
        <w:tab w:val="right" w:leader="dot" w:pos="9000"/>
      </w:tabs>
      <w:spacing w:after="120"/>
      <w:ind w:left="1080" w:right="720" w:hangingChars="450" w:hanging="1080"/>
    </w:pPr>
  </w:style>
  <w:style w:type="paragraph" w:customStyle="1" w:styleId="BulletBeforeDash">
    <w:name w:val="BulletBeforeDash"/>
    <w:basedOn w:val="Normal"/>
    <w:rsid w:val="00664B8A"/>
    <w:pPr>
      <w:numPr>
        <w:numId w:val="3"/>
      </w:numPr>
      <w:spacing w:after="0"/>
    </w:pPr>
  </w:style>
  <w:style w:type="paragraph" w:customStyle="1" w:styleId="Bullet">
    <w:name w:val="Bullet"/>
    <w:basedOn w:val="BulletBeforeDash"/>
    <w:qFormat/>
    <w:rsid w:val="00664B8A"/>
    <w:pPr>
      <w:spacing w:after="120"/>
    </w:pPr>
  </w:style>
  <w:style w:type="paragraph" w:customStyle="1" w:styleId="BulletLast">
    <w:name w:val="BulletLast"/>
    <w:basedOn w:val="Bullet"/>
    <w:qFormat/>
    <w:rsid w:val="00664B8A"/>
    <w:pPr>
      <w:spacing w:after="240"/>
    </w:pPr>
  </w:style>
  <w:style w:type="paragraph" w:customStyle="1" w:styleId="Dash">
    <w:name w:val="Dash"/>
    <w:basedOn w:val="Normal"/>
    <w:rsid w:val="00853352"/>
    <w:pPr>
      <w:numPr>
        <w:numId w:val="4"/>
      </w:numPr>
      <w:tabs>
        <w:tab w:val="left" w:pos="720"/>
      </w:tabs>
      <w:spacing w:after="0"/>
      <w:ind w:left="714" w:hanging="357"/>
    </w:pPr>
  </w:style>
  <w:style w:type="paragraph" w:customStyle="1" w:styleId="DashLast">
    <w:name w:val="DashLast"/>
    <w:basedOn w:val="Dash"/>
    <w:rsid w:val="00664B8A"/>
    <w:pPr>
      <w:tabs>
        <w:tab w:val="clear" w:pos="216"/>
      </w:tabs>
      <w:spacing w:after="120"/>
    </w:pPr>
  </w:style>
  <w:style w:type="paragraph" w:customStyle="1" w:styleId="DashLastSpace">
    <w:name w:val="DashLast+Space"/>
    <w:basedOn w:val="DashLast"/>
    <w:rsid w:val="00664B8A"/>
    <w:pPr>
      <w:spacing w:after="240"/>
    </w:pPr>
  </w:style>
  <w:style w:type="paragraph" w:customStyle="1" w:styleId="NormalBeforeBullet">
    <w:name w:val="NormalBeforeBullet"/>
    <w:basedOn w:val="Normal"/>
    <w:qFormat/>
    <w:rsid w:val="00664B8A"/>
    <w:pPr>
      <w:keepNext/>
      <w:spacing w:after="120"/>
    </w:pPr>
  </w:style>
  <w:style w:type="paragraph" w:customStyle="1" w:styleId="BoxText">
    <w:name w:val="BoxText"/>
    <w:basedOn w:val="Normal"/>
    <w:qFormat/>
    <w:rsid w:val="00664B8A"/>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664B8A"/>
    <w:pPr>
      <w:spacing w:before="120" w:after="60"/>
    </w:pPr>
    <w:rPr>
      <w:sz w:val="18"/>
    </w:rPr>
  </w:style>
  <w:style w:type="paragraph" w:customStyle="1" w:styleId="BoxTitle">
    <w:name w:val="BoxTitle"/>
    <w:basedOn w:val="BoxText"/>
    <w:rsid w:val="00664B8A"/>
    <w:pPr>
      <w:keepNext/>
      <w:spacing w:before="180"/>
      <w:ind w:left="1080" w:hanging="1080"/>
    </w:pPr>
    <w:rPr>
      <w:b/>
      <w:bCs/>
      <w:sz w:val="24"/>
    </w:rPr>
  </w:style>
  <w:style w:type="paragraph" w:customStyle="1" w:styleId="BoxHeading">
    <w:name w:val="BoxHeading"/>
    <w:basedOn w:val="BoxText"/>
    <w:rsid w:val="00664B8A"/>
    <w:pPr>
      <w:keepNext/>
      <w:spacing w:before="120" w:after="60"/>
    </w:pPr>
    <w:rPr>
      <w:b/>
      <w:bCs/>
    </w:rPr>
  </w:style>
  <w:style w:type="paragraph" w:customStyle="1" w:styleId="BoxBullet">
    <w:name w:val="BoxBullet"/>
    <w:basedOn w:val="BoxText"/>
    <w:rsid w:val="00664B8A"/>
    <w:pPr>
      <w:numPr>
        <w:numId w:val="7"/>
      </w:numPr>
    </w:pPr>
  </w:style>
  <w:style w:type="paragraph" w:customStyle="1" w:styleId="BoxDashManual">
    <w:name w:val="BoxDashManual"/>
    <w:basedOn w:val="BoxText"/>
    <w:rsid w:val="00664B8A"/>
    <w:pPr>
      <w:tabs>
        <w:tab w:val="left" w:pos="360"/>
        <w:tab w:val="left" w:pos="720"/>
      </w:tabs>
      <w:ind w:left="720" w:hanging="720"/>
    </w:pPr>
  </w:style>
  <w:style w:type="paragraph" w:customStyle="1" w:styleId="FigureTitle">
    <w:name w:val="FigureTitle"/>
    <w:basedOn w:val="FigureNameSpace"/>
    <w:next w:val="Normal"/>
    <w:rsid w:val="00664B8A"/>
    <w:pPr>
      <w:keepNext/>
      <w:spacing w:after="120"/>
      <w:ind w:left="1077" w:hanging="1077"/>
    </w:pPr>
  </w:style>
  <w:style w:type="paragraph" w:styleId="Index1">
    <w:name w:val="index 1"/>
    <w:basedOn w:val="Normal"/>
    <w:next w:val="Normal"/>
    <w:rsid w:val="00664B8A"/>
    <w:pPr>
      <w:spacing w:after="0"/>
      <w:ind w:left="518" w:hanging="518"/>
    </w:pPr>
    <w:rPr>
      <w:noProof/>
    </w:rPr>
  </w:style>
  <w:style w:type="paragraph" w:styleId="Index2">
    <w:name w:val="index 2"/>
    <w:basedOn w:val="Index1"/>
    <w:next w:val="Normal"/>
    <w:rsid w:val="00664B8A"/>
    <w:pPr>
      <w:ind w:left="816" w:hanging="476"/>
    </w:pPr>
  </w:style>
  <w:style w:type="paragraph" w:styleId="TOC4">
    <w:name w:val="toc 4"/>
    <w:basedOn w:val="Normal"/>
    <w:next w:val="Normal"/>
    <w:autoRedefine/>
    <w:semiHidden/>
    <w:rsid w:val="00664B8A"/>
    <w:pPr>
      <w:tabs>
        <w:tab w:val="right" w:leader="dot" w:pos="9016"/>
      </w:tabs>
      <w:spacing w:after="0"/>
      <w:ind w:left="2160" w:right="720"/>
    </w:pPr>
    <w:rPr>
      <w:noProof/>
      <w:szCs w:val="24"/>
    </w:rPr>
  </w:style>
  <w:style w:type="paragraph" w:customStyle="1" w:styleId="NumberList">
    <w:name w:val="NumberList"/>
    <w:basedOn w:val="Normal"/>
    <w:rsid w:val="00664B8A"/>
    <w:pPr>
      <w:tabs>
        <w:tab w:val="left" w:pos="360"/>
      </w:tabs>
      <w:ind w:left="357" w:hanging="357"/>
    </w:pPr>
  </w:style>
  <w:style w:type="paragraph" w:customStyle="1" w:styleId="TFNoteSourceSpace">
    <w:name w:val="TFNoteSource+Space"/>
    <w:basedOn w:val="TFListNotesSpace"/>
    <w:next w:val="Normal"/>
    <w:rsid w:val="00664B8A"/>
  </w:style>
  <w:style w:type="paragraph" w:customStyle="1" w:styleId="TFNoteSource">
    <w:name w:val="TFNoteSource"/>
    <w:basedOn w:val="TFNoteSourceSpace"/>
    <w:rsid w:val="00664B8A"/>
    <w:pPr>
      <w:spacing w:after="0"/>
    </w:pPr>
  </w:style>
  <w:style w:type="character" w:customStyle="1" w:styleId="DesignerNotesChar">
    <w:name w:val="DesignerNotesChar"/>
    <w:basedOn w:val="DefaultParagraphFont"/>
    <w:rsid w:val="00664B8A"/>
    <w:rPr>
      <w:rFonts w:ascii="Arial" w:hAnsi="Arial"/>
      <w:b/>
      <w:color w:val="3366FF"/>
      <w:sz w:val="20"/>
    </w:rPr>
  </w:style>
  <w:style w:type="paragraph" w:customStyle="1" w:styleId="TFAbbrevsSpace">
    <w:name w:val="TFAbbrevs+Space"/>
    <w:basedOn w:val="TFAbbrevs"/>
    <w:next w:val="Normal"/>
    <w:rsid w:val="00664B8A"/>
    <w:pPr>
      <w:spacing w:after="360"/>
    </w:pPr>
  </w:style>
  <w:style w:type="character" w:styleId="Strong">
    <w:name w:val="Strong"/>
    <w:basedOn w:val="DefaultParagraphFont"/>
    <w:uiPriority w:val="22"/>
    <w:qFormat/>
    <w:rsid w:val="00664B8A"/>
    <w:rPr>
      <w:b/>
      <w:bCs/>
    </w:rPr>
  </w:style>
  <w:style w:type="character" w:styleId="Emphasis">
    <w:name w:val="Emphasis"/>
    <w:basedOn w:val="DefaultParagraphFont"/>
    <w:uiPriority w:val="20"/>
    <w:qFormat/>
    <w:rsid w:val="00664B8A"/>
    <w:rPr>
      <w:i/>
      <w:iCs/>
    </w:rPr>
  </w:style>
  <w:style w:type="character" w:customStyle="1" w:styleId="Roman">
    <w:name w:val="Roman"/>
    <w:uiPriority w:val="1"/>
    <w:rsid w:val="00664B8A"/>
    <w:rPr>
      <w:b w:val="0"/>
      <w:i/>
    </w:rPr>
  </w:style>
  <w:style w:type="character" w:customStyle="1" w:styleId="PullQuoteOrigin">
    <w:name w:val="PullQuoteOrigin"/>
    <w:basedOn w:val="DefaultParagraphFont"/>
    <w:uiPriority w:val="1"/>
    <w:rsid w:val="00664B8A"/>
    <w:rPr>
      <w:b/>
      <w:noProof/>
      <w:color w:val="7B7B7B" w:themeColor="accent3" w:themeShade="BF"/>
    </w:rPr>
  </w:style>
  <w:style w:type="table" w:styleId="TableGrid">
    <w:name w:val="Table Grid"/>
    <w:basedOn w:val="TableNormal"/>
    <w:uiPriority w:val="59"/>
    <w:rsid w:val="00664B8A"/>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FIHolderSpace">
    <w:name w:val="TFIHolder+Space"/>
    <w:basedOn w:val="TFIHolder"/>
    <w:qFormat/>
    <w:rsid w:val="00664B8A"/>
    <w:pPr>
      <w:spacing w:after="240"/>
    </w:pPr>
  </w:style>
  <w:style w:type="paragraph" w:customStyle="1" w:styleId="DesignerNotes">
    <w:name w:val="DesignerNotes"/>
    <w:basedOn w:val="Normal"/>
    <w:rsid w:val="00664B8A"/>
    <w:rPr>
      <w:rFonts w:ascii="Arial" w:hAnsi="Arial"/>
      <w:b/>
      <w:color w:val="3366FF"/>
      <w:sz w:val="20"/>
    </w:rPr>
  </w:style>
  <w:style w:type="character" w:customStyle="1" w:styleId="Subscript">
    <w:name w:val="Subscript"/>
    <w:basedOn w:val="DefaultParagraphFont"/>
    <w:uiPriority w:val="1"/>
    <w:rsid w:val="00664B8A"/>
    <w:rPr>
      <w:noProof/>
      <w:vertAlign w:val="subscript"/>
    </w:rPr>
  </w:style>
  <w:style w:type="character" w:customStyle="1" w:styleId="Superscript">
    <w:name w:val="Superscript"/>
    <w:basedOn w:val="DefaultParagraphFont"/>
    <w:uiPriority w:val="1"/>
    <w:rsid w:val="00664B8A"/>
    <w:rPr>
      <w:noProof/>
      <w:vertAlign w:val="superscript"/>
    </w:rPr>
  </w:style>
  <w:style w:type="character" w:customStyle="1" w:styleId="Symbol">
    <w:name w:val="Symbol"/>
    <w:basedOn w:val="DefaultParagraphFont"/>
    <w:uiPriority w:val="1"/>
    <w:rsid w:val="00664B8A"/>
    <w:rPr>
      <w:noProof/>
    </w:rPr>
  </w:style>
  <w:style w:type="character" w:customStyle="1" w:styleId="NoBreak">
    <w:name w:val="NoBreak"/>
    <w:basedOn w:val="DefaultParagraphFont"/>
    <w:uiPriority w:val="1"/>
    <w:rsid w:val="00664B8A"/>
    <w:rPr>
      <w:noProof/>
    </w:rPr>
  </w:style>
  <w:style w:type="paragraph" w:customStyle="1" w:styleId="MathEquation">
    <w:name w:val="MathEquation"/>
    <w:basedOn w:val="Normal"/>
    <w:rsid w:val="00664B8A"/>
    <w:rPr>
      <w:rFonts w:ascii="Cambria Math" w:hAnsi="Cambria Math"/>
      <w:i/>
      <w:noProof/>
    </w:rPr>
  </w:style>
  <w:style w:type="paragraph" w:customStyle="1" w:styleId="ComputerCode">
    <w:name w:val="ComputerCode"/>
    <w:basedOn w:val="Normal"/>
    <w:rsid w:val="00664B8A"/>
    <w:pPr>
      <w:ind w:left="567"/>
      <w:contextualSpacing/>
    </w:pPr>
    <w:rPr>
      <w:rFonts w:ascii="Courier New" w:hAnsi="Courier New"/>
      <w:color w:val="auto"/>
      <w:sz w:val="20"/>
      <w:szCs w:val="24"/>
    </w:rPr>
  </w:style>
  <w:style w:type="paragraph" w:customStyle="1" w:styleId="BulletChecklist">
    <w:name w:val="BulletChecklist"/>
    <w:basedOn w:val="Bullet"/>
    <w:rsid w:val="00664B8A"/>
    <w:pPr>
      <w:tabs>
        <w:tab w:val="clear" w:pos="360"/>
      </w:tabs>
      <w:ind w:left="720"/>
    </w:pPr>
    <w:rPr>
      <w:noProof/>
    </w:rPr>
  </w:style>
  <w:style w:type="paragraph" w:customStyle="1" w:styleId="ImprintText">
    <w:name w:val="ImprintText"/>
    <w:basedOn w:val="Normal"/>
    <w:rsid w:val="00664B8A"/>
    <w:pPr>
      <w:spacing w:after="120"/>
    </w:pPr>
    <w:rPr>
      <w:sz w:val="20"/>
    </w:rPr>
  </w:style>
  <w:style w:type="paragraph" w:customStyle="1" w:styleId="AltText">
    <w:name w:val="AltText"/>
    <w:basedOn w:val="Normal"/>
    <w:rsid w:val="00664B8A"/>
    <w:rPr>
      <w:rFonts w:ascii="Arial" w:hAnsi="Arial"/>
      <w:color w:val="538135" w:themeColor="accent6" w:themeShade="BF"/>
      <w:sz w:val="20"/>
    </w:rPr>
  </w:style>
  <w:style w:type="paragraph" w:styleId="Caption">
    <w:name w:val="caption"/>
    <w:basedOn w:val="Normal"/>
    <w:next w:val="Normal"/>
    <w:uiPriority w:val="35"/>
    <w:unhideWhenUsed/>
    <w:rsid w:val="00664B8A"/>
    <w:pPr>
      <w:spacing w:after="0"/>
    </w:pPr>
    <w:rPr>
      <w:b/>
      <w:bCs/>
      <w:color w:val="auto"/>
      <w:sz w:val="18"/>
      <w:szCs w:val="18"/>
    </w:rPr>
  </w:style>
  <w:style w:type="paragraph" w:customStyle="1" w:styleId="Credit">
    <w:name w:val="Credit"/>
    <w:basedOn w:val="Caption"/>
    <w:next w:val="Normal"/>
    <w:rsid w:val="00664B8A"/>
    <w:pPr>
      <w:spacing w:after="240"/>
    </w:pPr>
    <w:rPr>
      <w:b w:val="0"/>
      <w:noProof/>
    </w:rPr>
  </w:style>
  <w:style w:type="paragraph" w:customStyle="1" w:styleId="NormalFirstPara">
    <w:name w:val="NormalFirstPara"/>
    <w:basedOn w:val="Normal"/>
    <w:rsid w:val="00664B8A"/>
    <w:rPr>
      <w:noProof/>
      <w:color w:val="A5A5A5" w:themeColor="accent3"/>
    </w:rPr>
  </w:style>
  <w:style w:type="paragraph" w:customStyle="1" w:styleId="TableHeadingCA">
    <w:name w:val="TableHeadingCA"/>
    <w:basedOn w:val="TableHeading"/>
    <w:rsid w:val="00664B8A"/>
    <w:pPr>
      <w:jc w:val="center"/>
    </w:pPr>
  </w:style>
  <w:style w:type="paragraph" w:customStyle="1" w:styleId="TableTextCA">
    <w:name w:val="TableTextCA"/>
    <w:basedOn w:val="TableText"/>
    <w:rsid w:val="00664B8A"/>
    <w:pPr>
      <w:jc w:val="center"/>
    </w:pPr>
  </w:style>
  <w:style w:type="paragraph" w:customStyle="1" w:styleId="TableTextDA">
    <w:name w:val="TableTextDA"/>
    <w:basedOn w:val="TableText"/>
    <w:rsid w:val="000741AC"/>
    <w:pPr>
      <w:tabs>
        <w:tab w:val="decimal" w:pos="1119"/>
      </w:tabs>
    </w:pPr>
  </w:style>
  <w:style w:type="paragraph" w:customStyle="1" w:styleId="NormalIndent">
    <w:name w:val="NormalIndent"/>
    <w:basedOn w:val="Normal"/>
    <w:rsid w:val="00664B8A"/>
    <w:pPr>
      <w:ind w:left="357"/>
    </w:pPr>
  </w:style>
  <w:style w:type="paragraph" w:styleId="BalloonText">
    <w:name w:val="Balloon Text"/>
    <w:basedOn w:val="Normal"/>
    <w:link w:val="BalloonTextChar"/>
    <w:uiPriority w:val="99"/>
    <w:semiHidden/>
    <w:unhideWhenUsed/>
    <w:rsid w:val="00664B8A"/>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4B8A"/>
    <w:rPr>
      <w:rFonts w:ascii="Tahoma" w:eastAsia="Times New Roman" w:hAnsi="Tahoma" w:cs="Tahoma"/>
      <w:color w:val="000000"/>
      <w:sz w:val="16"/>
      <w:szCs w:val="16"/>
    </w:rPr>
  </w:style>
  <w:style w:type="paragraph" w:styleId="Title">
    <w:name w:val="Title"/>
    <w:basedOn w:val="Normal"/>
    <w:next w:val="Normal"/>
    <w:link w:val="TitleChar"/>
    <w:uiPriority w:val="10"/>
    <w:rsid w:val="00664B8A"/>
    <w:pPr>
      <w:spacing w:after="300"/>
      <w:contextualSpacing/>
      <w:jc w:val="center"/>
    </w:pPr>
    <w:rPr>
      <w:rFonts w:eastAsiaTheme="majorEastAsia" w:cstheme="majorBidi"/>
      <w:b/>
      <w:color w:val="auto"/>
      <w:spacing w:val="5"/>
      <w:kern w:val="28"/>
      <w:sz w:val="48"/>
      <w:szCs w:val="52"/>
    </w:rPr>
  </w:style>
  <w:style w:type="character" w:customStyle="1" w:styleId="TitleChar">
    <w:name w:val="Title Char"/>
    <w:basedOn w:val="DefaultParagraphFont"/>
    <w:link w:val="Title"/>
    <w:uiPriority w:val="10"/>
    <w:rsid w:val="00664B8A"/>
    <w:rPr>
      <w:rFonts w:ascii="Calibri" w:eastAsiaTheme="majorEastAsia" w:hAnsi="Calibri" w:cstheme="majorBidi"/>
      <w:b/>
      <w:spacing w:val="5"/>
      <w:kern w:val="28"/>
      <w:sz w:val="48"/>
      <w:szCs w:val="52"/>
    </w:rPr>
  </w:style>
  <w:style w:type="paragraph" w:customStyle="1" w:styleId="SectionTitle">
    <w:name w:val="SectionTitle"/>
    <w:basedOn w:val="Normal"/>
    <w:next w:val="Normal"/>
    <w:rsid w:val="00664B8A"/>
    <w:pPr>
      <w:jc w:val="center"/>
    </w:pPr>
    <w:rPr>
      <w:b/>
      <w:sz w:val="40"/>
    </w:rPr>
  </w:style>
  <w:style w:type="paragraph" w:customStyle="1" w:styleId="SectionSubtitle">
    <w:name w:val="SectionSubtitle"/>
    <w:basedOn w:val="Normal"/>
    <w:rsid w:val="00664B8A"/>
    <w:pPr>
      <w:spacing w:after="0"/>
      <w:jc w:val="center"/>
    </w:pPr>
    <w:rPr>
      <w:sz w:val="32"/>
    </w:rPr>
  </w:style>
  <w:style w:type="paragraph" w:customStyle="1" w:styleId="QuoteNumberList">
    <w:name w:val="QuoteNumberList"/>
    <w:basedOn w:val="Quote"/>
    <w:rsid w:val="00664B8A"/>
    <w:pPr>
      <w:ind w:left="1117" w:hanging="397"/>
    </w:pPr>
    <w:rPr>
      <w:noProof/>
    </w:rPr>
  </w:style>
  <w:style w:type="paragraph" w:customStyle="1" w:styleId="QuoteBullet">
    <w:name w:val="QuoteBullet"/>
    <w:basedOn w:val="Quote"/>
    <w:rsid w:val="00664B8A"/>
    <w:pPr>
      <w:numPr>
        <w:numId w:val="6"/>
      </w:numPr>
    </w:pPr>
    <w:rPr>
      <w:noProof/>
    </w:rPr>
  </w:style>
  <w:style w:type="paragraph" w:customStyle="1" w:styleId="BoxDash">
    <w:name w:val="BoxDash"/>
    <w:basedOn w:val="BoxBullet"/>
    <w:rsid w:val="00664B8A"/>
    <w:pPr>
      <w:numPr>
        <w:numId w:val="5"/>
      </w:numPr>
    </w:pPr>
  </w:style>
  <w:style w:type="character" w:customStyle="1" w:styleId="CrossRef">
    <w:name w:val="CrossRef"/>
    <w:basedOn w:val="DefaultParagraphFont"/>
    <w:uiPriority w:val="1"/>
    <w:rsid w:val="00664B8A"/>
    <w:rPr>
      <w:rFonts w:ascii="Calibri" w:hAnsi="Calibri"/>
      <w:b/>
      <w:noProof/>
      <w:color w:val="ED7D31" w:themeColor="accent2"/>
      <w:sz w:val="24"/>
    </w:rPr>
  </w:style>
  <w:style w:type="paragraph" w:customStyle="1" w:styleId="TableNumberedList">
    <w:name w:val="TableNumberedList"/>
    <w:basedOn w:val="TableText"/>
    <w:autoRedefine/>
    <w:qFormat/>
    <w:rsid w:val="00C4726D"/>
    <w:pPr>
      <w:numPr>
        <w:numId w:val="8"/>
      </w:numPr>
      <w:ind w:left="357" w:hanging="357"/>
    </w:pPr>
  </w:style>
  <w:style w:type="character" w:customStyle="1" w:styleId="StrongEmphasis">
    <w:name w:val="StrongEmphasis"/>
    <w:basedOn w:val="DefaultParagraphFont"/>
    <w:rsid w:val="00664B8A"/>
    <w:rPr>
      <w:b/>
      <w:bCs/>
      <w:i/>
      <w:iCs/>
    </w:rPr>
  </w:style>
  <w:style w:type="character" w:customStyle="1" w:styleId="MathEquationChar">
    <w:name w:val="MathEquationChar"/>
    <w:basedOn w:val="DefaultParagraphFont"/>
    <w:uiPriority w:val="1"/>
    <w:rsid w:val="00664B8A"/>
    <w:rPr>
      <w:rFonts w:ascii="Cambria Math" w:hAnsi="Cambria Math"/>
      <w:noProof/>
    </w:rPr>
  </w:style>
  <w:style w:type="character" w:customStyle="1" w:styleId="SubscriptEmphasis">
    <w:name w:val="SubscriptEmphasis"/>
    <w:basedOn w:val="DefaultParagraphFont"/>
    <w:uiPriority w:val="1"/>
    <w:rsid w:val="00664B8A"/>
    <w:rPr>
      <w:i/>
      <w:noProof/>
      <w:vertAlign w:val="subscript"/>
    </w:rPr>
  </w:style>
  <w:style w:type="character" w:customStyle="1" w:styleId="Heading6Char">
    <w:name w:val="Heading 6 Char"/>
    <w:basedOn w:val="DefaultParagraphFont"/>
    <w:link w:val="Heading6"/>
    <w:uiPriority w:val="9"/>
    <w:rsid w:val="00C4726D"/>
    <w:rPr>
      <w:rFonts w:eastAsiaTheme="majorEastAsia" w:cstheme="majorBidi"/>
      <w:color w:val="1F3763" w:themeColor="accent1" w:themeShade="7F"/>
      <w:sz w:val="22"/>
      <w:szCs w:val="22"/>
    </w:rPr>
  </w:style>
  <w:style w:type="character" w:styleId="CommentReference">
    <w:name w:val="annotation reference"/>
    <w:basedOn w:val="DefaultParagraphFont"/>
    <w:uiPriority w:val="99"/>
    <w:semiHidden/>
    <w:unhideWhenUsed/>
    <w:rsid w:val="00664B8A"/>
    <w:rPr>
      <w:sz w:val="16"/>
      <w:szCs w:val="16"/>
    </w:rPr>
  </w:style>
  <w:style w:type="paragraph" w:styleId="CommentText">
    <w:name w:val="annotation text"/>
    <w:basedOn w:val="Normal"/>
    <w:link w:val="CommentTextChar"/>
    <w:uiPriority w:val="99"/>
    <w:unhideWhenUsed/>
    <w:rsid w:val="00664B8A"/>
    <w:rPr>
      <w:sz w:val="20"/>
    </w:rPr>
  </w:style>
  <w:style w:type="character" w:customStyle="1" w:styleId="CommentTextChar">
    <w:name w:val="Comment Text Char"/>
    <w:basedOn w:val="DefaultParagraphFont"/>
    <w:link w:val="CommentText"/>
    <w:uiPriority w:val="99"/>
    <w:rsid w:val="00664B8A"/>
    <w:rPr>
      <w:rFonts w:ascii="Calibri" w:eastAsia="Times New Roman" w:hAnsi="Calibri"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664B8A"/>
    <w:rPr>
      <w:b/>
      <w:bCs/>
    </w:rPr>
  </w:style>
  <w:style w:type="character" w:customStyle="1" w:styleId="CommentSubjectChar">
    <w:name w:val="Comment Subject Char"/>
    <w:basedOn w:val="CommentTextChar"/>
    <w:link w:val="CommentSubject"/>
    <w:uiPriority w:val="99"/>
    <w:semiHidden/>
    <w:rsid w:val="00664B8A"/>
    <w:rPr>
      <w:rFonts w:ascii="Calibri" w:eastAsia="Times New Roman" w:hAnsi="Calibri" w:cs="Times New Roman"/>
      <w:b/>
      <w:bCs/>
      <w:color w:val="000000"/>
      <w:sz w:val="20"/>
      <w:szCs w:val="20"/>
    </w:rPr>
  </w:style>
  <w:style w:type="paragraph" w:styleId="ListParagraph">
    <w:name w:val="List Paragraph"/>
    <w:aliases w:val="Bullet Point,Bullet point,Bulletr List Paragraph,Content descriptions,FooterText,L,List Bullet 1,List Paragraph1,List Paragraph11,List Paragraph2,List Paragraph21,Listeafsnit1,NFP GP Bulleted List,Paragraphe de liste1,Recommendation,リスト段落"/>
    <w:basedOn w:val="Normal"/>
    <w:link w:val="ListParagraphChar"/>
    <w:uiPriority w:val="34"/>
    <w:qFormat/>
    <w:rsid w:val="00C4726D"/>
    <w:pPr>
      <w:spacing w:after="200" w:line="276" w:lineRule="auto"/>
      <w:ind w:left="720"/>
      <w:contextualSpacing/>
    </w:pPr>
  </w:style>
  <w:style w:type="character" w:customStyle="1" w:styleId="ListParagraphChar">
    <w:name w:val="List Paragraph Char"/>
    <w:aliases w:val="Bullet Point Char,Bullet point Char,Bulletr List Paragraph Char,Content descriptions Char,FooterText Char,L Char,List Bullet 1 Char,List Paragraph1 Char,List Paragraph11 Char,List Paragraph2 Char,List Paragraph21 Char,リスト段落 Char"/>
    <w:link w:val="ListParagraph"/>
    <w:uiPriority w:val="34"/>
    <w:qFormat/>
    <w:locked/>
    <w:rsid w:val="00C4726D"/>
    <w:rPr>
      <w:sz w:val="22"/>
      <w:szCs w:val="22"/>
    </w:rPr>
  </w:style>
  <w:style w:type="table" w:styleId="ListTable3-Accent1">
    <w:name w:val="List Table 3 Accent 1"/>
    <w:basedOn w:val="TableNormal"/>
    <w:uiPriority w:val="48"/>
    <w:rsid w:val="00C4726D"/>
    <w:rPr>
      <w:rFonts w:ascii="Times New Roman" w:eastAsia="Times New Roman" w:hAnsi="Times New Roman" w:cs="Times New Roman"/>
      <w:sz w:val="20"/>
      <w:szCs w:val="20"/>
      <w:lang w:eastAsia="en-AU"/>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Hyperlink">
    <w:name w:val="Hyperlink"/>
    <w:basedOn w:val="DefaultParagraphFont"/>
    <w:uiPriority w:val="99"/>
    <w:unhideWhenUsed/>
    <w:rsid w:val="00C4726D"/>
    <w:rPr>
      <w:color w:val="0563C1" w:themeColor="hyperlink"/>
      <w:u w:val="single"/>
    </w:rPr>
  </w:style>
  <w:style w:type="character" w:styleId="UnresolvedMention">
    <w:name w:val="Unresolved Mention"/>
    <w:basedOn w:val="DefaultParagraphFont"/>
    <w:uiPriority w:val="99"/>
    <w:rsid w:val="00C4726D"/>
    <w:rPr>
      <w:color w:val="605E5C"/>
      <w:shd w:val="clear" w:color="auto" w:fill="E1DFDD"/>
    </w:rPr>
  </w:style>
  <w:style w:type="paragraph" w:styleId="Revision">
    <w:name w:val="Revision"/>
    <w:hidden/>
    <w:uiPriority w:val="99"/>
    <w:semiHidden/>
    <w:rsid w:val="00664B8A"/>
    <w:rPr>
      <w:rFonts w:eastAsia="Times New Roman"/>
    </w:rPr>
  </w:style>
  <w:style w:type="character" w:styleId="FollowedHyperlink">
    <w:name w:val="FollowedHyperlink"/>
    <w:basedOn w:val="DefaultParagraphFont"/>
    <w:uiPriority w:val="99"/>
    <w:semiHidden/>
    <w:unhideWhenUsed/>
    <w:rsid w:val="00C4726D"/>
    <w:rPr>
      <w:color w:val="954F72" w:themeColor="followedHyperlink"/>
      <w:u w:val="single"/>
    </w:rPr>
  </w:style>
  <w:style w:type="paragraph" w:customStyle="1" w:styleId="paragraph">
    <w:name w:val="paragraph"/>
    <w:basedOn w:val="Normal"/>
    <w:rsid w:val="00776BD3"/>
    <w:pPr>
      <w:spacing w:before="100" w:beforeAutospacing="1" w:after="100" w:afterAutospacing="1"/>
    </w:pPr>
  </w:style>
  <w:style w:type="character" w:customStyle="1" w:styleId="normaltextrun">
    <w:name w:val="normaltextrun"/>
    <w:basedOn w:val="DefaultParagraphFont"/>
    <w:rsid w:val="00C4726D"/>
  </w:style>
  <w:style w:type="character" w:customStyle="1" w:styleId="eop">
    <w:name w:val="eop"/>
    <w:basedOn w:val="DefaultParagraphFont"/>
    <w:rsid w:val="00776BD3"/>
  </w:style>
  <w:style w:type="paragraph" w:customStyle="1" w:styleId="FigureNameSpace">
    <w:name w:val="FigureName+Space"/>
    <w:basedOn w:val="Normal"/>
    <w:next w:val="Normal"/>
    <w:rsid w:val="00664B8A"/>
    <w:pPr>
      <w:keepLines/>
      <w:tabs>
        <w:tab w:val="left" w:pos="1080"/>
      </w:tabs>
      <w:spacing w:before="120" w:after="360"/>
      <w:ind w:left="1080" w:hanging="1080"/>
    </w:pPr>
    <w:rPr>
      <w:b/>
      <w:bCs/>
    </w:rPr>
  </w:style>
  <w:style w:type="paragraph" w:customStyle="1" w:styleId="BoxName">
    <w:name w:val="BoxName"/>
    <w:basedOn w:val="BoxText"/>
    <w:rsid w:val="00C4726D"/>
    <w:pPr>
      <w:keepNext/>
      <w:spacing w:before="180"/>
      <w:ind w:left="1080" w:hanging="1080"/>
    </w:pPr>
    <w:rPr>
      <w:b/>
      <w:bCs/>
    </w:rPr>
  </w:style>
  <w:style w:type="paragraph" w:customStyle="1" w:styleId="FigureName">
    <w:name w:val="FigureName"/>
    <w:basedOn w:val="FigureNameSpace"/>
    <w:next w:val="Normal"/>
    <w:rsid w:val="00C4726D"/>
    <w:pPr>
      <w:keepNext/>
      <w:spacing w:after="120"/>
      <w:ind w:left="1077" w:hanging="1077"/>
    </w:pPr>
  </w:style>
  <w:style w:type="paragraph" w:customStyle="1" w:styleId="TableTextDecimalAlign">
    <w:name w:val="TableTextDecimalAlign"/>
    <w:basedOn w:val="TableText"/>
    <w:rsid w:val="00664B8A"/>
    <w:pPr>
      <w:tabs>
        <w:tab w:val="decimal" w:pos="1119"/>
      </w:tabs>
    </w:pPr>
  </w:style>
  <w:style w:type="numbering" w:customStyle="1" w:styleId="CurrentList1">
    <w:name w:val="Current List1"/>
    <w:uiPriority w:val="99"/>
    <w:rsid w:val="00C4726D"/>
    <w:pPr>
      <w:numPr>
        <w:numId w:val="10"/>
      </w:numPr>
    </w:pPr>
  </w:style>
  <w:style w:type="numbering" w:customStyle="1" w:styleId="CurrentList2">
    <w:name w:val="Current List2"/>
    <w:uiPriority w:val="99"/>
    <w:rsid w:val="00C4726D"/>
    <w:pPr>
      <w:numPr>
        <w:numId w:val="11"/>
      </w:numPr>
    </w:pPr>
  </w:style>
  <w:style w:type="paragraph" w:customStyle="1" w:styleId="DepartmentalNormal">
    <w:name w:val="Departmental Normal"/>
    <w:basedOn w:val="Normal"/>
    <w:rsid w:val="00E82CC1"/>
  </w:style>
  <w:style w:type="character" w:styleId="LineNumber">
    <w:name w:val="line number"/>
    <w:basedOn w:val="DefaultParagraphFont"/>
    <w:uiPriority w:val="99"/>
    <w:semiHidden/>
    <w:unhideWhenUsed/>
    <w:rsid w:val="00664B8A"/>
  </w:style>
  <w:style w:type="table" w:styleId="ListTable4-Accent2">
    <w:name w:val="List Table 4 Accent 2"/>
    <w:basedOn w:val="TableNormal"/>
    <w:uiPriority w:val="49"/>
    <w:rsid w:val="00816F3E"/>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GridTable4-Accent61">
    <w:name w:val="Grid Table 4 - Accent 61"/>
    <w:basedOn w:val="TableNormal"/>
    <w:next w:val="GridTable4-Accent6"/>
    <w:uiPriority w:val="49"/>
    <w:rsid w:val="00081620"/>
    <w:rPr>
      <w:rFonts w:ascii="Times New Roman" w:eastAsia="Times New Roman" w:hAnsi="Times New Roman" w:cs="Times New Roman"/>
      <w:sz w:val="20"/>
      <w:szCs w:val="20"/>
      <w:lang w:eastAsia="en-AU"/>
    </w:rPr>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GridTable4-Accent6">
    <w:name w:val="Grid Table 4 Accent 6"/>
    <w:basedOn w:val="TableNormal"/>
    <w:uiPriority w:val="49"/>
    <w:rsid w:val="00081620"/>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H2">
    <w:name w:val="*H2"/>
    <w:basedOn w:val="Normal"/>
    <w:qFormat/>
    <w:rsid w:val="00F146B0"/>
    <w:rPr>
      <w:rFonts w:ascii="Open Sans" w:hAnsi="Open Sans" w:cs="Open Sans"/>
      <w:b/>
      <w:bCs/>
      <w:lang w:val="en-US"/>
    </w:rPr>
  </w:style>
  <w:style w:type="character" w:styleId="Mention">
    <w:name w:val="Mention"/>
    <w:basedOn w:val="DefaultParagraphFont"/>
    <w:uiPriority w:val="99"/>
    <w:unhideWhenUsed/>
    <w:rsid w:val="002E2491"/>
    <w:rPr>
      <w:color w:val="2B579A"/>
      <w:shd w:val="clear" w:color="auto" w:fill="E1DFDD"/>
    </w:rPr>
  </w:style>
  <w:style w:type="character" w:customStyle="1" w:styleId="cf01">
    <w:name w:val="cf01"/>
    <w:basedOn w:val="DefaultParagraphFont"/>
    <w:rsid w:val="00D30721"/>
    <w:rPr>
      <w:rFonts w:ascii="Segoe UI" w:hAnsi="Segoe UI" w:cs="Segoe UI" w:hint="default"/>
      <w:sz w:val="18"/>
      <w:szCs w:val="18"/>
    </w:rPr>
  </w:style>
  <w:style w:type="paragraph" w:customStyle="1" w:styleId="pf0">
    <w:name w:val="pf0"/>
    <w:basedOn w:val="Normal"/>
    <w:rsid w:val="006233BE"/>
    <w:pPr>
      <w:spacing w:before="100" w:beforeAutospacing="1" w:after="100" w:afterAutospacing="1"/>
    </w:pPr>
    <w:rPr>
      <w:rFonts w:ascii="Times New Roman" w:hAnsi="Times New Roman"/>
      <w:sz w:val="24"/>
      <w:szCs w:val="24"/>
      <w:lang w:eastAsia="en-AU"/>
    </w:rPr>
  </w:style>
  <w:style w:type="table" w:styleId="GridTable1Light-Accent2">
    <w:name w:val="Grid Table 1 Light Accent 2"/>
    <w:basedOn w:val="TableNormal"/>
    <w:uiPriority w:val="46"/>
    <w:rsid w:val="00D30DB0"/>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PlainTable3">
    <w:name w:val="Plain Table 3"/>
    <w:basedOn w:val="TableNormal"/>
    <w:uiPriority w:val="43"/>
    <w:rsid w:val="004D036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Tabletextleft">
    <w:name w:val="Table text left"/>
    <w:basedOn w:val="Normal"/>
    <w:rsid w:val="008B654D"/>
    <w:pPr>
      <w:spacing w:before="60" w:after="60"/>
    </w:pPr>
    <w:rPr>
      <w:rFonts w:ascii="Arial" w:eastAsiaTheme="minorHAnsi" w:hAnsi="Arial" w:cs="Arial"/>
      <w:b/>
      <w:bCs/>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9154">
      <w:bodyDiv w:val="1"/>
      <w:marLeft w:val="0"/>
      <w:marRight w:val="0"/>
      <w:marTop w:val="0"/>
      <w:marBottom w:val="0"/>
      <w:divBdr>
        <w:top w:val="none" w:sz="0" w:space="0" w:color="auto"/>
        <w:left w:val="none" w:sz="0" w:space="0" w:color="auto"/>
        <w:bottom w:val="none" w:sz="0" w:space="0" w:color="auto"/>
        <w:right w:val="none" w:sz="0" w:space="0" w:color="auto"/>
      </w:divBdr>
    </w:div>
    <w:div w:id="14700478">
      <w:bodyDiv w:val="1"/>
      <w:marLeft w:val="0"/>
      <w:marRight w:val="0"/>
      <w:marTop w:val="0"/>
      <w:marBottom w:val="0"/>
      <w:divBdr>
        <w:top w:val="none" w:sz="0" w:space="0" w:color="auto"/>
        <w:left w:val="none" w:sz="0" w:space="0" w:color="auto"/>
        <w:bottom w:val="none" w:sz="0" w:space="0" w:color="auto"/>
        <w:right w:val="none" w:sz="0" w:space="0" w:color="auto"/>
      </w:divBdr>
    </w:div>
    <w:div w:id="68844609">
      <w:bodyDiv w:val="1"/>
      <w:marLeft w:val="0"/>
      <w:marRight w:val="0"/>
      <w:marTop w:val="0"/>
      <w:marBottom w:val="0"/>
      <w:divBdr>
        <w:top w:val="none" w:sz="0" w:space="0" w:color="auto"/>
        <w:left w:val="none" w:sz="0" w:space="0" w:color="auto"/>
        <w:bottom w:val="none" w:sz="0" w:space="0" w:color="auto"/>
        <w:right w:val="none" w:sz="0" w:space="0" w:color="auto"/>
      </w:divBdr>
      <w:divsChild>
        <w:div w:id="368922009">
          <w:marLeft w:val="0"/>
          <w:marRight w:val="0"/>
          <w:marTop w:val="0"/>
          <w:marBottom w:val="0"/>
          <w:divBdr>
            <w:top w:val="none" w:sz="0" w:space="0" w:color="auto"/>
            <w:left w:val="none" w:sz="0" w:space="0" w:color="auto"/>
            <w:bottom w:val="none" w:sz="0" w:space="0" w:color="auto"/>
            <w:right w:val="none" w:sz="0" w:space="0" w:color="auto"/>
          </w:divBdr>
          <w:divsChild>
            <w:div w:id="127362000">
              <w:marLeft w:val="0"/>
              <w:marRight w:val="0"/>
              <w:marTop w:val="0"/>
              <w:marBottom w:val="0"/>
              <w:divBdr>
                <w:top w:val="none" w:sz="0" w:space="0" w:color="auto"/>
                <w:left w:val="none" w:sz="0" w:space="0" w:color="auto"/>
                <w:bottom w:val="none" w:sz="0" w:space="0" w:color="auto"/>
                <w:right w:val="none" w:sz="0" w:space="0" w:color="auto"/>
              </w:divBdr>
              <w:divsChild>
                <w:div w:id="397939016">
                  <w:marLeft w:val="0"/>
                  <w:marRight w:val="0"/>
                  <w:marTop w:val="0"/>
                  <w:marBottom w:val="0"/>
                  <w:divBdr>
                    <w:top w:val="none" w:sz="0" w:space="0" w:color="auto"/>
                    <w:left w:val="none" w:sz="0" w:space="0" w:color="auto"/>
                    <w:bottom w:val="none" w:sz="0" w:space="0" w:color="auto"/>
                    <w:right w:val="none" w:sz="0" w:space="0" w:color="auto"/>
                  </w:divBdr>
                </w:div>
              </w:divsChild>
            </w:div>
            <w:div w:id="179245852">
              <w:marLeft w:val="0"/>
              <w:marRight w:val="0"/>
              <w:marTop w:val="0"/>
              <w:marBottom w:val="0"/>
              <w:divBdr>
                <w:top w:val="none" w:sz="0" w:space="0" w:color="auto"/>
                <w:left w:val="none" w:sz="0" w:space="0" w:color="auto"/>
                <w:bottom w:val="none" w:sz="0" w:space="0" w:color="auto"/>
                <w:right w:val="none" w:sz="0" w:space="0" w:color="auto"/>
              </w:divBdr>
              <w:divsChild>
                <w:div w:id="83574101">
                  <w:marLeft w:val="0"/>
                  <w:marRight w:val="0"/>
                  <w:marTop w:val="0"/>
                  <w:marBottom w:val="0"/>
                  <w:divBdr>
                    <w:top w:val="none" w:sz="0" w:space="0" w:color="auto"/>
                    <w:left w:val="none" w:sz="0" w:space="0" w:color="auto"/>
                    <w:bottom w:val="none" w:sz="0" w:space="0" w:color="auto"/>
                    <w:right w:val="none" w:sz="0" w:space="0" w:color="auto"/>
                  </w:divBdr>
                </w:div>
              </w:divsChild>
            </w:div>
            <w:div w:id="256642775">
              <w:marLeft w:val="0"/>
              <w:marRight w:val="0"/>
              <w:marTop w:val="0"/>
              <w:marBottom w:val="0"/>
              <w:divBdr>
                <w:top w:val="none" w:sz="0" w:space="0" w:color="auto"/>
                <w:left w:val="none" w:sz="0" w:space="0" w:color="auto"/>
                <w:bottom w:val="none" w:sz="0" w:space="0" w:color="auto"/>
                <w:right w:val="none" w:sz="0" w:space="0" w:color="auto"/>
              </w:divBdr>
              <w:divsChild>
                <w:div w:id="1245651213">
                  <w:marLeft w:val="0"/>
                  <w:marRight w:val="0"/>
                  <w:marTop w:val="0"/>
                  <w:marBottom w:val="0"/>
                  <w:divBdr>
                    <w:top w:val="none" w:sz="0" w:space="0" w:color="auto"/>
                    <w:left w:val="none" w:sz="0" w:space="0" w:color="auto"/>
                    <w:bottom w:val="none" w:sz="0" w:space="0" w:color="auto"/>
                    <w:right w:val="none" w:sz="0" w:space="0" w:color="auto"/>
                  </w:divBdr>
                </w:div>
              </w:divsChild>
            </w:div>
            <w:div w:id="258029903">
              <w:marLeft w:val="0"/>
              <w:marRight w:val="0"/>
              <w:marTop w:val="0"/>
              <w:marBottom w:val="0"/>
              <w:divBdr>
                <w:top w:val="none" w:sz="0" w:space="0" w:color="auto"/>
                <w:left w:val="none" w:sz="0" w:space="0" w:color="auto"/>
                <w:bottom w:val="none" w:sz="0" w:space="0" w:color="auto"/>
                <w:right w:val="none" w:sz="0" w:space="0" w:color="auto"/>
              </w:divBdr>
              <w:divsChild>
                <w:div w:id="1189755995">
                  <w:marLeft w:val="0"/>
                  <w:marRight w:val="0"/>
                  <w:marTop w:val="0"/>
                  <w:marBottom w:val="0"/>
                  <w:divBdr>
                    <w:top w:val="none" w:sz="0" w:space="0" w:color="auto"/>
                    <w:left w:val="none" w:sz="0" w:space="0" w:color="auto"/>
                    <w:bottom w:val="none" w:sz="0" w:space="0" w:color="auto"/>
                    <w:right w:val="none" w:sz="0" w:space="0" w:color="auto"/>
                  </w:divBdr>
                </w:div>
              </w:divsChild>
            </w:div>
            <w:div w:id="310906274">
              <w:marLeft w:val="0"/>
              <w:marRight w:val="0"/>
              <w:marTop w:val="0"/>
              <w:marBottom w:val="0"/>
              <w:divBdr>
                <w:top w:val="none" w:sz="0" w:space="0" w:color="auto"/>
                <w:left w:val="none" w:sz="0" w:space="0" w:color="auto"/>
                <w:bottom w:val="none" w:sz="0" w:space="0" w:color="auto"/>
                <w:right w:val="none" w:sz="0" w:space="0" w:color="auto"/>
              </w:divBdr>
              <w:divsChild>
                <w:div w:id="1817606366">
                  <w:marLeft w:val="0"/>
                  <w:marRight w:val="0"/>
                  <w:marTop w:val="0"/>
                  <w:marBottom w:val="0"/>
                  <w:divBdr>
                    <w:top w:val="none" w:sz="0" w:space="0" w:color="auto"/>
                    <w:left w:val="none" w:sz="0" w:space="0" w:color="auto"/>
                    <w:bottom w:val="none" w:sz="0" w:space="0" w:color="auto"/>
                    <w:right w:val="none" w:sz="0" w:space="0" w:color="auto"/>
                  </w:divBdr>
                </w:div>
              </w:divsChild>
            </w:div>
            <w:div w:id="451246249">
              <w:marLeft w:val="0"/>
              <w:marRight w:val="0"/>
              <w:marTop w:val="0"/>
              <w:marBottom w:val="0"/>
              <w:divBdr>
                <w:top w:val="none" w:sz="0" w:space="0" w:color="auto"/>
                <w:left w:val="none" w:sz="0" w:space="0" w:color="auto"/>
                <w:bottom w:val="none" w:sz="0" w:space="0" w:color="auto"/>
                <w:right w:val="none" w:sz="0" w:space="0" w:color="auto"/>
              </w:divBdr>
              <w:divsChild>
                <w:div w:id="1081681206">
                  <w:marLeft w:val="0"/>
                  <w:marRight w:val="0"/>
                  <w:marTop w:val="0"/>
                  <w:marBottom w:val="0"/>
                  <w:divBdr>
                    <w:top w:val="none" w:sz="0" w:space="0" w:color="auto"/>
                    <w:left w:val="none" w:sz="0" w:space="0" w:color="auto"/>
                    <w:bottom w:val="none" w:sz="0" w:space="0" w:color="auto"/>
                    <w:right w:val="none" w:sz="0" w:space="0" w:color="auto"/>
                  </w:divBdr>
                </w:div>
              </w:divsChild>
            </w:div>
            <w:div w:id="516702277">
              <w:marLeft w:val="0"/>
              <w:marRight w:val="0"/>
              <w:marTop w:val="0"/>
              <w:marBottom w:val="0"/>
              <w:divBdr>
                <w:top w:val="none" w:sz="0" w:space="0" w:color="auto"/>
                <w:left w:val="none" w:sz="0" w:space="0" w:color="auto"/>
                <w:bottom w:val="none" w:sz="0" w:space="0" w:color="auto"/>
                <w:right w:val="none" w:sz="0" w:space="0" w:color="auto"/>
              </w:divBdr>
              <w:divsChild>
                <w:div w:id="1859431">
                  <w:marLeft w:val="0"/>
                  <w:marRight w:val="0"/>
                  <w:marTop w:val="0"/>
                  <w:marBottom w:val="0"/>
                  <w:divBdr>
                    <w:top w:val="none" w:sz="0" w:space="0" w:color="auto"/>
                    <w:left w:val="none" w:sz="0" w:space="0" w:color="auto"/>
                    <w:bottom w:val="none" w:sz="0" w:space="0" w:color="auto"/>
                    <w:right w:val="none" w:sz="0" w:space="0" w:color="auto"/>
                  </w:divBdr>
                </w:div>
              </w:divsChild>
            </w:div>
            <w:div w:id="528835206">
              <w:marLeft w:val="0"/>
              <w:marRight w:val="0"/>
              <w:marTop w:val="0"/>
              <w:marBottom w:val="0"/>
              <w:divBdr>
                <w:top w:val="none" w:sz="0" w:space="0" w:color="auto"/>
                <w:left w:val="none" w:sz="0" w:space="0" w:color="auto"/>
                <w:bottom w:val="none" w:sz="0" w:space="0" w:color="auto"/>
                <w:right w:val="none" w:sz="0" w:space="0" w:color="auto"/>
              </w:divBdr>
              <w:divsChild>
                <w:div w:id="1150975506">
                  <w:marLeft w:val="0"/>
                  <w:marRight w:val="0"/>
                  <w:marTop w:val="0"/>
                  <w:marBottom w:val="0"/>
                  <w:divBdr>
                    <w:top w:val="none" w:sz="0" w:space="0" w:color="auto"/>
                    <w:left w:val="none" w:sz="0" w:space="0" w:color="auto"/>
                    <w:bottom w:val="none" w:sz="0" w:space="0" w:color="auto"/>
                    <w:right w:val="none" w:sz="0" w:space="0" w:color="auto"/>
                  </w:divBdr>
                </w:div>
              </w:divsChild>
            </w:div>
            <w:div w:id="605580882">
              <w:marLeft w:val="0"/>
              <w:marRight w:val="0"/>
              <w:marTop w:val="0"/>
              <w:marBottom w:val="0"/>
              <w:divBdr>
                <w:top w:val="none" w:sz="0" w:space="0" w:color="auto"/>
                <w:left w:val="none" w:sz="0" w:space="0" w:color="auto"/>
                <w:bottom w:val="none" w:sz="0" w:space="0" w:color="auto"/>
                <w:right w:val="none" w:sz="0" w:space="0" w:color="auto"/>
              </w:divBdr>
              <w:divsChild>
                <w:div w:id="1356689580">
                  <w:marLeft w:val="0"/>
                  <w:marRight w:val="0"/>
                  <w:marTop w:val="0"/>
                  <w:marBottom w:val="0"/>
                  <w:divBdr>
                    <w:top w:val="none" w:sz="0" w:space="0" w:color="auto"/>
                    <w:left w:val="none" w:sz="0" w:space="0" w:color="auto"/>
                    <w:bottom w:val="none" w:sz="0" w:space="0" w:color="auto"/>
                    <w:right w:val="none" w:sz="0" w:space="0" w:color="auto"/>
                  </w:divBdr>
                </w:div>
              </w:divsChild>
            </w:div>
            <w:div w:id="606354693">
              <w:marLeft w:val="0"/>
              <w:marRight w:val="0"/>
              <w:marTop w:val="0"/>
              <w:marBottom w:val="0"/>
              <w:divBdr>
                <w:top w:val="none" w:sz="0" w:space="0" w:color="auto"/>
                <w:left w:val="none" w:sz="0" w:space="0" w:color="auto"/>
                <w:bottom w:val="none" w:sz="0" w:space="0" w:color="auto"/>
                <w:right w:val="none" w:sz="0" w:space="0" w:color="auto"/>
              </w:divBdr>
              <w:divsChild>
                <w:div w:id="1717201091">
                  <w:marLeft w:val="0"/>
                  <w:marRight w:val="0"/>
                  <w:marTop w:val="0"/>
                  <w:marBottom w:val="0"/>
                  <w:divBdr>
                    <w:top w:val="none" w:sz="0" w:space="0" w:color="auto"/>
                    <w:left w:val="none" w:sz="0" w:space="0" w:color="auto"/>
                    <w:bottom w:val="none" w:sz="0" w:space="0" w:color="auto"/>
                    <w:right w:val="none" w:sz="0" w:space="0" w:color="auto"/>
                  </w:divBdr>
                </w:div>
              </w:divsChild>
            </w:div>
            <w:div w:id="707339108">
              <w:marLeft w:val="0"/>
              <w:marRight w:val="0"/>
              <w:marTop w:val="0"/>
              <w:marBottom w:val="0"/>
              <w:divBdr>
                <w:top w:val="none" w:sz="0" w:space="0" w:color="auto"/>
                <w:left w:val="none" w:sz="0" w:space="0" w:color="auto"/>
                <w:bottom w:val="none" w:sz="0" w:space="0" w:color="auto"/>
                <w:right w:val="none" w:sz="0" w:space="0" w:color="auto"/>
              </w:divBdr>
              <w:divsChild>
                <w:div w:id="1073893029">
                  <w:marLeft w:val="0"/>
                  <w:marRight w:val="0"/>
                  <w:marTop w:val="0"/>
                  <w:marBottom w:val="0"/>
                  <w:divBdr>
                    <w:top w:val="none" w:sz="0" w:space="0" w:color="auto"/>
                    <w:left w:val="none" w:sz="0" w:space="0" w:color="auto"/>
                    <w:bottom w:val="none" w:sz="0" w:space="0" w:color="auto"/>
                    <w:right w:val="none" w:sz="0" w:space="0" w:color="auto"/>
                  </w:divBdr>
                </w:div>
              </w:divsChild>
            </w:div>
            <w:div w:id="815411459">
              <w:marLeft w:val="0"/>
              <w:marRight w:val="0"/>
              <w:marTop w:val="0"/>
              <w:marBottom w:val="0"/>
              <w:divBdr>
                <w:top w:val="none" w:sz="0" w:space="0" w:color="auto"/>
                <w:left w:val="none" w:sz="0" w:space="0" w:color="auto"/>
                <w:bottom w:val="none" w:sz="0" w:space="0" w:color="auto"/>
                <w:right w:val="none" w:sz="0" w:space="0" w:color="auto"/>
              </w:divBdr>
              <w:divsChild>
                <w:div w:id="930311480">
                  <w:marLeft w:val="0"/>
                  <w:marRight w:val="0"/>
                  <w:marTop w:val="0"/>
                  <w:marBottom w:val="0"/>
                  <w:divBdr>
                    <w:top w:val="none" w:sz="0" w:space="0" w:color="auto"/>
                    <w:left w:val="none" w:sz="0" w:space="0" w:color="auto"/>
                    <w:bottom w:val="none" w:sz="0" w:space="0" w:color="auto"/>
                    <w:right w:val="none" w:sz="0" w:space="0" w:color="auto"/>
                  </w:divBdr>
                </w:div>
              </w:divsChild>
            </w:div>
            <w:div w:id="849178113">
              <w:marLeft w:val="0"/>
              <w:marRight w:val="0"/>
              <w:marTop w:val="0"/>
              <w:marBottom w:val="0"/>
              <w:divBdr>
                <w:top w:val="none" w:sz="0" w:space="0" w:color="auto"/>
                <w:left w:val="none" w:sz="0" w:space="0" w:color="auto"/>
                <w:bottom w:val="none" w:sz="0" w:space="0" w:color="auto"/>
                <w:right w:val="none" w:sz="0" w:space="0" w:color="auto"/>
              </w:divBdr>
              <w:divsChild>
                <w:div w:id="2096317306">
                  <w:marLeft w:val="0"/>
                  <w:marRight w:val="0"/>
                  <w:marTop w:val="0"/>
                  <w:marBottom w:val="0"/>
                  <w:divBdr>
                    <w:top w:val="none" w:sz="0" w:space="0" w:color="auto"/>
                    <w:left w:val="none" w:sz="0" w:space="0" w:color="auto"/>
                    <w:bottom w:val="none" w:sz="0" w:space="0" w:color="auto"/>
                    <w:right w:val="none" w:sz="0" w:space="0" w:color="auto"/>
                  </w:divBdr>
                </w:div>
              </w:divsChild>
            </w:div>
            <w:div w:id="925457763">
              <w:marLeft w:val="0"/>
              <w:marRight w:val="0"/>
              <w:marTop w:val="0"/>
              <w:marBottom w:val="0"/>
              <w:divBdr>
                <w:top w:val="none" w:sz="0" w:space="0" w:color="auto"/>
                <w:left w:val="none" w:sz="0" w:space="0" w:color="auto"/>
                <w:bottom w:val="none" w:sz="0" w:space="0" w:color="auto"/>
                <w:right w:val="none" w:sz="0" w:space="0" w:color="auto"/>
              </w:divBdr>
              <w:divsChild>
                <w:div w:id="487479267">
                  <w:marLeft w:val="0"/>
                  <w:marRight w:val="0"/>
                  <w:marTop w:val="0"/>
                  <w:marBottom w:val="0"/>
                  <w:divBdr>
                    <w:top w:val="none" w:sz="0" w:space="0" w:color="auto"/>
                    <w:left w:val="none" w:sz="0" w:space="0" w:color="auto"/>
                    <w:bottom w:val="none" w:sz="0" w:space="0" w:color="auto"/>
                    <w:right w:val="none" w:sz="0" w:space="0" w:color="auto"/>
                  </w:divBdr>
                </w:div>
              </w:divsChild>
            </w:div>
            <w:div w:id="975257314">
              <w:marLeft w:val="0"/>
              <w:marRight w:val="0"/>
              <w:marTop w:val="0"/>
              <w:marBottom w:val="0"/>
              <w:divBdr>
                <w:top w:val="none" w:sz="0" w:space="0" w:color="auto"/>
                <w:left w:val="none" w:sz="0" w:space="0" w:color="auto"/>
                <w:bottom w:val="none" w:sz="0" w:space="0" w:color="auto"/>
                <w:right w:val="none" w:sz="0" w:space="0" w:color="auto"/>
              </w:divBdr>
              <w:divsChild>
                <w:div w:id="1017270326">
                  <w:marLeft w:val="0"/>
                  <w:marRight w:val="0"/>
                  <w:marTop w:val="0"/>
                  <w:marBottom w:val="0"/>
                  <w:divBdr>
                    <w:top w:val="none" w:sz="0" w:space="0" w:color="auto"/>
                    <w:left w:val="none" w:sz="0" w:space="0" w:color="auto"/>
                    <w:bottom w:val="none" w:sz="0" w:space="0" w:color="auto"/>
                    <w:right w:val="none" w:sz="0" w:space="0" w:color="auto"/>
                  </w:divBdr>
                </w:div>
              </w:divsChild>
            </w:div>
            <w:div w:id="1310088842">
              <w:marLeft w:val="0"/>
              <w:marRight w:val="0"/>
              <w:marTop w:val="0"/>
              <w:marBottom w:val="0"/>
              <w:divBdr>
                <w:top w:val="none" w:sz="0" w:space="0" w:color="auto"/>
                <w:left w:val="none" w:sz="0" w:space="0" w:color="auto"/>
                <w:bottom w:val="none" w:sz="0" w:space="0" w:color="auto"/>
                <w:right w:val="none" w:sz="0" w:space="0" w:color="auto"/>
              </w:divBdr>
              <w:divsChild>
                <w:div w:id="1103526662">
                  <w:marLeft w:val="0"/>
                  <w:marRight w:val="0"/>
                  <w:marTop w:val="0"/>
                  <w:marBottom w:val="0"/>
                  <w:divBdr>
                    <w:top w:val="none" w:sz="0" w:space="0" w:color="auto"/>
                    <w:left w:val="none" w:sz="0" w:space="0" w:color="auto"/>
                    <w:bottom w:val="none" w:sz="0" w:space="0" w:color="auto"/>
                    <w:right w:val="none" w:sz="0" w:space="0" w:color="auto"/>
                  </w:divBdr>
                </w:div>
              </w:divsChild>
            </w:div>
            <w:div w:id="1353994165">
              <w:marLeft w:val="0"/>
              <w:marRight w:val="0"/>
              <w:marTop w:val="0"/>
              <w:marBottom w:val="0"/>
              <w:divBdr>
                <w:top w:val="none" w:sz="0" w:space="0" w:color="auto"/>
                <w:left w:val="none" w:sz="0" w:space="0" w:color="auto"/>
                <w:bottom w:val="none" w:sz="0" w:space="0" w:color="auto"/>
                <w:right w:val="none" w:sz="0" w:space="0" w:color="auto"/>
              </w:divBdr>
              <w:divsChild>
                <w:div w:id="931621931">
                  <w:marLeft w:val="0"/>
                  <w:marRight w:val="0"/>
                  <w:marTop w:val="0"/>
                  <w:marBottom w:val="0"/>
                  <w:divBdr>
                    <w:top w:val="none" w:sz="0" w:space="0" w:color="auto"/>
                    <w:left w:val="none" w:sz="0" w:space="0" w:color="auto"/>
                    <w:bottom w:val="none" w:sz="0" w:space="0" w:color="auto"/>
                    <w:right w:val="none" w:sz="0" w:space="0" w:color="auto"/>
                  </w:divBdr>
                </w:div>
              </w:divsChild>
            </w:div>
            <w:div w:id="1406103891">
              <w:marLeft w:val="0"/>
              <w:marRight w:val="0"/>
              <w:marTop w:val="0"/>
              <w:marBottom w:val="0"/>
              <w:divBdr>
                <w:top w:val="none" w:sz="0" w:space="0" w:color="auto"/>
                <w:left w:val="none" w:sz="0" w:space="0" w:color="auto"/>
                <w:bottom w:val="none" w:sz="0" w:space="0" w:color="auto"/>
                <w:right w:val="none" w:sz="0" w:space="0" w:color="auto"/>
              </w:divBdr>
              <w:divsChild>
                <w:div w:id="1090585516">
                  <w:marLeft w:val="0"/>
                  <w:marRight w:val="0"/>
                  <w:marTop w:val="0"/>
                  <w:marBottom w:val="0"/>
                  <w:divBdr>
                    <w:top w:val="none" w:sz="0" w:space="0" w:color="auto"/>
                    <w:left w:val="none" w:sz="0" w:space="0" w:color="auto"/>
                    <w:bottom w:val="none" w:sz="0" w:space="0" w:color="auto"/>
                    <w:right w:val="none" w:sz="0" w:space="0" w:color="auto"/>
                  </w:divBdr>
                </w:div>
              </w:divsChild>
            </w:div>
            <w:div w:id="1444955269">
              <w:marLeft w:val="0"/>
              <w:marRight w:val="0"/>
              <w:marTop w:val="0"/>
              <w:marBottom w:val="0"/>
              <w:divBdr>
                <w:top w:val="none" w:sz="0" w:space="0" w:color="auto"/>
                <w:left w:val="none" w:sz="0" w:space="0" w:color="auto"/>
                <w:bottom w:val="none" w:sz="0" w:space="0" w:color="auto"/>
                <w:right w:val="none" w:sz="0" w:space="0" w:color="auto"/>
              </w:divBdr>
              <w:divsChild>
                <w:div w:id="423963970">
                  <w:marLeft w:val="0"/>
                  <w:marRight w:val="0"/>
                  <w:marTop w:val="0"/>
                  <w:marBottom w:val="0"/>
                  <w:divBdr>
                    <w:top w:val="none" w:sz="0" w:space="0" w:color="auto"/>
                    <w:left w:val="none" w:sz="0" w:space="0" w:color="auto"/>
                    <w:bottom w:val="none" w:sz="0" w:space="0" w:color="auto"/>
                    <w:right w:val="none" w:sz="0" w:space="0" w:color="auto"/>
                  </w:divBdr>
                </w:div>
              </w:divsChild>
            </w:div>
            <w:div w:id="1454592395">
              <w:marLeft w:val="0"/>
              <w:marRight w:val="0"/>
              <w:marTop w:val="0"/>
              <w:marBottom w:val="0"/>
              <w:divBdr>
                <w:top w:val="none" w:sz="0" w:space="0" w:color="auto"/>
                <w:left w:val="none" w:sz="0" w:space="0" w:color="auto"/>
                <w:bottom w:val="none" w:sz="0" w:space="0" w:color="auto"/>
                <w:right w:val="none" w:sz="0" w:space="0" w:color="auto"/>
              </w:divBdr>
              <w:divsChild>
                <w:div w:id="597060121">
                  <w:marLeft w:val="0"/>
                  <w:marRight w:val="0"/>
                  <w:marTop w:val="0"/>
                  <w:marBottom w:val="0"/>
                  <w:divBdr>
                    <w:top w:val="none" w:sz="0" w:space="0" w:color="auto"/>
                    <w:left w:val="none" w:sz="0" w:space="0" w:color="auto"/>
                    <w:bottom w:val="none" w:sz="0" w:space="0" w:color="auto"/>
                    <w:right w:val="none" w:sz="0" w:space="0" w:color="auto"/>
                  </w:divBdr>
                </w:div>
              </w:divsChild>
            </w:div>
            <w:div w:id="1532112534">
              <w:marLeft w:val="0"/>
              <w:marRight w:val="0"/>
              <w:marTop w:val="0"/>
              <w:marBottom w:val="0"/>
              <w:divBdr>
                <w:top w:val="none" w:sz="0" w:space="0" w:color="auto"/>
                <w:left w:val="none" w:sz="0" w:space="0" w:color="auto"/>
                <w:bottom w:val="none" w:sz="0" w:space="0" w:color="auto"/>
                <w:right w:val="none" w:sz="0" w:space="0" w:color="auto"/>
              </w:divBdr>
              <w:divsChild>
                <w:div w:id="37895972">
                  <w:marLeft w:val="0"/>
                  <w:marRight w:val="0"/>
                  <w:marTop w:val="0"/>
                  <w:marBottom w:val="0"/>
                  <w:divBdr>
                    <w:top w:val="none" w:sz="0" w:space="0" w:color="auto"/>
                    <w:left w:val="none" w:sz="0" w:space="0" w:color="auto"/>
                    <w:bottom w:val="none" w:sz="0" w:space="0" w:color="auto"/>
                    <w:right w:val="none" w:sz="0" w:space="0" w:color="auto"/>
                  </w:divBdr>
                </w:div>
              </w:divsChild>
            </w:div>
            <w:div w:id="1537039101">
              <w:marLeft w:val="0"/>
              <w:marRight w:val="0"/>
              <w:marTop w:val="0"/>
              <w:marBottom w:val="0"/>
              <w:divBdr>
                <w:top w:val="none" w:sz="0" w:space="0" w:color="auto"/>
                <w:left w:val="none" w:sz="0" w:space="0" w:color="auto"/>
                <w:bottom w:val="none" w:sz="0" w:space="0" w:color="auto"/>
                <w:right w:val="none" w:sz="0" w:space="0" w:color="auto"/>
              </w:divBdr>
              <w:divsChild>
                <w:div w:id="1980762712">
                  <w:marLeft w:val="0"/>
                  <w:marRight w:val="0"/>
                  <w:marTop w:val="0"/>
                  <w:marBottom w:val="0"/>
                  <w:divBdr>
                    <w:top w:val="none" w:sz="0" w:space="0" w:color="auto"/>
                    <w:left w:val="none" w:sz="0" w:space="0" w:color="auto"/>
                    <w:bottom w:val="none" w:sz="0" w:space="0" w:color="auto"/>
                    <w:right w:val="none" w:sz="0" w:space="0" w:color="auto"/>
                  </w:divBdr>
                </w:div>
              </w:divsChild>
            </w:div>
            <w:div w:id="1707484338">
              <w:marLeft w:val="0"/>
              <w:marRight w:val="0"/>
              <w:marTop w:val="0"/>
              <w:marBottom w:val="0"/>
              <w:divBdr>
                <w:top w:val="none" w:sz="0" w:space="0" w:color="auto"/>
                <w:left w:val="none" w:sz="0" w:space="0" w:color="auto"/>
                <w:bottom w:val="none" w:sz="0" w:space="0" w:color="auto"/>
                <w:right w:val="none" w:sz="0" w:space="0" w:color="auto"/>
              </w:divBdr>
              <w:divsChild>
                <w:div w:id="1077171742">
                  <w:marLeft w:val="0"/>
                  <w:marRight w:val="0"/>
                  <w:marTop w:val="0"/>
                  <w:marBottom w:val="0"/>
                  <w:divBdr>
                    <w:top w:val="none" w:sz="0" w:space="0" w:color="auto"/>
                    <w:left w:val="none" w:sz="0" w:space="0" w:color="auto"/>
                    <w:bottom w:val="none" w:sz="0" w:space="0" w:color="auto"/>
                    <w:right w:val="none" w:sz="0" w:space="0" w:color="auto"/>
                  </w:divBdr>
                </w:div>
              </w:divsChild>
            </w:div>
            <w:div w:id="1765609308">
              <w:marLeft w:val="0"/>
              <w:marRight w:val="0"/>
              <w:marTop w:val="0"/>
              <w:marBottom w:val="0"/>
              <w:divBdr>
                <w:top w:val="none" w:sz="0" w:space="0" w:color="auto"/>
                <w:left w:val="none" w:sz="0" w:space="0" w:color="auto"/>
                <w:bottom w:val="none" w:sz="0" w:space="0" w:color="auto"/>
                <w:right w:val="none" w:sz="0" w:space="0" w:color="auto"/>
              </w:divBdr>
              <w:divsChild>
                <w:div w:id="707729576">
                  <w:marLeft w:val="0"/>
                  <w:marRight w:val="0"/>
                  <w:marTop w:val="0"/>
                  <w:marBottom w:val="0"/>
                  <w:divBdr>
                    <w:top w:val="none" w:sz="0" w:space="0" w:color="auto"/>
                    <w:left w:val="none" w:sz="0" w:space="0" w:color="auto"/>
                    <w:bottom w:val="none" w:sz="0" w:space="0" w:color="auto"/>
                    <w:right w:val="none" w:sz="0" w:space="0" w:color="auto"/>
                  </w:divBdr>
                </w:div>
              </w:divsChild>
            </w:div>
            <w:div w:id="1884167590">
              <w:marLeft w:val="0"/>
              <w:marRight w:val="0"/>
              <w:marTop w:val="0"/>
              <w:marBottom w:val="0"/>
              <w:divBdr>
                <w:top w:val="none" w:sz="0" w:space="0" w:color="auto"/>
                <w:left w:val="none" w:sz="0" w:space="0" w:color="auto"/>
                <w:bottom w:val="none" w:sz="0" w:space="0" w:color="auto"/>
                <w:right w:val="none" w:sz="0" w:space="0" w:color="auto"/>
              </w:divBdr>
              <w:divsChild>
                <w:div w:id="678310812">
                  <w:marLeft w:val="0"/>
                  <w:marRight w:val="0"/>
                  <w:marTop w:val="0"/>
                  <w:marBottom w:val="0"/>
                  <w:divBdr>
                    <w:top w:val="none" w:sz="0" w:space="0" w:color="auto"/>
                    <w:left w:val="none" w:sz="0" w:space="0" w:color="auto"/>
                    <w:bottom w:val="none" w:sz="0" w:space="0" w:color="auto"/>
                    <w:right w:val="none" w:sz="0" w:space="0" w:color="auto"/>
                  </w:divBdr>
                </w:div>
              </w:divsChild>
            </w:div>
            <w:div w:id="2082360863">
              <w:marLeft w:val="0"/>
              <w:marRight w:val="0"/>
              <w:marTop w:val="0"/>
              <w:marBottom w:val="0"/>
              <w:divBdr>
                <w:top w:val="none" w:sz="0" w:space="0" w:color="auto"/>
                <w:left w:val="none" w:sz="0" w:space="0" w:color="auto"/>
                <w:bottom w:val="none" w:sz="0" w:space="0" w:color="auto"/>
                <w:right w:val="none" w:sz="0" w:space="0" w:color="auto"/>
              </w:divBdr>
              <w:divsChild>
                <w:div w:id="1993101958">
                  <w:marLeft w:val="0"/>
                  <w:marRight w:val="0"/>
                  <w:marTop w:val="0"/>
                  <w:marBottom w:val="0"/>
                  <w:divBdr>
                    <w:top w:val="none" w:sz="0" w:space="0" w:color="auto"/>
                    <w:left w:val="none" w:sz="0" w:space="0" w:color="auto"/>
                    <w:bottom w:val="none" w:sz="0" w:space="0" w:color="auto"/>
                    <w:right w:val="none" w:sz="0" w:space="0" w:color="auto"/>
                  </w:divBdr>
                </w:div>
              </w:divsChild>
            </w:div>
            <w:div w:id="2111194521">
              <w:marLeft w:val="0"/>
              <w:marRight w:val="0"/>
              <w:marTop w:val="0"/>
              <w:marBottom w:val="0"/>
              <w:divBdr>
                <w:top w:val="none" w:sz="0" w:space="0" w:color="auto"/>
                <w:left w:val="none" w:sz="0" w:space="0" w:color="auto"/>
                <w:bottom w:val="none" w:sz="0" w:space="0" w:color="auto"/>
                <w:right w:val="none" w:sz="0" w:space="0" w:color="auto"/>
              </w:divBdr>
              <w:divsChild>
                <w:div w:id="126380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91823">
      <w:bodyDiv w:val="1"/>
      <w:marLeft w:val="0"/>
      <w:marRight w:val="0"/>
      <w:marTop w:val="0"/>
      <w:marBottom w:val="0"/>
      <w:divBdr>
        <w:top w:val="none" w:sz="0" w:space="0" w:color="auto"/>
        <w:left w:val="none" w:sz="0" w:space="0" w:color="auto"/>
        <w:bottom w:val="none" w:sz="0" w:space="0" w:color="auto"/>
        <w:right w:val="none" w:sz="0" w:space="0" w:color="auto"/>
      </w:divBdr>
    </w:div>
    <w:div w:id="191117364">
      <w:bodyDiv w:val="1"/>
      <w:marLeft w:val="0"/>
      <w:marRight w:val="0"/>
      <w:marTop w:val="0"/>
      <w:marBottom w:val="0"/>
      <w:divBdr>
        <w:top w:val="none" w:sz="0" w:space="0" w:color="auto"/>
        <w:left w:val="none" w:sz="0" w:space="0" w:color="auto"/>
        <w:bottom w:val="none" w:sz="0" w:space="0" w:color="auto"/>
        <w:right w:val="none" w:sz="0" w:space="0" w:color="auto"/>
      </w:divBdr>
    </w:div>
    <w:div w:id="322395688">
      <w:bodyDiv w:val="1"/>
      <w:marLeft w:val="0"/>
      <w:marRight w:val="0"/>
      <w:marTop w:val="0"/>
      <w:marBottom w:val="0"/>
      <w:divBdr>
        <w:top w:val="none" w:sz="0" w:space="0" w:color="auto"/>
        <w:left w:val="none" w:sz="0" w:space="0" w:color="auto"/>
        <w:bottom w:val="none" w:sz="0" w:space="0" w:color="auto"/>
        <w:right w:val="none" w:sz="0" w:space="0" w:color="auto"/>
      </w:divBdr>
    </w:div>
    <w:div w:id="440491182">
      <w:bodyDiv w:val="1"/>
      <w:marLeft w:val="0"/>
      <w:marRight w:val="0"/>
      <w:marTop w:val="0"/>
      <w:marBottom w:val="0"/>
      <w:divBdr>
        <w:top w:val="none" w:sz="0" w:space="0" w:color="auto"/>
        <w:left w:val="none" w:sz="0" w:space="0" w:color="auto"/>
        <w:bottom w:val="none" w:sz="0" w:space="0" w:color="auto"/>
        <w:right w:val="none" w:sz="0" w:space="0" w:color="auto"/>
      </w:divBdr>
    </w:div>
    <w:div w:id="480389221">
      <w:bodyDiv w:val="1"/>
      <w:marLeft w:val="0"/>
      <w:marRight w:val="0"/>
      <w:marTop w:val="0"/>
      <w:marBottom w:val="0"/>
      <w:divBdr>
        <w:top w:val="none" w:sz="0" w:space="0" w:color="auto"/>
        <w:left w:val="none" w:sz="0" w:space="0" w:color="auto"/>
        <w:bottom w:val="none" w:sz="0" w:space="0" w:color="auto"/>
        <w:right w:val="none" w:sz="0" w:space="0" w:color="auto"/>
      </w:divBdr>
    </w:div>
    <w:div w:id="507985599">
      <w:bodyDiv w:val="1"/>
      <w:marLeft w:val="0"/>
      <w:marRight w:val="0"/>
      <w:marTop w:val="0"/>
      <w:marBottom w:val="0"/>
      <w:divBdr>
        <w:top w:val="none" w:sz="0" w:space="0" w:color="auto"/>
        <w:left w:val="none" w:sz="0" w:space="0" w:color="auto"/>
        <w:bottom w:val="none" w:sz="0" w:space="0" w:color="auto"/>
        <w:right w:val="none" w:sz="0" w:space="0" w:color="auto"/>
      </w:divBdr>
    </w:div>
    <w:div w:id="525826106">
      <w:bodyDiv w:val="1"/>
      <w:marLeft w:val="0"/>
      <w:marRight w:val="0"/>
      <w:marTop w:val="0"/>
      <w:marBottom w:val="0"/>
      <w:divBdr>
        <w:top w:val="none" w:sz="0" w:space="0" w:color="auto"/>
        <w:left w:val="none" w:sz="0" w:space="0" w:color="auto"/>
        <w:bottom w:val="none" w:sz="0" w:space="0" w:color="auto"/>
        <w:right w:val="none" w:sz="0" w:space="0" w:color="auto"/>
      </w:divBdr>
      <w:divsChild>
        <w:div w:id="834109071">
          <w:marLeft w:val="0"/>
          <w:marRight w:val="0"/>
          <w:marTop w:val="0"/>
          <w:marBottom w:val="0"/>
          <w:divBdr>
            <w:top w:val="none" w:sz="0" w:space="0" w:color="auto"/>
            <w:left w:val="none" w:sz="0" w:space="0" w:color="auto"/>
            <w:bottom w:val="none" w:sz="0" w:space="0" w:color="auto"/>
            <w:right w:val="none" w:sz="0" w:space="0" w:color="auto"/>
          </w:divBdr>
        </w:div>
        <w:div w:id="902986661">
          <w:marLeft w:val="0"/>
          <w:marRight w:val="0"/>
          <w:marTop w:val="0"/>
          <w:marBottom w:val="0"/>
          <w:divBdr>
            <w:top w:val="none" w:sz="0" w:space="0" w:color="auto"/>
            <w:left w:val="none" w:sz="0" w:space="0" w:color="auto"/>
            <w:bottom w:val="none" w:sz="0" w:space="0" w:color="auto"/>
            <w:right w:val="none" w:sz="0" w:space="0" w:color="auto"/>
          </w:divBdr>
        </w:div>
        <w:div w:id="1127889383">
          <w:marLeft w:val="0"/>
          <w:marRight w:val="0"/>
          <w:marTop w:val="0"/>
          <w:marBottom w:val="0"/>
          <w:divBdr>
            <w:top w:val="none" w:sz="0" w:space="0" w:color="auto"/>
            <w:left w:val="none" w:sz="0" w:space="0" w:color="auto"/>
            <w:bottom w:val="none" w:sz="0" w:space="0" w:color="auto"/>
            <w:right w:val="none" w:sz="0" w:space="0" w:color="auto"/>
          </w:divBdr>
        </w:div>
        <w:div w:id="1367366530">
          <w:marLeft w:val="0"/>
          <w:marRight w:val="0"/>
          <w:marTop w:val="0"/>
          <w:marBottom w:val="0"/>
          <w:divBdr>
            <w:top w:val="none" w:sz="0" w:space="0" w:color="auto"/>
            <w:left w:val="none" w:sz="0" w:space="0" w:color="auto"/>
            <w:bottom w:val="none" w:sz="0" w:space="0" w:color="auto"/>
            <w:right w:val="none" w:sz="0" w:space="0" w:color="auto"/>
          </w:divBdr>
        </w:div>
        <w:div w:id="1660883500">
          <w:marLeft w:val="0"/>
          <w:marRight w:val="0"/>
          <w:marTop w:val="0"/>
          <w:marBottom w:val="0"/>
          <w:divBdr>
            <w:top w:val="none" w:sz="0" w:space="0" w:color="auto"/>
            <w:left w:val="none" w:sz="0" w:space="0" w:color="auto"/>
            <w:bottom w:val="none" w:sz="0" w:space="0" w:color="auto"/>
            <w:right w:val="none" w:sz="0" w:space="0" w:color="auto"/>
          </w:divBdr>
        </w:div>
        <w:div w:id="1936091157">
          <w:marLeft w:val="0"/>
          <w:marRight w:val="0"/>
          <w:marTop w:val="0"/>
          <w:marBottom w:val="0"/>
          <w:divBdr>
            <w:top w:val="none" w:sz="0" w:space="0" w:color="auto"/>
            <w:left w:val="none" w:sz="0" w:space="0" w:color="auto"/>
            <w:bottom w:val="none" w:sz="0" w:space="0" w:color="auto"/>
            <w:right w:val="none" w:sz="0" w:space="0" w:color="auto"/>
          </w:divBdr>
        </w:div>
      </w:divsChild>
    </w:div>
    <w:div w:id="548343859">
      <w:bodyDiv w:val="1"/>
      <w:marLeft w:val="0"/>
      <w:marRight w:val="0"/>
      <w:marTop w:val="0"/>
      <w:marBottom w:val="0"/>
      <w:divBdr>
        <w:top w:val="none" w:sz="0" w:space="0" w:color="auto"/>
        <w:left w:val="none" w:sz="0" w:space="0" w:color="auto"/>
        <w:bottom w:val="none" w:sz="0" w:space="0" w:color="auto"/>
        <w:right w:val="none" w:sz="0" w:space="0" w:color="auto"/>
      </w:divBdr>
    </w:div>
    <w:div w:id="630408040">
      <w:bodyDiv w:val="1"/>
      <w:marLeft w:val="0"/>
      <w:marRight w:val="0"/>
      <w:marTop w:val="0"/>
      <w:marBottom w:val="0"/>
      <w:divBdr>
        <w:top w:val="none" w:sz="0" w:space="0" w:color="auto"/>
        <w:left w:val="none" w:sz="0" w:space="0" w:color="auto"/>
        <w:bottom w:val="none" w:sz="0" w:space="0" w:color="auto"/>
        <w:right w:val="none" w:sz="0" w:space="0" w:color="auto"/>
      </w:divBdr>
    </w:div>
    <w:div w:id="648485340">
      <w:bodyDiv w:val="1"/>
      <w:marLeft w:val="0"/>
      <w:marRight w:val="0"/>
      <w:marTop w:val="0"/>
      <w:marBottom w:val="0"/>
      <w:divBdr>
        <w:top w:val="none" w:sz="0" w:space="0" w:color="auto"/>
        <w:left w:val="none" w:sz="0" w:space="0" w:color="auto"/>
        <w:bottom w:val="none" w:sz="0" w:space="0" w:color="auto"/>
        <w:right w:val="none" w:sz="0" w:space="0" w:color="auto"/>
      </w:divBdr>
    </w:div>
    <w:div w:id="722606067">
      <w:bodyDiv w:val="1"/>
      <w:marLeft w:val="0"/>
      <w:marRight w:val="0"/>
      <w:marTop w:val="0"/>
      <w:marBottom w:val="0"/>
      <w:divBdr>
        <w:top w:val="none" w:sz="0" w:space="0" w:color="auto"/>
        <w:left w:val="none" w:sz="0" w:space="0" w:color="auto"/>
        <w:bottom w:val="none" w:sz="0" w:space="0" w:color="auto"/>
        <w:right w:val="none" w:sz="0" w:space="0" w:color="auto"/>
      </w:divBdr>
    </w:div>
    <w:div w:id="728311144">
      <w:bodyDiv w:val="1"/>
      <w:marLeft w:val="0"/>
      <w:marRight w:val="0"/>
      <w:marTop w:val="0"/>
      <w:marBottom w:val="0"/>
      <w:divBdr>
        <w:top w:val="none" w:sz="0" w:space="0" w:color="auto"/>
        <w:left w:val="none" w:sz="0" w:space="0" w:color="auto"/>
        <w:bottom w:val="none" w:sz="0" w:space="0" w:color="auto"/>
        <w:right w:val="none" w:sz="0" w:space="0" w:color="auto"/>
      </w:divBdr>
    </w:div>
    <w:div w:id="866942947">
      <w:bodyDiv w:val="1"/>
      <w:marLeft w:val="0"/>
      <w:marRight w:val="0"/>
      <w:marTop w:val="0"/>
      <w:marBottom w:val="0"/>
      <w:divBdr>
        <w:top w:val="none" w:sz="0" w:space="0" w:color="auto"/>
        <w:left w:val="none" w:sz="0" w:space="0" w:color="auto"/>
        <w:bottom w:val="none" w:sz="0" w:space="0" w:color="auto"/>
        <w:right w:val="none" w:sz="0" w:space="0" w:color="auto"/>
      </w:divBdr>
    </w:div>
    <w:div w:id="910769132">
      <w:bodyDiv w:val="1"/>
      <w:marLeft w:val="0"/>
      <w:marRight w:val="0"/>
      <w:marTop w:val="0"/>
      <w:marBottom w:val="0"/>
      <w:divBdr>
        <w:top w:val="none" w:sz="0" w:space="0" w:color="auto"/>
        <w:left w:val="none" w:sz="0" w:space="0" w:color="auto"/>
        <w:bottom w:val="none" w:sz="0" w:space="0" w:color="auto"/>
        <w:right w:val="none" w:sz="0" w:space="0" w:color="auto"/>
      </w:divBdr>
    </w:div>
    <w:div w:id="971784647">
      <w:bodyDiv w:val="1"/>
      <w:marLeft w:val="0"/>
      <w:marRight w:val="0"/>
      <w:marTop w:val="0"/>
      <w:marBottom w:val="0"/>
      <w:divBdr>
        <w:top w:val="none" w:sz="0" w:space="0" w:color="auto"/>
        <w:left w:val="none" w:sz="0" w:space="0" w:color="auto"/>
        <w:bottom w:val="none" w:sz="0" w:space="0" w:color="auto"/>
        <w:right w:val="none" w:sz="0" w:space="0" w:color="auto"/>
      </w:divBdr>
    </w:div>
    <w:div w:id="998311776">
      <w:bodyDiv w:val="1"/>
      <w:marLeft w:val="0"/>
      <w:marRight w:val="0"/>
      <w:marTop w:val="0"/>
      <w:marBottom w:val="0"/>
      <w:divBdr>
        <w:top w:val="none" w:sz="0" w:space="0" w:color="auto"/>
        <w:left w:val="none" w:sz="0" w:space="0" w:color="auto"/>
        <w:bottom w:val="none" w:sz="0" w:space="0" w:color="auto"/>
        <w:right w:val="none" w:sz="0" w:space="0" w:color="auto"/>
      </w:divBdr>
      <w:divsChild>
        <w:div w:id="1619680768">
          <w:marLeft w:val="1080"/>
          <w:marRight w:val="0"/>
          <w:marTop w:val="100"/>
          <w:marBottom w:val="0"/>
          <w:divBdr>
            <w:top w:val="none" w:sz="0" w:space="0" w:color="auto"/>
            <w:left w:val="none" w:sz="0" w:space="0" w:color="auto"/>
            <w:bottom w:val="none" w:sz="0" w:space="0" w:color="auto"/>
            <w:right w:val="none" w:sz="0" w:space="0" w:color="auto"/>
          </w:divBdr>
        </w:div>
      </w:divsChild>
    </w:div>
    <w:div w:id="1016271702">
      <w:bodyDiv w:val="1"/>
      <w:marLeft w:val="0"/>
      <w:marRight w:val="0"/>
      <w:marTop w:val="0"/>
      <w:marBottom w:val="0"/>
      <w:divBdr>
        <w:top w:val="none" w:sz="0" w:space="0" w:color="auto"/>
        <w:left w:val="none" w:sz="0" w:space="0" w:color="auto"/>
        <w:bottom w:val="none" w:sz="0" w:space="0" w:color="auto"/>
        <w:right w:val="none" w:sz="0" w:space="0" w:color="auto"/>
      </w:divBdr>
    </w:div>
    <w:div w:id="1197037329">
      <w:bodyDiv w:val="1"/>
      <w:marLeft w:val="0"/>
      <w:marRight w:val="0"/>
      <w:marTop w:val="0"/>
      <w:marBottom w:val="0"/>
      <w:divBdr>
        <w:top w:val="none" w:sz="0" w:space="0" w:color="auto"/>
        <w:left w:val="none" w:sz="0" w:space="0" w:color="auto"/>
        <w:bottom w:val="none" w:sz="0" w:space="0" w:color="auto"/>
        <w:right w:val="none" w:sz="0" w:space="0" w:color="auto"/>
      </w:divBdr>
    </w:div>
    <w:div w:id="1309475276">
      <w:bodyDiv w:val="1"/>
      <w:marLeft w:val="0"/>
      <w:marRight w:val="0"/>
      <w:marTop w:val="0"/>
      <w:marBottom w:val="0"/>
      <w:divBdr>
        <w:top w:val="none" w:sz="0" w:space="0" w:color="auto"/>
        <w:left w:val="none" w:sz="0" w:space="0" w:color="auto"/>
        <w:bottom w:val="none" w:sz="0" w:space="0" w:color="auto"/>
        <w:right w:val="none" w:sz="0" w:space="0" w:color="auto"/>
      </w:divBdr>
    </w:div>
    <w:div w:id="1365404153">
      <w:bodyDiv w:val="1"/>
      <w:marLeft w:val="0"/>
      <w:marRight w:val="0"/>
      <w:marTop w:val="0"/>
      <w:marBottom w:val="0"/>
      <w:divBdr>
        <w:top w:val="none" w:sz="0" w:space="0" w:color="auto"/>
        <w:left w:val="none" w:sz="0" w:space="0" w:color="auto"/>
        <w:bottom w:val="none" w:sz="0" w:space="0" w:color="auto"/>
        <w:right w:val="none" w:sz="0" w:space="0" w:color="auto"/>
      </w:divBdr>
    </w:div>
    <w:div w:id="1536769519">
      <w:bodyDiv w:val="1"/>
      <w:marLeft w:val="0"/>
      <w:marRight w:val="0"/>
      <w:marTop w:val="0"/>
      <w:marBottom w:val="0"/>
      <w:divBdr>
        <w:top w:val="none" w:sz="0" w:space="0" w:color="auto"/>
        <w:left w:val="none" w:sz="0" w:space="0" w:color="auto"/>
        <w:bottom w:val="none" w:sz="0" w:space="0" w:color="auto"/>
        <w:right w:val="none" w:sz="0" w:space="0" w:color="auto"/>
      </w:divBdr>
    </w:div>
    <w:div w:id="1553810880">
      <w:bodyDiv w:val="1"/>
      <w:marLeft w:val="0"/>
      <w:marRight w:val="0"/>
      <w:marTop w:val="0"/>
      <w:marBottom w:val="0"/>
      <w:divBdr>
        <w:top w:val="none" w:sz="0" w:space="0" w:color="auto"/>
        <w:left w:val="none" w:sz="0" w:space="0" w:color="auto"/>
        <w:bottom w:val="none" w:sz="0" w:space="0" w:color="auto"/>
        <w:right w:val="none" w:sz="0" w:space="0" w:color="auto"/>
      </w:divBdr>
    </w:div>
    <w:div w:id="1655798173">
      <w:bodyDiv w:val="1"/>
      <w:marLeft w:val="0"/>
      <w:marRight w:val="0"/>
      <w:marTop w:val="0"/>
      <w:marBottom w:val="0"/>
      <w:divBdr>
        <w:top w:val="none" w:sz="0" w:space="0" w:color="auto"/>
        <w:left w:val="none" w:sz="0" w:space="0" w:color="auto"/>
        <w:bottom w:val="none" w:sz="0" w:space="0" w:color="auto"/>
        <w:right w:val="none" w:sz="0" w:space="0" w:color="auto"/>
      </w:divBdr>
      <w:divsChild>
        <w:div w:id="1001085130">
          <w:marLeft w:val="0"/>
          <w:marRight w:val="0"/>
          <w:marTop w:val="0"/>
          <w:marBottom w:val="0"/>
          <w:divBdr>
            <w:top w:val="none" w:sz="0" w:space="0" w:color="auto"/>
            <w:left w:val="none" w:sz="0" w:space="0" w:color="auto"/>
            <w:bottom w:val="none" w:sz="0" w:space="0" w:color="auto"/>
            <w:right w:val="none" w:sz="0" w:space="0" w:color="auto"/>
          </w:divBdr>
        </w:div>
        <w:div w:id="1347488604">
          <w:marLeft w:val="0"/>
          <w:marRight w:val="0"/>
          <w:marTop w:val="0"/>
          <w:marBottom w:val="0"/>
          <w:divBdr>
            <w:top w:val="none" w:sz="0" w:space="0" w:color="auto"/>
            <w:left w:val="none" w:sz="0" w:space="0" w:color="auto"/>
            <w:bottom w:val="none" w:sz="0" w:space="0" w:color="auto"/>
            <w:right w:val="none" w:sz="0" w:space="0" w:color="auto"/>
          </w:divBdr>
        </w:div>
        <w:div w:id="1421215803">
          <w:marLeft w:val="0"/>
          <w:marRight w:val="0"/>
          <w:marTop w:val="0"/>
          <w:marBottom w:val="0"/>
          <w:divBdr>
            <w:top w:val="none" w:sz="0" w:space="0" w:color="auto"/>
            <w:left w:val="none" w:sz="0" w:space="0" w:color="auto"/>
            <w:bottom w:val="none" w:sz="0" w:space="0" w:color="auto"/>
            <w:right w:val="none" w:sz="0" w:space="0" w:color="auto"/>
          </w:divBdr>
        </w:div>
      </w:divsChild>
    </w:div>
    <w:div w:id="1663242317">
      <w:bodyDiv w:val="1"/>
      <w:marLeft w:val="0"/>
      <w:marRight w:val="0"/>
      <w:marTop w:val="0"/>
      <w:marBottom w:val="0"/>
      <w:divBdr>
        <w:top w:val="none" w:sz="0" w:space="0" w:color="auto"/>
        <w:left w:val="none" w:sz="0" w:space="0" w:color="auto"/>
        <w:bottom w:val="none" w:sz="0" w:space="0" w:color="auto"/>
        <w:right w:val="none" w:sz="0" w:space="0" w:color="auto"/>
      </w:divBdr>
    </w:div>
    <w:div w:id="1717654200">
      <w:bodyDiv w:val="1"/>
      <w:marLeft w:val="0"/>
      <w:marRight w:val="0"/>
      <w:marTop w:val="0"/>
      <w:marBottom w:val="0"/>
      <w:divBdr>
        <w:top w:val="none" w:sz="0" w:space="0" w:color="auto"/>
        <w:left w:val="none" w:sz="0" w:space="0" w:color="auto"/>
        <w:bottom w:val="none" w:sz="0" w:space="0" w:color="auto"/>
        <w:right w:val="none" w:sz="0" w:space="0" w:color="auto"/>
      </w:divBdr>
    </w:div>
    <w:div w:id="1870726119">
      <w:bodyDiv w:val="1"/>
      <w:marLeft w:val="0"/>
      <w:marRight w:val="0"/>
      <w:marTop w:val="0"/>
      <w:marBottom w:val="0"/>
      <w:divBdr>
        <w:top w:val="none" w:sz="0" w:space="0" w:color="auto"/>
        <w:left w:val="none" w:sz="0" w:space="0" w:color="auto"/>
        <w:bottom w:val="none" w:sz="0" w:space="0" w:color="auto"/>
        <w:right w:val="none" w:sz="0" w:space="0" w:color="auto"/>
      </w:divBdr>
    </w:div>
    <w:div w:id="1933005782">
      <w:bodyDiv w:val="1"/>
      <w:marLeft w:val="0"/>
      <w:marRight w:val="0"/>
      <w:marTop w:val="0"/>
      <w:marBottom w:val="0"/>
      <w:divBdr>
        <w:top w:val="none" w:sz="0" w:space="0" w:color="auto"/>
        <w:left w:val="none" w:sz="0" w:space="0" w:color="auto"/>
        <w:bottom w:val="none" w:sz="0" w:space="0" w:color="auto"/>
        <w:right w:val="none" w:sz="0" w:space="0" w:color="auto"/>
      </w:divBdr>
    </w:div>
    <w:div w:id="1970891833">
      <w:bodyDiv w:val="1"/>
      <w:marLeft w:val="0"/>
      <w:marRight w:val="0"/>
      <w:marTop w:val="0"/>
      <w:marBottom w:val="0"/>
      <w:divBdr>
        <w:top w:val="none" w:sz="0" w:space="0" w:color="auto"/>
        <w:left w:val="none" w:sz="0" w:space="0" w:color="auto"/>
        <w:bottom w:val="none" w:sz="0" w:space="0" w:color="auto"/>
        <w:right w:val="none" w:sz="0" w:space="0" w:color="auto"/>
      </w:divBdr>
    </w:div>
    <w:div w:id="2050718640">
      <w:bodyDiv w:val="1"/>
      <w:marLeft w:val="0"/>
      <w:marRight w:val="0"/>
      <w:marTop w:val="0"/>
      <w:marBottom w:val="0"/>
      <w:divBdr>
        <w:top w:val="none" w:sz="0" w:space="0" w:color="auto"/>
        <w:left w:val="none" w:sz="0" w:space="0" w:color="auto"/>
        <w:bottom w:val="none" w:sz="0" w:space="0" w:color="auto"/>
        <w:right w:val="none" w:sz="0" w:space="0" w:color="auto"/>
      </w:divBdr>
    </w:div>
    <w:div w:id="2054425961">
      <w:bodyDiv w:val="1"/>
      <w:marLeft w:val="0"/>
      <w:marRight w:val="0"/>
      <w:marTop w:val="0"/>
      <w:marBottom w:val="0"/>
      <w:divBdr>
        <w:top w:val="none" w:sz="0" w:space="0" w:color="auto"/>
        <w:left w:val="none" w:sz="0" w:space="0" w:color="auto"/>
        <w:bottom w:val="none" w:sz="0" w:space="0" w:color="auto"/>
        <w:right w:val="none" w:sz="0" w:space="0" w:color="auto"/>
      </w:divBdr>
    </w:div>
    <w:div w:id="2139300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Recommendation&#160;10" TargetMode="External"/><Relationship Id="rId18" Type="http://schemas.openxmlformats.org/officeDocument/2006/relationships/chart" Target="charts/chart3.xml"/><Relationship Id="rId26" Type="http://schemas.openxmlformats.org/officeDocument/2006/relationships/hyperlink" Target="https://www9.health.gov.au/mbs/fullDisplay.cfm?type=item&amp;q=23" TargetMode="External"/><Relationship Id="rId39" Type="http://schemas.openxmlformats.org/officeDocument/2006/relationships/hyperlink" Target="https://www.health.gov.au/sites/default/files/documents/2020/12/taskforce-recommendations-telehealth-telehealth-recommendations-2020.pdf" TargetMode="External"/><Relationship Id="rId3" Type="http://schemas.openxmlformats.org/officeDocument/2006/relationships/customXml" Target="../customXml/item3.xml"/><Relationship Id="rId21" Type="http://schemas.openxmlformats.org/officeDocument/2006/relationships/chart" Target="charts/chart5.xml"/><Relationship Id="rId34" Type="http://schemas.openxmlformats.org/officeDocument/2006/relationships/hyperlink" Target="https://www.abs.gov.au/statistics/health/health-services/patient-experiences" TargetMode="External"/><Relationship Id="rId42" Type="http://schemas.openxmlformats.org/officeDocument/2006/relationships/footer" Target="footer1.xml"/><Relationship Id="rId47"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yperlink" Target="https://consultations.health.gov.au/medicare-reviews-unit/mrac-draft-report-post-implementation-review-of-te/supporting_documents/MRAC%20Draft%20Report%20Post%20Implementation%20Review%20of%20Telehealth%20item.pdf" TargetMode="External"/><Relationship Id="rId17" Type="http://schemas.openxmlformats.org/officeDocument/2006/relationships/chart" Target="charts/chart2.xml"/><Relationship Id="rId25" Type="http://schemas.openxmlformats.org/officeDocument/2006/relationships/hyperlink" Target="https://www.servicesaustralia.gov.au/general-practitioner-aged-care-access-incentive-for-practice-incentives-program?context=23046" TargetMode="External"/><Relationship Id="rId33" Type="http://schemas.openxmlformats.org/officeDocument/2006/relationships/hyperlink" Target="https://www.health.gov.au/committees-and-groups/medicare-benefits-schedule-mbs-review-advisory-committee-mrac" TargetMode="External"/><Relationship Id="rId38" Type="http://schemas.openxmlformats.org/officeDocument/2006/relationships/hyperlink" Target="https://bjgpopen.org/content/6/1/BJGPO.2021.0123" TargetMode="External"/><Relationship Id="rId46"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chart" Target="charts/chart1.xml"/><Relationship Id="rId20" Type="http://schemas.openxmlformats.org/officeDocument/2006/relationships/hyperlink" Target="https://www.health.gov.au/topics/rural-health-workforce/classifications/mmm" TargetMode="External"/><Relationship Id="rId29" Type="http://schemas.openxmlformats.org/officeDocument/2006/relationships/hyperlink" Target="https://www9.health.gov.au/mbs/fullDisplay.cfm?type=note&amp;q=AN.0.56&amp;qt=noteID" TargetMode="External"/><Relationship Id="rId41" Type="http://schemas.openxmlformats.org/officeDocument/2006/relationships/hyperlink" Target="https://bjgpopen.org/content/6/1/BJGPO.2021.013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www.msac.gov.au/internet/msac/publishing.nsf/Content/1360.1-public" TargetMode="External"/><Relationship Id="rId32" Type="http://schemas.openxmlformats.org/officeDocument/2006/relationships/hyperlink" Target="bookmark://_Home_visits_and" TargetMode="External"/><Relationship Id="rId37" Type="http://schemas.openxmlformats.org/officeDocument/2006/relationships/hyperlink" Target="https://journals.sagepub.com/doi/epub/10.1177/1357633X241232464" TargetMode="External"/><Relationship Id="rId40" Type="http://schemas.openxmlformats.org/officeDocument/2006/relationships/hyperlink" Target="https://www.health.gov.au/resources/publications/taskforce-findings-general-practice-and-primary-care-clinical-committee-report?language=en"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health.gov.au/committees-and-groups/strengthening-medicare-taskforce" TargetMode="External"/><Relationship Id="rId23" Type="http://schemas.openxmlformats.org/officeDocument/2006/relationships/chart" Target="charts/chart7.xml"/><Relationship Id="rId28" Type="http://schemas.openxmlformats.org/officeDocument/2006/relationships/hyperlink" Target="https://www.health.gov.au/our-work/mymedicare" TargetMode="External"/><Relationship Id="rId36" Type="http://schemas.openxmlformats.org/officeDocument/2006/relationships/hyperlink" Target="https://bjgp.org/content/73/730/e364" TargetMode="External"/><Relationship Id="rId10" Type="http://schemas.openxmlformats.org/officeDocument/2006/relationships/endnotes" Target="endnotes.xml"/><Relationship Id="rId19" Type="http://schemas.openxmlformats.org/officeDocument/2006/relationships/chart" Target="charts/chart4.xml"/><Relationship Id="rId31" Type="http://schemas.openxmlformats.org/officeDocument/2006/relationships/hyperlink" Target="https://www9.health.gov.au/mbs/fullDisplay.cfm?type=item&amp;q=116&amp;qt=ItemID"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sites/default/files/documents/2020/12/taskforce-recommendations-telehealth-telehealth-recommendations-2020.pdf" TargetMode="External"/><Relationship Id="rId22" Type="http://schemas.openxmlformats.org/officeDocument/2006/relationships/chart" Target="charts/chart6.xml"/><Relationship Id="rId27" Type="http://schemas.openxmlformats.org/officeDocument/2006/relationships/hyperlink" Target="https://www9.health.gov.au/mbs/fullDisplay.cfm?type=item&amp;q=36" TargetMode="External"/><Relationship Id="rId30" Type="http://schemas.openxmlformats.org/officeDocument/2006/relationships/hyperlink" Target="https://www.safetyandquality.gov.au/standards/national-safety-and-quality-digital-mental-health-standards" TargetMode="External"/><Relationship Id="rId35" Type="http://schemas.openxmlformats.org/officeDocument/2006/relationships/hyperlink" Target="https://www.anao.gov.au/sites/default/files/2023-01/Auditor-General_Report_2022-23_10.pdf" TargetMode="External"/><Relationship Id="rId43" Type="http://schemas.openxmlformats.org/officeDocument/2006/relationships/footer" Target="footer2.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Carrie.DeHaan\AppData\Local\Microsoft\Windows\INetCache\Content.Outlook\OILVLSB0\Copy%20of%20MRAC%20-%20chart%20and%20data%20catalogue%20-%20final%20report_vSept23.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biotext.sharepoint.com/Shared%20Documents/01-Projects/01-Projects%20-%20Active/DoH/22-065-MRAC22-23/Drafts/Telehealth/Other%20background%20info/Figur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delamf\AppData\Local\Microsoft\Windows\INetCache\Content.Outlook\KDRR4FQD\Copy%20of%20Copy%20of%20Copy%20of%20MRAC%20-%20chart%20and%20data%20catalogue%20-%20final%20report_vSept23.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delamf\AppData\Local\Microsoft\Windows\INetCache\Content.Outlook\KDRR4FQD\data%20for%20mrac%20btos%20usage.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biotext.sharepoint.com/Shared%20Documents/01-Projects/01-Projects%20-%20Active/DoH/22-065-MRAC22-23/Drafts/Telehealth/Other%20background%20info/Copy%20of%20BTOS%20MMM%20teletype.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biotext.sharepoint.com/Shared%20Documents/01-Projects/01-Projects%20-%20Active/DoH/22-065-MRAC22-23/Drafts/Telehealth/Other%20background%20info/Copy%20of%20patient%20uptake%20of%20telehealth.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RUSSEY\AppData\Roaming\Hewlett-Packard\HP%20TRIM\TEMP\HPTRIM.20044\D24-484331%20%20Final%20Data%20for%20specialist(2).XLSX" TargetMode="External"/><Relationship Id="rId2" Type="http://schemas.microsoft.com/office/2011/relationships/chartColorStyle" Target="colors7.xml"/><Relationship Id="rId1" Type="http://schemas.microsoft.com/office/2011/relationships/chartStyle" Target="styl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'Cumulative providers'!$D$1</c:f>
              <c:strCache>
                <c:ptCount val="1"/>
                <c:pt idx="0">
                  <c:v>Cumulative unique providers</c:v>
                </c:pt>
              </c:strCache>
            </c:strRef>
          </c:tx>
          <c:spPr>
            <a:ln w="19050" cap="rnd">
              <a:solidFill>
                <a:schemeClr val="accent2"/>
              </a:solidFill>
              <a:round/>
            </a:ln>
            <a:effectLst/>
          </c:spPr>
          <c:marker>
            <c:symbol val="circle"/>
            <c:size val="5"/>
            <c:spPr>
              <a:noFill/>
              <a:ln w="9525">
                <a:noFill/>
              </a:ln>
              <a:effectLst/>
            </c:spPr>
          </c:marker>
          <c:xVal>
            <c:numRef>
              <c:f>'Cumulative providers'!$C$2:$C$19</c:f>
              <c:numCache>
                <c:formatCode>General</c:formatCode>
                <c:ptCount val="18"/>
                <c:pt idx="0">
                  <c:v>0</c:v>
                </c:pt>
                <c:pt idx="1">
                  <c:v>1</c:v>
                </c:pt>
                <c:pt idx="2">
                  <c:v>4</c:v>
                </c:pt>
                <c:pt idx="3">
                  <c:v>5</c:v>
                </c:pt>
                <c:pt idx="4">
                  <c:v>6</c:v>
                </c:pt>
                <c:pt idx="5">
                  <c:v>7</c:v>
                </c:pt>
                <c:pt idx="6">
                  <c:v>8</c:v>
                </c:pt>
                <c:pt idx="7">
                  <c:v>9</c:v>
                </c:pt>
                <c:pt idx="8">
                  <c:v>10</c:v>
                </c:pt>
                <c:pt idx="9">
                  <c:v>11</c:v>
                </c:pt>
                <c:pt idx="10">
                  <c:v>12</c:v>
                </c:pt>
                <c:pt idx="11">
                  <c:v>13</c:v>
                </c:pt>
                <c:pt idx="12">
                  <c:v>14</c:v>
                </c:pt>
                <c:pt idx="13">
                  <c:v>15</c:v>
                </c:pt>
                <c:pt idx="14">
                  <c:v>18</c:v>
                </c:pt>
                <c:pt idx="15">
                  <c:v>21</c:v>
                </c:pt>
                <c:pt idx="16">
                  <c:v>28</c:v>
                </c:pt>
                <c:pt idx="17">
                  <c:v>30</c:v>
                </c:pt>
              </c:numCache>
            </c:numRef>
          </c:xVal>
          <c:yVal>
            <c:numRef>
              <c:f>'Cumulative providers'!$D$2:$D$19</c:f>
              <c:numCache>
                <c:formatCode>General</c:formatCode>
                <c:ptCount val="18"/>
                <c:pt idx="0">
                  <c:v>0</c:v>
                </c:pt>
                <c:pt idx="1">
                  <c:v>61157</c:v>
                </c:pt>
                <c:pt idx="2">
                  <c:v>74625</c:v>
                </c:pt>
                <c:pt idx="3">
                  <c:v>76424</c:v>
                </c:pt>
                <c:pt idx="4">
                  <c:v>77695</c:v>
                </c:pt>
                <c:pt idx="5">
                  <c:v>78715</c:v>
                </c:pt>
                <c:pt idx="6">
                  <c:v>79512</c:v>
                </c:pt>
                <c:pt idx="7">
                  <c:v>80116</c:v>
                </c:pt>
                <c:pt idx="8">
                  <c:v>81286</c:v>
                </c:pt>
                <c:pt idx="9">
                  <c:v>82431</c:v>
                </c:pt>
                <c:pt idx="10">
                  <c:v>83272</c:v>
                </c:pt>
                <c:pt idx="11">
                  <c:v>83834</c:v>
                </c:pt>
                <c:pt idx="12">
                  <c:v>84483</c:v>
                </c:pt>
                <c:pt idx="13">
                  <c:v>85127</c:v>
                </c:pt>
                <c:pt idx="14">
                  <c:v>87482</c:v>
                </c:pt>
                <c:pt idx="15">
                  <c:v>89750</c:v>
                </c:pt>
                <c:pt idx="16">
                  <c:v>94119</c:v>
                </c:pt>
                <c:pt idx="17">
                  <c:v>96216</c:v>
                </c:pt>
              </c:numCache>
            </c:numRef>
          </c:yVal>
          <c:smooth val="1"/>
          <c:extLst>
            <c:ext xmlns:c16="http://schemas.microsoft.com/office/drawing/2014/chart" uri="{C3380CC4-5D6E-409C-BE32-E72D297353CC}">
              <c16:uniqueId val="{00000000-BD11-428D-9894-18B725A40EBB}"/>
            </c:ext>
          </c:extLst>
        </c:ser>
        <c:dLbls>
          <c:showLegendKey val="0"/>
          <c:showVal val="0"/>
          <c:showCatName val="0"/>
          <c:showSerName val="0"/>
          <c:showPercent val="0"/>
          <c:showBubbleSize val="0"/>
        </c:dLbls>
        <c:axId val="656181416"/>
        <c:axId val="656180696"/>
      </c:scatterChart>
      <c:valAx>
        <c:axId val="656181416"/>
        <c:scaling>
          <c:orientation val="minMax"/>
          <c:max val="3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Months since</a:t>
                </a:r>
                <a:r>
                  <a:rPr lang="en-AU" baseline="0"/>
                  <a:t> COVID-19 MBS telehealth items introduced</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6180696"/>
        <c:crossesAt val="0"/>
        <c:crossBetween val="midCat"/>
      </c:valAx>
      <c:valAx>
        <c:axId val="656180696"/>
        <c:scaling>
          <c:orientation val="minMax"/>
          <c:min val="150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Unique telehealth </a:t>
                </a:r>
                <a:r>
                  <a:rPr lang="en-AU" baseline="0"/>
                  <a:t>service providers (no.)</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56181416"/>
        <c:crosses val="autoZero"/>
        <c:crossBetween val="midCat"/>
        <c:majorUnit val="15000"/>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'[Figures.xlsx]Figure 2'!$B$1</c:f>
              <c:strCache>
                <c:ptCount val="1"/>
                <c:pt idx="0">
                  <c:v>Percentage</c:v>
                </c:pt>
              </c:strCache>
            </c:strRef>
          </c:tx>
          <c:spPr>
            <a:solidFill>
              <a:schemeClr val="accent2"/>
            </a:solidFill>
            <a:ln>
              <a:noFill/>
            </a:ln>
            <a:effectLst/>
          </c:spPr>
          <c:invertIfNegative val="0"/>
          <c:cat>
            <c:strRef>
              <c:f>'[Figures.xlsx]Figure 2'!$A$2:$A$5</c:f>
              <c:strCache>
                <c:ptCount val="4"/>
                <c:pt idx="0">
                  <c:v>GP non-referred</c:v>
                </c:pt>
                <c:pt idx="1">
                  <c:v>Specialist</c:v>
                </c:pt>
                <c:pt idx="2">
                  <c:v>Allied health</c:v>
                </c:pt>
                <c:pt idx="3">
                  <c:v>Other MBS </c:v>
                </c:pt>
              </c:strCache>
            </c:strRef>
          </c:cat>
          <c:val>
            <c:numRef>
              <c:f>'[Figures.xlsx]Figure 2'!$B$2:$B$5</c:f>
              <c:numCache>
                <c:formatCode>General</c:formatCode>
                <c:ptCount val="4"/>
                <c:pt idx="0">
                  <c:v>83</c:v>
                </c:pt>
                <c:pt idx="1">
                  <c:v>11</c:v>
                </c:pt>
                <c:pt idx="2">
                  <c:v>5</c:v>
                </c:pt>
                <c:pt idx="3">
                  <c:v>1</c:v>
                </c:pt>
              </c:numCache>
            </c:numRef>
          </c:val>
          <c:extLst>
            <c:ext xmlns:c16="http://schemas.microsoft.com/office/drawing/2014/chart" uri="{C3380CC4-5D6E-409C-BE32-E72D297353CC}">
              <c16:uniqueId val="{00000000-3340-4C4B-9E18-1299EB8BF574}"/>
            </c:ext>
          </c:extLst>
        </c:ser>
        <c:dLbls>
          <c:showLegendKey val="0"/>
          <c:showVal val="0"/>
          <c:showCatName val="0"/>
          <c:showSerName val="0"/>
          <c:showPercent val="0"/>
          <c:showBubbleSize val="0"/>
        </c:dLbls>
        <c:gapWidth val="219"/>
        <c:overlap val="-27"/>
        <c:axId val="405997032"/>
        <c:axId val="406001712"/>
      </c:barChart>
      <c:catAx>
        <c:axId val="40599703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Service</a:t>
                </a:r>
                <a:r>
                  <a:rPr lang="en-AU" baseline="0"/>
                  <a:t> type</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6001712"/>
        <c:crosses val="autoZero"/>
        <c:auto val="1"/>
        <c:lblAlgn val="ctr"/>
        <c:lblOffset val="100"/>
        <c:noMultiLvlLbl val="0"/>
      </c:catAx>
      <c:valAx>
        <c:axId val="4060017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 of attendances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599703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56802274715661"/>
          <c:y val="5.0925925925925923E-2"/>
          <c:w val="0.86654308836395444"/>
          <c:h val="0.40056576261300669"/>
        </c:manualLayout>
      </c:layout>
      <c:lineChart>
        <c:grouping val="standard"/>
        <c:varyColors val="0"/>
        <c:ser>
          <c:idx val="0"/>
          <c:order val="0"/>
          <c:tx>
            <c:strRef>
              <c:f>'BTOS by quarter'!$A$33:$B$33</c:f>
              <c:strCache>
                <c:ptCount val="2"/>
                <c:pt idx="0">
                  <c:v>Other Allied Health</c:v>
                </c:pt>
              </c:strCache>
            </c:strRef>
          </c:tx>
          <c:spPr>
            <a:ln w="28575" cap="rnd">
              <a:solidFill>
                <a:schemeClr val="accent1"/>
              </a:solidFill>
              <a:round/>
            </a:ln>
            <a:effectLst/>
          </c:spPr>
          <c:marker>
            <c:symbol val="none"/>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quarter'!$C$33:$O$33</c:f>
              <c:numCache>
                <c:formatCode>0.0%</c:formatCode>
                <c:ptCount val="13"/>
                <c:pt idx="0">
                  <c:v>0.2318404764267763</c:v>
                </c:pt>
                <c:pt idx="1">
                  <c:v>0.16339773702629415</c:v>
                </c:pt>
                <c:pt idx="2">
                  <c:v>0.14942834884730619</c:v>
                </c:pt>
                <c:pt idx="3">
                  <c:v>0.11264035117269186</c:v>
                </c:pt>
                <c:pt idx="4">
                  <c:v>0.10598279184002506</c:v>
                </c:pt>
                <c:pt idx="5">
                  <c:v>0.2028203461345679</c:v>
                </c:pt>
                <c:pt idx="6">
                  <c:v>0.18557643745156982</c:v>
                </c:pt>
                <c:pt idx="7">
                  <c:v>0.18056031724840696</c:v>
                </c:pt>
                <c:pt idx="8">
                  <c:v>0.15363250780381502</c:v>
                </c:pt>
                <c:pt idx="9">
                  <c:v>0.14338803063605846</c:v>
                </c:pt>
                <c:pt idx="10">
                  <c:v>0.13370170054135158</c:v>
                </c:pt>
                <c:pt idx="11">
                  <c:v>0.10436989036002123</c:v>
                </c:pt>
                <c:pt idx="12">
                  <c:v>9.7728740188461963E-2</c:v>
                </c:pt>
              </c:numCache>
            </c:numRef>
          </c:val>
          <c:smooth val="0"/>
          <c:extLst>
            <c:ext xmlns:c16="http://schemas.microsoft.com/office/drawing/2014/chart" uri="{C3380CC4-5D6E-409C-BE32-E72D297353CC}">
              <c16:uniqueId val="{00000000-5F98-4152-9D5C-1BB866B87717}"/>
            </c:ext>
          </c:extLst>
        </c:ser>
        <c:ser>
          <c:idx val="1"/>
          <c:order val="1"/>
          <c:tx>
            <c:strRef>
              <c:f>'BTOS by quarter'!$A$34:$B$34</c:f>
              <c:strCache>
                <c:ptCount val="2"/>
                <c:pt idx="0">
                  <c:v>Other Allied Health</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quarter'!$C$34:$O$34</c:f>
            </c:numRef>
          </c:val>
          <c:smooth val="0"/>
          <c:extLst>
            <c:ext xmlns:c16="http://schemas.microsoft.com/office/drawing/2014/chart" uri="{C3380CC4-5D6E-409C-BE32-E72D297353CC}">
              <c16:uniqueId val="{00000001-5F98-4152-9D5C-1BB866B87717}"/>
            </c:ext>
          </c:extLst>
        </c:ser>
        <c:ser>
          <c:idx val="2"/>
          <c:order val="2"/>
          <c:tx>
            <c:strRef>
              <c:f>'BTOS by quarter'!$A$35:$B$35</c:f>
              <c:strCache>
                <c:ptCount val="2"/>
                <c:pt idx="0">
                  <c:v>Other MBS Services</c:v>
                </c:pt>
              </c:strCache>
            </c:strRef>
          </c:tx>
          <c:spPr>
            <a:ln w="28575" cap="rnd">
              <a:solidFill>
                <a:schemeClr val="accent3"/>
              </a:solidFill>
              <a:round/>
            </a:ln>
            <a:effectLst/>
          </c:spPr>
          <c:marker>
            <c:symbol val="none"/>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quarter'!$C$35:$O$35</c:f>
              <c:numCache>
                <c:formatCode>0.0%</c:formatCode>
                <c:ptCount val="13"/>
                <c:pt idx="0">
                  <c:v>1.6823187914219918E-2</c:v>
                </c:pt>
                <c:pt idx="1">
                  <c:v>1.4766505495038532E-2</c:v>
                </c:pt>
                <c:pt idx="2">
                  <c:v>1.4102105950635236E-2</c:v>
                </c:pt>
                <c:pt idx="3">
                  <c:v>1.4401631960128052E-2</c:v>
                </c:pt>
                <c:pt idx="4">
                  <c:v>1.3692489934183287E-2</c:v>
                </c:pt>
                <c:pt idx="5">
                  <c:v>2.0896773985986987E-2</c:v>
                </c:pt>
                <c:pt idx="6">
                  <c:v>2.0876998697492561E-2</c:v>
                </c:pt>
                <c:pt idx="7">
                  <c:v>2.7427899351781717E-2</c:v>
                </c:pt>
                <c:pt idx="8">
                  <c:v>2.8802641439938579E-2</c:v>
                </c:pt>
                <c:pt idx="9">
                  <c:v>2.8093384198984717E-2</c:v>
                </c:pt>
                <c:pt idx="10">
                  <c:v>2.5768403829511035E-2</c:v>
                </c:pt>
                <c:pt idx="11">
                  <c:v>2.5573888322006379E-2</c:v>
                </c:pt>
                <c:pt idx="12">
                  <c:v>2.6463296446814961E-2</c:v>
                </c:pt>
              </c:numCache>
            </c:numRef>
          </c:val>
          <c:smooth val="0"/>
          <c:extLst>
            <c:ext xmlns:c16="http://schemas.microsoft.com/office/drawing/2014/chart" uri="{C3380CC4-5D6E-409C-BE32-E72D297353CC}">
              <c16:uniqueId val="{00000002-5F98-4152-9D5C-1BB866B87717}"/>
            </c:ext>
          </c:extLst>
        </c:ser>
        <c:ser>
          <c:idx val="3"/>
          <c:order val="3"/>
          <c:tx>
            <c:strRef>
              <c:f>'BTOS by quarter'!$A$36:$B$36</c:f>
              <c:strCache>
                <c:ptCount val="2"/>
                <c:pt idx="0">
                  <c:v>Other MBS Services</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quarter'!$C$36:$O$36</c:f>
            </c:numRef>
          </c:val>
          <c:smooth val="0"/>
          <c:extLst>
            <c:ext xmlns:c16="http://schemas.microsoft.com/office/drawing/2014/chart" uri="{C3380CC4-5D6E-409C-BE32-E72D297353CC}">
              <c16:uniqueId val="{00000003-5F98-4152-9D5C-1BB866B87717}"/>
            </c:ext>
          </c:extLst>
        </c:ser>
        <c:ser>
          <c:idx val="4"/>
          <c:order val="4"/>
          <c:tx>
            <c:strRef>
              <c:f>'BTOS by quarter'!$A$37:$B$37</c:f>
              <c:strCache>
                <c:ptCount val="2"/>
                <c:pt idx="0">
                  <c:v>Specialist Attendances</c:v>
                </c:pt>
              </c:strCache>
            </c:strRef>
          </c:tx>
          <c:spPr>
            <a:ln w="28575" cap="rnd">
              <a:solidFill>
                <a:schemeClr val="accent5"/>
              </a:solidFill>
              <a:round/>
            </a:ln>
            <a:effectLst/>
          </c:spPr>
          <c:marker>
            <c:symbol val="none"/>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quarter'!$C$37:$O$37</c:f>
              <c:numCache>
                <c:formatCode>0.0%</c:formatCode>
                <c:ptCount val="13"/>
                <c:pt idx="0">
                  <c:v>0.26410017211262826</c:v>
                </c:pt>
                <c:pt idx="1">
                  <c:v>0.18912275832362477</c:v>
                </c:pt>
                <c:pt idx="2">
                  <c:v>0.15366601464914159</c:v>
                </c:pt>
                <c:pt idx="3">
                  <c:v>0.12140564400656191</c:v>
                </c:pt>
                <c:pt idx="4">
                  <c:v>0.11597442032870468</c:v>
                </c:pt>
                <c:pt idx="5">
                  <c:v>0.19345217150935143</c:v>
                </c:pt>
                <c:pt idx="6">
                  <c:v>0.17561851586997881</c:v>
                </c:pt>
                <c:pt idx="7">
                  <c:v>0.17468215881930926</c:v>
                </c:pt>
                <c:pt idx="8">
                  <c:v>0.15087550614221487</c:v>
                </c:pt>
                <c:pt idx="9">
                  <c:v>0.1171382469701323</c:v>
                </c:pt>
                <c:pt idx="10">
                  <c:v>0.10949584781649939</c:v>
                </c:pt>
                <c:pt idx="11">
                  <c:v>0.1017649142437511</c:v>
                </c:pt>
                <c:pt idx="12">
                  <c:v>0.10448701719569199</c:v>
                </c:pt>
              </c:numCache>
            </c:numRef>
          </c:val>
          <c:smooth val="0"/>
          <c:extLst>
            <c:ext xmlns:c16="http://schemas.microsoft.com/office/drawing/2014/chart" uri="{C3380CC4-5D6E-409C-BE32-E72D297353CC}">
              <c16:uniqueId val="{00000004-5F98-4152-9D5C-1BB866B87717}"/>
            </c:ext>
          </c:extLst>
        </c:ser>
        <c:ser>
          <c:idx val="5"/>
          <c:order val="5"/>
          <c:tx>
            <c:strRef>
              <c:f>'BTOS by quarter'!$A$38:$B$38</c:f>
              <c:strCache>
                <c:ptCount val="2"/>
                <c:pt idx="0">
                  <c:v>Total GP Non-Referred Attendances</c:v>
                </c:pt>
              </c:strCache>
            </c:strRef>
          </c:tx>
          <c:spPr>
            <a:ln w="28575" cap="rnd">
              <a:solidFill>
                <a:schemeClr val="accent6"/>
              </a:solidFill>
              <a:round/>
            </a:ln>
            <a:effectLst/>
          </c:spPr>
          <c:marker>
            <c:symbol val="none"/>
          </c:marker>
          <c:cat>
            <c:strRef>
              <c:f>'BTOS by quarter'!$C$32:$O$32</c:f>
              <c:strCache>
                <c:ptCount val="13"/>
                <c:pt idx="0">
                  <c:v>2020-Q2 (Jun qtr)</c:v>
                </c:pt>
                <c:pt idx="1">
                  <c:v>2020-Q3 (Sep qtr)</c:v>
                </c:pt>
                <c:pt idx="2">
                  <c:v>2020-Q4 (Dec qtr)</c:v>
                </c:pt>
                <c:pt idx="3">
                  <c:v>2021-Q1 (Mar qtr)</c:v>
                </c:pt>
                <c:pt idx="4">
                  <c:v>2021-Q2 (Jun qtr)</c:v>
                </c:pt>
                <c:pt idx="5">
                  <c:v>2021-Q3 (Sep qtr)</c:v>
                </c:pt>
                <c:pt idx="6">
                  <c:v>2021-Q4 (Dec qtr)</c:v>
                </c:pt>
                <c:pt idx="7">
                  <c:v>2022-Q1 (Mar qtr)</c:v>
                </c:pt>
                <c:pt idx="8">
                  <c:v>2022-Q2 (Jun qtr)</c:v>
                </c:pt>
                <c:pt idx="9">
                  <c:v>2022-Q3 (Sep qtr)</c:v>
                </c:pt>
                <c:pt idx="10">
                  <c:v>2022-Q4 (Dec qtr)</c:v>
                </c:pt>
                <c:pt idx="11">
                  <c:v>2023-Q1 (Mar qtr)</c:v>
                </c:pt>
                <c:pt idx="12">
                  <c:v>2023-Q2 (Jun qtr)</c:v>
                </c:pt>
              </c:strCache>
            </c:strRef>
          </c:cat>
          <c:val>
            <c:numRef>
              <c:f>'BTOS by quarter'!$C$38:$O$38</c:f>
              <c:numCache>
                <c:formatCode>0.0%</c:formatCode>
                <c:ptCount val="13"/>
                <c:pt idx="0">
                  <c:v>0.30727958346451134</c:v>
                </c:pt>
                <c:pt idx="1">
                  <c:v>0.30531187460944686</c:v>
                </c:pt>
                <c:pt idx="2">
                  <c:v>0.23388963099782889</c:v>
                </c:pt>
                <c:pt idx="3">
                  <c:v>0.20473929130759483</c:v>
                </c:pt>
                <c:pt idx="4">
                  <c:v>0.18159643267943132</c:v>
                </c:pt>
                <c:pt idx="5">
                  <c:v>0.28162394106657523</c:v>
                </c:pt>
                <c:pt idx="6">
                  <c:v>0.24721251725661852</c:v>
                </c:pt>
                <c:pt idx="7">
                  <c:v>0.26843900755344247</c:v>
                </c:pt>
                <c:pt idx="8">
                  <c:v>0.22341277179953428</c:v>
                </c:pt>
                <c:pt idx="9">
                  <c:v>0.2289612878504769</c:v>
                </c:pt>
                <c:pt idx="10">
                  <c:v>0.2092292251719208</c:v>
                </c:pt>
                <c:pt idx="11">
                  <c:v>0.18078196370526758</c:v>
                </c:pt>
                <c:pt idx="12">
                  <c:v>0.17617556980667642</c:v>
                </c:pt>
              </c:numCache>
            </c:numRef>
          </c:val>
          <c:smooth val="0"/>
          <c:extLst>
            <c:ext xmlns:c16="http://schemas.microsoft.com/office/drawing/2014/chart" uri="{C3380CC4-5D6E-409C-BE32-E72D297353CC}">
              <c16:uniqueId val="{00000005-5F98-4152-9D5C-1BB866B87717}"/>
            </c:ext>
          </c:extLst>
        </c:ser>
        <c:dLbls>
          <c:showLegendKey val="0"/>
          <c:showVal val="0"/>
          <c:showCatName val="0"/>
          <c:showSerName val="0"/>
          <c:showPercent val="0"/>
          <c:showBubbleSize val="0"/>
        </c:dLbls>
        <c:smooth val="0"/>
        <c:axId val="743695440"/>
        <c:axId val="743695800"/>
      </c:lineChart>
      <c:catAx>
        <c:axId val="743695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43695800"/>
        <c:crosses val="autoZero"/>
        <c:auto val="1"/>
        <c:lblAlgn val="ctr"/>
        <c:lblOffset val="100"/>
        <c:noMultiLvlLbl val="0"/>
      </c:catAx>
      <c:valAx>
        <c:axId val="743695800"/>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43695440"/>
        <c:crosses val="autoZero"/>
        <c:crossBetween val="between"/>
      </c:valAx>
      <c:spPr>
        <a:noFill/>
        <a:ln>
          <a:noFill/>
        </a:ln>
        <a:effectLst/>
      </c:spPr>
    </c:plotArea>
    <c:legend>
      <c:legendPos val="b"/>
      <c:layout>
        <c:manualLayout>
          <c:xMode val="edge"/>
          <c:yMode val="edge"/>
          <c:x val="6.8102482335339151E-2"/>
          <c:y val="0.74999777150497693"/>
          <c:w val="0.85987831562634709"/>
          <c:h val="0.1814755796474995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Sheet3!$B$57</c:f>
              <c:strCache>
                <c:ptCount val="1"/>
                <c:pt idx="0">
                  <c:v>Total GP Non-Referred Attendances</c:v>
                </c:pt>
              </c:strCache>
            </c:strRef>
          </c:tx>
          <c:spPr>
            <a:ln w="28575" cap="rnd">
              <a:solidFill>
                <a:schemeClr val="accent1"/>
              </a:solidFill>
              <a:round/>
            </a:ln>
            <a:effectLst/>
          </c:spPr>
          <c:marker>
            <c:symbol val="none"/>
          </c:marker>
          <c:cat>
            <c:strRef>
              <c:f>Sheet3!$C$55:$N$56</c:f>
              <c:strCache>
                <c:ptCount val="12"/>
                <c:pt idx="0">
                  <c:v>2020-Q3 (Sep qtr)</c:v>
                </c:pt>
                <c:pt idx="1">
                  <c:v>2020-Q4 (Dec qtr)</c:v>
                </c:pt>
                <c:pt idx="2">
                  <c:v>2021-Q1 (Mar qtr)</c:v>
                </c:pt>
                <c:pt idx="3">
                  <c:v>2021-Q2 (Jun qtr)</c:v>
                </c:pt>
                <c:pt idx="4">
                  <c:v>2021-Q3 (Sep qtr)</c:v>
                </c:pt>
                <c:pt idx="5">
                  <c:v>2021-Q4 (Dec qtr)</c:v>
                </c:pt>
                <c:pt idx="6">
                  <c:v>2022-Q1 (Mar qtr)</c:v>
                </c:pt>
                <c:pt idx="7">
                  <c:v>2022-Q2 (Jun qtr)</c:v>
                </c:pt>
                <c:pt idx="8">
                  <c:v>2022-Q3 (Sep qtr)</c:v>
                </c:pt>
                <c:pt idx="9">
                  <c:v>2022-Q4 (Dec qtr)</c:v>
                </c:pt>
                <c:pt idx="10">
                  <c:v>2023-Q1 (Mar qtr)</c:v>
                </c:pt>
                <c:pt idx="11">
                  <c:v>2023-Q2 (Jun qtr)</c:v>
                </c:pt>
              </c:strCache>
            </c:strRef>
          </c:cat>
          <c:val>
            <c:numRef>
              <c:f>Sheet3!$C$57:$N$57</c:f>
              <c:numCache>
                <c:formatCode>0%</c:formatCode>
                <c:ptCount val="12"/>
                <c:pt idx="0">
                  <c:v>2.3819287732083708E-2</c:v>
                </c:pt>
                <c:pt idx="1">
                  <c:v>1.8977323164604001E-2</c:v>
                </c:pt>
                <c:pt idx="2">
                  <c:v>1.694168925121918E-2</c:v>
                </c:pt>
                <c:pt idx="3">
                  <c:v>1.7364617406622238E-2</c:v>
                </c:pt>
                <c:pt idx="4">
                  <c:v>6.1424510695670509E-2</c:v>
                </c:pt>
                <c:pt idx="5">
                  <c:v>5.6954818730652224E-2</c:v>
                </c:pt>
                <c:pt idx="6">
                  <c:v>6.2659529520367616E-2</c:v>
                </c:pt>
                <c:pt idx="7">
                  <c:v>5.2196074493587041E-2</c:v>
                </c:pt>
                <c:pt idx="8">
                  <c:v>5.0756048522618995E-2</c:v>
                </c:pt>
                <c:pt idx="9">
                  <c:v>4.9250118449758386E-2</c:v>
                </c:pt>
                <c:pt idx="10">
                  <c:v>5.0497476406694219E-2</c:v>
                </c:pt>
                <c:pt idx="11">
                  <c:v>4.9720852800717787E-2</c:v>
                </c:pt>
              </c:numCache>
            </c:numRef>
          </c:val>
          <c:smooth val="0"/>
          <c:extLst>
            <c:ext xmlns:c16="http://schemas.microsoft.com/office/drawing/2014/chart" uri="{C3380CC4-5D6E-409C-BE32-E72D297353CC}">
              <c16:uniqueId val="{00000000-C106-4E85-8806-5F3A32759419}"/>
            </c:ext>
          </c:extLst>
        </c:ser>
        <c:ser>
          <c:idx val="1"/>
          <c:order val="1"/>
          <c:tx>
            <c:strRef>
              <c:f>Sheet3!$B$58</c:f>
              <c:strCache>
                <c:ptCount val="1"/>
                <c:pt idx="0">
                  <c:v>Specialist Attendances</c:v>
                </c:pt>
              </c:strCache>
            </c:strRef>
          </c:tx>
          <c:spPr>
            <a:ln w="28575" cap="rnd">
              <a:solidFill>
                <a:schemeClr val="accent2"/>
              </a:solidFill>
              <a:round/>
            </a:ln>
            <a:effectLst/>
          </c:spPr>
          <c:marker>
            <c:symbol val="none"/>
          </c:marker>
          <c:cat>
            <c:strRef>
              <c:f>Sheet3!$C$55:$N$56</c:f>
              <c:strCache>
                <c:ptCount val="12"/>
                <c:pt idx="0">
                  <c:v>2020-Q3 (Sep qtr)</c:v>
                </c:pt>
                <c:pt idx="1">
                  <c:v>2020-Q4 (Dec qtr)</c:v>
                </c:pt>
                <c:pt idx="2">
                  <c:v>2021-Q1 (Mar qtr)</c:v>
                </c:pt>
                <c:pt idx="3">
                  <c:v>2021-Q2 (Jun qtr)</c:v>
                </c:pt>
                <c:pt idx="4">
                  <c:v>2021-Q3 (Sep qtr)</c:v>
                </c:pt>
                <c:pt idx="5">
                  <c:v>2021-Q4 (Dec qtr)</c:v>
                </c:pt>
                <c:pt idx="6">
                  <c:v>2022-Q1 (Mar qtr)</c:v>
                </c:pt>
                <c:pt idx="7">
                  <c:v>2022-Q2 (Jun qtr)</c:v>
                </c:pt>
                <c:pt idx="8">
                  <c:v>2022-Q3 (Sep qtr)</c:v>
                </c:pt>
                <c:pt idx="9">
                  <c:v>2022-Q4 (Dec qtr)</c:v>
                </c:pt>
                <c:pt idx="10">
                  <c:v>2023-Q1 (Mar qtr)</c:v>
                </c:pt>
                <c:pt idx="11">
                  <c:v>2023-Q2 (Jun qtr)</c:v>
                </c:pt>
              </c:strCache>
            </c:strRef>
          </c:cat>
          <c:val>
            <c:numRef>
              <c:f>Sheet3!$C$58:$N$58</c:f>
              <c:numCache>
                <c:formatCode>0%</c:formatCode>
                <c:ptCount val="12"/>
                <c:pt idx="0">
                  <c:v>0.20846025033276661</c:v>
                </c:pt>
                <c:pt idx="1">
                  <c:v>0.19984447651114318</c:v>
                </c:pt>
                <c:pt idx="2">
                  <c:v>0.18114514071644397</c:v>
                </c:pt>
                <c:pt idx="3">
                  <c:v>0.17387564067347638</c:v>
                </c:pt>
                <c:pt idx="4">
                  <c:v>0.19800394557385328</c:v>
                </c:pt>
                <c:pt idx="5">
                  <c:v>0.19952125422716005</c:v>
                </c:pt>
                <c:pt idx="6">
                  <c:v>0.33788083261767471</c:v>
                </c:pt>
                <c:pt idx="7">
                  <c:v>0.28898617383835307</c:v>
                </c:pt>
                <c:pt idx="8">
                  <c:v>0.48062237876867597</c:v>
                </c:pt>
                <c:pt idx="9">
                  <c:v>0.49143650888021706</c:v>
                </c:pt>
                <c:pt idx="10">
                  <c:v>0.48785077254316622</c:v>
                </c:pt>
                <c:pt idx="11">
                  <c:v>0.49087074842232792</c:v>
                </c:pt>
              </c:numCache>
            </c:numRef>
          </c:val>
          <c:smooth val="0"/>
          <c:extLst>
            <c:ext xmlns:c16="http://schemas.microsoft.com/office/drawing/2014/chart" uri="{C3380CC4-5D6E-409C-BE32-E72D297353CC}">
              <c16:uniqueId val="{00000001-C106-4E85-8806-5F3A32759419}"/>
            </c:ext>
          </c:extLst>
        </c:ser>
        <c:ser>
          <c:idx val="2"/>
          <c:order val="2"/>
          <c:tx>
            <c:strRef>
              <c:f>Sheet3!$B$59</c:f>
              <c:strCache>
                <c:ptCount val="1"/>
                <c:pt idx="0">
                  <c:v>Other Allied Health</c:v>
                </c:pt>
              </c:strCache>
            </c:strRef>
          </c:tx>
          <c:spPr>
            <a:ln w="28575" cap="rnd">
              <a:solidFill>
                <a:schemeClr val="accent3"/>
              </a:solidFill>
              <a:round/>
            </a:ln>
            <a:effectLst/>
          </c:spPr>
          <c:marker>
            <c:symbol val="none"/>
          </c:marker>
          <c:cat>
            <c:strRef>
              <c:f>Sheet3!$C$55:$N$56</c:f>
              <c:strCache>
                <c:ptCount val="12"/>
                <c:pt idx="0">
                  <c:v>2020-Q3 (Sep qtr)</c:v>
                </c:pt>
                <c:pt idx="1">
                  <c:v>2020-Q4 (Dec qtr)</c:v>
                </c:pt>
                <c:pt idx="2">
                  <c:v>2021-Q1 (Mar qtr)</c:v>
                </c:pt>
                <c:pt idx="3">
                  <c:v>2021-Q2 (Jun qtr)</c:v>
                </c:pt>
                <c:pt idx="4">
                  <c:v>2021-Q3 (Sep qtr)</c:v>
                </c:pt>
                <c:pt idx="5">
                  <c:v>2021-Q4 (Dec qtr)</c:v>
                </c:pt>
                <c:pt idx="6">
                  <c:v>2022-Q1 (Mar qtr)</c:v>
                </c:pt>
                <c:pt idx="7">
                  <c:v>2022-Q2 (Jun qtr)</c:v>
                </c:pt>
                <c:pt idx="8">
                  <c:v>2022-Q3 (Sep qtr)</c:v>
                </c:pt>
                <c:pt idx="9">
                  <c:v>2022-Q4 (Dec qtr)</c:v>
                </c:pt>
                <c:pt idx="10">
                  <c:v>2023-Q1 (Mar qtr)</c:v>
                </c:pt>
                <c:pt idx="11">
                  <c:v>2023-Q2 (Jun qtr)</c:v>
                </c:pt>
              </c:strCache>
            </c:strRef>
          </c:cat>
          <c:val>
            <c:numRef>
              <c:f>Sheet3!$C$59:$N$59</c:f>
              <c:numCache>
                <c:formatCode>0%</c:formatCode>
                <c:ptCount val="12"/>
                <c:pt idx="0">
                  <c:v>0.64844205324329407</c:v>
                </c:pt>
                <c:pt idx="1">
                  <c:v>0.67253636720789178</c:v>
                </c:pt>
                <c:pt idx="2">
                  <c:v>0.66330174510171447</c:v>
                </c:pt>
                <c:pt idx="3">
                  <c:v>0.68049870561226977</c:v>
                </c:pt>
                <c:pt idx="4">
                  <c:v>0.7183694835176635</c:v>
                </c:pt>
                <c:pt idx="5">
                  <c:v>0.72968208226102227</c:v>
                </c:pt>
                <c:pt idx="6">
                  <c:v>0.72071385894447859</c:v>
                </c:pt>
                <c:pt idx="7">
                  <c:v>0.74007068071709325</c:v>
                </c:pt>
                <c:pt idx="8">
                  <c:v>0.74804007645450021</c:v>
                </c:pt>
                <c:pt idx="9">
                  <c:v>0.74789810543367263</c:v>
                </c:pt>
                <c:pt idx="10">
                  <c:v>0.75780883468674853</c:v>
                </c:pt>
                <c:pt idx="11">
                  <c:v>0.7658881389309784</c:v>
                </c:pt>
              </c:numCache>
            </c:numRef>
          </c:val>
          <c:smooth val="0"/>
          <c:extLst>
            <c:ext xmlns:c16="http://schemas.microsoft.com/office/drawing/2014/chart" uri="{C3380CC4-5D6E-409C-BE32-E72D297353CC}">
              <c16:uniqueId val="{00000002-C106-4E85-8806-5F3A32759419}"/>
            </c:ext>
          </c:extLst>
        </c:ser>
        <c:ser>
          <c:idx val="3"/>
          <c:order val="3"/>
          <c:tx>
            <c:strRef>
              <c:f>Sheet3!$B$60</c:f>
              <c:strCache>
                <c:ptCount val="1"/>
                <c:pt idx="0">
                  <c:v>Other MBS Services</c:v>
                </c:pt>
              </c:strCache>
            </c:strRef>
          </c:tx>
          <c:spPr>
            <a:ln w="28575" cap="rnd">
              <a:solidFill>
                <a:schemeClr val="accent4"/>
              </a:solidFill>
              <a:round/>
            </a:ln>
            <a:effectLst/>
          </c:spPr>
          <c:marker>
            <c:symbol val="none"/>
          </c:marker>
          <c:cat>
            <c:strRef>
              <c:f>Sheet3!$C$55:$N$56</c:f>
              <c:strCache>
                <c:ptCount val="12"/>
                <c:pt idx="0">
                  <c:v>2020-Q3 (Sep qtr)</c:v>
                </c:pt>
                <c:pt idx="1">
                  <c:v>2020-Q4 (Dec qtr)</c:v>
                </c:pt>
                <c:pt idx="2">
                  <c:v>2021-Q1 (Mar qtr)</c:v>
                </c:pt>
                <c:pt idx="3">
                  <c:v>2021-Q2 (Jun qtr)</c:v>
                </c:pt>
                <c:pt idx="4">
                  <c:v>2021-Q3 (Sep qtr)</c:v>
                </c:pt>
                <c:pt idx="5">
                  <c:v>2021-Q4 (Dec qtr)</c:v>
                </c:pt>
                <c:pt idx="6">
                  <c:v>2022-Q1 (Mar qtr)</c:v>
                </c:pt>
                <c:pt idx="7">
                  <c:v>2022-Q2 (Jun qtr)</c:v>
                </c:pt>
                <c:pt idx="8">
                  <c:v>2022-Q3 (Sep qtr)</c:v>
                </c:pt>
                <c:pt idx="9">
                  <c:v>2022-Q4 (Dec qtr)</c:v>
                </c:pt>
                <c:pt idx="10">
                  <c:v>2023-Q1 (Mar qtr)</c:v>
                </c:pt>
                <c:pt idx="11">
                  <c:v>2023-Q2 (Jun qtr)</c:v>
                </c:pt>
              </c:strCache>
            </c:strRef>
          </c:cat>
          <c:val>
            <c:numRef>
              <c:f>Sheet3!$C$60:$N$60</c:f>
              <c:numCache>
                <c:formatCode>0%</c:formatCode>
                <c:ptCount val="12"/>
                <c:pt idx="0">
                  <c:v>0.15436956119237177</c:v>
                </c:pt>
                <c:pt idx="1">
                  <c:v>0.13159172822780604</c:v>
                </c:pt>
                <c:pt idx="2">
                  <c:v>0.12598205687059658</c:v>
                </c:pt>
                <c:pt idx="3">
                  <c:v>0.12433567521323205</c:v>
                </c:pt>
                <c:pt idx="4">
                  <c:v>0.20044650830505448</c:v>
                </c:pt>
                <c:pt idx="5">
                  <c:v>0.19092387710236106</c:v>
                </c:pt>
                <c:pt idx="6">
                  <c:v>0.22970830468760961</c:v>
                </c:pt>
                <c:pt idx="7">
                  <c:v>0.23112839532846013</c:v>
                </c:pt>
                <c:pt idx="8">
                  <c:v>0.18617585061153522</c:v>
                </c:pt>
                <c:pt idx="9">
                  <c:v>0.12904030130838179</c:v>
                </c:pt>
                <c:pt idx="10">
                  <c:v>0.14970605720324986</c:v>
                </c:pt>
                <c:pt idx="11">
                  <c:v>0.16946966253485826</c:v>
                </c:pt>
              </c:numCache>
            </c:numRef>
          </c:val>
          <c:smooth val="0"/>
          <c:extLst>
            <c:ext xmlns:c16="http://schemas.microsoft.com/office/drawing/2014/chart" uri="{C3380CC4-5D6E-409C-BE32-E72D297353CC}">
              <c16:uniqueId val="{00000003-C106-4E85-8806-5F3A32759419}"/>
            </c:ext>
          </c:extLst>
        </c:ser>
        <c:dLbls>
          <c:showLegendKey val="0"/>
          <c:showVal val="0"/>
          <c:showCatName val="0"/>
          <c:showSerName val="0"/>
          <c:showPercent val="0"/>
          <c:showBubbleSize val="0"/>
        </c:dLbls>
        <c:smooth val="0"/>
        <c:axId val="954874856"/>
        <c:axId val="954875576"/>
      </c:lineChart>
      <c:catAx>
        <c:axId val="9548748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wrap="square" anchor="ctr" anchorCtr="1"/>
          <a:lstStyle/>
          <a:p>
            <a:pPr algn="ctr">
              <a:defRPr lang="en-US" sz="900" b="0" i="0" u="none" strike="noStrike" kern="1200" baseline="0">
                <a:solidFill>
                  <a:schemeClr val="tx1">
                    <a:lumMod val="65000"/>
                    <a:lumOff val="35000"/>
                  </a:schemeClr>
                </a:solidFill>
                <a:latin typeface="+mn-lt"/>
                <a:ea typeface="+mn-ea"/>
                <a:cs typeface="+mn-cs"/>
              </a:defRPr>
            </a:pPr>
            <a:endParaRPr lang="en-US"/>
          </a:p>
        </c:txPr>
        <c:crossAx val="954875576"/>
        <c:crosses val="autoZero"/>
        <c:auto val="1"/>
        <c:lblAlgn val="ctr"/>
        <c:lblOffset val="100"/>
        <c:noMultiLvlLbl val="0"/>
      </c:catAx>
      <c:valAx>
        <c:axId val="954875576"/>
        <c:scaling>
          <c:orientation val="minMax"/>
          <c:max val="0.8"/>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548748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'[Copy of BTOS MMM teletype.xlsx]BTOS MMM'!$C$71</c:f>
              <c:strCache>
                <c:ptCount val="1"/>
                <c:pt idx="0">
                  <c:v>Phone</c:v>
                </c:pt>
              </c:strCache>
            </c:strRef>
          </c:tx>
          <c:spPr>
            <a:solidFill>
              <a:schemeClr val="bg1">
                <a:lumMod val="85000"/>
              </a:schemeClr>
            </a:solidFill>
            <a:ln>
              <a:noFill/>
            </a:ln>
            <a:effectLst/>
          </c:spPr>
          <c:invertIfNegative val="0"/>
          <c:cat>
            <c:multiLvlStrRef>
              <c:f>'[Copy of BTOS MMM teletype.xlsx]BTOS MMM'!$A$72:$B$92</c:f>
              <c:multiLvlStrCache>
                <c:ptCount val="21"/>
                <c:lvl>
                  <c:pt idx="0">
                    <c:v>Total GP non-referred attendances</c:v>
                  </c:pt>
                  <c:pt idx="1">
                    <c:v>Specialist attendances</c:v>
                  </c:pt>
                  <c:pt idx="2">
                    <c:v>Other allied health</c:v>
                  </c:pt>
                  <c:pt idx="3">
                    <c:v>Total GP non-referred attendances</c:v>
                  </c:pt>
                  <c:pt idx="4">
                    <c:v>Specialist attendances</c:v>
                  </c:pt>
                  <c:pt idx="5">
                    <c:v>Other allied health</c:v>
                  </c:pt>
                  <c:pt idx="6">
                    <c:v>Total GP non-referred attendances</c:v>
                  </c:pt>
                  <c:pt idx="7">
                    <c:v>Specialist attendances</c:v>
                  </c:pt>
                  <c:pt idx="8">
                    <c:v>Other allied health</c:v>
                  </c:pt>
                  <c:pt idx="9">
                    <c:v>Total GP non-referred attendances</c:v>
                  </c:pt>
                  <c:pt idx="10">
                    <c:v>Specialist attendances</c:v>
                  </c:pt>
                  <c:pt idx="11">
                    <c:v>Other allied health</c:v>
                  </c:pt>
                  <c:pt idx="12">
                    <c:v>Total GP non-referred attendances</c:v>
                  </c:pt>
                  <c:pt idx="13">
                    <c:v>Specialist attendances</c:v>
                  </c:pt>
                  <c:pt idx="14">
                    <c:v>Other allied health</c:v>
                  </c:pt>
                  <c:pt idx="15">
                    <c:v>Total GP non-referred attendances</c:v>
                  </c:pt>
                  <c:pt idx="16">
                    <c:v>Specialist attendances</c:v>
                  </c:pt>
                  <c:pt idx="17">
                    <c:v>Other allied health</c:v>
                  </c:pt>
                  <c:pt idx="18">
                    <c:v>Total GP non-referred attendances</c:v>
                  </c:pt>
                  <c:pt idx="19">
                    <c:v>Specialist attendances</c:v>
                  </c:pt>
                  <c:pt idx="20">
                    <c:v>Other allied health</c:v>
                  </c:pt>
                </c:lvl>
                <c:lvl>
                  <c:pt idx="0">
                    <c:v>1</c:v>
                  </c:pt>
                  <c:pt idx="3">
                    <c:v>2</c:v>
                  </c:pt>
                  <c:pt idx="6">
                    <c:v>3</c:v>
                  </c:pt>
                  <c:pt idx="9">
                    <c:v>4</c:v>
                  </c:pt>
                  <c:pt idx="12">
                    <c:v>5</c:v>
                  </c:pt>
                  <c:pt idx="15">
                    <c:v>6</c:v>
                  </c:pt>
                  <c:pt idx="18">
                    <c:v>7</c:v>
                  </c:pt>
                </c:lvl>
              </c:multiLvlStrCache>
            </c:multiLvlStrRef>
          </c:cat>
          <c:val>
            <c:numRef>
              <c:f>'[Copy of BTOS MMM teletype.xlsx]BTOS MMM'!$C$72:$C$92</c:f>
              <c:numCache>
                <c:formatCode>0.00%</c:formatCode>
                <c:ptCount val="21"/>
                <c:pt idx="0">
                  <c:v>0.22960912114873472</c:v>
                </c:pt>
                <c:pt idx="1">
                  <c:v>9.6588158582507327E-2</c:v>
                </c:pt>
                <c:pt idx="2">
                  <c:v>3.9468190303756256E-2</c:v>
                </c:pt>
                <c:pt idx="3">
                  <c:v>0.18709177689004142</c:v>
                </c:pt>
                <c:pt idx="4">
                  <c:v>7.887372321859637E-2</c:v>
                </c:pt>
                <c:pt idx="5">
                  <c:v>3.6249624451965744E-2</c:v>
                </c:pt>
                <c:pt idx="6">
                  <c:v>0.19777989135617915</c:v>
                </c:pt>
                <c:pt idx="7">
                  <c:v>9.8858388482658821E-2</c:v>
                </c:pt>
                <c:pt idx="8">
                  <c:v>3.5813346880900203E-2</c:v>
                </c:pt>
                <c:pt idx="9">
                  <c:v>0.19057543504330671</c:v>
                </c:pt>
                <c:pt idx="10">
                  <c:v>0.11006192604012459</c:v>
                </c:pt>
                <c:pt idx="11">
                  <c:v>3.8570311641032536E-2</c:v>
                </c:pt>
                <c:pt idx="12">
                  <c:v>0.18667379120556743</c:v>
                </c:pt>
                <c:pt idx="13">
                  <c:v>0.10550809637115205</c:v>
                </c:pt>
                <c:pt idx="14">
                  <c:v>3.9566977357302011E-2</c:v>
                </c:pt>
                <c:pt idx="15">
                  <c:v>0.13874541141137681</c:v>
                </c:pt>
                <c:pt idx="16">
                  <c:v>0.10528341817363669</c:v>
                </c:pt>
                <c:pt idx="17">
                  <c:v>3.8533414049956569E-2</c:v>
                </c:pt>
                <c:pt idx="18">
                  <c:v>0.1145577018773145</c:v>
                </c:pt>
                <c:pt idx="19">
                  <c:v>9.910685003854558E-2</c:v>
                </c:pt>
                <c:pt idx="20">
                  <c:v>3.7273181020464022E-2</c:v>
                </c:pt>
              </c:numCache>
            </c:numRef>
          </c:val>
          <c:extLst>
            <c:ext xmlns:c16="http://schemas.microsoft.com/office/drawing/2014/chart" uri="{C3380CC4-5D6E-409C-BE32-E72D297353CC}">
              <c16:uniqueId val="{00000000-EB0C-4985-B33C-0865BAD557DA}"/>
            </c:ext>
          </c:extLst>
        </c:ser>
        <c:ser>
          <c:idx val="1"/>
          <c:order val="1"/>
          <c:tx>
            <c:strRef>
              <c:f>'[Copy of BTOS MMM teletype.xlsx]BTOS MMM'!$D$71</c:f>
              <c:strCache>
                <c:ptCount val="1"/>
                <c:pt idx="0">
                  <c:v>Video</c:v>
                </c:pt>
              </c:strCache>
            </c:strRef>
          </c:tx>
          <c:spPr>
            <a:solidFill>
              <a:schemeClr val="accent2"/>
            </a:solidFill>
            <a:ln>
              <a:noFill/>
            </a:ln>
            <a:effectLst/>
          </c:spPr>
          <c:invertIfNegative val="0"/>
          <c:cat>
            <c:multiLvlStrRef>
              <c:f>'[Copy of BTOS MMM teletype.xlsx]BTOS MMM'!$A$72:$B$92</c:f>
              <c:multiLvlStrCache>
                <c:ptCount val="21"/>
                <c:lvl>
                  <c:pt idx="0">
                    <c:v>Total GP non-referred attendances</c:v>
                  </c:pt>
                  <c:pt idx="1">
                    <c:v>Specialist attendances</c:v>
                  </c:pt>
                  <c:pt idx="2">
                    <c:v>Other allied health</c:v>
                  </c:pt>
                  <c:pt idx="3">
                    <c:v>Total GP non-referred attendances</c:v>
                  </c:pt>
                  <c:pt idx="4">
                    <c:v>Specialist attendances</c:v>
                  </c:pt>
                  <c:pt idx="5">
                    <c:v>Other allied health</c:v>
                  </c:pt>
                  <c:pt idx="6">
                    <c:v>Total GP non-referred attendances</c:v>
                  </c:pt>
                  <c:pt idx="7">
                    <c:v>Specialist attendances</c:v>
                  </c:pt>
                  <c:pt idx="8">
                    <c:v>Other allied health</c:v>
                  </c:pt>
                  <c:pt idx="9">
                    <c:v>Total GP non-referred attendances</c:v>
                  </c:pt>
                  <c:pt idx="10">
                    <c:v>Specialist attendances</c:v>
                  </c:pt>
                  <c:pt idx="11">
                    <c:v>Other allied health</c:v>
                  </c:pt>
                  <c:pt idx="12">
                    <c:v>Total GP non-referred attendances</c:v>
                  </c:pt>
                  <c:pt idx="13">
                    <c:v>Specialist attendances</c:v>
                  </c:pt>
                  <c:pt idx="14">
                    <c:v>Other allied health</c:v>
                  </c:pt>
                  <c:pt idx="15">
                    <c:v>Total GP non-referred attendances</c:v>
                  </c:pt>
                  <c:pt idx="16">
                    <c:v>Specialist attendances</c:v>
                  </c:pt>
                  <c:pt idx="17">
                    <c:v>Other allied health</c:v>
                  </c:pt>
                  <c:pt idx="18">
                    <c:v>Total GP non-referred attendances</c:v>
                  </c:pt>
                  <c:pt idx="19">
                    <c:v>Specialist attendances</c:v>
                  </c:pt>
                  <c:pt idx="20">
                    <c:v>Other allied health</c:v>
                  </c:pt>
                </c:lvl>
                <c:lvl>
                  <c:pt idx="0">
                    <c:v>1</c:v>
                  </c:pt>
                  <c:pt idx="3">
                    <c:v>2</c:v>
                  </c:pt>
                  <c:pt idx="6">
                    <c:v>3</c:v>
                  </c:pt>
                  <c:pt idx="9">
                    <c:v>4</c:v>
                  </c:pt>
                  <c:pt idx="12">
                    <c:v>5</c:v>
                  </c:pt>
                  <c:pt idx="15">
                    <c:v>6</c:v>
                  </c:pt>
                  <c:pt idx="18">
                    <c:v>7</c:v>
                  </c:pt>
                </c:lvl>
              </c:multiLvlStrCache>
            </c:multiLvlStrRef>
          </c:cat>
          <c:val>
            <c:numRef>
              <c:f>'[Copy of BTOS MMM teletype.xlsx]BTOS MMM'!$D$72:$D$92</c:f>
              <c:numCache>
                <c:formatCode>0.00%</c:formatCode>
                <c:ptCount val="21"/>
                <c:pt idx="0">
                  <c:v>1.0812652557004981E-2</c:v>
                </c:pt>
                <c:pt idx="1">
                  <c:v>4.1146917971221442E-2</c:v>
                </c:pt>
                <c:pt idx="2">
                  <c:v>0.11246737121682909</c:v>
                </c:pt>
                <c:pt idx="3">
                  <c:v>6.7707102998997362E-3</c:v>
                </c:pt>
                <c:pt idx="4">
                  <c:v>4.8488233414996626E-2</c:v>
                </c:pt>
                <c:pt idx="5">
                  <c:v>7.3454802627905685E-2</c:v>
                </c:pt>
                <c:pt idx="6">
                  <c:v>8.4688902560335847E-3</c:v>
                </c:pt>
                <c:pt idx="7">
                  <c:v>6.5461677797725645E-2</c:v>
                </c:pt>
                <c:pt idx="8">
                  <c:v>7.128054837315459E-2</c:v>
                </c:pt>
                <c:pt idx="9">
                  <c:v>7.3095599310506083E-3</c:v>
                </c:pt>
                <c:pt idx="10">
                  <c:v>7.2334299835345103E-2</c:v>
                </c:pt>
                <c:pt idx="11">
                  <c:v>9.0160279511831601E-2</c:v>
                </c:pt>
                <c:pt idx="12">
                  <c:v>7.7022766553330796E-3</c:v>
                </c:pt>
                <c:pt idx="13">
                  <c:v>6.4114188934331323E-2</c:v>
                </c:pt>
                <c:pt idx="14">
                  <c:v>8.5556190676170138E-2</c:v>
                </c:pt>
                <c:pt idx="15">
                  <c:v>9.3771876133893865E-3</c:v>
                </c:pt>
                <c:pt idx="16">
                  <c:v>8.2872219253592824E-2</c:v>
                </c:pt>
                <c:pt idx="17">
                  <c:v>0.13625141473429314</c:v>
                </c:pt>
                <c:pt idx="18">
                  <c:v>1.4070779870226108E-2</c:v>
                </c:pt>
                <c:pt idx="19">
                  <c:v>9.5013778445995734E-2</c:v>
                </c:pt>
                <c:pt idx="20">
                  <c:v>0.15899467065964676</c:v>
                </c:pt>
              </c:numCache>
            </c:numRef>
          </c:val>
          <c:extLst>
            <c:ext xmlns:c16="http://schemas.microsoft.com/office/drawing/2014/chart" uri="{C3380CC4-5D6E-409C-BE32-E72D297353CC}">
              <c16:uniqueId val="{00000001-EB0C-4985-B33C-0865BAD557DA}"/>
            </c:ext>
          </c:extLst>
        </c:ser>
        <c:dLbls>
          <c:showLegendKey val="0"/>
          <c:showVal val="0"/>
          <c:showCatName val="0"/>
          <c:showSerName val="0"/>
          <c:showPercent val="0"/>
          <c:showBubbleSize val="0"/>
        </c:dLbls>
        <c:gapWidth val="150"/>
        <c:overlap val="100"/>
        <c:axId val="810055696"/>
        <c:axId val="810057856"/>
      </c:barChart>
      <c:catAx>
        <c:axId val="810055696"/>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MM</a:t>
                </a:r>
                <a:r>
                  <a:rPr lang="en-AU" baseline="0"/>
                  <a:t> classification</a:t>
                </a:r>
                <a:endParaRPr lang="en-AU"/>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10057856"/>
        <c:crosses val="autoZero"/>
        <c:auto val="0"/>
        <c:lblAlgn val="ctr"/>
        <c:lblOffset val="100"/>
        <c:tickLblSkip val="1"/>
        <c:noMultiLvlLbl val="0"/>
      </c:catAx>
      <c:valAx>
        <c:axId val="810057856"/>
        <c:scaling>
          <c:orientation val="minMax"/>
          <c:max val="0.25"/>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a:t>
                </a:r>
                <a:r>
                  <a:rPr lang="en-AU" baseline="0"/>
                  <a:t> of total services</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100556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barChart>
        <c:barDir val="col"/>
        <c:grouping val="stacked"/>
        <c:varyColors val="0"/>
        <c:ser>
          <c:idx val="0"/>
          <c:order val="0"/>
          <c:tx>
            <c:strRef>
              <c:f>Sheet3!$C$2</c:f>
              <c:strCache>
                <c:ptCount val="1"/>
                <c:pt idx="0">
                  <c:v>Phone</c:v>
                </c:pt>
              </c:strCache>
            </c:strRef>
          </c:tx>
          <c:spPr>
            <a:solidFill>
              <a:schemeClr val="accent2"/>
            </a:solidFill>
            <a:ln>
              <a:noFill/>
            </a:ln>
            <a:effectLst/>
          </c:spPr>
          <c:invertIfNegative val="0"/>
          <c:cat>
            <c:multiLvlStrRef>
              <c:f>Sheet3!$A$3:$B$45</c:f>
              <c:multiLvlStrCache>
                <c:ptCount val="43"/>
                <c:lvl>
                  <c:pt idx="0">
                    <c:v>Jan</c:v>
                  </c:pt>
                  <c:pt idx="1">
                    <c:v>Feb</c:v>
                  </c:pt>
                  <c:pt idx="2">
                    <c:v>Mar</c:v>
                  </c:pt>
                  <c:pt idx="3">
                    <c:v>Apr</c:v>
                  </c:pt>
                  <c:pt idx="4">
                    <c:v>May</c:v>
                  </c:pt>
                  <c:pt idx="5">
                    <c:v>Jun</c:v>
                  </c:pt>
                  <c:pt idx="6">
                    <c:v>Jul</c:v>
                  </c:pt>
                  <c:pt idx="7">
                    <c:v>Aug</c:v>
                  </c:pt>
                  <c:pt idx="8">
                    <c:v>Sep</c:v>
                  </c:pt>
                  <c:pt idx="9">
                    <c:v>Oct</c:v>
                  </c:pt>
                  <c:pt idx="10">
                    <c:v>Nov</c:v>
                  </c:pt>
                  <c:pt idx="11">
                    <c:v>Dec</c:v>
                  </c:pt>
                  <c:pt idx="12">
                    <c:v>Jan</c:v>
                  </c:pt>
                  <c:pt idx="13">
                    <c:v>Feb</c:v>
                  </c:pt>
                  <c:pt idx="14">
                    <c:v>Mar</c:v>
                  </c:pt>
                  <c:pt idx="15">
                    <c:v>Apr</c:v>
                  </c:pt>
                  <c:pt idx="16">
                    <c:v>May</c:v>
                  </c:pt>
                  <c:pt idx="17">
                    <c:v>Jun</c:v>
                  </c:pt>
                  <c:pt idx="18">
                    <c:v>Jul</c:v>
                  </c:pt>
                  <c:pt idx="19">
                    <c:v>Aug</c:v>
                  </c:pt>
                  <c:pt idx="20">
                    <c:v>Sep</c:v>
                  </c:pt>
                  <c:pt idx="21">
                    <c:v>Oct</c:v>
                  </c:pt>
                  <c:pt idx="22">
                    <c:v>Nov</c:v>
                  </c:pt>
                  <c:pt idx="23">
                    <c:v>Dec</c:v>
                  </c:pt>
                  <c:pt idx="24">
                    <c:v>Jan</c:v>
                  </c:pt>
                  <c:pt idx="25">
                    <c:v>Feb</c:v>
                  </c:pt>
                  <c:pt idx="26">
                    <c:v>Mar</c:v>
                  </c:pt>
                  <c:pt idx="27">
                    <c:v>Apr</c:v>
                  </c:pt>
                  <c:pt idx="28">
                    <c:v>May</c:v>
                  </c:pt>
                  <c:pt idx="29">
                    <c:v>Jun</c:v>
                  </c:pt>
                  <c:pt idx="30">
                    <c:v>Jul</c:v>
                  </c:pt>
                  <c:pt idx="31">
                    <c:v>Aug</c:v>
                  </c:pt>
                  <c:pt idx="32">
                    <c:v>Sep</c:v>
                  </c:pt>
                  <c:pt idx="33">
                    <c:v>Oct</c:v>
                  </c:pt>
                  <c:pt idx="34">
                    <c:v>Nov</c:v>
                  </c:pt>
                  <c:pt idx="35">
                    <c:v>Dec</c:v>
                  </c:pt>
                  <c:pt idx="36">
                    <c:v>Jan</c:v>
                  </c:pt>
                  <c:pt idx="37">
                    <c:v>Feb</c:v>
                  </c:pt>
                  <c:pt idx="38">
                    <c:v>Mar</c:v>
                  </c:pt>
                  <c:pt idx="39">
                    <c:v>Apr</c:v>
                  </c:pt>
                  <c:pt idx="40">
                    <c:v>May</c:v>
                  </c:pt>
                  <c:pt idx="41">
                    <c:v>Jun</c:v>
                  </c:pt>
                  <c:pt idx="42">
                    <c:v>Jul</c:v>
                  </c:pt>
                </c:lvl>
                <c:lvl>
                  <c:pt idx="0">
                    <c:v>2020</c:v>
                  </c:pt>
                  <c:pt idx="12">
                    <c:v>2021</c:v>
                  </c:pt>
                  <c:pt idx="24">
                    <c:v>2022</c:v>
                  </c:pt>
                  <c:pt idx="36">
                    <c:v>2023</c:v>
                  </c:pt>
                </c:lvl>
              </c:multiLvlStrCache>
            </c:multiLvlStrRef>
          </c:cat>
          <c:val>
            <c:numRef>
              <c:f>Sheet3!$C$3:$C$45</c:f>
              <c:numCache>
                <c:formatCode>General</c:formatCode>
                <c:ptCount val="43"/>
                <c:pt idx="2">
                  <c:v>1137873</c:v>
                </c:pt>
                <c:pt idx="3">
                  <c:v>5396610</c:v>
                </c:pt>
                <c:pt idx="4">
                  <c:v>5083359</c:v>
                </c:pt>
                <c:pt idx="5">
                  <c:v>4456764</c:v>
                </c:pt>
                <c:pt idx="6">
                  <c:v>4859226</c:v>
                </c:pt>
                <c:pt idx="7">
                  <c:v>4940825</c:v>
                </c:pt>
                <c:pt idx="8">
                  <c:v>4511856</c:v>
                </c:pt>
                <c:pt idx="9">
                  <c:v>3858189</c:v>
                </c:pt>
                <c:pt idx="10">
                  <c:v>3565724</c:v>
                </c:pt>
                <c:pt idx="11">
                  <c:v>3171681</c:v>
                </c:pt>
                <c:pt idx="12">
                  <c:v>2723484</c:v>
                </c:pt>
                <c:pt idx="13">
                  <c:v>3205055</c:v>
                </c:pt>
                <c:pt idx="14">
                  <c:v>3287249</c:v>
                </c:pt>
                <c:pt idx="15">
                  <c:v>2698936</c:v>
                </c:pt>
                <c:pt idx="16">
                  <c:v>2907471</c:v>
                </c:pt>
                <c:pt idx="17">
                  <c:v>3277595</c:v>
                </c:pt>
                <c:pt idx="18">
                  <c:v>3644545</c:v>
                </c:pt>
                <c:pt idx="19">
                  <c:v>4713318</c:v>
                </c:pt>
                <c:pt idx="20">
                  <c:v>4355182</c:v>
                </c:pt>
                <c:pt idx="21">
                  <c:v>4082036</c:v>
                </c:pt>
                <c:pt idx="22">
                  <c:v>3514273</c:v>
                </c:pt>
                <c:pt idx="23">
                  <c:v>3199151</c:v>
                </c:pt>
                <c:pt idx="24">
                  <c:v>3580460</c:v>
                </c:pt>
                <c:pt idx="25">
                  <c:v>3473770</c:v>
                </c:pt>
                <c:pt idx="26">
                  <c:v>3896964</c:v>
                </c:pt>
                <c:pt idx="27">
                  <c:v>3148681</c:v>
                </c:pt>
                <c:pt idx="28">
                  <c:v>3700289</c:v>
                </c:pt>
                <c:pt idx="29">
                  <c:v>3597018</c:v>
                </c:pt>
                <c:pt idx="30">
                  <c:v>3445135</c:v>
                </c:pt>
                <c:pt idx="31">
                  <c:v>3527087</c:v>
                </c:pt>
                <c:pt idx="32">
                  <c:v>2963275</c:v>
                </c:pt>
                <c:pt idx="33">
                  <c:v>2838712</c:v>
                </c:pt>
                <c:pt idx="34">
                  <c:v>2976153</c:v>
                </c:pt>
                <c:pt idx="35">
                  <c:v>2787870</c:v>
                </c:pt>
                <c:pt idx="36">
                  <c:v>2267356</c:v>
                </c:pt>
                <c:pt idx="37">
                  <c:v>2381354</c:v>
                </c:pt>
                <c:pt idx="38">
                  <c:v>2751238</c:v>
                </c:pt>
                <c:pt idx="39">
                  <c:v>2088522</c:v>
                </c:pt>
                <c:pt idx="40">
                  <c:v>2895774</c:v>
                </c:pt>
                <c:pt idx="41">
                  <c:v>2677472</c:v>
                </c:pt>
                <c:pt idx="42">
                  <c:v>2531275</c:v>
                </c:pt>
              </c:numCache>
            </c:numRef>
          </c:val>
          <c:extLst>
            <c:ext xmlns:c16="http://schemas.microsoft.com/office/drawing/2014/chart" uri="{C3380CC4-5D6E-409C-BE32-E72D297353CC}">
              <c16:uniqueId val="{00000000-B330-4780-B30A-5470AA83F9A9}"/>
            </c:ext>
          </c:extLst>
        </c:ser>
        <c:ser>
          <c:idx val="1"/>
          <c:order val="1"/>
          <c:tx>
            <c:strRef>
              <c:f>Sheet3!$D$2</c:f>
              <c:strCache>
                <c:ptCount val="1"/>
                <c:pt idx="0">
                  <c:v>Post-COVID video</c:v>
                </c:pt>
              </c:strCache>
            </c:strRef>
          </c:tx>
          <c:spPr>
            <a:solidFill>
              <a:schemeClr val="dk1">
                <a:tint val="55000"/>
                <a:alpha val="70000"/>
              </a:schemeClr>
            </a:solidFill>
            <a:ln>
              <a:noFill/>
            </a:ln>
            <a:effectLst/>
          </c:spPr>
          <c:invertIfNegative val="0"/>
          <c:cat>
            <c:multiLvlStrRef>
              <c:f>Sheet3!$A$3:$B$45</c:f>
              <c:multiLvlStrCache>
                <c:ptCount val="43"/>
                <c:lvl>
                  <c:pt idx="0">
                    <c:v>Jan</c:v>
                  </c:pt>
                  <c:pt idx="1">
                    <c:v>Feb</c:v>
                  </c:pt>
                  <c:pt idx="2">
                    <c:v>Mar</c:v>
                  </c:pt>
                  <c:pt idx="3">
                    <c:v>Apr</c:v>
                  </c:pt>
                  <c:pt idx="4">
                    <c:v>May</c:v>
                  </c:pt>
                  <c:pt idx="5">
                    <c:v>Jun</c:v>
                  </c:pt>
                  <c:pt idx="6">
                    <c:v>Jul</c:v>
                  </c:pt>
                  <c:pt idx="7">
                    <c:v>Aug</c:v>
                  </c:pt>
                  <c:pt idx="8">
                    <c:v>Sep</c:v>
                  </c:pt>
                  <c:pt idx="9">
                    <c:v>Oct</c:v>
                  </c:pt>
                  <c:pt idx="10">
                    <c:v>Nov</c:v>
                  </c:pt>
                  <c:pt idx="11">
                    <c:v>Dec</c:v>
                  </c:pt>
                  <c:pt idx="12">
                    <c:v>Jan</c:v>
                  </c:pt>
                  <c:pt idx="13">
                    <c:v>Feb</c:v>
                  </c:pt>
                  <c:pt idx="14">
                    <c:v>Mar</c:v>
                  </c:pt>
                  <c:pt idx="15">
                    <c:v>Apr</c:v>
                  </c:pt>
                  <c:pt idx="16">
                    <c:v>May</c:v>
                  </c:pt>
                  <c:pt idx="17">
                    <c:v>Jun</c:v>
                  </c:pt>
                  <c:pt idx="18">
                    <c:v>Jul</c:v>
                  </c:pt>
                  <c:pt idx="19">
                    <c:v>Aug</c:v>
                  </c:pt>
                  <c:pt idx="20">
                    <c:v>Sep</c:v>
                  </c:pt>
                  <c:pt idx="21">
                    <c:v>Oct</c:v>
                  </c:pt>
                  <c:pt idx="22">
                    <c:v>Nov</c:v>
                  </c:pt>
                  <c:pt idx="23">
                    <c:v>Dec</c:v>
                  </c:pt>
                  <c:pt idx="24">
                    <c:v>Jan</c:v>
                  </c:pt>
                  <c:pt idx="25">
                    <c:v>Feb</c:v>
                  </c:pt>
                  <c:pt idx="26">
                    <c:v>Mar</c:v>
                  </c:pt>
                  <c:pt idx="27">
                    <c:v>Apr</c:v>
                  </c:pt>
                  <c:pt idx="28">
                    <c:v>May</c:v>
                  </c:pt>
                  <c:pt idx="29">
                    <c:v>Jun</c:v>
                  </c:pt>
                  <c:pt idx="30">
                    <c:v>Jul</c:v>
                  </c:pt>
                  <c:pt idx="31">
                    <c:v>Aug</c:v>
                  </c:pt>
                  <c:pt idx="32">
                    <c:v>Sep</c:v>
                  </c:pt>
                  <c:pt idx="33">
                    <c:v>Oct</c:v>
                  </c:pt>
                  <c:pt idx="34">
                    <c:v>Nov</c:v>
                  </c:pt>
                  <c:pt idx="35">
                    <c:v>Dec</c:v>
                  </c:pt>
                  <c:pt idx="36">
                    <c:v>Jan</c:v>
                  </c:pt>
                  <c:pt idx="37">
                    <c:v>Feb</c:v>
                  </c:pt>
                  <c:pt idx="38">
                    <c:v>Mar</c:v>
                  </c:pt>
                  <c:pt idx="39">
                    <c:v>Apr</c:v>
                  </c:pt>
                  <c:pt idx="40">
                    <c:v>May</c:v>
                  </c:pt>
                  <c:pt idx="41">
                    <c:v>Jun</c:v>
                  </c:pt>
                  <c:pt idx="42">
                    <c:v>Jul</c:v>
                  </c:pt>
                </c:lvl>
                <c:lvl>
                  <c:pt idx="0">
                    <c:v>2020</c:v>
                  </c:pt>
                  <c:pt idx="12">
                    <c:v>2021</c:v>
                  </c:pt>
                  <c:pt idx="24">
                    <c:v>2022</c:v>
                  </c:pt>
                  <c:pt idx="36">
                    <c:v>2023</c:v>
                  </c:pt>
                </c:lvl>
              </c:multiLvlStrCache>
            </c:multiLvlStrRef>
          </c:cat>
          <c:val>
            <c:numRef>
              <c:f>Sheet3!$D$3:$D$45</c:f>
              <c:numCache>
                <c:formatCode>General</c:formatCode>
                <c:ptCount val="43"/>
                <c:pt idx="2">
                  <c:v>110060</c:v>
                </c:pt>
                <c:pt idx="3">
                  <c:v>492074</c:v>
                </c:pt>
                <c:pt idx="4">
                  <c:v>446848</c:v>
                </c:pt>
                <c:pt idx="5">
                  <c:v>356735</c:v>
                </c:pt>
                <c:pt idx="6">
                  <c:v>335772</c:v>
                </c:pt>
                <c:pt idx="7">
                  <c:v>362162</c:v>
                </c:pt>
                <c:pt idx="8">
                  <c:v>358919</c:v>
                </c:pt>
                <c:pt idx="9">
                  <c:v>314505</c:v>
                </c:pt>
                <c:pt idx="10">
                  <c:v>272213</c:v>
                </c:pt>
                <c:pt idx="11">
                  <c:v>229178</c:v>
                </c:pt>
                <c:pt idx="12">
                  <c:v>166861</c:v>
                </c:pt>
                <c:pt idx="13">
                  <c:v>216255</c:v>
                </c:pt>
                <c:pt idx="14">
                  <c:v>212547</c:v>
                </c:pt>
                <c:pt idx="15">
                  <c:v>173027</c:v>
                </c:pt>
                <c:pt idx="16">
                  <c:v>188020</c:v>
                </c:pt>
                <c:pt idx="17">
                  <c:v>229921</c:v>
                </c:pt>
                <c:pt idx="18">
                  <c:v>408434</c:v>
                </c:pt>
                <c:pt idx="19">
                  <c:v>584288</c:v>
                </c:pt>
                <c:pt idx="20">
                  <c:v>608930</c:v>
                </c:pt>
                <c:pt idx="21">
                  <c:v>540374</c:v>
                </c:pt>
                <c:pt idx="22">
                  <c:v>448814</c:v>
                </c:pt>
                <c:pt idx="23">
                  <c:v>354352</c:v>
                </c:pt>
                <c:pt idx="24">
                  <c:v>494111</c:v>
                </c:pt>
                <c:pt idx="25">
                  <c:v>522221</c:v>
                </c:pt>
                <c:pt idx="26">
                  <c:v>542735</c:v>
                </c:pt>
                <c:pt idx="27">
                  <c:v>413541</c:v>
                </c:pt>
                <c:pt idx="28">
                  <c:v>463480</c:v>
                </c:pt>
                <c:pt idx="29">
                  <c:v>439588</c:v>
                </c:pt>
                <c:pt idx="30">
                  <c:v>456005</c:v>
                </c:pt>
                <c:pt idx="31">
                  <c:v>494701</c:v>
                </c:pt>
                <c:pt idx="32">
                  <c:v>427410</c:v>
                </c:pt>
                <c:pt idx="33">
                  <c:v>418974</c:v>
                </c:pt>
                <c:pt idx="34">
                  <c:v>427175</c:v>
                </c:pt>
                <c:pt idx="35">
                  <c:v>373405</c:v>
                </c:pt>
                <c:pt idx="36">
                  <c:v>300313</c:v>
                </c:pt>
                <c:pt idx="37">
                  <c:v>350944</c:v>
                </c:pt>
                <c:pt idx="38">
                  <c:v>414428</c:v>
                </c:pt>
                <c:pt idx="39">
                  <c:v>316418</c:v>
                </c:pt>
                <c:pt idx="40">
                  <c:v>409588</c:v>
                </c:pt>
                <c:pt idx="41">
                  <c:v>393920</c:v>
                </c:pt>
                <c:pt idx="42">
                  <c:v>362332</c:v>
                </c:pt>
              </c:numCache>
            </c:numRef>
          </c:val>
          <c:extLst>
            <c:ext xmlns:c16="http://schemas.microsoft.com/office/drawing/2014/chart" uri="{C3380CC4-5D6E-409C-BE32-E72D297353CC}">
              <c16:uniqueId val="{00000001-B330-4780-B30A-5470AA83F9A9}"/>
            </c:ext>
          </c:extLst>
        </c:ser>
        <c:ser>
          <c:idx val="3"/>
          <c:order val="3"/>
          <c:tx>
            <c:strRef>
              <c:f>Sheet3!$F$2</c:f>
              <c:strCache>
                <c:ptCount val="1"/>
                <c:pt idx="0">
                  <c:v>Pre-COVID video</c:v>
                </c:pt>
              </c:strCache>
            </c:strRef>
          </c:tx>
          <c:spPr>
            <a:solidFill>
              <a:schemeClr val="dk1">
                <a:tint val="98500"/>
                <a:alpha val="70000"/>
              </a:schemeClr>
            </a:solidFill>
            <a:ln>
              <a:noFill/>
            </a:ln>
            <a:effectLst/>
          </c:spPr>
          <c:invertIfNegative val="0"/>
          <c:cat>
            <c:multiLvlStrRef>
              <c:f>Sheet3!$A$3:$B$45</c:f>
              <c:multiLvlStrCache>
                <c:ptCount val="43"/>
                <c:lvl>
                  <c:pt idx="0">
                    <c:v>Jan</c:v>
                  </c:pt>
                  <c:pt idx="1">
                    <c:v>Feb</c:v>
                  </c:pt>
                  <c:pt idx="2">
                    <c:v>Mar</c:v>
                  </c:pt>
                  <c:pt idx="3">
                    <c:v>Apr</c:v>
                  </c:pt>
                  <c:pt idx="4">
                    <c:v>May</c:v>
                  </c:pt>
                  <c:pt idx="5">
                    <c:v>Jun</c:v>
                  </c:pt>
                  <c:pt idx="6">
                    <c:v>Jul</c:v>
                  </c:pt>
                  <c:pt idx="7">
                    <c:v>Aug</c:v>
                  </c:pt>
                  <c:pt idx="8">
                    <c:v>Sep</c:v>
                  </c:pt>
                  <c:pt idx="9">
                    <c:v>Oct</c:v>
                  </c:pt>
                  <c:pt idx="10">
                    <c:v>Nov</c:v>
                  </c:pt>
                  <c:pt idx="11">
                    <c:v>Dec</c:v>
                  </c:pt>
                  <c:pt idx="12">
                    <c:v>Jan</c:v>
                  </c:pt>
                  <c:pt idx="13">
                    <c:v>Feb</c:v>
                  </c:pt>
                  <c:pt idx="14">
                    <c:v>Mar</c:v>
                  </c:pt>
                  <c:pt idx="15">
                    <c:v>Apr</c:v>
                  </c:pt>
                  <c:pt idx="16">
                    <c:v>May</c:v>
                  </c:pt>
                  <c:pt idx="17">
                    <c:v>Jun</c:v>
                  </c:pt>
                  <c:pt idx="18">
                    <c:v>Jul</c:v>
                  </c:pt>
                  <c:pt idx="19">
                    <c:v>Aug</c:v>
                  </c:pt>
                  <c:pt idx="20">
                    <c:v>Sep</c:v>
                  </c:pt>
                  <c:pt idx="21">
                    <c:v>Oct</c:v>
                  </c:pt>
                  <c:pt idx="22">
                    <c:v>Nov</c:v>
                  </c:pt>
                  <c:pt idx="23">
                    <c:v>Dec</c:v>
                  </c:pt>
                  <c:pt idx="24">
                    <c:v>Jan</c:v>
                  </c:pt>
                  <c:pt idx="25">
                    <c:v>Feb</c:v>
                  </c:pt>
                  <c:pt idx="26">
                    <c:v>Mar</c:v>
                  </c:pt>
                  <c:pt idx="27">
                    <c:v>Apr</c:v>
                  </c:pt>
                  <c:pt idx="28">
                    <c:v>May</c:v>
                  </c:pt>
                  <c:pt idx="29">
                    <c:v>Jun</c:v>
                  </c:pt>
                  <c:pt idx="30">
                    <c:v>Jul</c:v>
                  </c:pt>
                  <c:pt idx="31">
                    <c:v>Aug</c:v>
                  </c:pt>
                  <c:pt idx="32">
                    <c:v>Sep</c:v>
                  </c:pt>
                  <c:pt idx="33">
                    <c:v>Oct</c:v>
                  </c:pt>
                  <c:pt idx="34">
                    <c:v>Nov</c:v>
                  </c:pt>
                  <c:pt idx="35">
                    <c:v>Dec</c:v>
                  </c:pt>
                  <c:pt idx="36">
                    <c:v>Jan</c:v>
                  </c:pt>
                  <c:pt idx="37">
                    <c:v>Feb</c:v>
                  </c:pt>
                  <c:pt idx="38">
                    <c:v>Mar</c:v>
                  </c:pt>
                  <c:pt idx="39">
                    <c:v>Apr</c:v>
                  </c:pt>
                  <c:pt idx="40">
                    <c:v>May</c:v>
                  </c:pt>
                  <c:pt idx="41">
                    <c:v>Jun</c:v>
                  </c:pt>
                  <c:pt idx="42">
                    <c:v>Jul</c:v>
                  </c:pt>
                </c:lvl>
                <c:lvl>
                  <c:pt idx="0">
                    <c:v>2020</c:v>
                  </c:pt>
                  <c:pt idx="12">
                    <c:v>2021</c:v>
                  </c:pt>
                  <c:pt idx="24">
                    <c:v>2022</c:v>
                  </c:pt>
                  <c:pt idx="36">
                    <c:v>2023</c:v>
                  </c:pt>
                </c:lvl>
              </c:multiLvlStrCache>
            </c:multiLvlStrRef>
          </c:cat>
          <c:val>
            <c:numRef>
              <c:f>Sheet3!$F$3:$F$45</c:f>
              <c:numCache>
                <c:formatCode>General</c:formatCode>
                <c:ptCount val="43"/>
                <c:pt idx="0">
                  <c:v>20764</c:v>
                </c:pt>
                <c:pt idx="1">
                  <c:v>26976</c:v>
                </c:pt>
                <c:pt idx="2">
                  <c:v>37004</c:v>
                </c:pt>
                <c:pt idx="3">
                  <c:v>57728</c:v>
                </c:pt>
                <c:pt idx="4">
                  <c:v>56862</c:v>
                </c:pt>
                <c:pt idx="5">
                  <c:v>52741</c:v>
                </c:pt>
                <c:pt idx="6">
                  <c:v>51079</c:v>
                </c:pt>
                <c:pt idx="7">
                  <c:v>53319</c:v>
                </c:pt>
                <c:pt idx="8">
                  <c:v>53063</c:v>
                </c:pt>
                <c:pt idx="9">
                  <c:v>49759</c:v>
                </c:pt>
                <c:pt idx="10">
                  <c:v>48763</c:v>
                </c:pt>
                <c:pt idx="11">
                  <c:v>41586</c:v>
                </c:pt>
                <c:pt idx="12">
                  <c:v>33428</c:v>
                </c:pt>
                <c:pt idx="13">
                  <c:v>43991</c:v>
                </c:pt>
                <c:pt idx="14">
                  <c:v>46542</c:v>
                </c:pt>
                <c:pt idx="15">
                  <c:v>40317</c:v>
                </c:pt>
                <c:pt idx="16">
                  <c:v>45036</c:v>
                </c:pt>
                <c:pt idx="17">
                  <c:v>50182</c:v>
                </c:pt>
                <c:pt idx="18">
                  <c:v>51016</c:v>
                </c:pt>
                <c:pt idx="19">
                  <c:v>57124</c:v>
                </c:pt>
                <c:pt idx="20">
                  <c:v>58305</c:v>
                </c:pt>
                <c:pt idx="21">
                  <c:v>57042</c:v>
                </c:pt>
                <c:pt idx="22">
                  <c:v>55519</c:v>
                </c:pt>
                <c:pt idx="23">
                  <c:v>45977</c:v>
                </c:pt>
                <c:pt idx="24">
                  <c:v>15576</c:v>
                </c:pt>
                <c:pt idx="25">
                  <c:v>15107</c:v>
                </c:pt>
                <c:pt idx="26">
                  <c:v>22451</c:v>
                </c:pt>
                <c:pt idx="27">
                  <c:v>15865</c:v>
                </c:pt>
                <c:pt idx="28">
                  <c:v>18404</c:v>
                </c:pt>
                <c:pt idx="29">
                  <c:v>17680</c:v>
                </c:pt>
                <c:pt idx="30">
                  <c:v>14995</c:v>
                </c:pt>
                <c:pt idx="31">
                  <c:v>16566</c:v>
                </c:pt>
                <c:pt idx="32">
                  <c:v>14255</c:v>
                </c:pt>
                <c:pt idx="33">
                  <c:v>13885</c:v>
                </c:pt>
                <c:pt idx="34">
                  <c:v>16176</c:v>
                </c:pt>
                <c:pt idx="35">
                  <c:v>13777</c:v>
                </c:pt>
                <c:pt idx="36">
                  <c:v>14547</c:v>
                </c:pt>
                <c:pt idx="37">
                  <c:v>18184</c:v>
                </c:pt>
                <c:pt idx="38">
                  <c:v>10951</c:v>
                </c:pt>
                <c:pt idx="39">
                  <c:v>7772</c:v>
                </c:pt>
                <c:pt idx="40">
                  <c:v>10866</c:v>
                </c:pt>
                <c:pt idx="41">
                  <c:v>10702</c:v>
                </c:pt>
                <c:pt idx="42">
                  <c:v>15134</c:v>
                </c:pt>
              </c:numCache>
            </c:numRef>
          </c:val>
          <c:extLst>
            <c:ext xmlns:c16="http://schemas.microsoft.com/office/drawing/2014/chart" uri="{C3380CC4-5D6E-409C-BE32-E72D297353CC}">
              <c16:uniqueId val="{00000002-B330-4780-B30A-5470AA83F9A9}"/>
            </c:ext>
          </c:extLst>
        </c:ser>
        <c:dLbls>
          <c:showLegendKey val="0"/>
          <c:showVal val="0"/>
          <c:showCatName val="0"/>
          <c:showSerName val="0"/>
          <c:showPercent val="0"/>
          <c:showBubbleSize val="0"/>
        </c:dLbls>
        <c:gapWidth val="50"/>
        <c:overlap val="100"/>
        <c:axId val="949041896"/>
        <c:axId val="949040816"/>
        <c:extLst>
          <c:ext xmlns:c15="http://schemas.microsoft.com/office/drawing/2012/chart" uri="{02D57815-91ED-43cb-92C2-25804820EDAC}">
            <c15:filteredBarSeries>
              <c15:ser>
                <c:idx val="2"/>
                <c:order val="2"/>
                <c:tx>
                  <c:strRef>
                    <c:extLst>
                      <c:ext uri="{02D57815-91ED-43cb-92C2-25804820EDAC}">
                        <c15:formulaRef>
                          <c15:sqref>Sheet3!$E$2</c15:sqref>
                        </c15:formulaRef>
                      </c:ext>
                    </c:extLst>
                    <c:strCache>
                      <c:ptCount val="1"/>
                      <c:pt idx="0">
                        <c:v>Face-to-face</c:v>
                      </c:pt>
                    </c:strCache>
                  </c:strRef>
                </c:tx>
                <c:spPr>
                  <a:solidFill>
                    <a:schemeClr val="dk1">
                      <a:tint val="75000"/>
                      <a:alpha val="70000"/>
                    </a:schemeClr>
                  </a:solidFill>
                  <a:ln>
                    <a:noFill/>
                  </a:ln>
                  <a:effectLst/>
                </c:spPr>
                <c:invertIfNegative val="0"/>
                <c:cat>
                  <c:multiLvlStrRef>
                    <c:extLst>
                      <c:ext uri="{02D57815-91ED-43cb-92C2-25804820EDAC}">
                        <c15:formulaRef>
                          <c15:sqref>Sheet3!$A$3:$B$45</c15:sqref>
                        </c15:formulaRef>
                      </c:ext>
                    </c:extLst>
                    <c:multiLvlStrCache>
                      <c:ptCount val="43"/>
                      <c:lvl>
                        <c:pt idx="0">
                          <c:v>Jan</c:v>
                        </c:pt>
                        <c:pt idx="1">
                          <c:v>Feb</c:v>
                        </c:pt>
                        <c:pt idx="2">
                          <c:v>Mar</c:v>
                        </c:pt>
                        <c:pt idx="3">
                          <c:v>Apr</c:v>
                        </c:pt>
                        <c:pt idx="4">
                          <c:v>May</c:v>
                        </c:pt>
                        <c:pt idx="5">
                          <c:v>Jun</c:v>
                        </c:pt>
                        <c:pt idx="6">
                          <c:v>Jul</c:v>
                        </c:pt>
                        <c:pt idx="7">
                          <c:v>Aug</c:v>
                        </c:pt>
                        <c:pt idx="8">
                          <c:v>Sep</c:v>
                        </c:pt>
                        <c:pt idx="9">
                          <c:v>Oct</c:v>
                        </c:pt>
                        <c:pt idx="10">
                          <c:v>Nov</c:v>
                        </c:pt>
                        <c:pt idx="11">
                          <c:v>Dec</c:v>
                        </c:pt>
                        <c:pt idx="12">
                          <c:v>Jan</c:v>
                        </c:pt>
                        <c:pt idx="13">
                          <c:v>Feb</c:v>
                        </c:pt>
                        <c:pt idx="14">
                          <c:v>Mar</c:v>
                        </c:pt>
                        <c:pt idx="15">
                          <c:v>Apr</c:v>
                        </c:pt>
                        <c:pt idx="16">
                          <c:v>May</c:v>
                        </c:pt>
                        <c:pt idx="17">
                          <c:v>Jun</c:v>
                        </c:pt>
                        <c:pt idx="18">
                          <c:v>Jul</c:v>
                        </c:pt>
                        <c:pt idx="19">
                          <c:v>Aug</c:v>
                        </c:pt>
                        <c:pt idx="20">
                          <c:v>Sep</c:v>
                        </c:pt>
                        <c:pt idx="21">
                          <c:v>Oct</c:v>
                        </c:pt>
                        <c:pt idx="22">
                          <c:v>Nov</c:v>
                        </c:pt>
                        <c:pt idx="23">
                          <c:v>Dec</c:v>
                        </c:pt>
                        <c:pt idx="24">
                          <c:v>Jan</c:v>
                        </c:pt>
                        <c:pt idx="25">
                          <c:v>Feb</c:v>
                        </c:pt>
                        <c:pt idx="26">
                          <c:v>Mar</c:v>
                        </c:pt>
                        <c:pt idx="27">
                          <c:v>Apr</c:v>
                        </c:pt>
                        <c:pt idx="28">
                          <c:v>May</c:v>
                        </c:pt>
                        <c:pt idx="29">
                          <c:v>Jun</c:v>
                        </c:pt>
                        <c:pt idx="30">
                          <c:v>Jul</c:v>
                        </c:pt>
                        <c:pt idx="31">
                          <c:v>Aug</c:v>
                        </c:pt>
                        <c:pt idx="32">
                          <c:v>Sep</c:v>
                        </c:pt>
                        <c:pt idx="33">
                          <c:v>Oct</c:v>
                        </c:pt>
                        <c:pt idx="34">
                          <c:v>Nov</c:v>
                        </c:pt>
                        <c:pt idx="35">
                          <c:v>Dec</c:v>
                        </c:pt>
                        <c:pt idx="36">
                          <c:v>Jan</c:v>
                        </c:pt>
                        <c:pt idx="37">
                          <c:v>Feb</c:v>
                        </c:pt>
                        <c:pt idx="38">
                          <c:v>Mar</c:v>
                        </c:pt>
                        <c:pt idx="39">
                          <c:v>Apr</c:v>
                        </c:pt>
                        <c:pt idx="40">
                          <c:v>May</c:v>
                        </c:pt>
                        <c:pt idx="41">
                          <c:v>Jun</c:v>
                        </c:pt>
                        <c:pt idx="42">
                          <c:v>Jul</c:v>
                        </c:pt>
                      </c:lvl>
                      <c:lvl>
                        <c:pt idx="0">
                          <c:v>2020</c:v>
                        </c:pt>
                        <c:pt idx="12">
                          <c:v>2021</c:v>
                        </c:pt>
                        <c:pt idx="24">
                          <c:v>2022</c:v>
                        </c:pt>
                        <c:pt idx="36">
                          <c:v>2023</c:v>
                        </c:pt>
                      </c:lvl>
                    </c:multiLvlStrCache>
                  </c:multiLvlStrRef>
                </c:cat>
                <c:val>
                  <c:numRef>
                    <c:extLst>
                      <c:ext uri="{02D57815-91ED-43cb-92C2-25804820EDAC}">
                        <c15:formulaRef>
                          <c15:sqref>Sheet3!$E$3:$E$45</c15:sqref>
                        </c15:formulaRef>
                      </c:ext>
                    </c:extLst>
                    <c:numCache>
                      <c:formatCode>General</c:formatCode>
                      <c:ptCount val="43"/>
                      <c:pt idx="0">
                        <c:v>18051364</c:v>
                      </c:pt>
                      <c:pt idx="1">
                        <c:v>19634728</c:v>
                      </c:pt>
                      <c:pt idx="2">
                        <c:v>19338775</c:v>
                      </c:pt>
                      <c:pt idx="3">
                        <c:v>13884734</c:v>
                      </c:pt>
                      <c:pt idx="4">
                        <c:v>14583733</c:v>
                      </c:pt>
                      <c:pt idx="5">
                        <c:v>16130617</c:v>
                      </c:pt>
                      <c:pt idx="6">
                        <c:v>16677208</c:v>
                      </c:pt>
                      <c:pt idx="7">
                        <c:v>15013043</c:v>
                      </c:pt>
                      <c:pt idx="8">
                        <c:v>15833316</c:v>
                      </c:pt>
                      <c:pt idx="9">
                        <c:v>16475006</c:v>
                      </c:pt>
                      <c:pt idx="10">
                        <c:v>16999354</c:v>
                      </c:pt>
                      <c:pt idx="11">
                        <c:v>16015659</c:v>
                      </c:pt>
                      <c:pt idx="12">
                        <c:v>14749740</c:v>
                      </c:pt>
                      <c:pt idx="13">
                        <c:v>16875855</c:v>
                      </c:pt>
                      <c:pt idx="14">
                        <c:v>19237851</c:v>
                      </c:pt>
                      <c:pt idx="15">
                        <c:v>17856302</c:v>
                      </c:pt>
                      <c:pt idx="16">
                        <c:v>19555767</c:v>
                      </c:pt>
                      <c:pt idx="17">
                        <c:v>18143162</c:v>
                      </c:pt>
                      <c:pt idx="18">
                        <c:v>16014002</c:v>
                      </c:pt>
                      <c:pt idx="19">
                        <c:v>16193846</c:v>
                      </c:pt>
                      <c:pt idx="20">
                        <c:v>15185897</c:v>
                      </c:pt>
                      <c:pt idx="21">
                        <c:v>15702454</c:v>
                      </c:pt>
                      <c:pt idx="22">
                        <c:v>17446779</c:v>
                      </c:pt>
                      <c:pt idx="23">
                        <c:v>15092430</c:v>
                      </c:pt>
                      <c:pt idx="24">
                        <c:v>12363684</c:v>
                      </c:pt>
                      <c:pt idx="25">
                        <c:v>15101456</c:v>
                      </c:pt>
                      <c:pt idx="26">
                        <c:v>17283973</c:v>
                      </c:pt>
                      <c:pt idx="27">
                        <c:v>15139938</c:v>
                      </c:pt>
                      <c:pt idx="28">
                        <c:v>19139967</c:v>
                      </c:pt>
                      <c:pt idx="29">
                        <c:v>17926590</c:v>
                      </c:pt>
                      <c:pt idx="30">
                        <c:v>16103886</c:v>
                      </c:pt>
                      <c:pt idx="31">
                        <c:v>18129242</c:v>
                      </c:pt>
                      <c:pt idx="32">
                        <c:v>16812784</c:v>
                      </c:pt>
                      <c:pt idx="33">
                        <c:v>17237020</c:v>
                      </c:pt>
                      <c:pt idx="34">
                        <c:v>17742663</c:v>
                      </c:pt>
                      <c:pt idx="35">
                        <c:v>15048357</c:v>
                      </c:pt>
                      <c:pt idx="36">
                        <c:v>15092171</c:v>
                      </c:pt>
                      <c:pt idx="37">
                        <c:v>16898392</c:v>
                      </c:pt>
                      <c:pt idx="38">
                        <c:v>19037908</c:v>
                      </c:pt>
                      <c:pt idx="39">
                        <c:v>15450522</c:v>
                      </c:pt>
                      <c:pt idx="40">
                        <c:v>20301394</c:v>
                      </c:pt>
                      <c:pt idx="41">
                        <c:v>17903023</c:v>
                      </c:pt>
                      <c:pt idx="42">
                        <c:v>17278031</c:v>
                      </c:pt>
                    </c:numCache>
                  </c:numRef>
                </c:val>
                <c:extLst>
                  <c:ext xmlns:c16="http://schemas.microsoft.com/office/drawing/2014/chart" uri="{C3380CC4-5D6E-409C-BE32-E72D297353CC}">
                    <c16:uniqueId val="{00000003-B330-4780-B30A-5470AA83F9A9}"/>
                  </c:ext>
                </c:extLst>
              </c15:ser>
            </c15:filteredBarSeries>
          </c:ext>
        </c:extLst>
      </c:barChart>
      <c:catAx>
        <c:axId val="949041896"/>
        <c:scaling>
          <c:orientation val="minMax"/>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49040816"/>
        <c:crosses val="autoZero"/>
        <c:auto val="1"/>
        <c:lblAlgn val="ctr"/>
        <c:lblOffset val="100"/>
        <c:noMultiLvlLbl val="0"/>
      </c:catAx>
      <c:valAx>
        <c:axId val="949040816"/>
        <c:scaling>
          <c:orientation val="minMax"/>
        </c:scaling>
        <c:delete val="0"/>
        <c:axPos val="l"/>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title>
          <c:tx>
            <c:rich>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en-AU"/>
                  <a:t>Services</a:t>
                </a:r>
                <a:r>
                  <a:rPr lang="en-AU" baseline="0"/>
                  <a:t> (no.)</a:t>
                </a:r>
                <a:endParaRPr lang="en-AU"/>
              </a:p>
            </c:rich>
          </c:tx>
          <c:overlay val="0"/>
          <c:spPr>
            <a:noFill/>
            <a:ln>
              <a:noFill/>
            </a:ln>
            <a:effectLst/>
          </c:spPr>
          <c:txPr>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en-US"/>
            </a:p>
          </c:tx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490418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percentStacked"/>
        <c:varyColors val="0"/>
        <c:ser>
          <c:idx val="2"/>
          <c:order val="0"/>
          <c:tx>
            <c:strRef>
              <c:f>'Patient MMM'!$N$37</c:f>
              <c:strCache>
                <c:ptCount val="1"/>
                <c:pt idx="0">
                  <c:v>Exclusively Face to face</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chemeClr val="lt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'Patient MMM'!$K$38:$K$41</c:f>
              <c:strCache>
                <c:ptCount val="4"/>
                <c:pt idx="0">
                  <c:v>MMM 1</c:v>
                </c:pt>
                <c:pt idx="1">
                  <c:v>MMM 2-4</c:v>
                </c:pt>
                <c:pt idx="2">
                  <c:v>MMM 5-7</c:v>
                </c:pt>
                <c:pt idx="3">
                  <c:v>National </c:v>
                </c:pt>
              </c:strCache>
            </c:strRef>
          </c:cat>
          <c:val>
            <c:numRef>
              <c:f>'Patient MMM'!$N$38:$N$41</c:f>
              <c:numCache>
                <c:formatCode>0.0%</c:formatCode>
                <c:ptCount val="4"/>
                <c:pt idx="0">
                  <c:v>0.79673911563072575</c:v>
                </c:pt>
                <c:pt idx="1">
                  <c:v>0.75668506006689618</c:v>
                </c:pt>
                <c:pt idx="2">
                  <c:v>0.73453289129087307</c:v>
                </c:pt>
                <c:pt idx="3">
                  <c:v>0.78630402761083051</c:v>
                </c:pt>
              </c:numCache>
            </c:numRef>
          </c:val>
          <c:extLst>
            <c:ext xmlns:c16="http://schemas.microsoft.com/office/drawing/2014/chart" uri="{C3380CC4-5D6E-409C-BE32-E72D297353CC}">
              <c16:uniqueId val="{00000000-D167-4A19-8A53-F8BAC418EC5D}"/>
            </c:ext>
          </c:extLst>
        </c:ser>
        <c:ser>
          <c:idx val="1"/>
          <c:order val="1"/>
          <c:tx>
            <c:strRef>
              <c:f>'Patient MMM'!$M$37</c:f>
              <c:strCache>
                <c:ptCount val="1"/>
                <c:pt idx="0">
                  <c:v>Mixed</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chemeClr val="lt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'Patient MMM'!$K$38:$K$41</c:f>
              <c:strCache>
                <c:ptCount val="4"/>
                <c:pt idx="0">
                  <c:v>MMM 1</c:v>
                </c:pt>
                <c:pt idx="1">
                  <c:v>MMM 2-4</c:v>
                </c:pt>
                <c:pt idx="2">
                  <c:v>MMM 5-7</c:v>
                </c:pt>
                <c:pt idx="3">
                  <c:v>National </c:v>
                </c:pt>
              </c:strCache>
            </c:strRef>
          </c:cat>
          <c:val>
            <c:numRef>
              <c:f>'Patient MMM'!$M$38:$M$41</c:f>
              <c:numCache>
                <c:formatCode>0.0%</c:formatCode>
                <c:ptCount val="4"/>
                <c:pt idx="0">
                  <c:v>0.17395218192116738</c:v>
                </c:pt>
                <c:pt idx="1">
                  <c:v>0.19291155991817061</c:v>
                </c:pt>
                <c:pt idx="2">
                  <c:v>0.20512801271497416</c:v>
                </c:pt>
                <c:pt idx="3">
                  <c:v>0.180256821604106</c:v>
                </c:pt>
              </c:numCache>
            </c:numRef>
          </c:val>
          <c:extLst>
            <c:ext xmlns:c16="http://schemas.microsoft.com/office/drawing/2014/chart" uri="{C3380CC4-5D6E-409C-BE32-E72D297353CC}">
              <c16:uniqueId val="{00000001-D167-4A19-8A53-F8BAC418EC5D}"/>
            </c:ext>
          </c:extLst>
        </c:ser>
        <c:ser>
          <c:idx val="0"/>
          <c:order val="2"/>
          <c:tx>
            <c:strRef>
              <c:f>'Patient MMM'!$L$37</c:f>
              <c:strCache>
                <c:ptCount val="1"/>
                <c:pt idx="0">
                  <c:v>Exclusively Telehealth</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chemeClr val="lt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'Patient MMM'!$K$38:$K$41</c:f>
              <c:strCache>
                <c:ptCount val="4"/>
                <c:pt idx="0">
                  <c:v>MMM 1</c:v>
                </c:pt>
                <c:pt idx="1">
                  <c:v>MMM 2-4</c:v>
                </c:pt>
                <c:pt idx="2">
                  <c:v>MMM 5-7</c:v>
                </c:pt>
                <c:pt idx="3">
                  <c:v>National </c:v>
                </c:pt>
              </c:strCache>
            </c:strRef>
          </c:cat>
          <c:val>
            <c:numRef>
              <c:f>'Patient MMM'!$L$38:$L$41</c:f>
              <c:numCache>
                <c:formatCode>0.0%</c:formatCode>
                <c:ptCount val="4"/>
                <c:pt idx="0">
                  <c:v>2.9860702185326101E-2</c:v>
                </c:pt>
                <c:pt idx="1">
                  <c:v>5.0555747785810977E-2</c:v>
                </c:pt>
                <c:pt idx="2">
                  <c:v>6.051018983912676E-2</c:v>
                </c:pt>
                <c:pt idx="3">
                  <c:v>3.6151196675598997E-2</c:v>
                </c:pt>
              </c:numCache>
            </c:numRef>
          </c:val>
          <c:extLst>
            <c:ext xmlns:c16="http://schemas.microsoft.com/office/drawing/2014/chart" uri="{C3380CC4-5D6E-409C-BE32-E72D297353CC}">
              <c16:uniqueId val="{00000002-D167-4A19-8A53-F8BAC418EC5D}"/>
            </c:ext>
          </c:extLst>
        </c:ser>
        <c:dLbls>
          <c:dLblPos val="ctr"/>
          <c:showLegendKey val="0"/>
          <c:showVal val="1"/>
          <c:showCatName val="0"/>
          <c:showSerName val="0"/>
          <c:showPercent val="0"/>
          <c:showBubbleSize val="0"/>
        </c:dLbls>
        <c:gapWidth val="79"/>
        <c:overlap val="100"/>
        <c:axId val="132089351"/>
        <c:axId val="132083951"/>
      </c:barChart>
      <c:catAx>
        <c:axId val="132089351"/>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cap="all" spc="120" normalizeH="0" baseline="0">
                <a:solidFill>
                  <a:schemeClr val="tx1">
                    <a:lumMod val="65000"/>
                    <a:lumOff val="35000"/>
                  </a:schemeClr>
                </a:solidFill>
                <a:latin typeface="+mn-lt"/>
                <a:ea typeface="+mn-ea"/>
                <a:cs typeface="+mn-cs"/>
              </a:defRPr>
            </a:pPr>
            <a:endParaRPr lang="en-US"/>
          </a:p>
        </c:txPr>
        <c:crossAx val="132083951"/>
        <c:crosses val="autoZero"/>
        <c:auto val="1"/>
        <c:lblAlgn val="ctr"/>
        <c:lblOffset val="100"/>
        <c:noMultiLvlLbl val="0"/>
      </c:catAx>
      <c:valAx>
        <c:axId val="132083951"/>
        <c:scaling>
          <c:orientation val="minMax"/>
        </c:scaling>
        <c:delete val="1"/>
        <c:axPos val="l"/>
        <c:numFmt formatCode="0%" sourceLinked="1"/>
        <c:majorTickMark val="none"/>
        <c:minorTickMark val="none"/>
        <c:tickLblPos val="nextTo"/>
        <c:crossAx val="132089351"/>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sz="1000" b="1"/>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7.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documenttasks/documenttasks1.xml><?xml version="1.0" encoding="utf-8"?>
<t:Tasks xmlns:t="http://schemas.microsoft.com/office/tasks/2019/documenttasks" xmlns:oel="http://schemas.microsoft.com/office/2019/extlst">
  <t:Task id="{EBC961E6-C454-4E23-B30E-EEAB58A6ADCC}">
    <t:Anchor>
      <t:Comment id="681170331"/>
    </t:Anchor>
    <t:History>
      <t:Event id="{AEAD8DA6-1DC1-44E5-BABA-F9578B35F155}" time="2023-08-30T05:14:31.648Z">
        <t:Attribution userId="S::amy.mcleod@health.gov.au::e52cb81e-5ff4-47ba-aac2-f7ac7898dfef" userProvider="AD" userName="MCLEOD, Amy"/>
        <t:Anchor>
          <t:Comment id="1807444803"/>
        </t:Anchor>
        <t:Create/>
      </t:Event>
      <t:Event id="{CC5CAA7F-B138-4454-945D-3821B6D284AA}" time="2023-08-30T05:14:31.648Z">
        <t:Attribution userId="S::amy.mcleod@health.gov.au::e52cb81e-5ff4-47ba-aac2-f7ac7898dfef" userProvider="AD" userName="MCLEOD, Amy"/>
        <t:Anchor>
          <t:Comment id="1807444803"/>
        </t:Anchor>
        <t:Assign userId="S::Fiona.DeLaMezzo@health.gov.au::d8e58cb7-7509-4c50-92dd-5d8a7e3daa4c" userProvider="AD" userName="DE LA MEZZO, Fiona"/>
      </t:Event>
      <t:Event id="{50321BAD-C6F6-4A9F-884F-A40942D4BEDB}" time="2023-08-30T05:14:31.648Z">
        <t:Attribution userId="S::amy.mcleod@health.gov.au::e52cb81e-5ff4-47ba-aac2-f7ac7898dfef" userProvider="AD" userName="MCLEOD, Amy"/>
        <t:Anchor>
          <t:Comment id="1807444803"/>
        </t:Anchor>
        <t:SetTitle title="@DE LA MEZZO, Fiona advice please?"/>
      </t:Event>
    </t:History>
  </t:Task>
  <t:Task id="{24B66F8C-D7F0-4EC4-A367-CA24C2A07419}">
    <t:Anchor>
      <t:Comment id="29361990"/>
    </t:Anchor>
    <t:History>
      <t:Event id="{7953AD03-1812-43F0-987C-F82631EAB6B9}" time="2024-04-03T00:49:20.359Z">
        <t:Attribution userId="S::fiona.delamezzo@health.gov.au::d8e58cb7-7509-4c50-92dd-5d8a7e3daa4c" userProvider="AD" userName="DE LA MEZZO, Fiona"/>
        <t:Anchor>
          <t:Comment id="359893404"/>
        </t:Anchor>
        <t:Create/>
      </t:Event>
      <t:Event id="{BFCDA3BC-C4FD-4492-AFAB-71025360A07B}" time="2024-04-03T00:49:20.359Z">
        <t:Attribution userId="S::fiona.delamezzo@health.gov.au::d8e58cb7-7509-4c50-92dd-5d8a7e3daa4c" userProvider="AD" userName="DE LA MEZZO, Fiona"/>
        <t:Anchor>
          <t:Comment id="359893404"/>
        </t:Anchor>
        <t:Assign userId="S::Roland.Balodis@health.gov.au::f2de5dcd-fc1c-4caf-a735-cd4081e76d42" userProvider="AD" userName="BALODIS, Roland"/>
      </t:Event>
      <t:Event id="{43888C2E-0112-4FE7-95D5-32D3FF352834}" time="2024-04-03T00:49:20.359Z">
        <t:Attribution userId="S::fiona.delamezzo@health.gov.au::d8e58cb7-7509-4c50-92dd-5d8a7e3daa4c" userProvider="AD" userName="DE LA MEZZO, Fiona"/>
        <t:Anchor>
          <t:Comment id="359893404"/>
        </t:Anchor>
        <t:SetTitle title="@BALODIS, Roland"/>
      </t:Event>
      <t:Event id="{3B6A44B3-8AB7-4B2A-8C41-A52EEA8F6F7B}" time="2024-04-07T23:10:04.615Z">
        <t:Attribution userId="S::fiona.delamezzo@health.gov.au::d8e58cb7-7509-4c50-92dd-5d8a7e3daa4c" userProvider="AD" userName="DE LA MEZZO, Fiona"/>
        <t:Progress percentComplete="100"/>
      </t:Event>
    </t:History>
  </t:Task>
  <t:Task id="{F391A08F-4362-414A-9808-B30B3BFE15D4}">
    <t:Anchor>
      <t:Comment id="691401694"/>
    </t:Anchor>
    <t:History>
      <t:Event id="{8EEC4912-0DB8-4B1C-A491-B80390B21B8E}" time="2024-04-03T00:49:47.005Z">
        <t:Attribution userId="S::fiona.delamezzo@health.gov.au::d8e58cb7-7509-4c50-92dd-5d8a7e3daa4c" userProvider="AD" userName="DE LA MEZZO, Fiona"/>
        <t:Anchor>
          <t:Comment id="1697585388"/>
        </t:Anchor>
        <t:Create/>
      </t:Event>
      <t:Event id="{C018A560-EA24-4E80-964D-CB0A922AE7B0}" time="2024-04-03T00:49:47.005Z">
        <t:Attribution userId="S::fiona.delamezzo@health.gov.au::d8e58cb7-7509-4c50-92dd-5d8a7e3daa4c" userProvider="AD" userName="DE LA MEZZO, Fiona"/>
        <t:Anchor>
          <t:Comment id="1697585388"/>
        </t:Anchor>
        <t:Assign userId="S::Roland.Balodis@health.gov.au::f2de5dcd-fc1c-4caf-a735-cd4081e76d42" userProvider="AD" userName="BALODIS, Roland"/>
      </t:Event>
      <t:Event id="{11C14ADF-DEED-4E92-8D4F-8789EFDC2CE3}" time="2024-04-03T00:49:47.005Z">
        <t:Attribution userId="S::fiona.delamezzo@health.gov.au::d8e58cb7-7509-4c50-92dd-5d8a7e3daa4c" userProvider="AD" userName="DE LA MEZZO, Fiona"/>
        <t:Anchor>
          <t:Comment id="1697585388"/>
        </t:Anchor>
        <t:SetTitle title="@BALODIS, Roland"/>
      </t:Event>
      <t:Event id="{E2153169-24E4-4EA8-8C51-111447258FDE}" time="2024-04-08T02:10:39.217Z">
        <t:Attribution userId="S::fiona.delamezzo@health.gov.au::d8e58cb7-7509-4c50-92dd-5d8a7e3daa4c" userProvider="AD" userName="DE LA MEZZO, Fiona"/>
        <t:Progress percentComplete="100"/>
      </t:Event>
    </t:History>
  </t:Task>
  <t:Task id="{18864052-F10B-4FD4-95E2-1B6951AAE34F}">
    <t:Anchor>
      <t:Comment id="1228568036"/>
    </t:Anchor>
    <t:History>
      <t:Event id="{88B37A33-3B75-4DFF-9655-81AA37818D4A}" time="2024-04-07T11:09:41.554Z">
        <t:Attribution userId="S::roland.balodis@health.gov.au::f2de5dcd-fc1c-4caf-a735-cd4081e76d42" userProvider="AD" userName="BALODIS, Roland"/>
        <t:Anchor>
          <t:Comment id="1228568036"/>
        </t:Anchor>
        <t:Create/>
      </t:Event>
      <t:Event id="{6D972400-5449-4E82-B686-68777A7C5033}" time="2024-04-07T11:09:41.554Z">
        <t:Attribution userId="S::roland.balodis@health.gov.au::f2de5dcd-fc1c-4caf-a735-cd4081e76d42" userProvider="AD" userName="BALODIS, Roland"/>
        <t:Anchor>
          <t:Comment id="1228568036"/>
        </t:Anchor>
        <t:Assign userId="S::Fiona.DeLaMezzo@health.gov.au::d8e58cb7-7509-4c50-92dd-5d8a7e3daa4c" userProvider="AD" userName="DE LA MEZZO, Fiona"/>
      </t:Event>
      <t:Event id="{E1558F76-AF4A-4B5B-B538-8C86FDB82611}" time="2024-04-07T11:09:41.554Z">
        <t:Attribution userId="S::roland.balodis@health.gov.au::f2de5dcd-fc1c-4caf-a735-cd4081e76d42" userProvider="AD" userName="BALODIS, Roland"/>
        <t:Anchor>
          <t:Comment id="1228568036"/>
        </t:Anchor>
        <t:SetTitle title="@DE LA MEZZO, Fiona @RUSSELL, Yasmin For consideration. I get that 'less is more', but I thought it may be worthwhile spelling this out and acknowledging MBA/AHPRA guidelines. Thoughts?"/>
      </t:Event>
      <t:Event id="{1090E463-B1E7-4294-AEE9-ADED1DF21936}" time="2024-04-07T23:16:06.459Z">
        <t:Attribution userId="S::fiona.delamezzo@health.gov.au::d8e58cb7-7509-4c50-92dd-5d8a7e3daa4c" userProvider="AD" userName="DE LA MEZZO, Fiona"/>
        <t:Progress percentComplete="100"/>
      </t:Event>
    </t:History>
  </t:Task>
  <t:Task id="{60E2DF59-FD11-486C-9C93-63038E252608}">
    <t:Anchor>
      <t:Comment id="200809349"/>
    </t:Anchor>
    <t:History>
      <t:Event id="{067BF007-4EF7-4340-9289-576EF97B552A}" time="2024-04-07T11:48:51.665Z">
        <t:Attribution userId="S::roland.balodis@health.gov.au::f2de5dcd-fc1c-4caf-a735-cd4081e76d42" userProvider="AD" userName="BALODIS, Roland"/>
        <t:Anchor>
          <t:Comment id="200809349"/>
        </t:Anchor>
        <t:Create/>
      </t:Event>
      <t:Event id="{A3AF5C17-3CEE-4D05-81E6-7A26D9EF979C}" time="2024-04-07T11:48:51.665Z">
        <t:Attribution userId="S::roland.balodis@health.gov.au::f2de5dcd-fc1c-4caf-a735-cd4081e76d42" userProvider="AD" userName="BALODIS, Roland"/>
        <t:Anchor>
          <t:Comment id="200809349"/>
        </t:Anchor>
        <t:Assign userId="S::Fiona.DeLaMezzo@health.gov.au::d8e58cb7-7509-4c50-92dd-5d8a7e3daa4c" userProvider="AD" userName="DE LA MEZZO, Fiona"/>
      </t:Event>
      <t:Event id="{72E8FB79-394F-4FB0-9D84-84FCFEC4BA54}" time="2024-04-07T11:48:51.665Z">
        <t:Attribution userId="S::roland.balodis@health.gov.au::f2de5dcd-fc1c-4caf-a735-cd4081e76d42" userProvider="AD" userName="BALODIS, Roland"/>
        <t:Anchor>
          <t:Comment id="200809349"/>
        </t:Anchor>
        <t:SetTitle title="@DE LA MEZZO, Fiona @RUSSELL, Yasmin Formatting-only, but I think the rec should be a different format to the subheading (this seems to be done above to an extent)"/>
      </t:Event>
      <t:Event id="{18BA7C39-E08B-46D5-9CC7-024BA4C31F16}" time="2024-04-07T23:13:26.787Z">
        <t:Attribution userId="S::fiona.delamezzo@health.gov.au::d8e58cb7-7509-4c50-92dd-5d8a7e3daa4c" userProvider="AD" userName="DE LA MEZZO, Fiona"/>
        <t:Progress percentComplete="100"/>
      </t:Event>
    </t:History>
  </t:Task>
  <t:Task id="{A8A4165C-2FA1-4795-8517-71A088DCA3DF}">
    <t:Anchor>
      <t:Comment id="294488571"/>
    </t:Anchor>
    <t:History>
      <t:Event id="{101C1CBE-D16C-46CD-9DC4-95BC319D24CD}" time="2024-04-07T10:52:06.682Z">
        <t:Attribution userId="S::roland.balodis@health.gov.au::f2de5dcd-fc1c-4caf-a735-cd4081e76d42" userProvider="AD" userName="BALODIS, Roland"/>
        <t:Anchor>
          <t:Comment id="294488571"/>
        </t:Anchor>
        <t:Create/>
      </t:Event>
      <t:Event id="{46F1404F-A5E7-4CD4-87B9-FD26507D47BD}" time="2024-04-07T10:52:06.682Z">
        <t:Attribution userId="S::roland.balodis@health.gov.au::f2de5dcd-fc1c-4caf-a735-cd4081e76d42" userProvider="AD" userName="BALODIS, Roland"/>
        <t:Anchor>
          <t:Comment id="294488571"/>
        </t:Anchor>
        <t:Assign userId="S::Fiona.DeLaMezzo@health.gov.au::d8e58cb7-7509-4c50-92dd-5d8a7e3daa4c" userProvider="AD" userName="DE LA MEZZO, Fiona"/>
      </t:Event>
      <t:Event id="{C08876A6-3830-4C6D-A1B0-AC409079C831}" time="2024-04-07T10:52:06.682Z">
        <t:Attribution userId="S::roland.balodis@health.gov.au::f2de5dcd-fc1c-4caf-a735-cd4081e76d42" userProvider="AD" userName="BALODIS, Roland"/>
        <t:Anchor>
          <t:Comment id="294488571"/>
        </t:Anchor>
        <t:SetTitle title="@DE LA MEZZO, Fiona @RUSSELL, Yasmin I think Robyn and Harriet make a reasonable point that non-GP providers have also overcome these issues without the kinds of incentives and payments that GPs have had (e.g. E-health PIP, $220M GP grants). While pre-…"/>
      </t:Event>
      <t:Event id="{CB8B9330-DFD1-4C03-83F3-287C122429CE}" time="2024-04-07T23:19:28.081Z">
        <t:Attribution userId="S::fiona.delamezzo@health.gov.au::d8e58cb7-7509-4c50-92dd-5d8a7e3daa4c" userProvider="AD" userName="DE LA MEZZO, Fiona"/>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D78010B-DA39-7D4E-B68D-2F0FF5E398FC}">
  <we:reference id="wa104380773" version="2.0.0.0" store="en-US"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DMS Document" ma:contentTypeID="0x010100266966F133664895A6EE3632470D45F5003E998B05E2A1594A85D289E0F7CF1A9E" ma:contentTypeVersion="" ma:contentTypeDescription="PDMS Document Site Content Type" ma:contentTypeScope="" ma:versionID="efaa5f59cb9abc036963c4bc0a527b48">
  <xsd:schema xmlns:xsd="http://www.w3.org/2001/XMLSchema" xmlns:xs="http://www.w3.org/2001/XMLSchema" xmlns:p="http://schemas.microsoft.com/office/2006/metadata/properties" xmlns:ns2="A493EED8-C6DA-4094-814C-383438C152D8" targetNamespace="http://schemas.microsoft.com/office/2006/metadata/properties" ma:root="true" ma:fieldsID="0d52ddf05ce91265614414966b8216dd" ns2:_="">
    <xsd:import namespace="A493EED8-C6DA-4094-814C-383438C152D8"/>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3EED8-C6DA-4094-814C-383438C152D8"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b:Source>
    <b:Tag>Sco21</b:Tag>
    <b:SourceType>Report</b:SourceType>
    <b:Guid>{0C25BB12-31EA-4D7A-8A49-66413A5E0512}</b:Guid>
    <b:Title>FINAL REPORT: TELEHEALTH IN PRIMARY CARE</b:Title>
    <b:Year>2021</b:Year>
    <b:Author>
      <b:Author>
        <b:NameList>
          <b:Person>
            <b:Last>Scott</b:Last>
            <b:Middle>Mae</b:Middle>
            <b:First>Anna </b:First>
          </b:Person>
          <b:Person>
            <b:Last>Krzyzaniak</b:Last>
            <b:First>Natalia</b:First>
          </b:Person>
          <b:Person>
            <b:Last>Cardona</b:Last>
            <b:First>Magnolia</b:First>
          </b:Person>
          <b:Person>
            <b:Last>Greenwood</b:Last>
            <b:First>Hannah</b:First>
          </b:Person>
          <b:Person>
            <b:Last>Clark</b:Last>
            <b:First>Justin</b:First>
          </b:Person>
          <b:Person>
            <b:Last>Peiris</b:Last>
            <b:First>Ruwani</b:First>
          </b:Person>
          <b:Person>
            <b:Last>Glasziou</b:Last>
            <b:First>Paul</b:First>
          </b:Person>
        </b:NameList>
      </b:Author>
    </b:Author>
    <b:RefOrder>1</b:RefOrder>
  </b:Source>
  <b:Source>
    <b:Tag>Sco23</b:Tag>
    <b:SourceType>Report</b:SourceType>
    <b:Guid>{15C73DAF-03F2-4B90-A9FE-266F7278D6F5}</b:Guid>
    <b:Title>Final Report Telehealth Work Package A</b:Title>
    <b:Year>2023</b:Year>
    <b:Author>
      <b:Author>
        <b:NameList>
          <b:Person>
            <b:Last>Scott</b:Last>
            <b:Middle>Mae </b:Middle>
            <b:First>Anna </b:First>
          </b:Person>
          <b:Person>
            <b:Last>Atkins</b:Last>
            <b:First>Tiffany</b:First>
          </b:Person>
          <b:Person>
            <b:Last>Bakhit</b:Last>
            <b:First>Mina </b:First>
          </b:Person>
          <b:Person>
            <b:Last>Greenwood</b:Last>
            <b:First>Hannah</b:First>
          </b:Person>
          <b:Person>
            <b:Last>Clark</b:Last>
            <b:First>Justin </b:First>
          </b:Person>
          <b:Person>
            <b:Last>Byambasuren</b:Last>
            <b:First>Oyuka </b:First>
          </b:Person>
          <b:Person>
            <b:Last>Glasziou </b:Last>
            <b:First>Paul </b:First>
          </b:Person>
        </b:NameList>
      </b:Author>
    </b:Author>
    <b:RefOrder>2</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SecurityClassification xmlns="A493EED8-C6DA-4094-814C-383438C152D8"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17D8A36-BE27-48CA-B43F-A765D26D8C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3EED8-C6DA-4094-814C-383438C152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5BE913-EF0B-4235-B84F-0C3CE874526D}">
  <ds:schemaRefs>
    <ds:schemaRef ds:uri="http://schemas.openxmlformats.org/officeDocument/2006/bibliography"/>
  </ds:schemaRefs>
</ds:datastoreItem>
</file>

<file path=customXml/itemProps3.xml><?xml version="1.0" encoding="utf-8"?>
<ds:datastoreItem xmlns:ds="http://schemas.openxmlformats.org/officeDocument/2006/customXml" ds:itemID="{E700A107-96CC-4086-9B6D-C61C215F9EB6}">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A493EED8-C6DA-4094-814C-383438C152D8"/>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43986394-E703-48E1-B6E2-4C89BB49FD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16155</Words>
  <Characters>92087</Characters>
  <Application>Microsoft Office Word</Application>
  <DocSecurity>4</DocSecurity>
  <Lines>767</Lines>
  <Paragraphs>216</Paragraphs>
  <ScaleCrop>false</ScaleCrop>
  <Company/>
  <LinksUpToDate>false</LinksUpToDate>
  <CharactersWithSpaces>108026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MBS Review Advisory Committee: Telehealth Post-Implementation Review Draft Report</dc:title>
  <dc:subject/>
  <dc:creator>Australian Government Department of Health and Aged Care</dc:creator>
  <cp:keywords/>
  <dc:description/>
  <cp:lastModifiedBy>RUHEN, Renee</cp:lastModifiedBy>
  <cp:revision>2</cp:revision>
  <cp:lastPrinted>2024-05-16T04:33:00Z</cp:lastPrinted>
  <dcterms:created xsi:type="dcterms:W3CDTF">2024-06-06T07:01:00Z</dcterms:created>
  <dcterms:modified xsi:type="dcterms:W3CDTF">2024-06-06T07:01:00Z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0x010100266966F133664895A6EE3632470D45F5003E998B05E2A1594A85D289E0F7CF1A9E</vt:lpwstr>
  </property>
  <property fmtid="{D5CDD505-2E9C-101B-9397-08002B2CF9AE}" pid="3" name="Order">
    <vt:r8>1721600</vt:r8>
  </property>
  <property fmtid="{D5CDD505-2E9C-101B-9397-08002B2CF9AE}" pid="4" name="MediaServiceImageTags">
    <vt:lpwstr/>
  </property>
</Properties>
</file>