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13F01" w14:textId="352AB3C4" w:rsidR="00DB6CEC" w:rsidRDefault="00DB6CEC" w:rsidP="00DB6CEC">
      <w:pPr>
        <w:tabs>
          <w:tab w:val="left" w:pos="7830"/>
        </w:tabs>
        <w:jc w:val="center"/>
        <w:rPr>
          <w:rFonts w:asciiTheme="minorHAnsi" w:hAnsiTheme="minorHAnsi" w:cstheme="minorHAnsi"/>
          <w:b/>
          <w:bCs/>
          <w:sz w:val="26"/>
          <w:szCs w:val="26"/>
        </w:rPr>
      </w:pPr>
      <w:r>
        <w:rPr>
          <w:rFonts w:asciiTheme="minorHAnsi" w:hAnsiTheme="minorHAnsi" w:cstheme="minorHAnsi"/>
          <w:b/>
          <w:bCs/>
          <w:sz w:val="26"/>
          <w:szCs w:val="26"/>
        </w:rPr>
        <w:t>Jurisdictional Haemopoietic Progenitor Cell Committee Governance</w:t>
      </w:r>
    </w:p>
    <w:p w14:paraId="3A5AD81D" w14:textId="40E1D55C" w:rsidR="00DB6CEC" w:rsidRDefault="00C14983" w:rsidP="00DB6CEC">
      <w:pPr>
        <w:tabs>
          <w:tab w:val="left" w:pos="7830"/>
        </w:tabs>
        <w:jc w:val="center"/>
        <w:rPr>
          <w:rFonts w:asciiTheme="minorHAnsi" w:hAnsiTheme="minorHAnsi" w:cstheme="minorHAnsi"/>
          <w:sz w:val="22"/>
          <w:szCs w:val="22"/>
        </w:rPr>
      </w:pPr>
      <w:r>
        <w:rPr>
          <w:rFonts w:asciiTheme="minorHAnsi" w:hAnsiTheme="minorHAnsi" w:cstheme="minorHAnsi"/>
          <w:sz w:val="22"/>
          <w:szCs w:val="22"/>
        </w:rPr>
        <w:t xml:space="preserve">March </w:t>
      </w:r>
      <w:r w:rsidR="00DB6CEC">
        <w:rPr>
          <w:rFonts w:asciiTheme="minorHAnsi" w:hAnsiTheme="minorHAnsi" w:cstheme="minorHAnsi"/>
          <w:sz w:val="22"/>
          <w:szCs w:val="22"/>
        </w:rPr>
        <w:t>2024</w:t>
      </w:r>
    </w:p>
    <w:p w14:paraId="4A21A6B4" w14:textId="77777777" w:rsidR="00DB6CEC" w:rsidRDefault="00DB6CEC" w:rsidP="00DB6CEC">
      <w:pPr>
        <w:tabs>
          <w:tab w:val="left" w:pos="7830"/>
        </w:tabs>
        <w:rPr>
          <w:rFonts w:asciiTheme="minorHAnsi" w:hAnsiTheme="minorHAnsi" w:cstheme="minorHAnsi"/>
          <w:b/>
          <w:bCs/>
          <w:sz w:val="22"/>
          <w:szCs w:val="22"/>
        </w:rPr>
      </w:pPr>
      <w:r>
        <w:rPr>
          <w:rFonts w:asciiTheme="minorHAnsi" w:hAnsiTheme="minorHAnsi" w:cstheme="minorHAnsi"/>
          <w:b/>
          <w:bCs/>
          <w:sz w:val="22"/>
          <w:szCs w:val="22"/>
        </w:rPr>
        <w:t>Purpose of this document</w:t>
      </w:r>
    </w:p>
    <w:p w14:paraId="08051CE3"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 xml:space="preserve">To outline the governance of the Jurisdictional Haemopoietic Progenitor Cell (HPC) Committee (JHPCC). </w:t>
      </w:r>
    </w:p>
    <w:p w14:paraId="4731ED9B" w14:textId="77777777" w:rsidR="00DB6CEC" w:rsidRDefault="00DB6CEC" w:rsidP="00DB6CEC">
      <w:pPr>
        <w:tabs>
          <w:tab w:val="left" w:pos="7830"/>
        </w:tabs>
        <w:rPr>
          <w:rFonts w:asciiTheme="minorHAnsi" w:hAnsiTheme="minorHAnsi" w:cstheme="minorHAnsi"/>
          <w:b/>
          <w:bCs/>
          <w:sz w:val="22"/>
          <w:szCs w:val="22"/>
        </w:rPr>
      </w:pPr>
      <w:r>
        <w:rPr>
          <w:rFonts w:asciiTheme="minorHAnsi" w:hAnsiTheme="minorHAnsi" w:cstheme="minorHAnsi"/>
          <w:b/>
          <w:bCs/>
          <w:sz w:val="22"/>
          <w:szCs w:val="22"/>
        </w:rPr>
        <w:t>Background</w:t>
      </w:r>
    </w:p>
    <w:p w14:paraId="6175358A"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 xml:space="preserve">In 2018, all Health Ministers endorsed the JHPCC as the Commonwealth-led national committee responsible for providing advice and recommendations for broad HPC reform to Health Chief Executives and Health Ministers. </w:t>
      </w:r>
    </w:p>
    <w:p w14:paraId="6893CDFD"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The National HPC Framework (the Framework) was endorsed by all Australian governments in October 2021. The Framework represents commitment from all governments to provide a policy basis for the effective, evidence-based future operations and management of the Australian HPC sector.</w:t>
      </w:r>
    </w:p>
    <w:p w14:paraId="09526178"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b/>
          <w:bCs/>
          <w:sz w:val="22"/>
          <w:szCs w:val="22"/>
        </w:rPr>
        <w:t>Purpose and Role of the JHPCC</w:t>
      </w:r>
    </w:p>
    <w:p w14:paraId="3871E40E"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 xml:space="preserve">The primary role of the JHPCC is to consider evidence and provide decision makers (Health Chief Executives and Health Ministers) with advice and recommendations on HPC arrangements within the context of the Framework, including governance, </w:t>
      </w:r>
      <w:proofErr w:type="gramStart"/>
      <w:r>
        <w:rPr>
          <w:rFonts w:asciiTheme="minorHAnsi" w:hAnsiTheme="minorHAnsi" w:cstheme="minorHAnsi"/>
          <w:sz w:val="22"/>
          <w:szCs w:val="22"/>
        </w:rPr>
        <w:t>policy</w:t>
      </w:r>
      <w:proofErr w:type="gramEnd"/>
      <w:r>
        <w:rPr>
          <w:rFonts w:asciiTheme="minorHAnsi" w:hAnsiTheme="minorHAnsi" w:cstheme="minorHAnsi"/>
          <w:sz w:val="22"/>
          <w:szCs w:val="22"/>
        </w:rPr>
        <w:t xml:space="preserve"> and funding matters. </w:t>
      </w:r>
    </w:p>
    <w:p w14:paraId="572AF006" w14:textId="47238964" w:rsidR="004B195D" w:rsidRPr="00B61B84" w:rsidRDefault="004B195D" w:rsidP="00552E0A">
      <w:pPr>
        <w:rPr>
          <w:rFonts w:ascii="Calibri" w:hAnsi="Calibri" w:cs="Calibri"/>
          <w:sz w:val="22"/>
          <w:szCs w:val="22"/>
        </w:rPr>
      </w:pPr>
      <w:r w:rsidRPr="00B61B84">
        <w:rPr>
          <w:rFonts w:ascii="Calibri" w:hAnsi="Calibri" w:cs="Calibri"/>
          <w:sz w:val="22"/>
          <w:szCs w:val="22"/>
        </w:rPr>
        <w:t xml:space="preserve">The </w:t>
      </w:r>
      <w:r w:rsidR="005308EB" w:rsidRPr="00B61B84">
        <w:rPr>
          <w:rFonts w:ascii="Calibri" w:hAnsi="Calibri" w:cs="Calibri"/>
          <w:sz w:val="22"/>
          <w:szCs w:val="22"/>
        </w:rPr>
        <w:t>JHPCC</w:t>
      </w:r>
      <w:r w:rsidR="00C14983" w:rsidRPr="00B61B84">
        <w:rPr>
          <w:rFonts w:ascii="Calibri" w:hAnsi="Calibri" w:cs="Calibri"/>
          <w:sz w:val="22"/>
          <w:szCs w:val="22"/>
        </w:rPr>
        <w:t xml:space="preserve"> will</w:t>
      </w:r>
      <w:r w:rsidR="006A0286" w:rsidRPr="00B61B84">
        <w:rPr>
          <w:rFonts w:ascii="Calibri" w:hAnsi="Calibri" w:cs="Calibri"/>
          <w:sz w:val="22"/>
          <w:szCs w:val="22"/>
        </w:rPr>
        <w:t>:</w:t>
      </w:r>
    </w:p>
    <w:p w14:paraId="768D6B17" w14:textId="54ABA021" w:rsidR="00A40A11" w:rsidRDefault="00A40A11" w:rsidP="00A40A11">
      <w:pPr>
        <w:pStyle w:val="ListParagraph"/>
        <w:numPr>
          <w:ilvl w:val="0"/>
          <w:numId w:val="1"/>
        </w:numPr>
        <w:rPr>
          <w:rFonts w:ascii="Calibri" w:hAnsi="Calibri" w:cs="Calibri"/>
        </w:rPr>
      </w:pPr>
      <w:r>
        <w:rPr>
          <w:rFonts w:ascii="Calibri" w:hAnsi="Calibri" w:cs="Calibri"/>
        </w:rPr>
        <w:t xml:space="preserve">Facilitate safe, standardised, high quality clinical HPC services for all </w:t>
      </w:r>
      <w:proofErr w:type="gramStart"/>
      <w:r>
        <w:rPr>
          <w:rFonts w:ascii="Calibri" w:hAnsi="Calibri" w:cs="Calibri"/>
        </w:rPr>
        <w:t>Australians</w:t>
      </w:r>
      <w:proofErr w:type="gramEnd"/>
    </w:p>
    <w:p w14:paraId="2A52390F" w14:textId="77777777" w:rsidR="00A40A11" w:rsidRDefault="00A40A11" w:rsidP="00A40A11">
      <w:pPr>
        <w:pStyle w:val="ListParagraph"/>
        <w:numPr>
          <w:ilvl w:val="0"/>
          <w:numId w:val="1"/>
        </w:numPr>
        <w:rPr>
          <w:rFonts w:ascii="Calibri" w:hAnsi="Calibri" w:cs="Calibri"/>
        </w:rPr>
      </w:pPr>
      <w:r>
        <w:rPr>
          <w:rFonts w:ascii="Calibri" w:hAnsi="Calibri" w:cs="Calibri"/>
        </w:rPr>
        <w:t xml:space="preserve">Facilitate equitable access to </w:t>
      </w:r>
      <w:proofErr w:type="gramStart"/>
      <w:r>
        <w:rPr>
          <w:rFonts w:ascii="Calibri" w:hAnsi="Calibri" w:cs="Calibri"/>
        </w:rPr>
        <w:t>life-saving</w:t>
      </w:r>
      <w:proofErr w:type="gramEnd"/>
      <w:r>
        <w:rPr>
          <w:rFonts w:ascii="Calibri" w:hAnsi="Calibri" w:cs="Calibri"/>
        </w:rPr>
        <w:t xml:space="preserve"> HPC transplantation for all Australian patients, ensuring the needs of vulnerable groups are met</w:t>
      </w:r>
    </w:p>
    <w:p w14:paraId="2F63B6E9" w14:textId="77777777" w:rsidR="00A40A11" w:rsidRDefault="00A40A11" w:rsidP="00A40A11">
      <w:pPr>
        <w:pStyle w:val="ListParagraph"/>
        <w:numPr>
          <w:ilvl w:val="0"/>
          <w:numId w:val="1"/>
        </w:numPr>
        <w:rPr>
          <w:rFonts w:ascii="Calibri" w:hAnsi="Calibri" w:cs="Calibri"/>
        </w:rPr>
      </w:pPr>
      <w:r>
        <w:rPr>
          <w:rFonts w:ascii="Calibri" w:hAnsi="Calibri" w:cs="Calibri"/>
        </w:rPr>
        <w:t xml:space="preserve">Ensure HPCs are supplied through efficient, effective, appropriate service delivery and that the supply addresses clinical and patient </w:t>
      </w:r>
      <w:proofErr w:type="gramStart"/>
      <w:r>
        <w:rPr>
          <w:rFonts w:ascii="Calibri" w:hAnsi="Calibri" w:cs="Calibri"/>
        </w:rPr>
        <w:t>needs</w:t>
      </w:r>
      <w:proofErr w:type="gramEnd"/>
    </w:p>
    <w:p w14:paraId="1F6CE6E8" w14:textId="77777777" w:rsidR="00A40A11" w:rsidRDefault="00A40A11" w:rsidP="00A40A11">
      <w:pPr>
        <w:pStyle w:val="ListParagraph"/>
        <w:numPr>
          <w:ilvl w:val="0"/>
          <w:numId w:val="1"/>
        </w:numPr>
        <w:rPr>
          <w:rFonts w:ascii="Calibri" w:hAnsi="Calibri" w:cs="Calibri"/>
        </w:rPr>
      </w:pPr>
      <w:r>
        <w:rPr>
          <w:rFonts w:ascii="Calibri" w:hAnsi="Calibri" w:cs="Calibri"/>
        </w:rPr>
        <w:t xml:space="preserve">Reduce reliance on </w:t>
      </w:r>
      <w:proofErr w:type="gramStart"/>
      <w:r>
        <w:rPr>
          <w:rFonts w:ascii="Calibri" w:hAnsi="Calibri" w:cs="Calibri"/>
        </w:rPr>
        <w:t>internationally-sourced</w:t>
      </w:r>
      <w:proofErr w:type="gramEnd"/>
      <w:r>
        <w:rPr>
          <w:rFonts w:ascii="Calibri" w:hAnsi="Calibri" w:cs="Calibri"/>
        </w:rPr>
        <w:t xml:space="preserve"> HPCs for transplantation through improvements to tissue typing and improved donor recruitment that is evidence-based (i.e. based on true clinical demand with consideration of emerging trends)</w:t>
      </w:r>
    </w:p>
    <w:p w14:paraId="2FE31917" w14:textId="77777777" w:rsidR="00A40A11" w:rsidRDefault="00A40A11" w:rsidP="00A40A11">
      <w:pPr>
        <w:pStyle w:val="ListParagraph"/>
        <w:numPr>
          <w:ilvl w:val="0"/>
          <w:numId w:val="1"/>
        </w:numPr>
        <w:rPr>
          <w:rFonts w:ascii="Calibri" w:hAnsi="Calibri" w:cs="Calibri"/>
        </w:rPr>
      </w:pPr>
      <w:r>
        <w:rPr>
          <w:rFonts w:ascii="Calibri" w:hAnsi="Calibri" w:cs="Calibri"/>
        </w:rPr>
        <w:t>Enable appropriate development and implementation of national and state and territory strategies to support governance and operations that enhance coordination across the sector.</w:t>
      </w:r>
    </w:p>
    <w:p w14:paraId="723016E6" w14:textId="77777777" w:rsidR="00A40A11" w:rsidRDefault="00A40A11" w:rsidP="00DB6CEC">
      <w:pPr>
        <w:tabs>
          <w:tab w:val="left" w:pos="7830"/>
        </w:tabs>
        <w:rPr>
          <w:rFonts w:asciiTheme="minorHAnsi" w:hAnsiTheme="minorHAnsi" w:cstheme="minorHAnsi"/>
          <w:sz w:val="22"/>
          <w:szCs w:val="22"/>
        </w:rPr>
      </w:pPr>
    </w:p>
    <w:p w14:paraId="57C4EA38" w14:textId="3BFF1A4F" w:rsidR="00EB1B4F"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In addition, JHPCC is authorised to make decisions on less significant issues and funding matters.</w:t>
      </w:r>
    </w:p>
    <w:p w14:paraId="268FEEB5"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b/>
          <w:bCs/>
          <w:sz w:val="22"/>
          <w:szCs w:val="22"/>
        </w:rPr>
        <w:t>Membership</w:t>
      </w:r>
    </w:p>
    <w:p w14:paraId="7AC56241"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 xml:space="preserve">The JHPCC is chaired by the Commonwealth Department of Health and Aged Care and consists of nominated senior representatives from each State and Territory government. Each jurisdiction has a nominated proxy who may attend when the voting member is absent, as well as a nominated observer. </w:t>
      </w:r>
    </w:p>
    <w:p w14:paraId="015742EA" w14:textId="77777777" w:rsidR="00DB6CEC" w:rsidRDefault="00DB6CEC" w:rsidP="00C14983">
      <w:pPr>
        <w:keepNext/>
        <w:tabs>
          <w:tab w:val="left" w:pos="7830"/>
        </w:tabs>
        <w:spacing w:line="257" w:lineRule="auto"/>
        <w:rPr>
          <w:rFonts w:asciiTheme="minorHAnsi" w:hAnsiTheme="minorHAnsi" w:cstheme="minorHAnsi"/>
          <w:sz w:val="22"/>
          <w:szCs w:val="22"/>
        </w:rPr>
      </w:pPr>
      <w:r>
        <w:rPr>
          <w:rFonts w:asciiTheme="minorHAnsi" w:hAnsiTheme="minorHAnsi" w:cstheme="minorHAnsi"/>
          <w:b/>
          <w:bCs/>
          <w:sz w:val="22"/>
          <w:szCs w:val="22"/>
        </w:rPr>
        <w:lastRenderedPageBreak/>
        <w:t>Declarations of Interest</w:t>
      </w:r>
    </w:p>
    <w:p w14:paraId="0BAEC2AF" w14:textId="1C19C58B"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 xml:space="preserve">All members of the JHPCC are held accountable via each individual governments’ Code of Conduct legislation. The Department of Health and Aged Care’s Conflict of Interest Policy (Policy) applies to all members. The Policy enables members to be aware of their obligation to disclose any relevant </w:t>
      </w:r>
      <w:r w:rsidR="00C14983">
        <w:rPr>
          <w:rFonts w:asciiTheme="minorHAnsi" w:hAnsiTheme="minorHAnsi" w:cstheme="minorHAnsi"/>
          <w:sz w:val="22"/>
          <w:szCs w:val="22"/>
        </w:rPr>
        <w:t>interests and</w:t>
      </w:r>
      <w:r>
        <w:rPr>
          <w:rFonts w:asciiTheme="minorHAnsi" w:hAnsiTheme="minorHAnsi" w:cstheme="minorHAnsi"/>
          <w:sz w:val="22"/>
          <w:szCs w:val="22"/>
        </w:rPr>
        <w:t xml:space="preserve"> ensure effective and consistent management any conflicts. </w:t>
      </w:r>
    </w:p>
    <w:p w14:paraId="4A6F657A" w14:textId="77777777" w:rsidR="00DB6CEC" w:rsidRDefault="00DB6CEC" w:rsidP="00DB6CEC">
      <w:pPr>
        <w:tabs>
          <w:tab w:val="left" w:pos="7830"/>
        </w:tabs>
        <w:rPr>
          <w:rFonts w:asciiTheme="minorHAnsi" w:hAnsiTheme="minorHAnsi" w:cstheme="minorHAnsi"/>
          <w:b/>
          <w:bCs/>
          <w:sz w:val="22"/>
          <w:szCs w:val="22"/>
        </w:rPr>
      </w:pPr>
      <w:r>
        <w:rPr>
          <w:rFonts w:asciiTheme="minorHAnsi" w:hAnsiTheme="minorHAnsi" w:cstheme="minorHAnsi"/>
          <w:b/>
          <w:bCs/>
          <w:sz w:val="22"/>
          <w:szCs w:val="22"/>
        </w:rPr>
        <w:t>Meetings</w:t>
      </w:r>
    </w:p>
    <w:p w14:paraId="2E94DD9D"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The JHPCC meets primarily via video conference and progresses work out of session as required. It is expected that the JHPCC will meet at least every 3 months, with extra meetings scheduled as required.</w:t>
      </w:r>
    </w:p>
    <w:p w14:paraId="20069B91"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b/>
          <w:bCs/>
          <w:sz w:val="22"/>
          <w:szCs w:val="22"/>
        </w:rPr>
        <w:t>Secretariat Support</w:t>
      </w:r>
    </w:p>
    <w:p w14:paraId="388AC0C0" w14:textId="77777777" w:rsidR="00DB6CEC" w:rsidRDefault="00DB6CEC" w:rsidP="00DB6CEC">
      <w:pPr>
        <w:tabs>
          <w:tab w:val="left" w:pos="7830"/>
        </w:tabs>
        <w:rPr>
          <w:rFonts w:asciiTheme="minorHAnsi" w:hAnsiTheme="minorHAnsi" w:cstheme="minorHAnsi"/>
          <w:sz w:val="22"/>
          <w:szCs w:val="22"/>
        </w:rPr>
      </w:pPr>
      <w:r>
        <w:rPr>
          <w:rFonts w:asciiTheme="minorHAnsi" w:hAnsiTheme="minorHAnsi" w:cstheme="minorHAnsi"/>
          <w:sz w:val="22"/>
          <w:szCs w:val="22"/>
        </w:rPr>
        <w:t xml:space="preserve">Secretariat support for the JHPCC will be provided by the Blood Policy and Programs Section and can be contacted via </w:t>
      </w:r>
      <w:hyperlink r:id="rId7" w:history="1">
        <w:r>
          <w:rPr>
            <w:rStyle w:val="Hyperlink"/>
            <w:rFonts w:asciiTheme="minorHAnsi" w:hAnsiTheme="minorHAnsi" w:cstheme="minorHAnsi"/>
            <w:sz w:val="22"/>
            <w:szCs w:val="22"/>
          </w:rPr>
          <w:t>HPCPolicyPrograms@health.gov.au</w:t>
        </w:r>
      </w:hyperlink>
    </w:p>
    <w:p w14:paraId="2BB2C249" w14:textId="77777777" w:rsidR="00E23F55" w:rsidRDefault="00E23F55"/>
    <w:sectPr w:rsidR="00E23F55" w:rsidSect="00C14983">
      <w:head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624F5" w14:textId="77777777" w:rsidR="004F69E2" w:rsidRDefault="004F69E2" w:rsidP="00635835">
      <w:pPr>
        <w:spacing w:after="0" w:line="240" w:lineRule="auto"/>
      </w:pPr>
      <w:r>
        <w:separator/>
      </w:r>
    </w:p>
  </w:endnote>
  <w:endnote w:type="continuationSeparator" w:id="0">
    <w:p w14:paraId="2177EA7B" w14:textId="77777777" w:rsidR="004F69E2" w:rsidRDefault="004F69E2" w:rsidP="0063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C633" w14:textId="77777777" w:rsidR="004F69E2" w:rsidRDefault="004F69E2" w:rsidP="00635835">
      <w:pPr>
        <w:spacing w:after="0" w:line="240" w:lineRule="auto"/>
      </w:pPr>
      <w:r>
        <w:separator/>
      </w:r>
    </w:p>
  </w:footnote>
  <w:footnote w:type="continuationSeparator" w:id="0">
    <w:p w14:paraId="2C0ED0E2" w14:textId="77777777" w:rsidR="004F69E2" w:rsidRDefault="004F69E2" w:rsidP="00635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5831" w14:textId="77190EFD" w:rsidR="00635835" w:rsidRDefault="00635835">
    <w:pPr>
      <w:pStyle w:val="Header"/>
    </w:pPr>
    <w:r>
      <w:rPr>
        <w:noProof/>
        <w14:ligatures w14:val="standardContextual"/>
      </w:rPr>
      <w:drawing>
        <wp:inline distT="0" distB="0" distL="0" distR="0" wp14:anchorId="1760E6A4" wp14:editId="7B7CD640">
          <wp:extent cx="2990215" cy="54864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215" cy="548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A183F"/>
    <w:multiLevelType w:val="hybridMultilevel"/>
    <w:tmpl w:val="D07EE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935819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13E"/>
    <w:rsid w:val="00006925"/>
    <w:rsid w:val="00083707"/>
    <w:rsid w:val="000E4FDB"/>
    <w:rsid w:val="00407B9D"/>
    <w:rsid w:val="004B162A"/>
    <w:rsid w:val="004B195D"/>
    <w:rsid w:val="004F69E2"/>
    <w:rsid w:val="00501AA0"/>
    <w:rsid w:val="005308EB"/>
    <w:rsid w:val="00552E0A"/>
    <w:rsid w:val="005862AB"/>
    <w:rsid w:val="00635835"/>
    <w:rsid w:val="006A0286"/>
    <w:rsid w:val="006C580D"/>
    <w:rsid w:val="00717F7A"/>
    <w:rsid w:val="00817741"/>
    <w:rsid w:val="00A40A11"/>
    <w:rsid w:val="00AC22EE"/>
    <w:rsid w:val="00B61B84"/>
    <w:rsid w:val="00C10BB9"/>
    <w:rsid w:val="00C14983"/>
    <w:rsid w:val="00D4013E"/>
    <w:rsid w:val="00DB6CEC"/>
    <w:rsid w:val="00DF7F9A"/>
    <w:rsid w:val="00E23F55"/>
    <w:rsid w:val="00E37919"/>
    <w:rsid w:val="00EB1B4F"/>
    <w:rsid w:val="00F527C6"/>
    <w:rsid w:val="00F966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D3D93"/>
  <w15:chartTrackingRefBased/>
  <w15:docId w15:val="{4AB96D3A-668F-41EA-B656-74328061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CEC"/>
    <w:pPr>
      <w:spacing w:line="256" w:lineRule="auto"/>
    </w:pPr>
    <w:rPr>
      <w:rFonts w:ascii="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B6CEC"/>
    <w:rPr>
      <w:color w:val="0563C1" w:themeColor="hyperlink"/>
      <w:u w:val="single"/>
    </w:rPr>
  </w:style>
  <w:style w:type="paragraph" w:styleId="Header">
    <w:name w:val="header"/>
    <w:basedOn w:val="Normal"/>
    <w:link w:val="HeaderChar"/>
    <w:uiPriority w:val="99"/>
    <w:unhideWhenUsed/>
    <w:rsid w:val="006358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835"/>
    <w:rPr>
      <w:rFonts w:ascii="Times New Roman" w:hAnsi="Times New Roman" w:cs="Times New Roman"/>
      <w:kern w:val="0"/>
      <w:sz w:val="24"/>
      <w:szCs w:val="24"/>
      <w14:ligatures w14:val="none"/>
    </w:rPr>
  </w:style>
  <w:style w:type="paragraph" w:styleId="Footer">
    <w:name w:val="footer"/>
    <w:basedOn w:val="Normal"/>
    <w:link w:val="FooterChar"/>
    <w:uiPriority w:val="99"/>
    <w:unhideWhenUsed/>
    <w:rsid w:val="006358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835"/>
    <w:rPr>
      <w:rFonts w:ascii="Times New Roman" w:hAnsi="Times New Roman" w:cs="Times New Roman"/>
      <w:kern w:val="0"/>
      <w:sz w:val="24"/>
      <w:szCs w:val="24"/>
      <w14:ligatures w14:val="none"/>
    </w:rPr>
  </w:style>
  <w:style w:type="paragraph" w:styleId="Revision">
    <w:name w:val="Revision"/>
    <w:hidden/>
    <w:uiPriority w:val="99"/>
    <w:semiHidden/>
    <w:rsid w:val="00EB1B4F"/>
    <w:pPr>
      <w:spacing w:after="0" w:line="240" w:lineRule="auto"/>
    </w:pPr>
    <w:rPr>
      <w:rFonts w:ascii="Times New Roman" w:hAnsi="Times New Roman" w:cs="Times New Roman"/>
      <w:kern w:val="0"/>
      <w:sz w:val="24"/>
      <w:szCs w:val="24"/>
      <w14:ligatures w14:val="none"/>
    </w:rPr>
  </w:style>
  <w:style w:type="character" w:customStyle="1" w:styleId="ListParagraphChar">
    <w:name w:val="List Paragraph Char"/>
    <w:aliases w:val="1 heading Char,Bullet 1 Char,Bullet Points Char,Bullet point Char,CV text Char,Colorful List - Accent 11 Char,Dot pt Char,F5 List Paragraph Char,Indicator Text Char,L Char,List Paragraph Char Char Char Char,List Paragraph1 Char"/>
    <w:basedOn w:val="DefaultParagraphFont"/>
    <w:link w:val="ListParagraph"/>
    <w:uiPriority w:val="34"/>
    <w:locked/>
    <w:rsid w:val="00EB1B4F"/>
  </w:style>
  <w:style w:type="paragraph" w:styleId="ListParagraph">
    <w:name w:val="List Paragraph"/>
    <w:aliases w:val="1 heading,Bullet 1,Bullet Points,Bullet point,CV text,Colorful List - Accent 11,Dot pt,F5 List Paragraph,Indicator Text,L,List Paragraph Char Char Char,List Paragraph1,List Paragraph11,No Spacing1,Numbered Para 1,Recommendation,Table text"/>
    <w:basedOn w:val="Normal"/>
    <w:link w:val="ListParagraphChar"/>
    <w:uiPriority w:val="34"/>
    <w:qFormat/>
    <w:rsid w:val="00EB1B4F"/>
    <w:pPr>
      <w:snapToGrid w:val="0"/>
      <w:spacing w:after="0" w:line="240" w:lineRule="auto"/>
      <w:ind w:left="720"/>
      <w:contextualSpacing/>
    </w:pPr>
    <w:rPr>
      <w:rFonts w:asciiTheme="minorHAnsi" w:hAnsiTheme="minorHAnsi" w:cstheme="minorBidi"/>
      <w:kern w:val="2"/>
      <w:sz w:val="22"/>
      <w:szCs w:val="22"/>
      <w14:ligatures w14:val="standardContextual"/>
    </w:rPr>
  </w:style>
  <w:style w:type="character" w:styleId="CommentReference">
    <w:name w:val="annotation reference"/>
    <w:basedOn w:val="DefaultParagraphFont"/>
    <w:uiPriority w:val="99"/>
    <w:semiHidden/>
    <w:unhideWhenUsed/>
    <w:rsid w:val="004B195D"/>
    <w:rPr>
      <w:sz w:val="16"/>
      <w:szCs w:val="16"/>
    </w:rPr>
  </w:style>
  <w:style w:type="paragraph" w:styleId="CommentText">
    <w:name w:val="annotation text"/>
    <w:basedOn w:val="Normal"/>
    <w:link w:val="CommentTextChar"/>
    <w:uiPriority w:val="99"/>
    <w:unhideWhenUsed/>
    <w:rsid w:val="004B195D"/>
    <w:pPr>
      <w:spacing w:line="240" w:lineRule="auto"/>
    </w:pPr>
    <w:rPr>
      <w:sz w:val="20"/>
      <w:szCs w:val="20"/>
    </w:rPr>
  </w:style>
  <w:style w:type="character" w:customStyle="1" w:styleId="CommentTextChar">
    <w:name w:val="Comment Text Char"/>
    <w:basedOn w:val="DefaultParagraphFont"/>
    <w:link w:val="CommentText"/>
    <w:uiPriority w:val="99"/>
    <w:rsid w:val="004B195D"/>
    <w:rPr>
      <w:rFonts w:ascii="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B195D"/>
    <w:rPr>
      <w:b/>
      <w:bCs/>
    </w:rPr>
  </w:style>
  <w:style w:type="character" w:customStyle="1" w:styleId="CommentSubjectChar">
    <w:name w:val="Comment Subject Char"/>
    <w:basedOn w:val="CommentTextChar"/>
    <w:link w:val="CommentSubject"/>
    <w:uiPriority w:val="99"/>
    <w:semiHidden/>
    <w:rsid w:val="004B195D"/>
    <w:rPr>
      <w:rFonts w:ascii="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436255">
      <w:bodyDiv w:val="1"/>
      <w:marLeft w:val="0"/>
      <w:marRight w:val="0"/>
      <w:marTop w:val="0"/>
      <w:marBottom w:val="0"/>
      <w:divBdr>
        <w:top w:val="none" w:sz="0" w:space="0" w:color="auto"/>
        <w:left w:val="none" w:sz="0" w:space="0" w:color="auto"/>
        <w:bottom w:val="none" w:sz="0" w:space="0" w:color="auto"/>
        <w:right w:val="none" w:sz="0" w:space="0" w:color="auto"/>
      </w:divBdr>
    </w:div>
    <w:div w:id="746345775">
      <w:bodyDiv w:val="1"/>
      <w:marLeft w:val="0"/>
      <w:marRight w:val="0"/>
      <w:marTop w:val="0"/>
      <w:marBottom w:val="0"/>
      <w:divBdr>
        <w:top w:val="none" w:sz="0" w:space="0" w:color="auto"/>
        <w:left w:val="none" w:sz="0" w:space="0" w:color="auto"/>
        <w:bottom w:val="none" w:sz="0" w:space="0" w:color="auto"/>
        <w:right w:val="none" w:sz="0" w:space="0" w:color="auto"/>
      </w:divBdr>
    </w:div>
    <w:div w:id="1763262814">
      <w:bodyDiv w:val="1"/>
      <w:marLeft w:val="0"/>
      <w:marRight w:val="0"/>
      <w:marTop w:val="0"/>
      <w:marBottom w:val="0"/>
      <w:divBdr>
        <w:top w:val="none" w:sz="0" w:space="0" w:color="auto"/>
        <w:left w:val="none" w:sz="0" w:space="0" w:color="auto"/>
        <w:bottom w:val="none" w:sz="0" w:space="0" w:color="auto"/>
        <w:right w:val="none" w:sz="0" w:space="0" w:color="auto"/>
      </w:divBdr>
    </w:div>
    <w:div w:id="210202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PCPolicyPrograms@health.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464</Words>
  <Characters>2575</Characters>
  <Application>Microsoft Office Word</Application>
  <DocSecurity>0</DocSecurity>
  <Lines>51</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Jurisdictional Haemopoietic Progenitor Cell Committee Governance</dc:title>
  <dc:subject/>
  <dc:creator>Australian Government Department of Health and Aged Care</dc:creator>
  <cp:keywords/>
  <dc:description/>
  <cp:lastModifiedBy>ARNOLD, Max</cp:lastModifiedBy>
  <cp:revision>20</cp:revision>
  <dcterms:created xsi:type="dcterms:W3CDTF">2024-03-18T02:44:00Z</dcterms:created>
  <dcterms:modified xsi:type="dcterms:W3CDTF">2024-06-06T00:15:00Z</dcterms:modified>
</cp:coreProperties>
</file>