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2E54" w14:textId="7A0435F2" w:rsidR="00BA2732" w:rsidRDefault="00144900" w:rsidP="0068134A">
      <w:pPr>
        <w:pStyle w:val="Heading1"/>
      </w:pPr>
      <w:r>
        <w:t>Australian Technical Advisory Group on Immunisation (ATAGI</w:t>
      </w:r>
      <w:r w:rsidR="000F2F5F">
        <w:t>)</w:t>
      </w:r>
    </w:p>
    <w:p w14:paraId="6E052E4A" w14:textId="5FC3AE6E" w:rsidR="008376E2" w:rsidRPr="008376E2" w:rsidRDefault="008376E2" w:rsidP="00DE6AD6">
      <w:pPr>
        <w:sectPr w:rsidR="008376E2" w:rsidRPr="008376E2" w:rsidSect="0068134A">
          <w:footerReference w:type="default" r:id="rId11"/>
          <w:headerReference w:type="first" r:id="rId12"/>
          <w:footerReference w:type="first" r:id="rId13"/>
          <w:pgSz w:w="11906" w:h="16838"/>
          <w:pgMar w:top="1701" w:right="1418" w:bottom="1418" w:left="1418" w:header="851" w:footer="510" w:gutter="0"/>
          <w:cols w:space="708"/>
          <w:titlePg/>
          <w:docGrid w:linePitch="360"/>
        </w:sectPr>
      </w:pPr>
    </w:p>
    <w:p w14:paraId="38900896" w14:textId="0709428E" w:rsidR="0054768D" w:rsidRDefault="00144900" w:rsidP="0054768D">
      <w:pPr>
        <w:pStyle w:val="Heading2"/>
      </w:pPr>
      <w:r>
        <w:t>S</w:t>
      </w:r>
      <w:r w:rsidR="0098122D">
        <w:t>ummary</w:t>
      </w:r>
      <w:r>
        <w:t xml:space="preserve"> of the </w:t>
      </w:r>
      <w:r w:rsidR="00B617B0">
        <w:t>10</w:t>
      </w:r>
      <w:r w:rsidR="00C21C40">
        <w:t>5</w:t>
      </w:r>
      <w:r w:rsidR="00B617B0">
        <w:t>th</w:t>
      </w:r>
      <w:r>
        <w:t xml:space="preserve"> meeting, </w:t>
      </w:r>
      <w:r w:rsidR="00C21C40">
        <w:t>16 and 17 May</w:t>
      </w:r>
      <w:r>
        <w:t xml:space="preserve"> 2024</w:t>
      </w:r>
    </w:p>
    <w:p w14:paraId="36825FDE" w14:textId="77777777" w:rsidR="00761D9D" w:rsidRDefault="00761D9D" w:rsidP="00761D9D">
      <w:pPr>
        <w:pStyle w:val="Heading3"/>
      </w:pPr>
      <w:r>
        <w:t>Herpes zoster (shingles)</w:t>
      </w:r>
    </w:p>
    <w:p w14:paraId="42A496D9" w14:textId="7EAA1856" w:rsidR="00761D9D" w:rsidRPr="00042D2A" w:rsidRDefault="00000000" w:rsidP="00E0078B">
      <w:pPr>
        <w:pStyle w:val="ListParagraph"/>
        <w:numPr>
          <w:ilvl w:val="0"/>
          <w:numId w:val="11"/>
        </w:numPr>
      </w:pPr>
      <w:hyperlink r:id="rId14">
        <w:r w:rsidR="3FB9AD7D" w:rsidRPr="011F6464">
          <w:rPr>
            <w:rStyle w:val="Hyperlink"/>
          </w:rPr>
          <w:t>Shingrix is available under the NIP</w:t>
        </w:r>
      </w:hyperlink>
      <w:r w:rsidR="3FB9AD7D">
        <w:t xml:space="preserve"> for people aged 65 years and over, First Nations people aged 50 years and over, and severely immunocompromised people aged 18 years and over.</w:t>
      </w:r>
    </w:p>
    <w:p w14:paraId="3F3BDC72" w14:textId="405183E6" w:rsidR="00761D9D" w:rsidRDefault="3FB9AD7D" w:rsidP="00E0078B">
      <w:pPr>
        <w:pStyle w:val="ListParagraph"/>
        <w:numPr>
          <w:ilvl w:val="0"/>
          <w:numId w:val="11"/>
        </w:numPr>
      </w:pPr>
      <w:r>
        <w:t xml:space="preserve">ATAGI was pleased to note that the recent Budget announced funding for Shingrix in moderately immunocompromised people aged 18 years and over. </w:t>
      </w:r>
    </w:p>
    <w:p w14:paraId="7684E48B" w14:textId="7696C90C" w:rsidR="00761D9D" w:rsidRDefault="3FB9AD7D" w:rsidP="00E0078B">
      <w:pPr>
        <w:pStyle w:val="ListParagraph"/>
        <w:numPr>
          <w:ilvl w:val="0"/>
          <w:numId w:val="11"/>
        </w:numPr>
      </w:pPr>
      <w:r>
        <w:t xml:space="preserve">ATAGI endorsed the public consultation document for proposed changes to the zoster chapter of the </w:t>
      </w:r>
      <w:r w:rsidR="1C69B99F">
        <w:t xml:space="preserve">Australian Immunisation </w:t>
      </w:r>
      <w:r>
        <w:t xml:space="preserve">Handbook. Public consultation is expected to occur in June 2024 through the department’s </w:t>
      </w:r>
      <w:hyperlink r:id="rId15">
        <w:r w:rsidRPr="011F6464">
          <w:rPr>
            <w:rStyle w:val="Hyperlink"/>
          </w:rPr>
          <w:t>Consultation Hub</w:t>
        </w:r>
      </w:hyperlink>
      <w:r>
        <w:t>.</w:t>
      </w:r>
    </w:p>
    <w:p w14:paraId="4F216DA3" w14:textId="77777777" w:rsidR="004032F7" w:rsidRDefault="004032F7" w:rsidP="004032F7">
      <w:pPr>
        <w:pStyle w:val="Heading3"/>
      </w:pPr>
      <w:r>
        <w:t>Pertussis (whooping cough)</w:t>
      </w:r>
    </w:p>
    <w:p w14:paraId="5077E35A" w14:textId="78DDB81C" w:rsidR="004032F7" w:rsidRDefault="51F822CF" w:rsidP="00E0078B">
      <w:pPr>
        <w:pStyle w:val="ListParagraph"/>
        <w:numPr>
          <w:ilvl w:val="0"/>
          <w:numId w:val="11"/>
        </w:numPr>
      </w:pPr>
      <w:r>
        <w:t xml:space="preserve">ATAGI discussed the increasing pertussis notifications around Australia and the potential for a pertussis outbreak in 2024. Members noted that </w:t>
      </w:r>
      <w:hyperlink r:id="rId16">
        <w:r w:rsidRPr="011F6464">
          <w:rPr>
            <w:rStyle w:val="Hyperlink"/>
          </w:rPr>
          <w:t>pertussis cases have been increasing in the UK, including 5 infant deaths</w:t>
        </w:r>
      </w:hyperlink>
      <w:r>
        <w:t xml:space="preserve"> between January and March</w:t>
      </w:r>
      <w:r w:rsidR="31A3EBA0">
        <w:t> </w:t>
      </w:r>
      <w:r>
        <w:t>2024.</w:t>
      </w:r>
    </w:p>
    <w:p w14:paraId="2259C512" w14:textId="77777777" w:rsidR="004032F7" w:rsidRDefault="51F822CF" w:rsidP="00E0078B">
      <w:pPr>
        <w:pStyle w:val="ListParagraph"/>
        <w:numPr>
          <w:ilvl w:val="0"/>
          <w:numId w:val="11"/>
        </w:numPr>
      </w:pPr>
      <w:r>
        <w:t xml:space="preserve">ATAGI emphasised the importance of protecting infants against pertussis by vaccinating pregnant women. </w:t>
      </w:r>
      <w:hyperlink r:id="rId17" w:anchor="women-who-are-pregnant-or-breastfeeding">
        <w:r w:rsidRPr="011F6464">
          <w:rPr>
            <w:rStyle w:val="Hyperlink"/>
          </w:rPr>
          <w:t>ATAGI recommends vaccination during pregnancy</w:t>
        </w:r>
      </w:hyperlink>
      <w:r>
        <w:t xml:space="preserve"> because this reduces the risk of pertussis in young infants by 90%. Pertussis vaccine is free for pregnant women under the NIP. </w:t>
      </w:r>
    </w:p>
    <w:p w14:paraId="68EA010E" w14:textId="77777777" w:rsidR="004032F7" w:rsidRDefault="51F822CF" w:rsidP="00E0078B">
      <w:pPr>
        <w:pStyle w:val="ListParagraph"/>
        <w:numPr>
          <w:ilvl w:val="0"/>
          <w:numId w:val="11"/>
        </w:numPr>
      </w:pPr>
      <w:r>
        <w:t>It is important for health professionals to complete the pregnancy status field when recording vaccinations given during pregnancy on the Australian Immunisation Register (AIR). This will ensure that Australia has accurate data on maternal immunisation to inform policies and programs.</w:t>
      </w:r>
    </w:p>
    <w:p w14:paraId="743754CB" w14:textId="77777777" w:rsidR="004032F7" w:rsidRPr="00BE2C32" w:rsidRDefault="51F822CF" w:rsidP="00E0078B">
      <w:pPr>
        <w:pStyle w:val="ListParagraph"/>
        <w:numPr>
          <w:ilvl w:val="0"/>
          <w:numId w:val="11"/>
        </w:numPr>
      </w:pPr>
      <w:r>
        <w:t xml:space="preserve">ATAGI also recommends pertussis vaccination for infants and children, adolescents, adults aged 50 years and adults aged 65 years. See the </w:t>
      </w:r>
      <w:hyperlink r:id="rId18" w:anchor="recommendations">
        <w:r w:rsidRPr="011F6464">
          <w:rPr>
            <w:rStyle w:val="Hyperlink"/>
          </w:rPr>
          <w:t>Australian Immunisation Handbook</w:t>
        </w:r>
      </w:hyperlink>
      <w:r>
        <w:t xml:space="preserve"> for more details.</w:t>
      </w:r>
    </w:p>
    <w:p w14:paraId="1078568F" w14:textId="219223A7" w:rsidR="00447047" w:rsidRDefault="00A42C32" w:rsidP="0047446C">
      <w:pPr>
        <w:pStyle w:val="Heading3"/>
      </w:pPr>
      <w:r>
        <w:t>Respiratory syncytial virus (RSV)</w:t>
      </w:r>
    </w:p>
    <w:p w14:paraId="7055EED3" w14:textId="1BB0DE80" w:rsidR="00A42C32" w:rsidRDefault="7EB8C7E5" w:rsidP="00E0078B">
      <w:pPr>
        <w:pStyle w:val="ListParagraph"/>
        <w:numPr>
          <w:ilvl w:val="0"/>
          <w:numId w:val="11"/>
        </w:numPr>
      </w:pPr>
      <w:r>
        <w:t xml:space="preserve">ATAGI noted that </w:t>
      </w:r>
      <w:r w:rsidR="72B1FEC5">
        <w:t xml:space="preserve">Abrysvo </w:t>
      </w:r>
      <w:r w:rsidR="42633A67">
        <w:t xml:space="preserve">RSV </w:t>
      </w:r>
      <w:r w:rsidR="72B1FEC5">
        <w:t>vaccine</w:t>
      </w:r>
      <w:r w:rsidR="0A00ED41">
        <w:t xml:space="preserve"> had been considered at the March 2024 meeting </w:t>
      </w:r>
      <w:r w:rsidR="58DFA1DE">
        <w:t xml:space="preserve">of the Pharmaceutical Benefits Advisory Committee (PBAC) </w:t>
      </w:r>
      <w:r w:rsidR="0A00ED41">
        <w:t xml:space="preserve">for </w:t>
      </w:r>
      <w:r w:rsidR="2F0BC511">
        <w:t xml:space="preserve">prevention of lower respiratory tract illness caused by RSV in infants from birth through to 6 months of age by active immunisation of pregnant individuals. The </w:t>
      </w:r>
      <w:hyperlink r:id="rId19" w:history="1">
        <w:r w:rsidR="2F0BC511" w:rsidRPr="00D14997">
          <w:rPr>
            <w:rStyle w:val="Hyperlink"/>
          </w:rPr>
          <w:t>PBAC did not recommend</w:t>
        </w:r>
      </w:hyperlink>
      <w:r w:rsidR="2F0BC511">
        <w:t xml:space="preserve"> Abrysvo for listing on the NIP</w:t>
      </w:r>
      <w:r w:rsidR="50E68BC6">
        <w:t xml:space="preserve"> </w:t>
      </w:r>
      <w:r w:rsidR="297F0CCD">
        <w:t xml:space="preserve">at this time </w:t>
      </w:r>
      <w:r w:rsidR="50E68BC6">
        <w:t>because of the high and uncertain incremental cost</w:t>
      </w:r>
      <w:r w:rsidR="0098519E">
        <w:noBreakHyphen/>
      </w:r>
      <w:r w:rsidR="50E68BC6">
        <w:t xml:space="preserve">effectiveness ratio (ICER). </w:t>
      </w:r>
    </w:p>
    <w:p w14:paraId="17E1F2E8" w14:textId="533634C9" w:rsidR="00346BA7" w:rsidRDefault="55D72332" w:rsidP="00E0078B">
      <w:pPr>
        <w:pStyle w:val="ListParagraph"/>
        <w:numPr>
          <w:ilvl w:val="0"/>
          <w:numId w:val="11"/>
        </w:numPr>
      </w:pPr>
      <w:r>
        <w:lastRenderedPageBreak/>
        <w:t xml:space="preserve">At its </w:t>
      </w:r>
      <w:hyperlink r:id="rId20">
        <w:r w:rsidRPr="011F6464">
          <w:rPr>
            <w:rStyle w:val="Hyperlink"/>
          </w:rPr>
          <w:t>July 2024 meeting</w:t>
        </w:r>
      </w:hyperlink>
      <w:r>
        <w:t>, t</w:t>
      </w:r>
      <w:r w:rsidR="6342CA0D">
        <w:t xml:space="preserve">he PBAC </w:t>
      </w:r>
      <w:r w:rsidR="067A4C65">
        <w:t>will consider</w:t>
      </w:r>
      <w:r>
        <w:t xml:space="preserve"> Arexvy RSV vaccine for adults aged 60 years and over, </w:t>
      </w:r>
      <w:r w:rsidR="3CF0521C">
        <w:t>as well as nirsevimab</w:t>
      </w:r>
      <w:r w:rsidR="7756E098">
        <w:t xml:space="preserve"> (</w:t>
      </w:r>
      <w:r w:rsidR="68C61E5D">
        <w:t>a long-acting monoclonal antibody</w:t>
      </w:r>
      <w:r w:rsidR="7756E098">
        <w:t>)</w:t>
      </w:r>
      <w:r w:rsidR="48ECBF41">
        <w:t xml:space="preserve"> for infants and children up to 2 years of age.</w:t>
      </w:r>
      <w:r w:rsidR="323E8906">
        <w:t xml:space="preserve"> </w:t>
      </w:r>
    </w:p>
    <w:p w14:paraId="345717FE" w14:textId="5DEE9629" w:rsidR="002B66A8" w:rsidRDefault="691C9D68" w:rsidP="00E0078B">
      <w:pPr>
        <w:pStyle w:val="ListParagraph"/>
        <w:numPr>
          <w:ilvl w:val="0"/>
          <w:numId w:val="11"/>
        </w:numPr>
      </w:pPr>
      <w:r>
        <w:t xml:space="preserve">ATAGI reviewed and endorsed the new </w:t>
      </w:r>
      <w:r w:rsidR="4D70ABFD">
        <w:t>RSV chapter</w:t>
      </w:r>
      <w:r w:rsidR="13E0C3C6">
        <w:t xml:space="preserve"> of the Australian Immunisation Handbook</w:t>
      </w:r>
      <w:r w:rsidR="101BEF59">
        <w:t xml:space="preserve">, which </w:t>
      </w:r>
      <w:r w:rsidR="3304A5F9">
        <w:t xml:space="preserve">will be published </w:t>
      </w:r>
      <w:r w:rsidR="13E0C3C6">
        <w:t>online</w:t>
      </w:r>
      <w:r w:rsidR="3304A5F9">
        <w:t xml:space="preserve"> and then undergo</w:t>
      </w:r>
      <w:r w:rsidR="101BEF59">
        <w:t xml:space="preserve"> public consultation</w:t>
      </w:r>
      <w:r w:rsidR="57F2C747">
        <w:t>, expected in June</w:t>
      </w:r>
      <w:r w:rsidR="101BEF59">
        <w:t xml:space="preserve"> 2024.</w:t>
      </w:r>
    </w:p>
    <w:p w14:paraId="7C5D0C8F" w14:textId="250390D1" w:rsidR="00562FC4" w:rsidRPr="00A42C32" w:rsidRDefault="15D7EFC9" w:rsidP="00E0078B">
      <w:pPr>
        <w:pStyle w:val="ListParagraph"/>
        <w:numPr>
          <w:ilvl w:val="0"/>
          <w:numId w:val="11"/>
        </w:numPr>
      </w:pPr>
      <w:r>
        <w:t xml:space="preserve">ATAGI endorsed the </w:t>
      </w:r>
      <w:r w:rsidR="3E28BDF8" w:rsidRPr="011F6464">
        <w:rPr>
          <w:i/>
          <w:iCs/>
        </w:rPr>
        <w:t>ATAGI targeted review 2024: immunisation strategies for prevention and control of respiratory syncytial virus disease in Australia</w:t>
      </w:r>
      <w:r>
        <w:t xml:space="preserve">. </w:t>
      </w:r>
      <w:r w:rsidR="289E1471">
        <w:t xml:space="preserve">The review will be published in the </w:t>
      </w:r>
      <w:hyperlink r:id="rId21">
        <w:r w:rsidR="289E1471" w:rsidRPr="011F6464">
          <w:rPr>
            <w:rStyle w:val="Hyperlink"/>
            <w:i/>
            <w:iCs/>
          </w:rPr>
          <w:t>Communicable Diseases Intelligence</w:t>
        </w:r>
      </w:hyperlink>
      <w:r w:rsidR="289E1471">
        <w:t xml:space="preserve"> </w:t>
      </w:r>
      <w:r w:rsidR="0CA82503">
        <w:t xml:space="preserve">journal </w:t>
      </w:r>
      <w:r w:rsidR="289E1471">
        <w:t>later in 2024.</w:t>
      </w:r>
    </w:p>
    <w:p w14:paraId="2679214D" w14:textId="77777777" w:rsidR="00645D21" w:rsidRDefault="00645D21" w:rsidP="00C826E3">
      <w:pPr>
        <w:pStyle w:val="Heading3"/>
        <w:rPr>
          <w:bCs w:val="0"/>
        </w:rPr>
      </w:pPr>
      <w:r>
        <w:rPr>
          <w:bCs w:val="0"/>
        </w:rPr>
        <w:t>Influenza</w:t>
      </w:r>
    </w:p>
    <w:p w14:paraId="5262E68C" w14:textId="46CD0C0A" w:rsidR="00645D21" w:rsidRDefault="00FA04A8" w:rsidP="00E0078B">
      <w:pPr>
        <w:pStyle w:val="ListParagraph"/>
        <w:numPr>
          <w:ilvl w:val="0"/>
          <w:numId w:val="13"/>
        </w:numPr>
      </w:pPr>
      <w:r>
        <w:t>As the 2024 influenza season</w:t>
      </w:r>
      <w:r w:rsidR="00395BCD">
        <w:t xml:space="preserve"> continues, </w:t>
      </w:r>
      <w:r w:rsidR="008B04C3">
        <w:t xml:space="preserve">ATAGI emphasised the importance of annual influenza vaccination for </w:t>
      </w:r>
      <w:r w:rsidR="00395BCD">
        <w:t>everyone aged 6 months and over</w:t>
      </w:r>
      <w:r w:rsidR="008B04C3">
        <w:t xml:space="preserve">. </w:t>
      </w:r>
    </w:p>
    <w:p w14:paraId="0606C035" w14:textId="6DCD2C26" w:rsidR="00EA6220" w:rsidRDefault="00EA6220" w:rsidP="00E0078B">
      <w:pPr>
        <w:pStyle w:val="ListParagraph"/>
        <w:numPr>
          <w:ilvl w:val="0"/>
          <w:numId w:val="13"/>
        </w:numPr>
      </w:pPr>
      <w:r>
        <w:t xml:space="preserve">Influenza vaccine is free under the NIP for children </w:t>
      </w:r>
      <w:r w:rsidR="00EB3A65">
        <w:t>under 5, pregnant women at any stage during pregnancy</w:t>
      </w:r>
      <w:r w:rsidR="00696752">
        <w:t xml:space="preserve">, First Nations people aged 6 months and over, people aged 65 years and over, and people with certain medical conditions. </w:t>
      </w:r>
      <w:r w:rsidR="00D50158">
        <w:t xml:space="preserve">States and territories may </w:t>
      </w:r>
      <w:r w:rsidR="00F560F3">
        <w:t xml:space="preserve">also </w:t>
      </w:r>
      <w:r w:rsidR="00D50158">
        <w:t xml:space="preserve">offer free </w:t>
      </w:r>
      <w:r w:rsidR="00361CA1">
        <w:t>vaccination</w:t>
      </w:r>
      <w:r w:rsidR="00D50158">
        <w:t xml:space="preserve"> for other groups. </w:t>
      </w:r>
    </w:p>
    <w:p w14:paraId="03EC7004" w14:textId="123DD285" w:rsidR="004B794A" w:rsidRDefault="00CF3413" w:rsidP="00E0078B">
      <w:pPr>
        <w:pStyle w:val="ListParagraph"/>
        <w:numPr>
          <w:ilvl w:val="0"/>
          <w:numId w:val="13"/>
        </w:numPr>
      </w:pPr>
      <w:r>
        <w:t>ATAGI noted t</w:t>
      </w:r>
      <w:r w:rsidR="2681B83A">
        <w:t xml:space="preserve">he department </w:t>
      </w:r>
      <w:r w:rsidR="6B99510E">
        <w:t xml:space="preserve">has published </w:t>
      </w:r>
      <w:r w:rsidR="2681B83A">
        <w:t xml:space="preserve">resources for consumers and health professionals on </w:t>
      </w:r>
      <w:hyperlink r:id="rId22">
        <w:r w:rsidR="2681B83A" w:rsidRPr="011F6464">
          <w:rPr>
            <w:rStyle w:val="Hyperlink"/>
          </w:rPr>
          <w:t>getting vaccinated against influenza in 2024</w:t>
        </w:r>
      </w:hyperlink>
      <w:r w:rsidR="2681B83A">
        <w:t>.</w:t>
      </w:r>
    </w:p>
    <w:p w14:paraId="5A902118" w14:textId="6BAD88A0" w:rsidR="520F7F04" w:rsidRDefault="520F7F04" w:rsidP="011F6464">
      <w:pPr>
        <w:pStyle w:val="ListParagraph"/>
        <w:numPr>
          <w:ilvl w:val="0"/>
          <w:numId w:val="13"/>
        </w:numPr>
        <w:rPr>
          <w:szCs w:val="22"/>
        </w:rPr>
      </w:pPr>
      <w:r w:rsidRPr="011F6464">
        <w:rPr>
          <w:szCs w:val="22"/>
        </w:rPr>
        <w:t>ATAGI noted the current influenza vaccination coverage in Australia, as outlined in the</w:t>
      </w:r>
      <w:r w:rsidR="00240DF9">
        <w:rPr>
          <w:szCs w:val="22"/>
        </w:rPr>
        <w:t xml:space="preserve"> </w:t>
      </w:r>
      <w:hyperlink r:id="rId23" w:history="1">
        <w:r w:rsidR="00240DF9" w:rsidRPr="00240DF9">
          <w:rPr>
            <w:rStyle w:val="Hyperlink"/>
            <w:szCs w:val="22"/>
          </w:rPr>
          <w:t>National Centre for Immunisation Research and Surveillance</w:t>
        </w:r>
        <w:r w:rsidRPr="00240DF9">
          <w:rPr>
            <w:rStyle w:val="Hyperlink"/>
            <w:szCs w:val="22"/>
          </w:rPr>
          <w:t xml:space="preserve"> </w:t>
        </w:r>
        <w:r w:rsidR="00240DF9" w:rsidRPr="00240DF9">
          <w:rPr>
            <w:rStyle w:val="Hyperlink"/>
            <w:szCs w:val="22"/>
          </w:rPr>
          <w:t>(NCIRS) dashboard</w:t>
        </w:r>
      </w:hyperlink>
      <w:r w:rsidRPr="011F6464">
        <w:rPr>
          <w:szCs w:val="22"/>
        </w:rPr>
        <w:t>.</w:t>
      </w:r>
    </w:p>
    <w:p w14:paraId="6C2D1776" w14:textId="521D8C59" w:rsidR="00C55A1C" w:rsidRDefault="003E6770" w:rsidP="00E0078B">
      <w:pPr>
        <w:pStyle w:val="ListParagraph"/>
        <w:numPr>
          <w:ilvl w:val="0"/>
          <w:numId w:val="13"/>
        </w:numPr>
      </w:pPr>
      <w:r>
        <w:t>ATAGI’s influenza subgroup is developing advice</w:t>
      </w:r>
      <w:r w:rsidR="00BD4CF0">
        <w:t xml:space="preserve"> on Australia’s transition to trivalent influenza vaccines, as recommended by the World Health Organization.</w:t>
      </w:r>
    </w:p>
    <w:p w14:paraId="15A755C1" w14:textId="64706E09" w:rsidR="00BD4CF0" w:rsidRPr="00645D21" w:rsidRDefault="00BD4CF0" w:rsidP="00E0078B">
      <w:pPr>
        <w:pStyle w:val="ListParagraph"/>
        <w:numPr>
          <w:ilvl w:val="0"/>
          <w:numId w:val="13"/>
        </w:numPr>
      </w:pPr>
      <w:r>
        <w:t>ATAGI noted th</w:t>
      </w:r>
      <w:r w:rsidR="007C7073">
        <w:t>e</w:t>
      </w:r>
      <w:r w:rsidR="00207C26">
        <w:t xml:space="preserve"> </w:t>
      </w:r>
      <w:r w:rsidR="00665776">
        <w:t>outbreaks</w:t>
      </w:r>
      <w:r w:rsidR="00207C26">
        <w:t xml:space="preserve"> of highly pathogenic avian influenza</w:t>
      </w:r>
      <w:r w:rsidR="002A4A6D">
        <w:t xml:space="preserve"> being reported</w:t>
      </w:r>
      <w:r w:rsidR="00207C26">
        <w:t xml:space="preserve"> </w:t>
      </w:r>
      <w:r w:rsidR="007A2CE2">
        <w:t xml:space="preserve">in other countries </w:t>
      </w:r>
      <w:r w:rsidR="007C7073">
        <w:t xml:space="preserve">in </w:t>
      </w:r>
      <w:r w:rsidR="00665776">
        <w:t xml:space="preserve">birds, </w:t>
      </w:r>
      <w:r w:rsidR="007A2CE2">
        <w:t>mammals</w:t>
      </w:r>
      <w:r w:rsidR="00FA6930">
        <w:t xml:space="preserve"> and </w:t>
      </w:r>
      <w:r w:rsidR="007A2CE2">
        <w:t xml:space="preserve">occasionally </w:t>
      </w:r>
      <w:r w:rsidR="00FA6930">
        <w:t>humans</w:t>
      </w:r>
      <w:r w:rsidR="00757009">
        <w:t>, and will maintain a watching brief on this issue</w:t>
      </w:r>
      <w:r w:rsidR="007A2CE2">
        <w:t xml:space="preserve">. </w:t>
      </w:r>
    </w:p>
    <w:p w14:paraId="6C963E1F" w14:textId="77777777" w:rsidR="008469F3" w:rsidRDefault="008469F3" w:rsidP="00C826E3">
      <w:pPr>
        <w:pStyle w:val="Heading3"/>
        <w:rPr>
          <w:bCs w:val="0"/>
        </w:rPr>
      </w:pPr>
      <w:r>
        <w:rPr>
          <w:bCs w:val="0"/>
        </w:rPr>
        <w:t>COVID-19</w:t>
      </w:r>
    </w:p>
    <w:p w14:paraId="16B905B8" w14:textId="19862B5A" w:rsidR="00A8291B" w:rsidRDefault="008D1498" w:rsidP="00E0078B">
      <w:pPr>
        <w:pStyle w:val="ListParagraph"/>
        <w:numPr>
          <w:ilvl w:val="0"/>
          <w:numId w:val="15"/>
        </w:numPr>
      </w:pPr>
      <w:r>
        <w:t>COVID-19 cases are</w:t>
      </w:r>
      <w:r w:rsidR="000B31F1">
        <w:t xml:space="preserve"> increasing across Australia. </w:t>
      </w:r>
      <w:r w:rsidR="00853D2B">
        <w:t>ATAGI emphasised the importance of</w:t>
      </w:r>
      <w:r w:rsidR="00D74678">
        <w:t xml:space="preserve"> remaining up to date with COVID-19 vaccination</w:t>
      </w:r>
      <w:r w:rsidR="00822B4E">
        <w:t xml:space="preserve">. ATAGI’s recommendations for COVID-19 vaccination are published in the </w:t>
      </w:r>
      <w:hyperlink r:id="rId24" w:history="1">
        <w:r w:rsidR="00822B4E" w:rsidRPr="00FD7D99">
          <w:rPr>
            <w:rStyle w:val="Hyperlink"/>
          </w:rPr>
          <w:t>COVID-19 chapter</w:t>
        </w:r>
      </w:hyperlink>
      <w:r w:rsidR="00822B4E">
        <w:t xml:space="preserve"> of the Australian Immunisation Handbook.</w:t>
      </w:r>
    </w:p>
    <w:p w14:paraId="7E18AD87" w14:textId="4CEE8447" w:rsidR="008469F3" w:rsidRDefault="00830F8D" w:rsidP="00E0078B">
      <w:pPr>
        <w:pStyle w:val="ListParagraph"/>
        <w:numPr>
          <w:ilvl w:val="0"/>
          <w:numId w:val="15"/>
        </w:numPr>
      </w:pPr>
      <w:r>
        <w:t>ATAGI is planning a debrief on</w:t>
      </w:r>
      <w:r w:rsidR="00F53A17">
        <w:t xml:space="preserve"> their role during the</w:t>
      </w:r>
      <w:r>
        <w:t xml:space="preserve"> COVID-19</w:t>
      </w:r>
      <w:r w:rsidR="00F53A17">
        <w:t xml:space="preserve"> pandemic</w:t>
      </w:r>
      <w:r>
        <w:t xml:space="preserve"> to discuss lessons learned</w:t>
      </w:r>
      <w:r w:rsidR="009E17D0">
        <w:t xml:space="preserve"> and</w:t>
      </w:r>
      <w:r>
        <w:t xml:space="preserve"> </w:t>
      </w:r>
      <w:r w:rsidR="00B57113">
        <w:t xml:space="preserve">opportunities for improved capacity, </w:t>
      </w:r>
      <w:proofErr w:type="gramStart"/>
      <w:r w:rsidR="00B57113">
        <w:t>preparedness</w:t>
      </w:r>
      <w:proofErr w:type="gramEnd"/>
      <w:r w:rsidR="00B57113">
        <w:t xml:space="preserve"> and responsiveness</w:t>
      </w:r>
      <w:r w:rsidR="00B57113" w:rsidRPr="001F7E75">
        <w:t xml:space="preserve"> </w:t>
      </w:r>
      <w:r w:rsidR="00B57113">
        <w:t>for future pandemic situations.</w:t>
      </w:r>
    </w:p>
    <w:p w14:paraId="24D8A9E4" w14:textId="2C8E1EC3" w:rsidR="00FA0449" w:rsidRDefault="00DE6B53" w:rsidP="00E0078B">
      <w:pPr>
        <w:pStyle w:val="ListParagraph"/>
        <w:numPr>
          <w:ilvl w:val="0"/>
          <w:numId w:val="15"/>
        </w:numPr>
      </w:pPr>
      <w:r>
        <w:t xml:space="preserve">ATAGI received an update on the </w:t>
      </w:r>
      <w:hyperlink r:id="rId25" w:history="1">
        <w:r w:rsidRPr="003F0CA5">
          <w:rPr>
            <w:rStyle w:val="Hyperlink"/>
          </w:rPr>
          <w:t>COVID-19 Vaccine Claims Scheme</w:t>
        </w:r>
      </w:hyperlink>
      <w:r w:rsidR="00E078F7">
        <w:t xml:space="preserve">, </w:t>
      </w:r>
      <w:r w:rsidR="00D46BEB">
        <w:t xml:space="preserve">as well as </w:t>
      </w:r>
      <w:r w:rsidR="00FA0449">
        <w:t>an update</w:t>
      </w:r>
      <w:r w:rsidR="00D05B89">
        <w:t xml:space="preserve"> on research into myocarditis following COVID-19 vaccines.</w:t>
      </w:r>
    </w:p>
    <w:p w14:paraId="526FF244" w14:textId="239E41FE" w:rsidR="00A704C6" w:rsidRPr="00A704C6" w:rsidRDefault="00A704C6" w:rsidP="00E0078B">
      <w:pPr>
        <w:pStyle w:val="ListParagraph"/>
        <w:numPr>
          <w:ilvl w:val="0"/>
          <w:numId w:val="15"/>
        </w:numPr>
      </w:pPr>
      <w:r w:rsidRPr="00A704C6">
        <w:t xml:space="preserve">ATAGI reviewed and discussed the ongoing </w:t>
      </w:r>
      <w:r w:rsidR="00393F41">
        <w:t xml:space="preserve">Grading of </w:t>
      </w:r>
      <w:r w:rsidR="00D21B51">
        <w:t>Recommendations, Assessment, Development and Evaluation (</w:t>
      </w:r>
      <w:r w:rsidRPr="00A704C6">
        <w:t>GRADE</w:t>
      </w:r>
      <w:r w:rsidR="00D21B51">
        <w:t>)</w:t>
      </w:r>
      <w:r w:rsidRPr="00A704C6">
        <w:t xml:space="preserve"> assessment</w:t>
      </w:r>
      <w:r>
        <w:t xml:space="preserve"> for COVID-19 vaccine</w:t>
      </w:r>
      <w:r w:rsidR="00EA7CBA">
        <w:t>s</w:t>
      </w:r>
      <w:r w:rsidR="0099175D">
        <w:t xml:space="preserve">, which supports the </w:t>
      </w:r>
      <w:r w:rsidR="00D46BEB">
        <w:t>recommendations</w:t>
      </w:r>
      <w:r w:rsidR="0099175D">
        <w:t xml:space="preserve"> </w:t>
      </w:r>
      <w:r w:rsidR="00822B4E">
        <w:t xml:space="preserve">in the </w:t>
      </w:r>
      <w:r w:rsidR="009E17D0">
        <w:t xml:space="preserve">Australian Immunisation </w:t>
      </w:r>
      <w:r w:rsidR="00822B4E">
        <w:t>Handbook.</w:t>
      </w:r>
    </w:p>
    <w:p w14:paraId="1890DA95" w14:textId="3C5F7060" w:rsidR="00987F9D" w:rsidRDefault="00987F9D" w:rsidP="00C826E3">
      <w:pPr>
        <w:pStyle w:val="Heading3"/>
        <w:rPr>
          <w:bCs w:val="0"/>
        </w:rPr>
      </w:pPr>
      <w:r>
        <w:rPr>
          <w:bCs w:val="0"/>
        </w:rPr>
        <w:t>Vaccination for people who are immunocompromised</w:t>
      </w:r>
    </w:p>
    <w:p w14:paraId="2A8DC125" w14:textId="5ADBBBA0" w:rsidR="00D91BC9" w:rsidRDefault="167A4C08" w:rsidP="00E0078B">
      <w:pPr>
        <w:pStyle w:val="ListParagraph"/>
        <w:numPr>
          <w:ilvl w:val="0"/>
          <w:numId w:val="14"/>
        </w:numPr>
      </w:pPr>
      <w:r>
        <w:t xml:space="preserve">ATAGI discussed </w:t>
      </w:r>
      <w:r w:rsidR="257055D7">
        <w:t xml:space="preserve">and endorsed </w:t>
      </w:r>
      <w:r>
        <w:t xml:space="preserve">updates to the </w:t>
      </w:r>
      <w:r w:rsidR="2E5BE491">
        <w:t xml:space="preserve">Australian Immunisation </w:t>
      </w:r>
      <w:r>
        <w:t xml:space="preserve">Handbook section on </w:t>
      </w:r>
      <w:hyperlink r:id="rId26">
        <w:r w:rsidR="5197335F" w:rsidRPr="27781701">
          <w:rPr>
            <w:rStyle w:val="Hyperlink"/>
          </w:rPr>
          <w:t xml:space="preserve">vaccination for </w:t>
        </w:r>
        <w:r w:rsidRPr="27781701">
          <w:rPr>
            <w:rStyle w:val="Hyperlink"/>
          </w:rPr>
          <w:t>people who are immunocompromised</w:t>
        </w:r>
      </w:hyperlink>
      <w:r>
        <w:t xml:space="preserve">. </w:t>
      </w:r>
      <w:r w:rsidR="00AB7406">
        <w:t xml:space="preserve">The updates aim to </w:t>
      </w:r>
      <w:r w:rsidR="00AB7406">
        <w:lastRenderedPageBreak/>
        <w:t>simplify and clarify vaccination guidance for providers</w:t>
      </w:r>
      <w:r w:rsidR="003F19B6">
        <w:t xml:space="preserve">. The </w:t>
      </w:r>
      <w:r w:rsidR="00670E70">
        <w:t>proposed updates</w:t>
      </w:r>
      <w:r w:rsidR="003F19B6">
        <w:t xml:space="preserve"> will undergo targeted consultation later in 2024.</w:t>
      </w:r>
    </w:p>
    <w:p w14:paraId="0A5863B3" w14:textId="160A7741" w:rsidR="00987F9D" w:rsidRPr="00987F9D" w:rsidRDefault="00A471E7" w:rsidP="00E0078B">
      <w:pPr>
        <w:pStyle w:val="ListParagraph"/>
        <w:numPr>
          <w:ilvl w:val="0"/>
          <w:numId w:val="14"/>
        </w:numPr>
      </w:pPr>
      <w:r>
        <w:t>ATAGI confirmed that the topic for its 2025 targeted review would focus on</w:t>
      </w:r>
      <w:r w:rsidR="00C13D04">
        <w:t xml:space="preserve"> special risk groups for vaccination, including people who are immunocompromised.</w:t>
      </w:r>
    </w:p>
    <w:p w14:paraId="3620C2B1" w14:textId="02CF4805" w:rsidR="005D163F" w:rsidRDefault="00054BC3" w:rsidP="00C826E3">
      <w:pPr>
        <w:pStyle w:val="Heading3"/>
        <w:rPr>
          <w:bCs w:val="0"/>
        </w:rPr>
      </w:pPr>
      <w:r>
        <w:rPr>
          <w:bCs w:val="0"/>
        </w:rPr>
        <w:t>First Nations</w:t>
      </w:r>
      <w:r w:rsidR="005D163F">
        <w:rPr>
          <w:bCs w:val="0"/>
        </w:rPr>
        <w:t xml:space="preserve"> health issues</w:t>
      </w:r>
    </w:p>
    <w:p w14:paraId="3C65C83F" w14:textId="70F0D29D" w:rsidR="00EE4F5B" w:rsidRDefault="005D163F" w:rsidP="00E0078B">
      <w:pPr>
        <w:pStyle w:val="ListParagraph"/>
        <w:numPr>
          <w:ilvl w:val="0"/>
          <w:numId w:val="16"/>
        </w:numPr>
        <w:rPr>
          <w:szCs w:val="22"/>
        </w:rPr>
      </w:pPr>
      <w:r>
        <w:t xml:space="preserve">ATAGI received a presentation from </w:t>
      </w:r>
      <w:r w:rsidR="28A19852">
        <w:t xml:space="preserve">a </w:t>
      </w:r>
      <w:r>
        <w:t>National Aboriginal Community Controlled Health Organisation</w:t>
      </w:r>
      <w:r w:rsidR="00440A71">
        <w:t xml:space="preserve"> </w:t>
      </w:r>
      <w:r w:rsidR="009707BD">
        <w:t xml:space="preserve">(NACCHO) </w:t>
      </w:r>
      <w:r w:rsidR="58EC5D09">
        <w:t>representative of</w:t>
      </w:r>
      <w:r w:rsidR="00F53A17">
        <w:t xml:space="preserve"> </w:t>
      </w:r>
      <w:r w:rsidR="00440A71">
        <w:t xml:space="preserve">the </w:t>
      </w:r>
      <w:r w:rsidR="009707BD">
        <w:t xml:space="preserve">National </w:t>
      </w:r>
      <w:r w:rsidR="009707BD" w:rsidRPr="008E03AF">
        <w:t xml:space="preserve">Aboriginal and Torres Strait Islander Health Protection </w:t>
      </w:r>
      <w:r w:rsidR="009707BD">
        <w:t>(NATSIHP) s</w:t>
      </w:r>
      <w:r w:rsidR="009707BD" w:rsidRPr="008E03AF">
        <w:t xml:space="preserve">ub-committee of the </w:t>
      </w:r>
      <w:r w:rsidR="009707BD">
        <w:t>Australian Health Protection Principal Committee (AHPPC).</w:t>
      </w:r>
      <w:r w:rsidR="00440A71">
        <w:t xml:space="preserve"> </w:t>
      </w:r>
    </w:p>
    <w:p w14:paraId="61F7694D" w14:textId="4BAFABF9" w:rsidR="005D163F" w:rsidRDefault="23B5E8F9" w:rsidP="00EE4F5B">
      <w:pPr>
        <w:pStyle w:val="ListParagraph"/>
        <w:numPr>
          <w:ilvl w:val="0"/>
          <w:numId w:val="16"/>
        </w:numPr>
      </w:pPr>
      <w:r w:rsidRPr="002D15CA">
        <w:t xml:space="preserve">Priority Reform Four of the </w:t>
      </w:r>
      <w:hyperlink r:id="rId27" w:history="1">
        <w:r w:rsidRPr="002D15CA">
          <w:rPr>
            <w:rStyle w:val="Hyperlink"/>
          </w:rPr>
          <w:t>National Agreement on Closing the Gap</w:t>
        </w:r>
      </w:hyperlink>
      <w:r>
        <w:t xml:space="preserve"> involves shared access to data and information at a regional level. As part of this reform,</w:t>
      </w:r>
      <w:r w:rsidR="4C80B7ED">
        <w:t xml:space="preserve"> </w:t>
      </w:r>
      <w:r w:rsidR="579D4819">
        <w:t>NATSIHP has developed</w:t>
      </w:r>
      <w:r>
        <w:t xml:space="preserve"> </w:t>
      </w:r>
      <w:r w:rsidR="290933E8">
        <w:t xml:space="preserve">a </w:t>
      </w:r>
      <w:r w:rsidR="11D7E89C">
        <w:t>First Nations</w:t>
      </w:r>
      <w:r w:rsidR="4A0CD515">
        <w:t xml:space="preserve"> National Notifiable Diseases Surveillance System Dashboard (the Dashboard)</w:t>
      </w:r>
      <w:r w:rsidR="11D7E89C">
        <w:t xml:space="preserve"> </w:t>
      </w:r>
      <w:r>
        <w:t>to collate</w:t>
      </w:r>
      <w:r w:rsidRPr="0022534C">
        <w:t xml:space="preserve"> timely data </w:t>
      </w:r>
      <w:r>
        <w:t xml:space="preserve">that are </w:t>
      </w:r>
      <w:r w:rsidRPr="0022534C">
        <w:t>relevant to the prevention and control of communicable diseases among First Nations people</w:t>
      </w:r>
      <w:r w:rsidR="02935B52">
        <w:t xml:space="preserve">. The </w:t>
      </w:r>
      <w:r w:rsidR="3446F197">
        <w:t xml:space="preserve">Dashboard </w:t>
      </w:r>
      <w:r w:rsidR="02935B52">
        <w:t>aims</w:t>
      </w:r>
      <w:r w:rsidRPr="0022534C">
        <w:t xml:space="preserve"> to inform strategic thinking and priority setting</w:t>
      </w:r>
      <w:r>
        <w:t xml:space="preserve">, </w:t>
      </w:r>
      <w:r w:rsidRPr="0022534C">
        <w:t>and enable evidence</w:t>
      </w:r>
      <w:r w:rsidR="148376B0">
        <w:t>-</w:t>
      </w:r>
      <w:r w:rsidR="00301480">
        <w:noBreakHyphen/>
      </w:r>
      <w:r w:rsidRPr="0022534C">
        <w:t xml:space="preserve">based </w:t>
      </w:r>
      <w:r>
        <w:t>decisions by and for First Nations people</w:t>
      </w:r>
      <w:r w:rsidRPr="0022534C">
        <w:t>.</w:t>
      </w:r>
      <w:r w:rsidR="4862CCE4">
        <w:t xml:space="preserve"> </w:t>
      </w:r>
    </w:p>
    <w:p w14:paraId="04EEE312" w14:textId="43A99692" w:rsidR="00A35565" w:rsidRPr="005D163F" w:rsidRDefault="290933E8" w:rsidP="00E0078B">
      <w:pPr>
        <w:pStyle w:val="ListParagraph"/>
        <w:numPr>
          <w:ilvl w:val="0"/>
          <w:numId w:val="16"/>
        </w:numPr>
      </w:pPr>
      <w:r>
        <w:t>ATAGI emphasised the importance of having complete data on Indigenous status in disease notifications</w:t>
      </w:r>
      <w:r w:rsidR="171D7DDF">
        <w:t xml:space="preserve">, but </w:t>
      </w:r>
      <w:r w:rsidR="1EF79961">
        <w:t>noted the complex factors that influence</w:t>
      </w:r>
      <w:r w:rsidR="4AF07B5A">
        <w:t xml:space="preserve"> whether a person identifies as Aboriginal and/or Torres Strait Islander in healthcare settings</w:t>
      </w:r>
      <w:r w:rsidR="171D7DDF">
        <w:t>.</w:t>
      </w:r>
      <w:r w:rsidR="5C2F4B2D">
        <w:t xml:space="preserve"> ATAGI was enthusiastic about </w:t>
      </w:r>
      <w:r w:rsidR="43A59197">
        <w:t xml:space="preserve">the </w:t>
      </w:r>
      <w:r w:rsidR="498D8F85">
        <w:t>Dashboard</w:t>
      </w:r>
      <w:r w:rsidR="43A59197">
        <w:t xml:space="preserve"> and looked forward </w:t>
      </w:r>
      <w:r w:rsidR="4BF7A41B">
        <w:t xml:space="preserve">to </w:t>
      </w:r>
      <w:r w:rsidR="7A9C95E6">
        <w:t xml:space="preserve">receiving access to the Dashboard </w:t>
      </w:r>
      <w:r w:rsidR="43A59197">
        <w:t xml:space="preserve">to </w:t>
      </w:r>
      <w:r w:rsidR="3499C981">
        <w:t xml:space="preserve">begin </w:t>
      </w:r>
      <w:r w:rsidR="43A59197">
        <w:t xml:space="preserve">using the data to improve its advice to government on </w:t>
      </w:r>
      <w:r w:rsidR="619B1913">
        <w:t xml:space="preserve">First Nations immunisation. </w:t>
      </w:r>
    </w:p>
    <w:p w14:paraId="2CCB5E95" w14:textId="2B79D820" w:rsidR="00C826E3" w:rsidRDefault="00C826E3" w:rsidP="00C826E3">
      <w:pPr>
        <w:pStyle w:val="Heading3"/>
        <w:rPr>
          <w:bCs w:val="0"/>
        </w:rPr>
      </w:pPr>
      <w:r w:rsidRPr="00C826E3">
        <w:rPr>
          <w:bCs w:val="0"/>
        </w:rPr>
        <w:t>National Immunisation Program Vaccinations in Pharmacy (NIPVIP) Program</w:t>
      </w:r>
    </w:p>
    <w:p w14:paraId="71F354B3" w14:textId="212FC07E" w:rsidR="00C826E3" w:rsidRDefault="00150974" w:rsidP="00E0078B">
      <w:pPr>
        <w:pStyle w:val="ListParagraph"/>
        <w:numPr>
          <w:ilvl w:val="0"/>
          <w:numId w:val="12"/>
        </w:numPr>
      </w:pPr>
      <w:r>
        <w:t xml:space="preserve">ATAGI was pleased to note that the </w:t>
      </w:r>
      <w:r w:rsidR="002548D7">
        <w:t>2024-25 Budget</w:t>
      </w:r>
      <w:r>
        <w:t xml:space="preserve"> </w:t>
      </w:r>
      <w:r w:rsidR="00803631">
        <w:t xml:space="preserve">included </w:t>
      </w:r>
      <w:r>
        <w:t xml:space="preserve">funding to expand the </w:t>
      </w:r>
      <w:hyperlink r:id="rId28" w:history="1">
        <w:r w:rsidRPr="009E32DD">
          <w:rPr>
            <w:rStyle w:val="Hyperlink"/>
          </w:rPr>
          <w:t>NIPVIP program</w:t>
        </w:r>
      </w:hyperlink>
      <w:r>
        <w:t xml:space="preserve"> to allow pharmacists to administer vaccines in disability and aged care facilities.</w:t>
      </w:r>
    </w:p>
    <w:p w14:paraId="07567B61" w14:textId="4AB013C7" w:rsidR="00737C71" w:rsidRPr="00C826E3" w:rsidRDefault="00725347" w:rsidP="00E0078B">
      <w:pPr>
        <w:pStyle w:val="ListParagraph"/>
        <w:numPr>
          <w:ilvl w:val="0"/>
          <w:numId w:val="12"/>
        </w:numPr>
      </w:pPr>
      <w:r>
        <w:t>The NCIRS has published a</w:t>
      </w:r>
      <w:r w:rsidR="00764771">
        <w:t xml:space="preserve"> </w:t>
      </w:r>
      <w:hyperlink r:id="rId29" w:history="1">
        <w:r w:rsidR="00764771" w:rsidRPr="00725347">
          <w:rPr>
            <w:rStyle w:val="Hyperlink"/>
          </w:rPr>
          <w:t xml:space="preserve">summary of the vaccines </w:t>
        </w:r>
        <w:r w:rsidR="004F135C" w:rsidRPr="00725347">
          <w:rPr>
            <w:rStyle w:val="Hyperlink"/>
          </w:rPr>
          <w:t>that can be administered in community pharmacies</w:t>
        </w:r>
      </w:hyperlink>
      <w:r>
        <w:t>, who can get these vaccines and if they are free.</w:t>
      </w:r>
    </w:p>
    <w:p w14:paraId="39D3AB61" w14:textId="2F39C951" w:rsidR="00F63A18" w:rsidRDefault="00F63A18" w:rsidP="0047446C">
      <w:pPr>
        <w:pStyle w:val="Heading3"/>
      </w:pPr>
      <w:r>
        <w:t>Department</w:t>
      </w:r>
      <w:r w:rsidR="00E0078B">
        <w:t xml:space="preserve"> and committee</w:t>
      </w:r>
      <w:r>
        <w:t xml:space="preserve"> updates</w:t>
      </w:r>
    </w:p>
    <w:p w14:paraId="6DB1BB97" w14:textId="77777777" w:rsidR="001D0B95" w:rsidRDefault="001D0B95" w:rsidP="00E0078B">
      <w:pPr>
        <w:pStyle w:val="ListParagraph"/>
        <w:numPr>
          <w:ilvl w:val="0"/>
          <w:numId w:val="9"/>
        </w:numPr>
      </w:pPr>
      <w:r>
        <w:t xml:space="preserve">The interim </w:t>
      </w:r>
      <w:hyperlink r:id="rId30" w:history="1">
        <w:r w:rsidRPr="00FC5CC1">
          <w:rPr>
            <w:rStyle w:val="Hyperlink"/>
          </w:rPr>
          <w:t>Australian Centre for Disease Control</w:t>
        </w:r>
      </w:hyperlink>
      <w:r>
        <w:t xml:space="preserve"> is inviting public feedback on the draft </w:t>
      </w:r>
      <w:hyperlink r:id="rId31" w:history="1">
        <w:r w:rsidRPr="00D43CA3">
          <w:rPr>
            <w:rStyle w:val="Hyperlink"/>
          </w:rPr>
          <w:t>National Immunisation Strategy 2025 to 2030</w:t>
        </w:r>
      </w:hyperlink>
      <w:r>
        <w:t xml:space="preserve">. </w:t>
      </w:r>
      <w:r w:rsidRPr="000C747E">
        <w:t xml:space="preserve">This strategy will guide </w:t>
      </w:r>
      <w:r>
        <w:t>Australia’s</w:t>
      </w:r>
      <w:r w:rsidRPr="000C747E">
        <w:t xml:space="preserve"> immunisation efforts over the next 5 years, aiming to increase immunisation rates and reduce vaccine-preventable diseases. </w:t>
      </w:r>
      <w:r>
        <w:t>Consultation is open until 5 June 2024.</w:t>
      </w:r>
    </w:p>
    <w:p w14:paraId="1D0505E6" w14:textId="3FF85ACB" w:rsidR="00E87048" w:rsidRDefault="00E02B02" w:rsidP="00E0078B">
      <w:pPr>
        <w:pStyle w:val="ListParagraph"/>
        <w:numPr>
          <w:ilvl w:val="0"/>
          <w:numId w:val="9"/>
        </w:numPr>
      </w:pPr>
      <w:r>
        <w:t>The department informed ATAGI of a new National Immunisation Division within the department, which brings together</w:t>
      </w:r>
      <w:r w:rsidR="00335878">
        <w:t xml:space="preserve"> work undertaken by the department </w:t>
      </w:r>
      <w:r w:rsidR="00265874">
        <w:t>on</w:t>
      </w:r>
      <w:r w:rsidR="00B4641B">
        <w:t xml:space="preserve"> the </w:t>
      </w:r>
      <w:r w:rsidR="00265874">
        <w:t>NIP</w:t>
      </w:r>
      <w:r w:rsidR="00B4641B">
        <w:t xml:space="preserve"> and the COVID-19 Vaccine Program.</w:t>
      </w:r>
    </w:p>
    <w:p w14:paraId="456193BB" w14:textId="67009946" w:rsidR="00F63A18" w:rsidRDefault="00F63A18" w:rsidP="00E0078B">
      <w:pPr>
        <w:pStyle w:val="ListParagraph"/>
        <w:numPr>
          <w:ilvl w:val="0"/>
          <w:numId w:val="9"/>
        </w:numPr>
      </w:pPr>
      <w:r>
        <w:t>ATAGI received an update from the Therapeutic Goods Administration (TGA)</w:t>
      </w:r>
      <w:r w:rsidR="009F34F4">
        <w:t xml:space="preserve"> on vaccines that are </w:t>
      </w:r>
      <w:r w:rsidR="00AD5085">
        <w:t xml:space="preserve">currently </w:t>
      </w:r>
      <w:r w:rsidR="009F34F4">
        <w:t>under evaluation</w:t>
      </w:r>
      <w:r w:rsidR="00AD5085">
        <w:t xml:space="preserve"> for registration in Australia</w:t>
      </w:r>
      <w:r w:rsidR="009F34F4">
        <w:t>.</w:t>
      </w:r>
    </w:p>
    <w:p w14:paraId="33E85481" w14:textId="55C9C969" w:rsidR="00342B5A" w:rsidRDefault="00342B5A" w:rsidP="00E0078B">
      <w:pPr>
        <w:pStyle w:val="ListParagraph"/>
        <w:numPr>
          <w:ilvl w:val="0"/>
          <w:numId w:val="9"/>
        </w:numPr>
      </w:pPr>
      <w:r>
        <w:t xml:space="preserve">ATAGI received an update from the </w:t>
      </w:r>
      <w:r w:rsidR="00BC5053">
        <w:t>Pharmaceutical Benefits Advisory Committee (</w:t>
      </w:r>
      <w:r>
        <w:t>PBAC</w:t>
      </w:r>
      <w:r w:rsidR="00BC5053">
        <w:t>), which consider</w:t>
      </w:r>
      <w:r w:rsidR="00842FE6">
        <w:t>s</w:t>
      </w:r>
      <w:r w:rsidR="00BC5053">
        <w:t xml:space="preserve"> vaccines for inclusion on the NIP.</w:t>
      </w:r>
    </w:p>
    <w:p w14:paraId="02E1C847" w14:textId="302788E0" w:rsidR="00E0078B" w:rsidRDefault="00E0078B" w:rsidP="00E0078B">
      <w:pPr>
        <w:pStyle w:val="ListParagraph"/>
        <w:numPr>
          <w:ilvl w:val="0"/>
          <w:numId w:val="9"/>
        </w:numPr>
      </w:pPr>
      <w:r>
        <w:rPr>
          <w:rFonts w:cs="Arial"/>
          <w:szCs w:val="22"/>
        </w:rPr>
        <w:t xml:space="preserve">ATAGI received an update from the </w:t>
      </w:r>
      <w:r>
        <w:rPr>
          <w:rFonts w:cs="Arial"/>
          <w:bCs/>
          <w:szCs w:val="22"/>
        </w:rPr>
        <w:t>Communicable Diseases Network Australia</w:t>
      </w:r>
      <w:r w:rsidR="0075759E">
        <w:rPr>
          <w:rFonts w:cs="Arial"/>
          <w:bCs/>
          <w:szCs w:val="22"/>
        </w:rPr>
        <w:t xml:space="preserve"> (CDNA)</w:t>
      </w:r>
      <w:r>
        <w:rPr>
          <w:rFonts w:cs="Arial"/>
          <w:bCs/>
          <w:szCs w:val="22"/>
        </w:rPr>
        <w:t xml:space="preserve"> </w:t>
      </w:r>
      <w:r>
        <w:rPr>
          <w:rFonts w:cs="Arial"/>
          <w:szCs w:val="22"/>
        </w:rPr>
        <w:t>on vaccine-preventable disease notifications in Australia and other countries.</w:t>
      </w:r>
    </w:p>
    <w:p w14:paraId="5D7501F8" w14:textId="77777777" w:rsidR="00065FE8" w:rsidRDefault="001B4275" w:rsidP="0032498C">
      <w:pPr>
        <w:pStyle w:val="Heading3"/>
      </w:pPr>
      <w:r>
        <w:lastRenderedPageBreak/>
        <w:t>Other business</w:t>
      </w:r>
    </w:p>
    <w:p w14:paraId="786D060D" w14:textId="77777777" w:rsidR="00065FE8" w:rsidRPr="007668A6" w:rsidRDefault="00065FE8" w:rsidP="00065FE8">
      <w:pPr>
        <w:pStyle w:val="ListParagraph"/>
        <w:numPr>
          <w:ilvl w:val="0"/>
          <w:numId w:val="10"/>
        </w:numPr>
      </w:pPr>
      <w:r>
        <w:rPr>
          <w:rFonts w:cs="Arial"/>
          <w:szCs w:val="22"/>
        </w:rPr>
        <w:t>ATAGI received an update from the NCIRS, including data on immunisation coverage, and a summary of discussions and decisions from national immunisation technical advisory groups (NITAGs) from other countries and their potential relevance to Australia.</w:t>
      </w:r>
    </w:p>
    <w:p w14:paraId="16B91671" w14:textId="76DCE940" w:rsidR="00065FE8" w:rsidRDefault="00065FE8" w:rsidP="00240DF9">
      <w:pPr>
        <w:pStyle w:val="ListParagraph"/>
        <w:numPr>
          <w:ilvl w:val="0"/>
          <w:numId w:val="10"/>
        </w:numPr>
      </w:pPr>
      <w:r>
        <w:t>Members noted that this was Dr Nicholas Silberstein’s last ATAGI meeting. Members thanked Dr Silberstein for his valuable contributions to ATAGI, and particularly for his insights from the primary care perspective.</w:t>
      </w:r>
    </w:p>
    <w:p w14:paraId="5D91E8E8" w14:textId="193D3F57" w:rsidR="001B4275" w:rsidRDefault="00065FE8" w:rsidP="0032498C">
      <w:pPr>
        <w:pStyle w:val="Heading3"/>
      </w:pPr>
      <w:r>
        <w:t>ATAGI Horizon Scanning Industry Day</w:t>
      </w:r>
      <w:r w:rsidR="51C16B09">
        <w:t xml:space="preserve"> (HSID)</w:t>
      </w:r>
    </w:p>
    <w:p w14:paraId="4EE6619D" w14:textId="3D015C60" w:rsidR="004B4ACA" w:rsidRPr="00F60323" w:rsidRDefault="00662476" w:rsidP="00E0078B">
      <w:pPr>
        <w:pStyle w:val="ListParagraph"/>
        <w:numPr>
          <w:ilvl w:val="0"/>
          <w:numId w:val="10"/>
        </w:numPr>
        <w:rPr>
          <w:rFonts w:cs="Arial"/>
        </w:rPr>
      </w:pPr>
      <w:r w:rsidRPr="7587BE8E">
        <w:rPr>
          <w:rFonts w:cs="Arial"/>
        </w:rPr>
        <w:t xml:space="preserve">ATAGI discussed the information presented by sponsors at </w:t>
      </w:r>
      <w:r w:rsidR="00B90A78" w:rsidRPr="7587BE8E">
        <w:rPr>
          <w:rFonts w:cs="Arial"/>
        </w:rPr>
        <w:t xml:space="preserve">the </w:t>
      </w:r>
      <w:r w:rsidR="1EB01976" w:rsidRPr="7587BE8E">
        <w:rPr>
          <w:rFonts w:cs="Arial"/>
        </w:rPr>
        <w:t>ATAGI</w:t>
      </w:r>
      <w:r w:rsidR="00CF3413">
        <w:rPr>
          <w:rFonts w:cs="Arial"/>
        </w:rPr>
        <w:t xml:space="preserve"> </w:t>
      </w:r>
      <w:r w:rsidR="00065FE8" w:rsidRPr="7587BE8E">
        <w:rPr>
          <w:rFonts w:cs="Arial"/>
        </w:rPr>
        <w:t>HSID</w:t>
      </w:r>
      <w:r w:rsidRPr="7587BE8E">
        <w:rPr>
          <w:rFonts w:cs="Arial"/>
        </w:rPr>
        <w:t>, held on 15</w:t>
      </w:r>
      <w:r w:rsidR="00D5212E" w:rsidRPr="7587BE8E">
        <w:rPr>
          <w:rFonts w:cs="Arial"/>
        </w:rPr>
        <w:t> </w:t>
      </w:r>
      <w:r w:rsidRPr="7587BE8E">
        <w:rPr>
          <w:rFonts w:cs="Arial"/>
        </w:rPr>
        <w:t xml:space="preserve">May 2024. </w:t>
      </w:r>
      <w:r w:rsidR="00252A10" w:rsidRPr="00684FC0">
        <w:t xml:space="preserve">A range of vaccine manufacturers in the region </w:t>
      </w:r>
      <w:r w:rsidR="004E02A9">
        <w:t xml:space="preserve">were invited to </w:t>
      </w:r>
      <w:r w:rsidR="00252A10" w:rsidRPr="00684FC0">
        <w:t>attend</w:t>
      </w:r>
      <w:r w:rsidR="00173433">
        <w:t xml:space="preserve"> by videoconference</w:t>
      </w:r>
      <w:r w:rsidR="00252A10" w:rsidRPr="00684FC0">
        <w:t xml:space="preserve"> to provide updates on their future vaccine products.</w:t>
      </w:r>
      <w:r w:rsidRPr="7587BE8E">
        <w:rPr>
          <w:rFonts w:cs="Arial"/>
        </w:rPr>
        <w:t xml:space="preserve"> </w:t>
      </w:r>
      <w:r w:rsidR="00065FE8" w:rsidRPr="7587BE8E">
        <w:rPr>
          <w:rFonts w:cs="Arial"/>
        </w:rPr>
        <w:t>HSID</w:t>
      </w:r>
      <w:r w:rsidR="00173433" w:rsidRPr="7587BE8E">
        <w:rPr>
          <w:rFonts w:cs="Arial"/>
        </w:rPr>
        <w:t xml:space="preserve"> is important to identify</w:t>
      </w:r>
      <w:r w:rsidRPr="7587BE8E">
        <w:rPr>
          <w:rFonts w:cs="Arial"/>
        </w:rPr>
        <w:t xml:space="preserve"> vaccines in the pipeline that will require ATAGI consideration over the next 1</w:t>
      </w:r>
      <w:r w:rsidR="003B5E2D" w:rsidRPr="7587BE8E">
        <w:rPr>
          <w:rFonts w:cs="Arial"/>
        </w:rPr>
        <w:t xml:space="preserve"> to </w:t>
      </w:r>
      <w:r w:rsidRPr="7587BE8E">
        <w:rPr>
          <w:rFonts w:cs="Arial"/>
        </w:rPr>
        <w:t>2 years</w:t>
      </w:r>
      <w:r w:rsidR="00173433" w:rsidRPr="7587BE8E">
        <w:rPr>
          <w:rFonts w:cs="Arial"/>
        </w:rPr>
        <w:t>.</w:t>
      </w:r>
    </w:p>
    <w:p w14:paraId="2C6D00AE" w14:textId="496A0ACD" w:rsidR="6C265405" w:rsidRDefault="67C9EE5D">
      <w:pPr>
        <w:pStyle w:val="ListParagraph"/>
        <w:numPr>
          <w:ilvl w:val="0"/>
          <w:numId w:val="10"/>
        </w:numPr>
        <w:rPr>
          <w:rFonts w:cs="Arial"/>
          <w:szCs w:val="22"/>
        </w:rPr>
      </w:pPr>
      <w:r w:rsidRPr="011F6464">
        <w:rPr>
          <w:rFonts w:cs="Arial"/>
        </w:rPr>
        <w:t xml:space="preserve">Companies that were invited to </w:t>
      </w:r>
      <w:r w:rsidR="159E4907" w:rsidRPr="011F6464">
        <w:rPr>
          <w:rFonts w:cs="Arial"/>
        </w:rPr>
        <w:t xml:space="preserve">present at </w:t>
      </w:r>
      <w:r w:rsidRPr="011F6464">
        <w:rPr>
          <w:rFonts w:cs="Arial"/>
        </w:rPr>
        <w:t>HSID in 2024 were Astra</w:t>
      </w:r>
      <w:r w:rsidR="152A75C3" w:rsidRPr="011F6464">
        <w:rPr>
          <w:rFonts w:cs="Arial"/>
        </w:rPr>
        <w:t xml:space="preserve">Zeneca, </w:t>
      </w:r>
      <w:proofErr w:type="spellStart"/>
      <w:r w:rsidR="152A75C3" w:rsidRPr="011F6464">
        <w:rPr>
          <w:rFonts w:cs="Arial"/>
        </w:rPr>
        <w:t>Biocelect</w:t>
      </w:r>
      <w:proofErr w:type="spellEnd"/>
      <w:r w:rsidR="152A75C3" w:rsidRPr="011F6464">
        <w:rPr>
          <w:rFonts w:cs="Arial"/>
        </w:rPr>
        <w:t>, Bavarian Nordic, CSL Seqirus, GSK, Moderna, MSD</w:t>
      </w:r>
      <w:r w:rsidR="103EE0AA" w:rsidRPr="011F6464">
        <w:rPr>
          <w:rFonts w:cs="Arial"/>
        </w:rPr>
        <w:t>,</w:t>
      </w:r>
      <w:r w:rsidR="152A75C3" w:rsidRPr="011F6464">
        <w:rPr>
          <w:rFonts w:cs="Arial"/>
        </w:rPr>
        <w:t xml:space="preserve"> Novavax,</w:t>
      </w:r>
      <w:r w:rsidR="7DE45BEA" w:rsidRPr="011F6464">
        <w:rPr>
          <w:rFonts w:cs="Arial"/>
        </w:rPr>
        <w:t xml:space="preserve"> Pfizer, Sanofi, Takeda and </w:t>
      </w:r>
      <w:proofErr w:type="spellStart"/>
      <w:r w:rsidR="7DE45BEA" w:rsidRPr="011F6464">
        <w:rPr>
          <w:rFonts w:cs="Arial"/>
        </w:rPr>
        <w:t>Vaxxas</w:t>
      </w:r>
      <w:proofErr w:type="spellEnd"/>
      <w:r w:rsidR="7DE45BEA" w:rsidRPr="011F6464">
        <w:rPr>
          <w:rFonts w:cs="Arial"/>
        </w:rPr>
        <w:t xml:space="preserve">. </w:t>
      </w:r>
    </w:p>
    <w:p w14:paraId="39EAB389" w14:textId="0B447D91" w:rsidR="0032498C" w:rsidRDefault="0065109D" w:rsidP="0032498C">
      <w:pPr>
        <w:pStyle w:val="Heading3"/>
      </w:pPr>
      <w:r>
        <w:t>R</w:t>
      </w:r>
      <w:r w:rsidR="0032498C">
        <w:t>esources</w:t>
      </w:r>
    </w:p>
    <w:p w14:paraId="1F99841F" w14:textId="2336FCE6" w:rsidR="0032498C" w:rsidRDefault="0032498C" w:rsidP="00E0078B">
      <w:pPr>
        <w:pStyle w:val="ListParagraph"/>
        <w:numPr>
          <w:ilvl w:val="0"/>
          <w:numId w:val="8"/>
        </w:numPr>
      </w:pPr>
      <w:r>
        <w:t xml:space="preserve">ATAGI’s membership, terms of reference and declaration of interest information is available on the </w:t>
      </w:r>
      <w:hyperlink r:id="rId32" w:history="1">
        <w:r w:rsidRPr="0032498C">
          <w:rPr>
            <w:rStyle w:val="Hyperlink"/>
          </w:rPr>
          <w:t>Department of Health and Aged Care website</w:t>
        </w:r>
      </w:hyperlink>
      <w:r>
        <w:t>.</w:t>
      </w:r>
    </w:p>
    <w:sectPr w:rsidR="0032498C" w:rsidSect="009724AB">
      <w:footerReference w:type="default" r:id="rId33"/>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C6E7B" w14:textId="77777777" w:rsidR="00C04F6F" w:rsidRDefault="00C04F6F" w:rsidP="006B56BB">
      <w:r>
        <w:separator/>
      </w:r>
    </w:p>
    <w:p w14:paraId="19973E00" w14:textId="77777777" w:rsidR="00C04F6F" w:rsidRDefault="00C04F6F"/>
  </w:endnote>
  <w:endnote w:type="continuationSeparator" w:id="0">
    <w:p w14:paraId="56CAACD9" w14:textId="77777777" w:rsidR="00C04F6F" w:rsidRDefault="00C04F6F" w:rsidP="006B56BB">
      <w:r>
        <w:continuationSeparator/>
      </w:r>
    </w:p>
    <w:p w14:paraId="3855F2CC" w14:textId="77777777" w:rsidR="00C04F6F" w:rsidRDefault="00C04F6F"/>
  </w:endnote>
  <w:endnote w:type="continuationNotice" w:id="1">
    <w:p w14:paraId="2A936AB7" w14:textId="77777777" w:rsidR="00C04F6F" w:rsidRDefault="00C04F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6" w14:textId="027B3CF2" w:rsidR="008D48C9" w:rsidRPr="0068134A" w:rsidRDefault="0068134A" w:rsidP="0068134A">
    <w:pPr>
      <w:pStyle w:val="Footer"/>
      <w:tabs>
        <w:tab w:val="clear" w:pos="4513"/>
      </w:tabs>
    </w:pPr>
    <w:r>
      <w:t xml:space="preserve">Department of Health – </w:t>
    </w:r>
    <w:r w:rsidRPr="0068134A">
      <w:t>Short-term home support for older Australians on leave from residential aged care</w:t>
    </w:r>
    <w:sdt>
      <w:sdtPr>
        <w:id w:val="544643613"/>
        <w:docPartObj>
          <w:docPartGallery w:val="Page Numbers (Bottom of Page)"/>
          <w:docPartUnique/>
        </w:docPartObj>
      </w:sdtPr>
      <w:sdtContent>
        <w:r>
          <w:tab/>
        </w:r>
        <w:r w:rsidRPr="003D033A">
          <w:fldChar w:fldCharType="begin"/>
        </w:r>
        <w:r w:rsidRPr="003D033A">
          <w:instrText xml:space="preserve"> PAGE   \* MERGEFORMAT </w:instrText>
        </w:r>
        <w:r w:rsidRPr="003D033A">
          <w:fldChar w:fldCharType="separate"/>
        </w:r>
        <w:r w:rsidR="00AC24B7">
          <w:rPr>
            <w:noProof/>
          </w:rPr>
          <w:t>7</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A816" w14:textId="7DC22A56" w:rsidR="0068134A" w:rsidRPr="00DE3355" w:rsidRDefault="0032498C" w:rsidP="00AC24B7">
    <w:pPr>
      <w:pStyle w:val="Footer"/>
      <w:tabs>
        <w:tab w:val="clear" w:pos="4513"/>
      </w:tabs>
    </w:pPr>
    <w:r>
      <w:t xml:space="preserve">ATAGI </w:t>
    </w:r>
    <w:r w:rsidR="00BC13AB">
      <w:t>10</w:t>
    </w:r>
    <w:r w:rsidR="004418BB">
      <w:t>5</w:t>
    </w:r>
    <w:r w:rsidR="00BC13AB">
      <w:t>th</w:t>
    </w:r>
    <w:r w:rsidR="000708BC">
      <w:t xml:space="preserve"> </w:t>
    </w:r>
    <w:r>
      <w:t>m</w:t>
    </w:r>
    <w:r w:rsidR="0098122D">
      <w:t>eeting summary</w:t>
    </w:r>
    <w:r w:rsidR="00D21AF6">
      <w:t xml:space="preserve"> –</w:t>
    </w:r>
    <w:r>
      <w:t xml:space="preserve"> </w:t>
    </w:r>
    <w:r w:rsidR="004418BB">
      <w:t xml:space="preserve">16 and </w:t>
    </w:r>
    <w:r w:rsidR="00BC13AB">
      <w:t xml:space="preserve">17 </w:t>
    </w:r>
    <w:r w:rsidR="004418BB">
      <w:t>May</w:t>
    </w:r>
    <w:r w:rsidR="004B00DC">
      <w:t xml:space="preserve"> </w:t>
    </w:r>
    <w:r>
      <w:t xml:space="preserve">2024 </w:t>
    </w:r>
    <w:sdt>
      <w:sdtPr>
        <w:id w:val="-183903453"/>
        <w:docPartObj>
          <w:docPartGallery w:val="Page Numbers (Bottom of Page)"/>
          <w:docPartUnique/>
        </w:docPartObj>
      </w:sdt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0C243A">
          <w:rPr>
            <w:noProof/>
          </w:rPr>
          <w:t>1</w:t>
        </w:r>
        <w:r w:rsidR="003D033A"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01C7" w14:textId="1393BAA8" w:rsidR="00440411" w:rsidRPr="0068134A" w:rsidRDefault="00D21AF6" w:rsidP="0068134A">
    <w:pPr>
      <w:pStyle w:val="Footer"/>
      <w:tabs>
        <w:tab w:val="clear" w:pos="4513"/>
      </w:tabs>
    </w:pPr>
    <w:r>
      <w:t>ATAGI</w:t>
    </w:r>
    <w:r w:rsidR="000708BC">
      <w:t xml:space="preserve"> </w:t>
    </w:r>
    <w:r w:rsidR="004418BB">
      <w:t xml:space="preserve">105th meeting summary – 16 and 17 May 2024 </w:t>
    </w:r>
    <w:sdt>
      <w:sdtPr>
        <w:id w:val="-1932272195"/>
        <w:docPartObj>
          <w:docPartGallery w:val="Page Numbers (Bottom of Page)"/>
          <w:docPartUnique/>
        </w:docPartObj>
      </w:sdtPr>
      <w:sdtContent>
        <w:r w:rsidR="00440411">
          <w:tab/>
        </w:r>
        <w:r w:rsidR="00440411" w:rsidRPr="003D033A">
          <w:fldChar w:fldCharType="begin"/>
        </w:r>
        <w:r w:rsidR="00440411" w:rsidRPr="003D033A">
          <w:instrText xml:space="preserve"> PAGE   \* MERGEFORMAT </w:instrText>
        </w:r>
        <w:r w:rsidR="00440411" w:rsidRPr="003D033A">
          <w:fldChar w:fldCharType="separate"/>
        </w:r>
        <w:r w:rsidR="00440411">
          <w:rPr>
            <w:noProof/>
          </w:rPr>
          <w:t>7</w:t>
        </w:r>
        <w:r w:rsidR="00440411"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41BD4" w14:textId="77777777" w:rsidR="00C04F6F" w:rsidRDefault="00C04F6F" w:rsidP="006B56BB">
      <w:r>
        <w:separator/>
      </w:r>
    </w:p>
    <w:p w14:paraId="0D8C5EA6" w14:textId="77777777" w:rsidR="00C04F6F" w:rsidRDefault="00C04F6F"/>
  </w:footnote>
  <w:footnote w:type="continuationSeparator" w:id="0">
    <w:p w14:paraId="71C08504" w14:textId="77777777" w:rsidR="00C04F6F" w:rsidRDefault="00C04F6F" w:rsidP="006B56BB">
      <w:r>
        <w:continuationSeparator/>
      </w:r>
    </w:p>
    <w:p w14:paraId="01BBDFB8" w14:textId="77777777" w:rsidR="00C04F6F" w:rsidRDefault="00C04F6F"/>
  </w:footnote>
  <w:footnote w:type="continuationNotice" w:id="1">
    <w:p w14:paraId="65D04E9D" w14:textId="77777777" w:rsidR="00C04F6F" w:rsidRDefault="00C04F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7" w14:textId="1A8CC1E5" w:rsidR="008D48C9" w:rsidRDefault="001571C7">
    <w:pPr>
      <w:pStyle w:val="Header"/>
    </w:pPr>
    <w:r>
      <w:rPr>
        <w:noProof/>
        <w:lang w:eastAsia="en-AU"/>
      </w:rPr>
      <w:drawing>
        <wp:inline distT="0" distB="0" distL="0" distR="0" wp14:anchorId="225CFDB9" wp14:editId="3C593B90">
          <wp:extent cx="5765470" cy="958215"/>
          <wp:effectExtent l="0" t="0" r="635" b="0"/>
          <wp:docPr id="12" name="Picture 1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AB2"/>
    <w:multiLevelType w:val="hybridMultilevel"/>
    <w:tmpl w:val="C7E67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04388C"/>
    <w:multiLevelType w:val="hybridMultilevel"/>
    <w:tmpl w:val="431C0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414EA6"/>
    <w:multiLevelType w:val="hybridMultilevel"/>
    <w:tmpl w:val="E63C4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A92F23"/>
    <w:multiLevelType w:val="hybridMultilevel"/>
    <w:tmpl w:val="0BB2F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C93FF1"/>
    <w:multiLevelType w:val="hybridMultilevel"/>
    <w:tmpl w:val="6FBE3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2D5B32"/>
    <w:multiLevelType w:val="hybridMultilevel"/>
    <w:tmpl w:val="5E9E4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427E1618"/>
    <w:multiLevelType w:val="hybridMultilevel"/>
    <w:tmpl w:val="7F209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2A37FB1"/>
    <w:multiLevelType w:val="hybridMultilevel"/>
    <w:tmpl w:val="F7365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8210861"/>
    <w:multiLevelType w:val="hybridMultilevel"/>
    <w:tmpl w:val="35A42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36727635">
    <w:abstractNumId w:val="10"/>
  </w:num>
  <w:num w:numId="2" w16cid:durableId="1507791199">
    <w:abstractNumId w:val="15"/>
  </w:num>
  <w:num w:numId="3" w16cid:durableId="611401788">
    <w:abstractNumId w:val="4"/>
  </w:num>
  <w:num w:numId="4" w16cid:durableId="1022513200">
    <w:abstractNumId w:val="8"/>
  </w:num>
  <w:num w:numId="5" w16cid:durableId="2003729646">
    <w:abstractNumId w:val="14"/>
  </w:num>
  <w:num w:numId="6" w16cid:durableId="1946763033">
    <w:abstractNumId w:val="1"/>
  </w:num>
  <w:num w:numId="7" w16cid:durableId="1115557363">
    <w:abstractNumId w:val="12"/>
  </w:num>
  <w:num w:numId="8" w16cid:durableId="2012835068">
    <w:abstractNumId w:val="11"/>
  </w:num>
  <w:num w:numId="9" w16cid:durableId="2021929169">
    <w:abstractNumId w:val="0"/>
  </w:num>
  <w:num w:numId="10" w16cid:durableId="1501847244">
    <w:abstractNumId w:val="3"/>
  </w:num>
  <w:num w:numId="11" w16cid:durableId="1870727769">
    <w:abstractNumId w:val="6"/>
  </w:num>
  <w:num w:numId="12" w16cid:durableId="823349988">
    <w:abstractNumId w:val="9"/>
  </w:num>
  <w:num w:numId="13" w16cid:durableId="1426148514">
    <w:abstractNumId w:val="5"/>
  </w:num>
  <w:num w:numId="14" w16cid:durableId="1476407765">
    <w:abstractNumId w:val="13"/>
  </w:num>
  <w:num w:numId="15" w16cid:durableId="1179084514">
    <w:abstractNumId w:val="7"/>
  </w:num>
  <w:num w:numId="16" w16cid:durableId="1292788085">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2DB5"/>
    <w:rsid w:val="00003743"/>
    <w:rsid w:val="000047B4"/>
    <w:rsid w:val="00005712"/>
    <w:rsid w:val="00007FD8"/>
    <w:rsid w:val="000117F8"/>
    <w:rsid w:val="0001460F"/>
    <w:rsid w:val="00022629"/>
    <w:rsid w:val="00024328"/>
    <w:rsid w:val="00026139"/>
    <w:rsid w:val="00027601"/>
    <w:rsid w:val="0003072B"/>
    <w:rsid w:val="00031E0C"/>
    <w:rsid w:val="000325F3"/>
    <w:rsid w:val="00033321"/>
    <w:rsid w:val="000338E5"/>
    <w:rsid w:val="00033EB7"/>
    <w:rsid w:val="00033ECC"/>
    <w:rsid w:val="0003422F"/>
    <w:rsid w:val="00034DF0"/>
    <w:rsid w:val="00040113"/>
    <w:rsid w:val="00042D2A"/>
    <w:rsid w:val="00046FF0"/>
    <w:rsid w:val="00050176"/>
    <w:rsid w:val="00052B7A"/>
    <w:rsid w:val="00054BC3"/>
    <w:rsid w:val="000575D3"/>
    <w:rsid w:val="00065FE8"/>
    <w:rsid w:val="00067456"/>
    <w:rsid w:val="000708BC"/>
    <w:rsid w:val="00071506"/>
    <w:rsid w:val="0007154F"/>
    <w:rsid w:val="00072118"/>
    <w:rsid w:val="00075D55"/>
    <w:rsid w:val="0008195E"/>
    <w:rsid w:val="00081AB1"/>
    <w:rsid w:val="00090316"/>
    <w:rsid w:val="00091755"/>
    <w:rsid w:val="00091DA2"/>
    <w:rsid w:val="00093981"/>
    <w:rsid w:val="000967F5"/>
    <w:rsid w:val="000A00FC"/>
    <w:rsid w:val="000A152A"/>
    <w:rsid w:val="000A462A"/>
    <w:rsid w:val="000A6853"/>
    <w:rsid w:val="000A7EF3"/>
    <w:rsid w:val="000B067A"/>
    <w:rsid w:val="000B1540"/>
    <w:rsid w:val="000B1E53"/>
    <w:rsid w:val="000B31F1"/>
    <w:rsid w:val="000B33FD"/>
    <w:rsid w:val="000B4ABA"/>
    <w:rsid w:val="000B7E2E"/>
    <w:rsid w:val="000C1C2B"/>
    <w:rsid w:val="000C243A"/>
    <w:rsid w:val="000C4B16"/>
    <w:rsid w:val="000C50C3"/>
    <w:rsid w:val="000C59BE"/>
    <w:rsid w:val="000C5E14"/>
    <w:rsid w:val="000C747E"/>
    <w:rsid w:val="000D2123"/>
    <w:rsid w:val="000D21F6"/>
    <w:rsid w:val="000D4500"/>
    <w:rsid w:val="000D573F"/>
    <w:rsid w:val="000D71D6"/>
    <w:rsid w:val="000D7AEA"/>
    <w:rsid w:val="000E2C66"/>
    <w:rsid w:val="000F123C"/>
    <w:rsid w:val="000F2C6E"/>
    <w:rsid w:val="000F2F5F"/>
    <w:rsid w:val="000F2FED"/>
    <w:rsid w:val="00102DC9"/>
    <w:rsid w:val="00105112"/>
    <w:rsid w:val="0010616D"/>
    <w:rsid w:val="00107DE9"/>
    <w:rsid w:val="00110478"/>
    <w:rsid w:val="0011711B"/>
    <w:rsid w:val="00117F8A"/>
    <w:rsid w:val="00120E0F"/>
    <w:rsid w:val="00121B9B"/>
    <w:rsid w:val="00122ADC"/>
    <w:rsid w:val="00130F59"/>
    <w:rsid w:val="00131DC2"/>
    <w:rsid w:val="00133EC0"/>
    <w:rsid w:val="00136401"/>
    <w:rsid w:val="00141CE5"/>
    <w:rsid w:val="00144900"/>
    <w:rsid w:val="00144908"/>
    <w:rsid w:val="00146BBF"/>
    <w:rsid w:val="00150974"/>
    <w:rsid w:val="0015481F"/>
    <w:rsid w:val="00154AD0"/>
    <w:rsid w:val="00156E29"/>
    <w:rsid w:val="001571C7"/>
    <w:rsid w:val="00161094"/>
    <w:rsid w:val="0016519B"/>
    <w:rsid w:val="00165A38"/>
    <w:rsid w:val="00170DEC"/>
    <w:rsid w:val="00173433"/>
    <w:rsid w:val="001764C7"/>
    <w:rsid w:val="0017665C"/>
    <w:rsid w:val="00177AD2"/>
    <w:rsid w:val="001815A8"/>
    <w:rsid w:val="001815E1"/>
    <w:rsid w:val="001840FA"/>
    <w:rsid w:val="00190079"/>
    <w:rsid w:val="0019622E"/>
    <w:rsid w:val="001966A7"/>
    <w:rsid w:val="001A4627"/>
    <w:rsid w:val="001A4979"/>
    <w:rsid w:val="001B03D0"/>
    <w:rsid w:val="001B15D3"/>
    <w:rsid w:val="001B16E0"/>
    <w:rsid w:val="001B3443"/>
    <w:rsid w:val="001B4275"/>
    <w:rsid w:val="001B7A4C"/>
    <w:rsid w:val="001C0326"/>
    <w:rsid w:val="001C192F"/>
    <w:rsid w:val="001C2139"/>
    <w:rsid w:val="001C2EF0"/>
    <w:rsid w:val="001C3C42"/>
    <w:rsid w:val="001C7D58"/>
    <w:rsid w:val="001D0B95"/>
    <w:rsid w:val="001D1DA0"/>
    <w:rsid w:val="001D20E5"/>
    <w:rsid w:val="001D7869"/>
    <w:rsid w:val="001E370A"/>
    <w:rsid w:val="001F09A5"/>
    <w:rsid w:val="001F2D3C"/>
    <w:rsid w:val="001F3733"/>
    <w:rsid w:val="002026CD"/>
    <w:rsid w:val="002033FC"/>
    <w:rsid w:val="002044BB"/>
    <w:rsid w:val="00204B64"/>
    <w:rsid w:val="00207C26"/>
    <w:rsid w:val="00210B09"/>
    <w:rsid w:val="00210C9E"/>
    <w:rsid w:val="00211840"/>
    <w:rsid w:val="00220E5F"/>
    <w:rsid w:val="002212B5"/>
    <w:rsid w:val="00226668"/>
    <w:rsid w:val="00226E79"/>
    <w:rsid w:val="00233809"/>
    <w:rsid w:val="00237D7A"/>
    <w:rsid w:val="00240046"/>
    <w:rsid w:val="00240DF9"/>
    <w:rsid w:val="00241129"/>
    <w:rsid w:val="00246AF4"/>
    <w:rsid w:val="0024797F"/>
    <w:rsid w:val="0025119E"/>
    <w:rsid w:val="00251269"/>
    <w:rsid w:val="002514ED"/>
    <w:rsid w:val="00252A10"/>
    <w:rsid w:val="002535C0"/>
    <w:rsid w:val="002548D7"/>
    <w:rsid w:val="002579FE"/>
    <w:rsid w:val="0026311C"/>
    <w:rsid w:val="002636FD"/>
    <w:rsid w:val="00265874"/>
    <w:rsid w:val="0026668C"/>
    <w:rsid w:val="00266AC1"/>
    <w:rsid w:val="0027095D"/>
    <w:rsid w:val="0027178C"/>
    <w:rsid w:val="00271912"/>
    <w:rsid w:val="002719FA"/>
    <w:rsid w:val="00272668"/>
    <w:rsid w:val="0027330B"/>
    <w:rsid w:val="002803AD"/>
    <w:rsid w:val="00282052"/>
    <w:rsid w:val="0028519E"/>
    <w:rsid w:val="00285378"/>
    <w:rsid w:val="002856A5"/>
    <w:rsid w:val="00285A86"/>
    <w:rsid w:val="00286675"/>
    <w:rsid w:val="002872ED"/>
    <w:rsid w:val="00287C47"/>
    <w:rsid w:val="002905C2"/>
    <w:rsid w:val="002926CA"/>
    <w:rsid w:val="00292DF9"/>
    <w:rsid w:val="00295115"/>
    <w:rsid w:val="00295AF2"/>
    <w:rsid w:val="00295C91"/>
    <w:rsid w:val="00297151"/>
    <w:rsid w:val="002A0D4F"/>
    <w:rsid w:val="002A29CE"/>
    <w:rsid w:val="002A41D7"/>
    <w:rsid w:val="002A4A6D"/>
    <w:rsid w:val="002A7BD1"/>
    <w:rsid w:val="002B20E6"/>
    <w:rsid w:val="002B42A3"/>
    <w:rsid w:val="002B4653"/>
    <w:rsid w:val="002B66A8"/>
    <w:rsid w:val="002B7BB4"/>
    <w:rsid w:val="002C0CDD"/>
    <w:rsid w:val="002C38C4"/>
    <w:rsid w:val="002C44C4"/>
    <w:rsid w:val="002C7ED3"/>
    <w:rsid w:val="002D0B09"/>
    <w:rsid w:val="002E1A1D"/>
    <w:rsid w:val="002E4081"/>
    <w:rsid w:val="002E5B78"/>
    <w:rsid w:val="002F2193"/>
    <w:rsid w:val="002F3AE3"/>
    <w:rsid w:val="00300A6E"/>
    <w:rsid w:val="00301480"/>
    <w:rsid w:val="0030464B"/>
    <w:rsid w:val="00305D17"/>
    <w:rsid w:val="0030786C"/>
    <w:rsid w:val="00313CC5"/>
    <w:rsid w:val="003233DE"/>
    <w:rsid w:val="00324569"/>
    <w:rsid w:val="0032466B"/>
    <w:rsid w:val="0032498C"/>
    <w:rsid w:val="00331BAD"/>
    <w:rsid w:val="003330EB"/>
    <w:rsid w:val="00335878"/>
    <w:rsid w:val="003415FD"/>
    <w:rsid w:val="003429F0"/>
    <w:rsid w:val="00342B5A"/>
    <w:rsid w:val="00345A82"/>
    <w:rsid w:val="00346BA7"/>
    <w:rsid w:val="0035097A"/>
    <w:rsid w:val="00352048"/>
    <w:rsid w:val="003540A4"/>
    <w:rsid w:val="00357BCC"/>
    <w:rsid w:val="00360E4E"/>
    <w:rsid w:val="00361CA1"/>
    <w:rsid w:val="003654C3"/>
    <w:rsid w:val="00365A01"/>
    <w:rsid w:val="00370AAA"/>
    <w:rsid w:val="00372469"/>
    <w:rsid w:val="003732B1"/>
    <w:rsid w:val="00373CEA"/>
    <w:rsid w:val="00375F77"/>
    <w:rsid w:val="00381BBE"/>
    <w:rsid w:val="00382903"/>
    <w:rsid w:val="003846FF"/>
    <w:rsid w:val="003857D4"/>
    <w:rsid w:val="00385AB9"/>
    <w:rsid w:val="00385AD4"/>
    <w:rsid w:val="00387924"/>
    <w:rsid w:val="00391EA7"/>
    <w:rsid w:val="0039209D"/>
    <w:rsid w:val="00392EEF"/>
    <w:rsid w:val="0039384D"/>
    <w:rsid w:val="00393F41"/>
    <w:rsid w:val="00395BCD"/>
    <w:rsid w:val="00395C23"/>
    <w:rsid w:val="003A2E4F"/>
    <w:rsid w:val="003A4438"/>
    <w:rsid w:val="003A5013"/>
    <w:rsid w:val="003A5078"/>
    <w:rsid w:val="003A50A3"/>
    <w:rsid w:val="003A62DD"/>
    <w:rsid w:val="003A775A"/>
    <w:rsid w:val="003B213A"/>
    <w:rsid w:val="003B43AD"/>
    <w:rsid w:val="003B5E2D"/>
    <w:rsid w:val="003C0FEC"/>
    <w:rsid w:val="003C2AC8"/>
    <w:rsid w:val="003C66AA"/>
    <w:rsid w:val="003D033A"/>
    <w:rsid w:val="003D0BE8"/>
    <w:rsid w:val="003D17F9"/>
    <w:rsid w:val="003D2D88"/>
    <w:rsid w:val="003D41EA"/>
    <w:rsid w:val="003D4850"/>
    <w:rsid w:val="003D535A"/>
    <w:rsid w:val="003E034B"/>
    <w:rsid w:val="003E1175"/>
    <w:rsid w:val="003E5265"/>
    <w:rsid w:val="003E6770"/>
    <w:rsid w:val="003F0955"/>
    <w:rsid w:val="003F0CA5"/>
    <w:rsid w:val="003F19B6"/>
    <w:rsid w:val="003F5F4D"/>
    <w:rsid w:val="003F646F"/>
    <w:rsid w:val="00400F00"/>
    <w:rsid w:val="00400F96"/>
    <w:rsid w:val="004032F7"/>
    <w:rsid w:val="00404F8B"/>
    <w:rsid w:val="00405256"/>
    <w:rsid w:val="0040620D"/>
    <w:rsid w:val="00410031"/>
    <w:rsid w:val="00411DA9"/>
    <w:rsid w:val="00415C81"/>
    <w:rsid w:val="004168F8"/>
    <w:rsid w:val="00432378"/>
    <w:rsid w:val="0043293A"/>
    <w:rsid w:val="00440411"/>
    <w:rsid w:val="00440A71"/>
    <w:rsid w:val="00440D65"/>
    <w:rsid w:val="004418BB"/>
    <w:rsid w:val="004435E6"/>
    <w:rsid w:val="00446DE5"/>
    <w:rsid w:val="00447047"/>
    <w:rsid w:val="00447E31"/>
    <w:rsid w:val="00453923"/>
    <w:rsid w:val="00454B9B"/>
    <w:rsid w:val="00455A9B"/>
    <w:rsid w:val="00457858"/>
    <w:rsid w:val="00460B0B"/>
    <w:rsid w:val="00461023"/>
    <w:rsid w:val="00461B76"/>
    <w:rsid w:val="00462FAC"/>
    <w:rsid w:val="00464631"/>
    <w:rsid w:val="00464B79"/>
    <w:rsid w:val="00467BBF"/>
    <w:rsid w:val="00470F20"/>
    <w:rsid w:val="00471832"/>
    <w:rsid w:val="00473AB7"/>
    <w:rsid w:val="0047446C"/>
    <w:rsid w:val="00483BCA"/>
    <w:rsid w:val="0048593C"/>
    <w:rsid w:val="004867E2"/>
    <w:rsid w:val="0049141D"/>
    <w:rsid w:val="004929A9"/>
    <w:rsid w:val="00492AEA"/>
    <w:rsid w:val="004A78D9"/>
    <w:rsid w:val="004B00DC"/>
    <w:rsid w:val="004B4ACA"/>
    <w:rsid w:val="004B5A85"/>
    <w:rsid w:val="004B6E85"/>
    <w:rsid w:val="004B794A"/>
    <w:rsid w:val="004C6BCF"/>
    <w:rsid w:val="004C6F2B"/>
    <w:rsid w:val="004D58BF"/>
    <w:rsid w:val="004E02A9"/>
    <w:rsid w:val="004E4335"/>
    <w:rsid w:val="004E621B"/>
    <w:rsid w:val="004F135C"/>
    <w:rsid w:val="004F13EE"/>
    <w:rsid w:val="004F2022"/>
    <w:rsid w:val="004F7C05"/>
    <w:rsid w:val="00501C94"/>
    <w:rsid w:val="00504F40"/>
    <w:rsid w:val="00506432"/>
    <w:rsid w:val="00506A5D"/>
    <w:rsid w:val="0052051D"/>
    <w:rsid w:val="0052162D"/>
    <w:rsid w:val="00521655"/>
    <w:rsid w:val="00526649"/>
    <w:rsid w:val="00527971"/>
    <w:rsid w:val="0054516E"/>
    <w:rsid w:val="00545EE6"/>
    <w:rsid w:val="00546D17"/>
    <w:rsid w:val="005471BB"/>
    <w:rsid w:val="0054768D"/>
    <w:rsid w:val="00553574"/>
    <w:rsid w:val="005550E7"/>
    <w:rsid w:val="005564FB"/>
    <w:rsid w:val="005572C7"/>
    <w:rsid w:val="005622C2"/>
    <w:rsid w:val="00562FC4"/>
    <w:rsid w:val="005650ED"/>
    <w:rsid w:val="00575754"/>
    <w:rsid w:val="005762BD"/>
    <w:rsid w:val="005774DC"/>
    <w:rsid w:val="00581FBA"/>
    <w:rsid w:val="005840D5"/>
    <w:rsid w:val="00590D6C"/>
    <w:rsid w:val="00591E20"/>
    <w:rsid w:val="00595408"/>
    <w:rsid w:val="00595C22"/>
    <w:rsid w:val="00595E84"/>
    <w:rsid w:val="00596B96"/>
    <w:rsid w:val="005A0C59"/>
    <w:rsid w:val="005A48EB"/>
    <w:rsid w:val="005A6CFB"/>
    <w:rsid w:val="005B354B"/>
    <w:rsid w:val="005C0CCB"/>
    <w:rsid w:val="005C5AEB"/>
    <w:rsid w:val="005D163F"/>
    <w:rsid w:val="005D1828"/>
    <w:rsid w:val="005D4C8A"/>
    <w:rsid w:val="005D752D"/>
    <w:rsid w:val="005E0A3F"/>
    <w:rsid w:val="005E454C"/>
    <w:rsid w:val="005E6883"/>
    <w:rsid w:val="005E772F"/>
    <w:rsid w:val="005F4ECA"/>
    <w:rsid w:val="00600EDF"/>
    <w:rsid w:val="006041BE"/>
    <w:rsid w:val="006043C7"/>
    <w:rsid w:val="00610F7D"/>
    <w:rsid w:val="00622813"/>
    <w:rsid w:val="00624B52"/>
    <w:rsid w:val="00626D0B"/>
    <w:rsid w:val="00630794"/>
    <w:rsid w:val="00631DF4"/>
    <w:rsid w:val="00634175"/>
    <w:rsid w:val="0063756E"/>
    <w:rsid w:val="006408AC"/>
    <w:rsid w:val="00642982"/>
    <w:rsid w:val="00645D21"/>
    <w:rsid w:val="0064740E"/>
    <w:rsid w:val="006503AA"/>
    <w:rsid w:val="00650F5F"/>
    <w:rsid w:val="0065109D"/>
    <w:rsid w:val="006511B6"/>
    <w:rsid w:val="00657FF8"/>
    <w:rsid w:val="00662476"/>
    <w:rsid w:val="0066437D"/>
    <w:rsid w:val="00665776"/>
    <w:rsid w:val="00665E7D"/>
    <w:rsid w:val="0066630D"/>
    <w:rsid w:val="00670D99"/>
    <w:rsid w:val="00670E2B"/>
    <w:rsid w:val="00670E70"/>
    <w:rsid w:val="006727C9"/>
    <w:rsid w:val="006734BB"/>
    <w:rsid w:val="0067697A"/>
    <w:rsid w:val="0068134A"/>
    <w:rsid w:val="006821EB"/>
    <w:rsid w:val="00692DFE"/>
    <w:rsid w:val="00696752"/>
    <w:rsid w:val="006A0778"/>
    <w:rsid w:val="006A6949"/>
    <w:rsid w:val="006B0161"/>
    <w:rsid w:val="006B2286"/>
    <w:rsid w:val="006B56BB"/>
    <w:rsid w:val="006B6D7A"/>
    <w:rsid w:val="006B7839"/>
    <w:rsid w:val="006C482B"/>
    <w:rsid w:val="006C77A8"/>
    <w:rsid w:val="006D4098"/>
    <w:rsid w:val="006D5D97"/>
    <w:rsid w:val="006D7681"/>
    <w:rsid w:val="006D7B2E"/>
    <w:rsid w:val="006E02EA"/>
    <w:rsid w:val="006E0968"/>
    <w:rsid w:val="006E1BE0"/>
    <w:rsid w:val="006E2AF6"/>
    <w:rsid w:val="007010DA"/>
    <w:rsid w:val="00701275"/>
    <w:rsid w:val="007012FE"/>
    <w:rsid w:val="00707F56"/>
    <w:rsid w:val="00713558"/>
    <w:rsid w:val="00714527"/>
    <w:rsid w:val="00717954"/>
    <w:rsid w:val="00720D08"/>
    <w:rsid w:val="00720F3C"/>
    <w:rsid w:val="00725347"/>
    <w:rsid w:val="0072569B"/>
    <w:rsid w:val="007263B9"/>
    <w:rsid w:val="00730E51"/>
    <w:rsid w:val="007334F8"/>
    <w:rsid w:val="007339CD"/>
    <w:rsid w:val="007359D8"/>
    <w:rsid w:val="007362D4"/>
    <w:rsid w:val="007375FA"/>
    <w:rsid w:val="00737C71"/>
    <w:rsid w:val="00753B3E"/>
    <w:rsid w:val="0075422B"/>
    <w:rsid w:val="00757009"/>
    <w:rsid w:val="0075759E"/>
    <w:rsid w:val="00761D9D"/>
    <w:rsid w:val="00764771"/>
    <w:rsid w:val="00765B85"/>
    <w:rsid w:val="0076672A"/>
    <w:rsid w:val="007668A6"/>
    <w:rsid w:val="00770E49"/>
    <w:rsid w:val="00775E45"/>
    <w:rsid w:val="00776E74"/>
    <w:rsid w:val="007773B3"/>
    <w:rsid w:val="00785169"/>
    <w:rsid w:val="00785CDE"/>
    <w:rsid w:val="0078613D"/>
    <w:rsid w:val="00787D92"/>
    <w:rsid w:val="00787F4B"/>
    <w:rsid w:val="00791518"/>
    <w:rsid w:val="007954AB"/>
    <w:rsid w:val="007A0830"/>
    <w:rsid w:val="007A14C5"/>
    <w:rsid w:val="007A2CE2"/>
    <w:rsid w:val="007A4A10"/>
    <w:rsid w:val="007A51FB"/>
    <w:rsid w:val="007B1760"/>
    <w:rsid w:val="007B3EB4"/>
    <w:rsid w:val="007B5472"/>
    <w:rsid w:val="007B5A12"/>
    <w:rsid w:val="007C1FDC"/>
    <w:rsid w:val="007C6D9C"/>
    <w:rsid w:val="007C7073"/>
    <w:rsid w:val="007C7DDB"/>
    <w:rsid w:val="007D0B54"/>
    <w:rsid w:val="007D1F4A"/>
    <w:rsid w:val="007D2CC7"/>
    <w:rsid w:val="007D3868"/>
    <w:rsid w:val="007D5F6C"/>
    <w:rsid w:val="007D673D"/>
    <w:rsid w:val="007E04FD"/>
    <w:rsid w:val="007E1B79"/>
    <w:rsid w:val="007E34B5"/>
    <w:rsid w:val="007E3D13"/>
    <w:rsid w:val="007E4D09"/>
    <w:rsid w:val="007E6F08"/>
    <w:rsid w:val="007E75D7"/>
    <w:rsid w:val="007F08E3"/>
    <w:rsid w:val="007F1A21"/>
    <w:rsid w:val="007F2220"/>
    <w:rsid w:val="007F4B3E"/>
    <w:rsid w:val="007F62BA"/>
    <w:rsid w:val="00800F87"/>
    <w:rsid w:val="00801C7C"/>
    <w:rsid w:val="00803631"/>
    <w:rsid w:val="008057C4"/>
    <w:rsid w:val="00805A56"/>
    <w:rsid w:val="0081253A"/>
    <w:rsid w:val="008127AF"/>
    <w:rsid w:val="00812B46"/>
    <w:rsid w:val="00815700"/>
    <w:rsid w:val="00815FBB"/>
    <w:rsid w:val="0082142D"/>
    <w:rsid w:val="00822B4E"/>
    <w:rsid w:val="008264EB"/>
    <w:rsid w:val="00826B8F"/>
    <w:rsid w:val="00830F8D"/>
    <w:rsid w:val="00831E8A"/>
    <w:rsid w:val="00835C76"/>
    <w:rsid w:val="008373AF"/>
    <w:rsid w:val="008376E2"/>
    <w:rsid w:val="00842C93"/>
    <w:rsid w:val="00842FE6"/>
    <w:rsid w:val="00843049"/>
    <w:rsid w:val="00845A86"/>
    <w:rsid w:val="008469F3"/>
    <w:rsid w:val="00847582"/>
    <w:rsid w:val="0085209B"/>
    <w:rsid w:val="008539EE"/>
    <w:rsid w:val="00853D2B"/>
    <w:rsid w:val="00853F99"/>
    <w:rsid w:val="00856B66"/>
    <w:rsid w:val="008579C1"/>
    <w:rsid w:val="008601AC"/>
    <w:rsid w:val="00861A5F"/>
    <w:rsid w:val="00862C72"/>
    <w:rsid w:val="008644AD"/>
    <w:rsid w:val="00865735"/>
    <w:rsid w:val="00865DDB"/>
    <w:rsid w:val="00867538"/>
    <w:rsid w:val="00873D90"/>
    <w:rsid w:val="00873FC8"/>
    <w:rsid w:val="00884C63"/>
    <w:rsid w:val="00885908"/>
    <w:rsid w:val="008864B7"/>
    <w:rsid w:val="0089677E"/>
    <w:rsid w:val="0089780F"/>
    <w:rsid w:val="008A3D73"/>
    <w:rsid w:val="008A7438"/>
    <w:rsid w:val="008B04C3"/>
    <w:rsid w:val="008B1334"/>
    <w:rsid w:val="008B25C7"/>
    <w:rsid w:val="008C0278"/>
    <w:rsid w:val="008C053E"/>
    <w:rsid w:val="008C24E9"/>
    <w:rsid w:val="008C3313"/>
    <w:rsid w:val="008C7B7C"/>
    <w:rsid w:val="008D0533"/>
    <w:rsid w:val="008D1047"/>
    <w:rsid w:val="008D1498"/>
    <w:rsid w:val="008D29E5"/>
    <w:rsid w:val="008D42CB"/>
    <w:rsid w:val="008D48C9"/>
    <w:rsid w:val="008D6381"/>
    <w:rsid w:val="008E0C77"/>
    <w:rsid w:val="008E15B0"/>
    <w:rsid w:val="008E188B"/>
    <w:rsid w:val="008E415C"/>
    <w:rsid w:val="008E625F"/>
    <w:rsid w:val="008E6F85"/>
    <w:rsid w:val="008F264D"/>
    <w:rsid w:val="008F3205"/>
    <w:rsid w:val="00900751"/>
    <w:rsid w:val="0090141D"/>
    <w:rsid w:val="009040E9"/>
    <w:rsid w:val="009074E1"/>
    <w:rsid w:val="009112F7"/>
    <w:rsid w:val="009122AF"/>
    <w:rsid w:val="00912D54"/>
    <w:rsid w:val="0091389F"/>
    <w:rsid w:val="00913DEC"/>
    <w:rsid w:val="009165CC"/>
    <w:rsid w:val="00917A41"/>
    <w:rsid w:val="009208F7"/>
    <w:rsid w:val="00921649"/>
    <w:rsid w:val="00922517"/>
    <w:rsid w:val="00922722"/>
    <w:rsid w:val="00924005"/>
    <w:rsid w:val="00924698"/>
    <w:rsid w:val="009261E6"/>
    <w:rsid w:val="009268E1"/>
    <w:rsid w:val="00927DF6"/>
    <w:rsid w:val="009344DE"/>
    <w:rsid w:val="00934D02"/>
    <w:rsid w:val="00940352"/>
    <w:rsid w:val="00945E7F"/>
    <w:rsid w:val="0094744C"/>
    <w:rsid w:val="00954EB6"/>
    <w:rsid w:val="009557C1"/>
    <w:rsid w:val="00960D6E"/>
    <w:rsid w:val="00961323"/>
    <w:rsid w:val="00961981"/>
    <w:rsid w:val="009707BD"/>
    <w:rsid w:val="009724AB"/>
    <w:rsid w:val="00974B59"/>
    <w:rsid w:val="00974BF4"/>
    <w:rsid w:val="00976722"/>
    <w:rsid w:val="00980B3B"/>
    <w:rsid w:val="0098122D"/>
    <w:rsid w:val="0098340B"/>
    <w:rsid w:val="0098356B"/>
    <w:rsid w:val="0098519E"/>
    <w:rsid w:val="00986830"/>
    <w:rsid w:val="00987F9D"/>
    <w:rsid w:val="0099175D"/>
    <w:rsid w:val="009924C3"/>
    <w:rsid w:val="0099275B"/>
    <w:rsid w:val="00993102"/>
    <w:rsid w:val="009970A9"/>
    <w:rsid w:val="009B0351"/>
    <w:rsid w:val="009B1570"/>
    <w:rsid w:val="009C57AD"/>
    <w:rsid w:val="009C6F10"/>
    <w:rsid w:val="009D148F"/>
    <w:rsid w:val="009D3D70"/>
    <w:rsid w:val="009E17D0"/>
    <w:rsid w:val="009E32DD"/>
    <w:rsid w:val="009E5413"/>
    <w:rsid w:val="009E6A6E"/>
    <w:rsid w:val="009E6F7E"/>
    <w:rsid w:val="009E7A57"/>
    <w:rsid w:val="009F34F4"/>
    <w:rsid w:val="009F4803"/>
    <w:rsid w:val="009F4F6A"/>
    <w:rsid w:val="009F5882"/>
    <w:rsid w:val="00A007A7"/>
    <w:rsid w:val="00A0402E"/>
    <w:rsid w:val="00A12812"/>
    <w:rsid w:val="00A13EB5"/>
    <w:rsid w:val="00A153C8"/>
    <w:rsid w:val="00A16E36"/>
    <w:rsid w:val="00A23A6D"/>
    <w:rsid w:val="00A248FA"/>
    <w:rsid w:val="00A24961"/>
    <w:rsid w:val="00A24B10"/>
    <w:rsid w:val="00A25D9E"/>
    <w:rsid w:val="00A277EF"/>
    <w:rsid w:val="00A30E9B"/>
    <w:rsid w:val="00A31869"/>
    <w:rsid w:val="00A35565"/>
    <w:rsid w:val="00A42C32"/>
    <w:rsid w:val="00A437C6"/>
    <w:rsid w:val="00A4512D"/>
    <w:rsid w:val="00A471E7"/>
    <w:rsid w:val="00A50244"/>
    <w:rsid w:val="00A627D7"/>
    <w:rsid w:val="00A656C7"/>
    <w:rsid w:val="00A67D68"/>
    <w:rsid w:val="00A67E13"/>
    <w:rsid w:val="00A704C6"/>
    <w:rsid w:val="00A705AF"/>
    <w:rsid w:val="00A72454"/>
    <w:rsid w:val="00A771BC"/>
    <w:rsid w:val="00A77696"/>
    <w:rsid w:val="00A80557"/>
    <w:rsid w:val="00A81D33"/>
    <w:rsid w:val="00A8291B"/>
    <w:rsid w:val="00A8341C"/>
    <w:rsid w:val="00A865AC"/>
    <w:rsid w:val="00A930AE"/>
    <w:rsid w:val="00AA1A95"/>
    <w:rsid w:val="00AA2258"/>
    <w:rsid w:val="00AA260F"/>
    <w:rsid w:val="00AA30E1"/>
    <w:rsid w:val="00AA6D84"/>
    <w:rsid w:val="00AB1B55"/>
    <w:rsid w:val="00AB1EE7"/>
    <w:rsid w:val="00AB4B37"/>
    <w:rsid w:val="00AB5762"/>
    <w:rsid w:val="00AB7406"/>
    <w:rsid w:val="00AB744B"/>
    <w:rsid w:val="00AC24B7"/>
    <w:rsid w:val="00AC2679"/>
    <w:rsid w:val="00AC4BE4"/>
    <w:rsid w:val="00AD05E6"/>
    <w:rsid w:val="00AD0D3F"/>
    <w:rsid w:val="00AD5085"/>
    <w:rsid w:val="00AE1D7D"/>
    <w:rsid w:val="00AE2A8B"/>
    <w:rsid w:val="00AE3F64"/>
    <w:rsid w:val="00AF02EC"/>
    <w:rsid w:val="00AF209D"/>
    <w:rsid w:val="00AF2E68"/>
    <w:rsid w:val="00AF6582"/>
    <w:rsid w:val="00AF7386"/>
    <w:rsid w:val="00AF7934"/>
    <w:rsid w:val="00B00B81"/>
    <w:rsid w:val="00B041B6"/>
    <w:rsid w:val="00B04580"/>
    <w:rsid w:val="00B04B09"/>
    <w:rsid w:val="00B16A51"/>
    <w:rsid w:val="00B30DA4"/>
    <w:rsid w:val="00B3130F"/>
    <w:rsid w:val="00B31885"/>
    <w:rsid w:val="00B32222"/>
    <w:rsid w:val="00B33C74"/>
    <w:rsid w:val="00B3618D"/>
    <w:rsid w:val="00B36233"/>
    <w:rsid w:val="00B36929"/>
    <w:rsid w:val="00B42851"/>
    <w:rsid w:val="00B45AC7"/>
    <w:rsid w:val="00B4641B"/>
    <w:rsid w:val="00B5372F"/>
    <w:rsid w:val="00B54577"/>
    <w:rsid w:val="00B55586"/>
    <w:rsid w:val="00B55BF7"/>
    <w:rsid w:val="00B56128"/>
    <w:rsid w:val="00B57113"/>
    <w:rsid w:val="00B61129"/>
    <w:rsid w:val="00B617B0"/>
    <w:rsid w:val="00B633D5"/>
    <w:rsid w:val="00B6596B"/>
    <w:rsid w:val="00B67E7F"/>
    <w:rsid w:val="00B71FAA"/>
    <w:rsid w:val="00B72684"/>
    <w:rsid w:val="00B75B3D"/>
    <w:rsid w:val="00B839B2"/>
    <w:rsid w:val="00B84856"/>
    <w:rsid w:val="00B90A78"/>
    <w:rsid w:val="00B94252"/>
    <w:rsid w:val="00B95C12"/>
    <w:rsid w:val="00B9715A"/>
    <w:rsid w:val="00BA14BE"/>
    <w:rsid w:val="00BA2732"/>
    <w:rsid w:val="00BA293D"/>
    <w:rsid w:val="00BA2A50"/>
    <w:rsid w:val="00BA3183"/>
    <w:rsid w:val="00BA4216"/>
    <w:rsid w:val="00BA49BC"/>
    <w:rsid w:val="00BA56B7"/>
    <w:rsid w:val="00BA5978"/>
    <w:rsid w:val="00BA6161"/>
    <w:rsid w:val="00BA7A1E"/>
    <w:rsid w:val="00BB08CC"/>
    <w:rsid w:val="00BB1EC7"/>
    <w:rsid w:val="00BB2F6C"/>
    <w:rsid w:val="00BB3875"/>
    <w:rsid w:val="00BB54A2"/>
    <w:rsid w:val="00BB5860"/>
    <w:rsid w:val="00BB591F"/>
    <w:rsid w:val="00BB6AAD"/>
    <w:rsid w:val="00BC0E2F"/>
    <w:rsid w:val="00BC13AB"/>
    <w:rsid w:val="00BC4A19"/>
    <w:rsid w:val="00BC4E6D"/>
    <w:rsid w:val="00BC4EB6"/>
    <w:rsid w:val="00BC5053"/>
    <w:rsid w:val="00BD0617"/>
    <w:rsid w:val="00BD1708"/>
    <w:rsid w:val="00BD2E9B"/>
    <w:rsid w:val="00BD3A95"/>
    <w:rsid w:val="00BD3E7F"/>
    <w:rsid w:val="00BD4CF0"/>
    <w:rsid w:val="00BD7FB2"/>
    <w:rsid w:val="00BE2C32"/>
    <w:rsid w:val="00BE7093"/>
    <w:rsid w:val="00BF0F4B"/>
    <w:rsid w:val="00BF674F"/>
    <w:rsid w:val="00C00930"/>
    <w:rsid w:val="00C01C61"/>
    <w:rsid w:val="00C042FB"/>
    <w:rsid w:val="00C04F6F"/>
    <w:rsid w:val="00C060AD"/>
    <w:rsid w:val="00C068B0"/>
    <w:rsid w:val="00C10248"/>
    <w:rsid w:val="00C113BF"/>
    <w:rsid w:val="00C12287"/>
    <w:rsid w:val="00C13D04"/>
    <w:rsid w:val="00C14826"/>
    <w:rsid w:val="00C149D7"/>
    <w:rsid w:val="00C16960"/>
    <w:rsid w:val="00C2176E"/>
    <w:rsid w:val="00C21C40"/>
    <w:rsid w:val="00C23430"/>
    <w:rsid w:val="00C27D67"/>
    <w:rsid w:val="00C33316"/>
    <w:rsid w:val="00C35F07"/>
    <w:rsid w:val="00C401ED"/>
    <w:rsid w:val="00C4631F"/>
    <w:rsid w:val="00C47CDE"/>
    <w:rsid w:val="00C50E16"/>
    <w:rsid w:val="00C50E4A"/>
    <w:rsid w:val="00C53E14"/>
    <w:rsid w:val="00C55258"/>
    <w:rsid w:val="00C55A1C"/>
    <w:rsid w:val="00C61CCD"/>
    <w:rsid w:val="00C806ED"/>
    <w:rsid w:val="00C825AD"/>
    <w:rsid w:val="00C826E3"/>
    <w:rsid w:val="00C82EEB"/>
    <w:rsid w:val="00C971DC"/>
    <w:rsid w:val="00CA16B7"/>
    <w:rsid w:val="00CA556A"/>
    <w:rsid w:val="00CA62AE"/>
    <w:rsid w:val="00CB07CC"/>
    <w:rsid w:val="00CB2015"/>
    <w:rsid w:val="00CB5B1A"/>
    <w:rsid w:val="00CC220B"/>
    <w:rsid w:val="00CC5C43"/>
    <w:rsid w:val="00CD02AE"/>
    <w:rsid w:val="00CD2A4F"/>
    <w:rsid w:val="00CD75C5"/>
    <w:rsid w:val="00CD76F6"/>
    <w:rsid w:val="00CE03CA"/>
    <w:rsid w:val="00CE22F1"/>
    <w:rsid w:val="00CE50F2"/>
    <w:rsid w:val="00CE6440"/>
    <w:rsid w:val="00CE6502"/>
    <w:rsid w:val="00CF2331"/>
    <w:rsid w:val="00CF2580"/>
    <w:rsid w:val="00CF3413"/>
    <w:rsid w:val="00CF5F6E"/>
    <w:rsid w:val="00CF60C7"/>
    <w:rsid w:val="00CF7D3C"/>
    <w:rsid w:val="00D00ECB"/>
    <w:rsid w:val="00D01F09"/>
    <w:rsid w:val="00D05B89"/>
    <w:rsid w:val="00D147EB"/>
    <w:rsid w:val="00D14997"/>
    <w:rsid w:val="00D15733"/>
    <w:rsid w:val="00D21AF6"/>
    <w:rsid w:val="00D21B51"/>
    <w:rsid w:val="00D23717"/>
    <w:rsid w:val="00D34667"/>
    <w:rsid w:val="00D401E1"/>
    <w:rsid w:val="00D408B4"/>
    <w:rsid w:val="00D43CA3"/>
    <w:rsid w:val="00D46BEB"/>
    <w:rsid w:val="00D50140"/>
    <w:rsid w:val="00D50158"/>
    <w:rsid w:val="00D5212E"/>
    <w:rsid w:val="00D524C8"/>
    <w:rsid w:val="00D529FC"/>
    <w:rsid w:val="00D54187"/>
    <w:rsid w:val="00D5485E"/>
    <w:rsid w:val="00D61744"/>
    <w:rsid w:val="00D63824"/>
    <w:rsid w:val="00D70E24"/>
    <w:rsid w:val="00D711D6"/>
    <w:rsid w:val="00D72B61"/>
    <w:rsid w:val="00D74678"/>
    <w:rsid w:val="00D753EB"/>
    <w:rsid w:val="00D77633"/>
    <w:rsid w:val="00D87947"/>
    <w:rsid w:val="00D90727"/>
    <w:rsid w:val="00D91BC9"/>
    <w:rsid w:val="00DA3D1D"/>
    <w:rsid w:val="00DA5C0D"/>
    <w:rsid w:val="00DB5E6B"/>
    <w:rsid w:val="00DB6286"/>
    <w:rsid w:val="00DB645F"/>
    <w:rsid w:val="00DB76E9"/>
    <w:rsid w:val="00DC08F1"/>
    <w:rsid w:val="00DC0A67"/>
    <w:rsid w:val="00DC1D5E"/>
    <w:rsid w:val="00DC228C"/>
    <w:rsid w:val="00DC4238"/>
    <w:rsid w:val="00DC497C"/>
    <w:rsid w:val="00DC50E2"/>
    <w:rsid w:val="00DC5220"/>
    <w:rsid w:val="00DD2061"/>
    <w:rsid w:val="00DD6DF0"/>
    <w:rsid w:val="00DD7DAB"/>
    <w:rsid w:val="00DE3355"/>
    <w:rsid w:val="00DE6AD6"/>
    <w:rsid w:val="00DE6B53"/>
    <w:rsid w:val="00DE736C"/>
    <w:rsid w:val="00DF0C60"/>
    <w:rsid w:val="00DF486F"/>
    <w:rsid w:val="00DF5B5B"/>
    <w:rsid w:val="00DF7619"/>
    <w:rsid w:val="00E0078B"/>
    <w:rsid w:val="00E007FF"/>
    <w:rsid w:val="00E02B02"/>
    <w:rsid w:val="00E030E4"/>
    <w:rsid w:val="00E042D8"/>
    <w:rsid w:val="00E078F7"/>
    <w:rsid w:val="00E07EE7"/>
    <w:rsid w:val="00E1103B"/>
    <w:rsid w:val="00E164EE"/>
    <w:rsid w:val="00E17B44"/>
    <w:rsid w:val="00E20F27"/>
    <w:rsid w:val="00E22443"/>
    <w:rsid w:val="00E27FEA"/>
    <w:rsid w:val="00E31ACF"/>
    <w:rsid w:val="00E330C6"/>
    <w:rsid w:val="00E4086F"/>
    <w:rsid w:val="00E43B3C"/>
    <w:rsid w:val="00E47C8C"/>
    <w:rsid w:val="00E50188"/>
    <w:rsid w:val="00E50BB3"/>
    <w:rsid w:val="00E515CB"/>
    <w:rsid w:val="00E52260"/>
    <w:rsid w:val="00E60FE5"/>
    <w:rsid w:val="00E639B6"/>
    <w:rsid w:val="00E63AAD"/>
    <w:rsid w:val="00E6434B"/>
    <w:rsid w:val="00E6463D"/>
    <w:rsid w:val="00E72E9B"/>
    <w:rsid w:val="00E767BD"/>
    <w:rsid w:val="00E850C3"/>
    <w:rsid w:val="00E86740"/>
    <w:rsid w:val="00E87048"/>
    <w:rsid w:val="00E87DF2"/>
    <w:rsid w:val="00E91BB9"/>
    <w:rsid w:val="00E93047"/>
    <w:rsid w:val="00E93069"/>
    <w:rsid w:val="00E9462E"/>
    <w:rsid w:val="00EA470E"/>
    <w:rsid w:val="00EA47A7"/>
    <w:rsid w:val="00EA57EB"/>
    <w:rsid w:val="00EA6220"/>
    <w:rsid w:val="00EA7CBA"/>
    <w:rsid w:val="00EB098E"/>
    <w:rsid w:val="00EB3226"/>
    <w:rsid w:val="00EB3A65"/>
    <w:rsid w:val="00EB40A0"/>
    <w:rsid w:val="00EC213A"/>
    <w:rsid w:val="00EC37EF"/>
    <w:rsid w:val="00EC7744"/>
    <w:rsid w:val="00ED0DAD"/>
    <w:rsid w:val="00ED0F46"/>
    <w:rsid w:val="00ED1504"/>
    <w:rsid w:val="00ED2373"/>
    <w:rsid w:val="00EE02EC"/>
    <w:rsid w:val="00EE3E8A"/>
    <w:rsid w:val="00EE4CF9"/>
    <w:rsid w:val="00EE4F5B"/>
    <w:rsid w:val="00EE7E79"/>
    <w:rsid w:val="00EF2429"/>
    <w:rsid w:val="00EF4D6E"/>
    <w:rsid w:val="00EF58B8"/>
    <w:rsid w:val="00EF6ECA"/>
    <w:rsid w:val="00F00ECC"/>
    <w:rsid w:val="00F024E1"/>
    <w:rsid w:val="00F06C10"/>
    <w:rsid w:val="00F1096F"/>
    <w:rsid w:val="00F12589"/>
    <w:rsid w:val="00F12595"/>
    <w:rsid w:val="00F134D9"/>
    <w:rsid w:val="00F1403D"/>
    <w:rsid w:val="00F1463F"/>
    <w:rsid w:val="00F20786"/>
    <w:rsid w:val="00F21302"/>
    <w:rsid w:val="00F31258"/>
    <w:rsid w:val="00F3218A"/>
    <w:rsid w:val="00F321DE"/>
    <w:rsid w:val="00F33777"/>
    <w:rsid w:val="00F40163"/>
    <w:rsid w:val="00F40648"/>
    <w:rsid w:val="00F40FD0"/>
    <w:rsid w:val="00F44872"/>
    <w:rsid w:val="00F46898"/>
    <w:rsid w:val="00F47DA2"/>
    <w:rsid w:val="00F506F2"/>
    <w:rsid w:val="00F519FC"/>
    <w:rsid w:val="00F51BAA"/>
    <w:rsid w:val="00F53A17"/>
    <w:rsid w:val="00F560F3"/>
    <w:rsid w:val="00F60323"/>
    <w:rsid w:val="00F6239D"/>
    <w:rsid w:val="00F63A18"/>
    <w:rsid w:val="00F642E1"/>
    <w:rsid w:val="00F715D2"/>
    <w:rsid w:val="00F7274F"/>
    <w:rsid w:val="00F74E84"/>
    <w:rsid w:val="00F76FA8"/>
    <w:rsid w:val="00F83730"/>
    <w:rsid w:val="00F84F7B"/>
    <w:rsid w:val="00F91D52"/>
    <w:rsid w:val="00F93F08"/>
    <w:rsid w:val="00F94CED"/>
    <w:rsid w:val="00FA02BB"/>
    <w:rsid w:val="00FA0449"/>
    <w:rsid w:val="00FA04A8"/>
    <w:rsid w:val="00FA2CEE"/>
    <w:rsid w:val="00FA318C"/>
    <w:rsid w:val="00FA3968"/>
    <w:rsid w:val="00FA6930"/>
    <w:rsid w:val="00FB543D"/>
    <w:rsid w:val="00FB6F92"/>
    <w:rsid w:val="00FB7859"/>
    <w:rsid w:val="00FC026E"/>
    <w:rsid w:val="00FC4602"/>
    <w:rsid w:val="00FC4BE2"/>
    <w:rsid w:val="00FC5124"/>
    <w:rsid w:val="00FC5CC1"/>
    <w:rsid w:val="00FC669B"/>
    <w:rsid w:val="00FD4731"/>
    <w:rsid w:val="00FD674B"/>
    <w:rsid w:val="00FD6768"/>
    <w:rsid w:val="00FD6FC2"/>
    <w:rsid w:val="00FD7D99"/>
    <w:rsid w:val="00FF0AB0"/>
    <w:rsid w:val="00FF2899"/>
    <w:rsid w:val="00FF28AC"/>
    <w:rsid w:val="00FF4495"/>
    <w:rsid w:val="00FF7F62"/>
    <w:rsid w:val="011F6464"/>
    <w:rsid w:val="016F25E6"/>
    <w:rsid w:val="02935B52"/>
    <w:rsid w:val="03ECDAA7"/>
    <w:rsid w:val="04BA568C"/>
    <w:rsid w:val="05B6A7A6"/>
    <w:rsid w:val="067A4C65"/>
    <w:rsid w:val="0707A775"/>
    <w:rsid w:val="07AFEEBA"/>
    <w:rsid w:val="080DF9C1"/>
    <w:rsid w:val="093D384F"/>
    <w:rsid w:val="0A00ED41"/>
    <w:rsid w:val="0C2905E5"/>
    <w:rsid w:val="0CA82503"/>
    <w:rsid w:val="0DC19138"/>
    <w:rsid w:val="0F64575A"/>
    <w:rsid w:val="100ADAE2"/>
    <w:rsid w:val="101BEF59"/>
    <w:rsid w:val="103EE0AA"/>
    <w:rsid w:val="11D7E89C"/>
    <w:rsid w:val="13E0C3C6"/>
    <w:rsid w:val="14523DAB"/>
    <w:rsid w:val="148376B0"/>
    <w:rsid w:val="152A75C3"/>
    <w:rsid w:val="159E4907"/>
    <w:rsid w:val="15D7EFC9"/>
    <w:rsid w:val="167A4C08"/>
    <w:rsid w:val="171D7DDF"/>
    <w:rsid w:val="1BB04EC9"/>
    <w:rsid w:val="1C69B99F"/>
    <w:rsid w:val="1D27BF9F"/>
    <w:rsid w:val="1D64558D"/>
    <w:rsid w:val="1EB01976"/>
    <w:rsid w:val="1EF79961"/>
    <w:rsid w:val="1F0BCE1F"/>
    <w:rsid w:val="208A0AA0"/>
    <w:rsid w:val="23B5E8F9"/>
    <w:rsid w:val="2445D85D"/>
    <w:rsid w:val="2546651C"/>
    <w:rsid w:val="257055D7"/>
    <w:rsid w:val="26012D69"/>
    <w:rsid w:val="2630870E"/>
    <w:rsid w:val="2681B83A"/>
    <w:rsid w:val="27781701"/>
    <w:rsid w:val="285A44DC"/>
    <w:rsid w:val="289E1471"/>
    <w:rsid w:val="28A19852"/>
    <w:rsid w:val="290933E8"/>
    <w:rsid w:val="29246F40"/>
    <w:rsid w:val="297F0CCD"/>
    <w:rsid w:val="2A0DD3E0"/>
    <w:rsid w:val="2E5BE491"/>
    <w:rsid w:val="2F0BC511"/>
    <w:rsid w:val="2F7D0171"/>
    <w:rsid w:val="2F805F24"/>
    <w:rsid w:val="2F93B9A9"/>
    <w:rsid w:val="30508678"/>
    <w:rsid w:val="30B8664E"/>
    <w:rsid w:val="30F216B6"/>
    <w:rsid w:val="31A3EBA0"/>
    <w:rsid w:val="323E8906"/>
    <w:rsid w:val="32507366"/>
    <w:rsid w:val="3304A5F9"/>
    <w:rsid w:val="33AF68E3"/>
    <w:rsid w:val="3446F197"/>
    <w:rsid w:val="3499C981"/>
    <w:rsid w:val="34DE511F"/>
    <w:rsid w:val="34E9A361"/>
    <w:rsid w:val="35BD36F4"/>
    <w:rsid w:val="383B5105"/>
    <w:rsid w:val="38B8AB9E"/>
    <w:rsid w:val="3A018696"/>
    <w:rsid w:val="3B13364E"/>
    <w:rsid w:val="3CF0521C"/>
    <w:rsid w:val="3E28BDF8"/>
    <w:rsid w:val="3EDD36F2"/>
    <w:rsid w:val="3FB9AD7D"/>
    <w:rsid w:val="42633A67"/>
    <w:rsid w:val="434386A3"/>
    <w:rsid w:val="43A59197"/>
    <w:rsid w:val="44BE2992"/>
    <w:rsid w:val="4721BD6F"/>
    <w:rsid w:val="479BB295"/>
    <w:rsid w:val="48518E6C"/>
    <w:rsid w:val="4862CCE4"/>
    <w:rsid w:val="48ECBF41"/>
    <w:rsid w:val="495C06E5"/>
    <w:rsid w:val="498D8F85"/>
    <w:rsid w:val="4A0CD515"/>
    <w:rsid w:val="4A3CBF90"/>
    <w:rsid w:val="4AF07B5A"/>
    <w:rsid w:val="4B457434"/>
    <w:rsid w:val="4BF7A41B"/>
    <w:rsid w:val="4C80B7ED"/>
    <w:rsid w:val="4D5D33E0"/>
    <w:rsid w:val="4D6ADA44"/>
    <w:rsid w:val="4D70ABFD"/>
    <w:rsid w:val="4E63CA40"/>
    <w:rsid w:val="509CADFB"/>
    <w:rsid w:val="50E68BC6"/>
    <w:rsid w:val="5197335F"/>
    <w:rsid w:val="51C16B09"/>
    <w:rsid w:val="51F822CF"/>
    <w:rsid w:val="520F7F04"/>
    <w:rsid w:val="53208B24"/>
    <w:rsid w:val="5574A072"/>
    <w:rsid w:val="55D72332"/>
    <w:rsid w:val="56FF87B3"/>
    <w:rsid w:val="579D4819"/>
    <w:rsid w:val="579EDF94"/>
    <w:rsid w:val="57F2C747"/>
    <w:rsid w:val="58DFA1DE"/>
    <w:rsid w:val="58EC5D09"/>
    <w:rsid w:val="5A69318C"/>
    <w:rsid w:val="5B32CDAD"/>
    <w:rsid w:val="5BC4EB06"/>
    <w:rsid w:val="5C2F4B2D"/>
    <w:rsid w:val="5C4B717A"/>
    <w:rsid w:val="5CF9793A"/>
    <w:rsid w:val="60A9DFCB"/>
    <w:rsid w:val="6127E61B"/>
    <w:rsid w:val="619B1913"/>
    <w:rsid w:val="6342CA0D"/>
    <w:rsid w:val="63DC9590"/>
    <w:rsid w:val="63E7485B"/>
    <w:rsid w:val="64971582"/>
    <w:rsid w:val="65EECF13"/>
    <w:rsid w:val="661A320F"/>
    <w:rsid w:val="67C9EE5D"/>
    <w:rsid w:val="68C61E5D"/>
    <w:rsid w:val="691C9D68"/>
    <w:rsid w:val="69FAC3DB"/>
    <w:rsid w:val="6A2AF4E6"/>
    <w:rsid w:val="6B99510E"/>
    <w:rsid w:val="6C265405"/>
    <w:rsid w:val="6C788201"/>
    <w:rsid w:val="6CDC8596"/>
    <w:rsid w:val="72B1FEC5"/>
    <w:rsid w:val="730C8BC3"/>
    <w:rsid w:val="7587BE8E"/>
    <w:rsid w:val="766B964B"/>
    <w:rsid w:val="7756E098"/>
    <w:rsid w:val="7760D561"/>
    <w:rsid w:val="780125FA"/>
    <w:rsid w:val="7920B062"/>
    <w:rsid w:val="7973FF44"/>
    <w:rsid w:val="7A9C95E6"/>
    <w:rsid w:val="7AF1EEC9"/>
    <w:rsid w:val="7BF843AE"/>
    <w:rsid w:val="7C126CA3"/>
    <w:rsid w:val="7C98D596"/>
    <w:rsid w:val="7CC6904D"/>
    <w:rsid w:val="7D72203D"/>
    <w:rsid w:val="7DE45BEA"/>
    <w:rsid w:val="7EB8C7E5"/>
    <w:rsid w:val="7FB875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3E6A8F66-A99C-46C2-97AC-B8FC1C84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2"/>
      </w:numPr>
      <w:ind w:left="568" w:hanging="284"/>
    </w:pPr>
  </w:style>
  <w:style w:type="paragraph" w:styleId="ListNumber2">
    <w:name w:val="List Number 2"/>
    <w:basedOn w:val="ListBullet"/>
    <w:qFormat/>
    <w:rsid w:val="005622C2"/>
    <w:pPr>
      <w:numPr>
        <w:numId w:val="4"/>
      </w:numPr>
    </w:pPr>
  </w:style>
  <w:style w:type="paragraph" w:styleId="ListBullet">
    <w:name w:val="List Bullet"/>
    <w:basedOn w:val="Normal"/>
    <w:qFormat/>
    <w:rsid w:val="005622C2"/>
    <w:pPr>
      <w:numPr>
        <w:numId w:val="3"/>
      </w:numPr>
      <w:spacing w:before="60" w:after="60"/>
    </w:pPr>
    <w:rPr>
      <w:color w:val="000000" w:themeColor="text1"/>
      <w:sz w:val="21"/>
    </w:rPr>
  </w:style>
  <w:style w:type="paragraph" w:styleId="ListParagraph">
    <w:name w:val="List Paragraph"/>
    <w:basedOn w:val="Normal"/>
    <w:uiPriority w:val="34"/>
    <w:rsid w:val="0098122D"/>
    <w:pPr>
      <w:numPr>
        <w:numId w:val="7"/>
      </w:numPr>
      <w:ind w:left="714" w:hanging="357"/>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5"/>
      </w:numPr>
    </w:pPr>
    <w:rPr>
      <w:szCs w:val="20"/>
    </w:rPr>
  </w:style>
  <w:style w:type="paragraph" w:customStyle="1" w:styleId="Tablelistnumber">
    <w:name w:val="Table list number"/>
    <w:basedOn w:val="TableText"/>
    <w:qFormat/>
    <w:rsid w:val="005622C2"/>
    <w:pPr>
      <w:numPr>
        <w:numId w:val="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unhideWhenUsed/>
    <w:rsid w:val="0098122D"/>
    <w:pPr>
      <w:spacing w:line="240" w:lineRule="auto"/>
    </w:pPr>
    <w:rPr>
      <w:sz w:val="20"/>
      <w:szCs w:val="20"/>
    </w:rPr>
  </w:style>
  <w:style w:type="character" w:customStyle="1" w:styleId="CommentTextChar">
    <w:name w:val="Comment Text Char"/>
    <w:basedOn w:val="DefaultParagraphFont"/>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character" w:styleId="UnresolvedMention">
    <w:name w:val="Unresolved Mention"/>
    <w:basedOn w:val="DefaultParagraphFont"/>
    <w:uiPriority w:val="99"/>
    <w:semiHidden/>
    <w:unhideWhenUsed/>
    <w:rsid w:val="0032498C"/>
    <w:rPr>
      <w:color w:val="605E5C"/>
      <w:shd w:val="clear" w:color="auto" w:fill="E1DFDD"/>
    </w:rPr>
  </w:style>
  <w:style w:type="character" w:styleId="FollowedHyperlink">
    <w:name w:val="FollowedHyperlink"/>
    <w:basedOn w:val="DefaultParagraphFont"/>
    <w:semiHidden/>
    <w:unhideWhenUsed/>
    <w:rsid w:val="00C35F07"/>
    <w:rPr>
      <w:color w:val="800080" w:themeColor="followedHyperlink"/>
      <w:u w:val="single"/>
    </w:rPr>
  </w:style>
  <w:style w:type="paragraph" w:styleId="Revision">
    <w:name w:val="Revision"/>
    <w:hidden/>
    <w:uiPriority w:val="99"/>
    <w:semiHidden/>
    <w:rsid w:val="0098519E"/>
    <w:rPr>
      <w:rFonts w:ascii="Arial" w:hAnsi="Arial"/>
      <w:sz w:val="22"/>
      <w:szCs w:val="24"/>
      <w:lang w:eastAsia="en-US"/>
    </w:rPr>
  </w:style>
  <w:style w:type="character" w:styleId="Mention">
    <w:name w:val="Mention"/>
    <w:basedOn w:val="DefaultParagraphFont"/>
    <w:uiPriority w:val="99"/>
    <w:unhideWhenUsed/>
    <w:rsid w:val="00F91D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00002443">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25745176">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immunisationhandbook.health.gov.au/contents/vaccine-preventable-diseases/pertussis-whooping-cough" TargetMode="External"/><Relationship Id="rId26" Type="http://schemas.openxmlformats.org/officeDocument/2006/relationships/hyperlink" Target="https://immunisationhandbook.health.gov.au/contents/vaccination-for-special-risk-groups/vaccination-for-people-who-are-immunocompromised" TargetMode="External"/><Relationship Id="rId3" Type="http://schemas.openxmlformats.org/officeDocument/2006/relationships/customXml" Target="../customXml/item3.xml"/><Relationship Id="rId21" Type="http://schemas.openxmlformats.org/officeDocument/2006/relationships/hyperlink" Target="https://www1.health.gov.au/internet/main/publishing.nsf/Content/cda-pubs-cdi-cdicur.ht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immunisationhandbook.health.gov.au/contents/vaccine-preventable-diseases/pertussis-whooping-cough" TargetMode="External"/><Relationship Id="rId25" Type="http://schemas.openxmlformats.org/officeDocument/2006/relationships/hyperlink" Target="https://www.health.gov.au/our-work/covid-19-vaccine-claims-scheme"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publications/pertussis-epidemiology-in-england-2024/confirmed-cases-of-pertussis-in-england-by-month" TargetMode="External"/><Relationship Id="rId20" Type="http://schemas.openxmlformats.org/officeDocument/2006/relationships/hyperlink" Target="https://www.pbs.gov.au/info/industry/listing/elements/pbac-meetings/agenda/july-2024-pbac-meeting" TargetMode="External"/><Relationship Id="rId29" Type="http://schemas.openxmlformats.org/officeDocument/2006/relationships/hyperlink" Target="https://ncirs.org.au/public/vaccination-community-pharm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immunisationhandbook.health.gov.au/contents/vaccine-preventable-diseases/covid-19" TargetMode="External"/><Relationship Id="rId32" Type="http://schemas.openxmlformats.org/officeDocument/2006/relationships/hyperlink" Target="https://www.health.gov.au/committees-and-groups/australian-technical-advisory-group-on-immunisation-atagi?language=und" TargetMode="External"/><Relationship Id="rId5" Type="http://schemas.openxmlformats.org/officeDocument/2006/relationships/numbering" Target="numbering.xml"/><Relationship Id="rId15" Type="http://schemas.openxmlformats.org/officeDocument/2006/relationships/hyperlink" Target="https://consultations.health.gov.au" TargetMode="External"/><Relationship Id="rId23" Type="http://schemas.openxmlformats.org/officeDocument/2006/relationships/hyperlink" Target="https://ncirs.org.au/influenza-vaccination-coverage-data" TargetMode="External"/><Relationship Id="rId28" Type="http://schemas.openxmlformats.org/officeDocument/2006/relationships/hyperlink" Target="https://www.health.gov.au/news/launch-of-the-national-immunisation-program-vaccinations-in-pharmacy-nipvip-program" TargetMode="External"/><Relationship Id="rId10" Type="http://schemas.openxmlformats.org/officeDocument/2006/relationships/endnotes" Target="endnotes.xml"/><Relationship Id="rId19" Type="http://schemas.openxmlformats.org/officeDocument/2006/relationships/hyperlink" Target="https://www.pbs.gov.au/info/industry/listing/elements/pbac-meetings/pbac-outcomes/recommendations-made-by-the-pbac-march-2024" TargetMode="External"/><Relationship Id="rId31" Type="http://schemas.openxmlformats.org/officeDocument/2006/relationships/hyperlink" Target="https://consultations.health.gov.au/ohp-immunisation-branch/discussion-paper-towards-the-national-immunis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topics/immunisation/vaccines/shingles-herpes-zoster-immunisation-service" TargetMode="External"/><Relationship Id="rId22" Type="http://schemas.openxmlformats.org/officeDocument/2006/relationships/hyperlink" Target="https://www.health.gov.au/resources/collections/getting-vaccinated-against-influenza-resource-collection?language=en" TargetMode="External"/><Relationship Id="rId27" Type="http://schemas.openxmlformats.org/officeDocument/2006/relationships/hyperlink" Target="https://www.closingthegap.gov.au/national-agreement/priority-reforms" TargetMode="External"/><Relationship Id="rId30" Type="http://schemas.openxmlformats.org/officeDocument/2006/relationships/hyperlink" Target="https://www.cdc.gov.au/"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59C94F63446949A895D55FCAE8C75F" ma:contentTypeVersion="6" ma:contentTypeDescription="Create a new document." ma:contentTypeScope="" ma:versionID="28d6cd51ee0c268762f74f61b166a50a">
  <xsd:schema xmlns:xsd="http://www.w3.org/2001/XMLSchema" xmlns:xs="http://www.w3.org/2001/XMLSchema" xmlns:p="http://schemas.microsoft.com/office/2006/metadata/properties" xmlns:ns2="8c7196e5-2246-4f59-834d-5a2325ceea5d" xmlns:ns3="b5a74ce3-2699-45d0-a45b-bd63c2c19ef5" targetNamespace="http://schemas.microsoft.com/office/2006/metadata/properties" ma:root="true" ma:fieldsID="9601eac9cf16077ac9d8a900014ea980" ns2:_="" ns3:_="">
    <xsd:import namespace="8c7196e5-2246-4f59-834d-5a2325ceea5d"/>
    <xsd:import namespace="b5a74ce3-2699-45d0-a45b-bd63c2c19e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196e5-2246-4f59-834d-5a2325cee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74ce3-2699-45d0-a45b-bd63c2c19e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35DE51-A998-4953-AC79-00BC8D68A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196e5-2246-4f59-834d-5a2325ceea5d"/>
    <ds:schemaRef ds:uri="b5a74ce3-2699-45d0-a45b-bd63c2c19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1688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Meeting summary/Communique/Minute template</vt:lpstr>
    </vt:vector>
  </TitlesOfParts>
  <Manager/>
  <Company/>
  <LinksUpToDate>false</LinksUpToDate>
  <CharactersWithSpaces>11291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ATAGI 105th meeting bulletin – 16 &amp; 17 May 2024</dc:title>
  <dc:subject>Australian Technical Advisory Group on Immunisation (ATAGI)</dc:subject>
  <dc:creator>Australian Government Department of Health and Aged Care</dc:creator>
  <cp:keywords>Fact sheet</cp:keywords>
  <dc:description/>
  <cp:lastModifiedBy>Australian Government Department of Health and Aged </cp:lastModifiedBy>
  <cp:revision>2</cp:revision>
  <dcterms:created xsi:type="dcterms:W3CDTF">2024-06-11T08:15:00Z</dcterms:created>
  <dcterms:modified xsi:type="dcterms:W3CDTF">2024-06-11T08:15:00Z</dcterms:modified>
  <cp:category/>
</cp:coreProperties>
</file>