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4189" w14:textId="77777777" w:rsidR="00751A23" w:rsidRDefault="00D4205D" w:rsidP="00751A23">
      <w:pPr>
        <w:pStyle w:val="Title"/>
      </w:pPr>
      <w:r>
        <w:t>U</w:t>
      </w:r>
      <w:r w:rsidRPr="00D4205D">
        <w:t>rogynaecological mesh devices (mid-urethral slings)</w:t>
      </w:r>
    </w:p>
    <w:p w14:paraId="6DC10D25" w14:textId="77777777" w:rsidR="00751A23" w:rsidRPr="00B509B1" w:rsidRDefault="00D4205D" w:rsidP="00751A23">
      <w:pPr>
        <w:pStyle w:val="Subtitle"/>
        <w:sectPr w:rsidR="00751A23" w:rsidRPr="00B509B1" w:rsidSect="00D45D94">
          <w:headerReference w:type="first" r:id="rId12"/>
          <w:type w:val="continuous"/>
          <w:pgSz w:w="11906" w:h="16838"/>
          <w:pgMar w:top="1701" w:right="1418" w:bottom="1418" w:left="1418" w:header="850" w:footer="709" w:gutter="0"/>
          <w:cols w:space="708"/>
          <w:titlePg/>
          <w:docGrid w:linePitch="360"/>
        </w:sectPr>
      </w:pPr>
      <w:r w:rsidRPr="00B509B1">
        <w:t>Post-listing review report</w:t>
      </w:r>
    </w:p>
    <w:sdt>
      <w:sdtPr>
        <w:id w:val="348842044"/>
        <w:docPartObj>
          <w:docPartGallery w:val="Table of Contents"/>
          <w:docPartUnique/>
        </w:docPartObj>
      </w:sdtPr>
      <w:sdtEndPr>
        <w:rPr>
          <w:rFonts w:ascii="Arial" w:eastAsia="Times New Roman" w:hAnsi="Arial" w:cs="Times New Roman"/>
          <w:color w:val="000000" w:themeColor="text1"/>
          <w:sz w:val="22"/>
          <w:szCs w:val="24"/>
          <w:lang w:val="en-AU"/>
        </w:rPr>
      </w:sdtEndPr>
      <w:sdtContent>
        <w:p w14:paraId="22222DA5" w14:textId="77777777" w:rsidR="006034D1" w:rsidRDefault="006034D1">
          <w:pPr>
            <w:pStyle w:val="TOCHeading"/>
          </w:pPr>
          <w:r>
            <w:t>Contents</w:t>
          </w:r>
        </w:p>
        <w:p w14:paraId="1F2FBDBA" w14:textId="415EB28E" w:rsidR="00417AC4" w:rsidRDefault="006034D1">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50500786" w:history="1">
            <w:r w:rsidR="00417AC4" w:rsidRPr="009577C4">
              <w:rPr>
                <w:rStyle w:val="Hyperlink"/>
                <w:noProof/>
              </w:rPr>
              <w:t>Abbreviations</w:t>
            </w:r>
            <w:r w:rsidR="00417AC4">
              <w:rPr>
                <w:noProof/>
                <w:webHidden/>
              </w:rPr>
              <w:tab/>
            </w:r>
            <w:r w:rsidR="00417AC4">
              <w:rPr>
                <w:noProof/>
                <w:webHidden/>
              </w:rPr>
              <w:fldChar w:fldCharType="begin"/>
            </w:r>
            <w:r w:rsidR="00417AC4">
              <w:rPr>
                <w:noProof/>
                <w:webHidden/>
              </w:rPr>
              <w:instrText xml:space="preserve"> PAGEREF _Toc150500786 \h </w:instrText>
            </w:r>
            <w:r w:rsidR="00417AC4">
              <w:rPr>
                <w:noProof/>
                <w:webHidden/>
              </w:rPr>
            </w:r>
            <w:r w:rsidR="00417AC4">
              <w:rPr>
                <w:noProof/>
                <w:webHidden/>
              </w:rPr>
              <w:fldChar w:fldCharType="separate"/>
            </w:r>
            <w:r w:rsidR="00417AC4">
              <w:rPr>
                <w:noProof/>
                <w:webHidden/>
              </w:rPr>
              <w:t>2</w:t>
            </w:r>
            <w:r w:rsidR="00417AC4">
              <w:rPr>
                <w:noProof/>
                <w:webHidden/>
              </w:rPr>
              <w:fldChar w:fldCharType="end"/>
            </w:r>
          </w:hyperlink>
        </w:p>
        <w:p w14:paraId="058E42A5" w14:textId="1920DA73"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87" w:history="1">
            <w:r w:rsidR="00417AC4" w:rsidRPr="009577C4">
              <w:rPr>
                <w:rStyle w:val="Hyperlink"/>
                <w:noProof/>
              </w:rPr>
              <w:t>Overview</w:t>
            </w:r>
            <w:r w:rsidR="00417AC4">
              <w:rPr>
                <w:noProof/>
                <w:webHidden/>
              </w:rPr>
              <w:tab/>
            </w:r>
            <w:r w:rsidR="00417AC4">
              <w:rPr>
                <w:noProof/>
                <w:webHidden/>
              </w:rPr>
              <w:fldChar w:fldCharType="begin"/>
            </w:r>
            <w:r w:rsidR="00417AC4">
              <w:rPr>
                <w:noProof/>
                <w:webHidden/>
              </w:rPr>
              <w:instrText xml:space="preserve"> PAGEREF _Toc150500787 \h </w:instrText>
            </w:r>
            <w:r w:rsidR="00417AC4">
              <w:rPr>
                <w:noProof/>
                <w:webHidden/>
              </w:rPr>
            </w:r>
            <w:r w:rsidR="00417AC4">
              <w:rPr>
                <w:noProof/>
                <w:webHidden/>
              </w:rPr>
              <w:fldChar w:fldCharType="separate"/>
            </w:r>
            <w:r w:rsidR="00417AC4">
              <w:rPr>
                <w:noProof/>
                <w:webHidden/>
              </w:rPr>
              <w:t>3</w:t>
            </w:r>
            <w:r w:rsidR="00417AC4">
              <w:rPr>
                <w:noProof/>
                <w:webHidden/>
              </w:rPr>
              <w:fldChar w:fldCharType="end"/>
            </w:r>
          </w:hyperlink>
        </w:p>
        <w:p w14:paraId="3D9F5EA7" w14:textId="58336CDD"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88" w:history="1">
            <w:r w:rsidR="00417AC4" w:rsidRPr="009577C4">
              <w:rPr>
                <w:rStyle w:val="Hyperlink"/>
                <w:noProof/>
              </w:rPr>
              <w:t>Items in scope for the review</w:t>
            </w:r>
            <w:r w:rsidR="00417AC4">
              <w:rPr>
                <w:noProof/>
                <w:webHidden/>
              </w:rPr>
              <w:tab/>
            </w:r>
            <w:r w:rsidR="00417AC4">
              <w:rPr>
                <w:noProof/>
                <w:webHidden/>
              </w:rPr>
              <w:fldChar w:fldCharType="begin"/>
            </w:r>
            <w:r w:rsidR="00417AC4">
              <w:rPr>
                <w:noProof/>
                <w:webHidden/>
              </w:rPr>
              <w:instrText xml:space="preserve"> PAGEREF _Toc150500788 \h </w:instrText>
            </w:r>
            <w:r w:rsidR="00417AC4">
              <w:rPr>
                <w:noProof/>
                <w:webHidden/>
              </w:rPr>
            </w:r>
            <w:r w:rsidR="00417AC4">
              <w:rPr>
                <w:noProof/>
                <w:webHidden/>
              </w:rPr>
              <w:fldChar w:fldCharType="separate"/>
            </w:r>
            <w:r w:rsidR="00417AC4">
              <w:rPr>
                <w:noProof/>
                <w:webHidden/>
              </w:rPr>
              <w:t>3</w:t>
            </w:r>
            <w:r w:rsidR="00417AC4">
              <w:rPr>
                <w:noProof/>
                <w:webHidden/>
              </w:rPr>
              <w:fldChar w:fldCharType="end"/>
            </w:r>
          </w:hyperlink>
        </w:p>
        <w:p w14:paraId="25FEF4AD" w14:textId="0AA1DFBC"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89" w:history="1">
            <w:r w:rsidR="00417AC4" w:rsidRPr="009577C4">
              <w:rPr>
                <w:rStyle w:val="Hyperlink"/>
                <w:noProof/>
              </w:rPr>
              <w:t>Review process</w:t>
            </w:r>
            <w:r w:rsidR="00417AC4">
              <w:rPr>
                <w:noProof/>
                <w:webHidden/>
              </w:rPr>
              <w:tab/>
            </w:r>
            <w:r w:rsidR="00417AC4">
              <w:rPr>
                <w:noProof/>
                <w:webHidden/>
              </w:rPr>
              <w:fldChar w:fldCharType="begin"/>
            </w:r>
            <w:r w:rsidR="00417AC4">
              <w:rPr>
                <w:noProof/>
                <w:webHidden/>
              </w:rPr>
              <w:instrText xml:space="preserve"> PAGEREF _Toc150500789 \h </w:instrText>
            </w:r>
            <w:r w:rsidR="00417AC4">
              <w:rPr>
                <w:noProof/>
                <w:webHidden/>
              </w:rPr>
            </w:r>
            <w:r w:rsidR="00417AC4">
              <w:rPr>
                <w:noProof/>
                <w:webHidden/>
              </w:rPr>
              <w:fldChar w:fldCharType="separate"/>
            </w:r>
            <w:r w:rsidR="00417AC4">
              <w:rPr>
                <w:noProof/>
                <w:webHidden/>
              </w:rPr>
              <w:t>4</w:t>
            </w:r>
            <w:r w:rsidR="00417AC4">
              <w:rPr>
                <w:noProof/>
                <w:webHidden/>
              </w:rPr>
              <w:fldChar w:fldCharType="end"/>
            </w:r>
          </w:hyperlink>
        </w:p>
        <w:p w14:paraId="40FD59AE" w14:textId="0B772FF6"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90" w:history="1">
            <w:r w:rsidR="00417AC4" w:rsidRPr="009577C4">
              <w:rPr>
                <w:rStyle w:val="Hyperlink"/>
                <w:noProof/>
              </w:rPr>
              <w:t>Methodology</w:t>
            </w:r>
            <w:r w:rsidR="00417AC4">
              <w:rPr>
                <w:noProof/>
                <w:webHidden/>
              </w:rPr>
              <w:tab/>
            </w:r>
            <w:r w:rsidR="00417AC4">
              <w:rPr>
                <w:noProof/>
                <w:webHidden/>
              </w:rPr>
              <w:fldChar w:fldCharType="begin"/>
            </w:r>
            <w:r w:rsidR="00417AC4">
              <w:rPr>
                <w:noProof/>
                <w:webHidden/>
              </w:rPr>
              <w:instrText xml:space="preserve"> PAGEREF _Toc150500790 \h </w:instrText>
            </w:r>
            <w:r w:rsidR="00417AC4">
              <w:rPr>
                <w:noProof/>
                <w:webHidden/>
              </w:rPr>
            </w:r>
            <w:r w:rsidR="00417AC4">
              <w:rPr>
                <w:noProof/>
                <w:webHidden/>
              </w:rPr>
              <w:fldChar w:fldCharType="separate"/>
            </w:r>
            <w:r w:rsidR="00417AC4">
              <w:rPr>
                <w:noProof/>
                <w:webHidden/>
              </w:rPr>
              <w:t>4</w:t>
            </w:r>
            <w:r w:rsidR="00417AC4">
              <w:rPr>
                <w:noProof/>
                <w:webHidden/>
              </w:rPr>
              <w:fldChar w:fldCharType="end"/>
            </w:r>
          </w:hyperlink>
        </w:p>
        <w:p w14:paraId="526630F7" w14:textId="01F90A12"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1" w:history="1">
            <w:r w:rsidR="00417AC4" w:rsidRPr="009577C4">
              <w:rPr>
                <w:rStyle w:val="Hyperlink"/>
                <w:noProof/>
              </w:rPr>
              <w:t>Comparative clinical effectiveness</w:t>
            </w:r>
            <w:r w:rsidR="00417AC4">
              <w:rPr>
                <w:noProof/>
                <w:webHidden/>
              </w:rPr>
              <w:tab/>
            </w:r>
            <w:r w:rsidR="00417AC4">
              <w:rPr>
                <w:noProof/>
                <w:webHidden/>
              </w:rPr>
              <w:fldChar w:fldCharType="begin"/>
            </w:r>
            <w:r w:rsidR="00417AC4">
              <w:rPr>
                <w:noProof/>
                <w:webHidden/>
              </w:rPr>
              <w:instrText xml:space="preserve"> PAGEREF _Toc150500791 \h </w:instrText>
            </w:r>
            <w:r w:rsidR="00417AC4">
              <w:rPr>
                <w:noProof/>
                <w:webHidden/>
              </w:rPr>
            </w:r>
            <w:r w:rsidR="00417AC4">
              <w:rPr>
                <w:noProof/>
                <w:webHidden/>
              </w:rPr>
              <w:fldChar w:fldCharType="separate"/>
            </w:r>
            <w:r w:rsidR="00417AC4">
              <w:rPr>
                <w:noProof/>
                <w:webHidden/>
              </w:rPr>
              <w:t>4</w:t>
            </w:r>
            <w:r w:rsidR="00417AC4">
              <w:rPr>
                <w:noProof/>
                <w:webHidden/>
              </w:rPr>
              <w:fldChar w:fldCharType="end"/>
            </w:r>
          </w:hyperlink>
        </w:p>
        <w:p w14:paraId="35715BE2" w14:textId="03A09062"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2" w:history="1">
            <w:r w:rsidR="00417AC4" w:rsidRPr="009577C4">
              <w:rPr>
                <w:rStyle w:val="Hyperlink"/>
                <w:noProof/>
              </w:rPr>
              <w:t>Clinical practice guidelines and regulatory advice</w:t>
            </w:r>
            <w:r w:rsidR="00417AC4">
              <w:rPr>
                <w:noProof/>
                <w:webHidden/>
              </w:rPr>
              <w:tab/>
            </w:r>
            <w:r w:rsidR="00417AC4">
              <w:rPr>
                <w:noProof/>
                <w:webHidden/>
              </w:rPr>
              <w:fldChar w:fldCharType="begin"/>
            </w:r>
            <w:r w:rsidR="00417AC4">
              <w:rPr>
                <w:noProof/>
                <w:webHidden/>
              </w:rPr>
              <w:instrText xml:space="preserve"> PAGEREF _Toc150500792 \h </w:instrText>
            </w:r>
            <w:r w:rsidR="00417AC4">
              <w:rPr>
                <w:noProof/>
                <w:webHidden/>
              </w:rPr>
            </w:r>
            <w:r w:rsidR="00417AC4">
              <w:rPr>
                <w:noProof/>
                <w:webHidden/>
              </w:rPr>
              <w:fldChar w:fldCharType="separate"/>
            </w:r>
            <w:r w:rsidR="00417AC4">
              <w:rPr>
                <w:noProof/>
                <w:webHidden/>
              </w:rPr>
              <w:t>5</w:t>
            </w:r>
            <w:r w:rsidR="00417AC4">
              <w:rPr>
                <w:noProof/>
                <w:webHidden/>
              </w:rPr>
              <w:fldChar w:fldCharType="end"/>
            </w:r>
          </w:hyperlink>
        </w:p>
        <w:p w14:paraId="58DEB302" w14:textId="1BC52492"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3" w:history="1">
            <w:r w:rsidR="00417AC4" w:rsidRPr="009577C4">
              <w:rPr>
                <w:rStyle w:val="Hyperlink"/>
                <w:noProof/>
              </w:rPr>
              <w:t>Comparative cost effectiveness</w:t>
            </w:r>
            <w:r w:rsidR="00417AC4">
              <w:rPr>
                <w:noProof/>
                <w:webHidden/>
              </w:rPr>
              <w:tab/>
            </w:r>
            <w:r w:rsidR="00417AC4">
              <w:rPr>
                <w:noProof/>
                <w:webHidden/>
              </w:rPr>
              <w:fldChar w:fldCharType="begin"/>
            </w:r>
            <w:r w:rsidR="00417AC4">
              <w:rPr>
                <w:noProof/>
                <w:webHidden/>
              </w:rPr>
              <w:instrText xml:space="preserve"> PAGEREF _Toc150500793 \h </w:instrText>
            </w:r>
            <w:r w:rsidR="00417AC4">
              <w:rPr>
                <w:noProof/>
                <w:webHidden/>
              </w:rPr>
            </w:r>
            <w:r w:rsidR="00417AC4">
              <w:rPr>
                <w:noProof/>
                <w:webHidden/>
              </w:rPr>
              <w:fldChar w:fldCharType="separate"/>
            </w:r>
            <w:r w:rsidR="00417AC4">
              <w:rPr>
                <w:noProof/>
                <w:webHidden/>
              </w:rPr>
              <w:t>5</w:t>
            </w:r>
            <w:r w:rsidR="00417AC4">
              <w:rPr>
                <w:noProof/>
                <w:webHidden/>
              </w:rPr>
              <w:fldChar w:fldCharType="end"/>
            </w:r>
          </w:hyperlink>
        </w:p>
        <w:p w14:paraId="72863F9F" w14:textId="45488889"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4" w:history="1">
            <w:r w:rsidR="00417AC4" w:rsidRPr="009577C4">
              <w:rPr>
                <w:rStyle w:val="Hyperlink"/>
                <w:noProof/>
              </w:rPr>
              <w:t>Cost analysis</w:t>
            </w:r>
            <w:r w:rsidR="00417AC4">
              <w:rPr>
                <w:noProof/>
                <w:webHidden/>
              </w:rPr>
              <w:tab/>
            </w:r>
            <w:r w:rsidR="00417AC4">
              <w:rPr>
                <w:noProof/>
                <w:webHidden/>
              </w:rPr>
              <w:fldChar w:fldCharType="begin"/>
            </w:r>
            <w:r w:rsidR="00417AC4">
              <w:rPr>
                <w:noProof/>
                <w:webHidden/>
              </w:rPr>
              <w:instrText xml:space="preserve"> PAGEREF _Toc150500794 \h </w:instrText>
            </w:r>
            <w:r w:rsidR="00417AC4">
              <w:rPr>
                <w:noProof/>
                <w:webHidden/>
              </w:rPr>
            </w:r>
            <w:r w:rsidR="00417AC4">
              <w:rPr>
                <w:noProof/>
                <w:webHidden/>
              </w:rPr>
              <w:fldChar w:fldCharType="separate"/>
            </w:r>
            <w:r w:rsidR="00417AC4">
              <w:rPr>
                <w:noProof/>
                <w:webHidden/>
              </w:rPr>
              <w:t>6</w:t>
            </w:r>
            <w:r w:rsidR="00417AC4">
              <w:rPr>
                <w:noProof/>
                <w:webHidden/>
              </w:rPr>
              <w:fldChar w:fldCharType="end"/>
            </w:r>
          </w:hyperlink>
        </w:p>
        <w:p w14:paraId="2343A62F" w14:textId="187EB65A"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95" w:history="1">
            <w:r w:rsidR="00417AC4" w:rsidRPr="009577C4">
              <w:rPr>
                <w:rStyle w:val="Hyperlink"/>
                <w:noProof/>
              </w:rPr>
              <w:t>Key findings of the review</w:t>
            </w:r>
            <w:r w:rsidR="00417AC4">
              <w:rPr>
                <w:noProof/>
                <w:webHidden/>
              </w:rPr>
              <w:tab/>
            </w:r>
            <w:r w:rsidR="00417AC4">
              <w:rPr>
                <w:noProof/>
                <w:webHidden/>
              </w:rPr>
              <w:fldChar w:fldCharType="begin"/>
            </w:r>
            <w:r w:rsidR="00417AC4">
              <w:rPr>
                <w:noProof/>
                <w:webHidden/>
              </w:rPr>
              <w:instrText xml:space="preserve"> PAGEREF _Toc150500795 \h </w:instrText>
            </w:r>
            <w:r w:rsidR="00417AC4">
              <w:rPr>
                <w:noProof/>
                <w:webHidden/>
              </w:rPr>
            </w:r>
            <w:r w:rsidR="00417AC4">
              <w:rPr>
                <w:noProof/>
                <w:webHidden/>
              </w:rPr>
              <w:fldChar w:fldCharType="separate"/>
            </w:r>
            <w:r w:rsidR="00417AC4">
              <w:rPr>
                <w:noProof/>
                <w:webHidden/>
              </w:rPr>
              <w:t>6</w:t>
            </w:r>
            <w:r w:rsidR="00417AC4">
              <w:rPr>
                <w:noProof/>
                <w:webHidden/>
              </w:rPr>
              <w:fldChar w:fldCharType="end"/>
            </w:r>
          </w:hyperlink>
        </w:p>
        <w:p w14:paraId="754B1071" w14:textId="0EA8FE4F"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6" w:history="1">
            <w:r w:rsidR="00417AC4" w:rsidRPr="009577C4">
              <w:rPr>
                <w:rStyle w:val="Hyperlink"/>
                <w:noProof/>
              </w:rPr>
              <w:t>Comparative clinical effectiveness and clinical practice guidelines</w:t>
            </w:r>
            <w:r w:rsidR="00417AC4">
              <w:rPr>
                <w:noProof/>
                <w:webHidden/>
              </w:rPr>
              <w:tab/>
            </w:r>
            <w:r w:rsidR="00417AC4">
              <w:rPr>
                <w:noProof/>
                <w:webHidden/>
              </w:rPr>
              <w:fldChar w:fldCharType="begin"/>
            </w:r>
            <w:r w:rsidR="00417AC4">
              <w:rPr>
                <w:noProof/>
                <w:webHidden/>
              </w:rPr>
              <w:instrText xml:space="preserve"> PAGEREF _Toc150500796 \h </w:instrText>
            </w:r>
            <w:r w:rsidR="00417AC4">
              <w:rPr>
                <w:noProof/>
                <w:webHidden/>
              </w:rPr>
            </w:r>
            <w:r w:rsidR="00417AC4">
              <w:rPr>
                <w:noProof/>
                <w:webHidden/>
              </w:rPr>
              <w:fldChar w:fldCharType="separate"/>
            </w:r>
            <w:r w:rsidR="00417AC4">
              <w:rPr>
                <w:noProof/>
                <w:webHidden/>
              </w:rPr>
              <w:t>6</w:t>
            </w:r>
            <w:r w:rsidR="00417AC4">
              <w:rPr>
                <w:noProof/>
                <w:webHidden/>
              </w:rPr>
              <w:fldChar w:fldCharType="end"/>
            </w:r>
          </w:hyperlink>
        </w:p>
        <w:p w14:paraId="5BC2C82B" w14:textId="1179DE6E"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7" w:history="1">
            <w:r w:rsidR="00417AC4" w:rsidRPr="009577C4">
              <w:rPr>
                <w:rStyle w:val="Hyperlink"/>
                <w:noProof/>
              </w:rPr>
              <w:t>Comparative cost effectiveness and cost analysis</w:t>
            </w:r>
            <w:r w:rsidR="00417AC4">
              <w:rPr>
                <w:noProof/>
                <w:webHidden/>
              </w:rPr>
              <w:tab/>
            </w:r>
            <w:r w:rsidR="00417AC4">
              <w:rPr>
                <w:noProof/>
                <w:webHidden/>
              </w:rPr>
              <w:fldChar w:fldCharType="begin"/>
            </w:r>
            <w:r w:rsidR="00417AC4">
              <w:rPr>
                <w:noProof/>
                <w:webHidden/>
              </w:rPr>
              <w:instrText xml:space="preserve"> PAGEREF _Toc150500797 \h </w:instrText>
            </w:r>
            <w:r w:rsidR="00417AC4">
              <w:rPr>
                <w:noProof/>
                <w:webHidden/>
              </w:rPr>
            </w:r>
            <w:r w:rsidR="00417AC4">
              <w:rPr>
                <w:noProof/>
                <w:webHidden/>
              </w:rPr>
              <w:fldChar w:fldCharType="separate"/>
            </w:r>
            <w:r w:rsidR="00417AC4">
              <w:rPr>
                <w:noProof/>
                <w:webHidden/>
              </w:rPr>
              <w:t>6</w:t>
            </w:r>
            <w:r w:rsidR="00417AC4">
              <w:rPr>
                <w:noProof/>
                <w:webHidden/>
              </w:rPr>
              <w:fldChar w:fldCharType="end"/>
            </w:r>
          </w:hyperlink>
        </w:p>
        <w:p w14:paraId="5A86030B" w14:textId="0BC7EEDE" w:rsidR="00417AC4"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50500798" w:history="1">
            <w:r w:rsidR="00417AC4" w:rsidRPr="009577C4">
              <w:rPr>
                <w:rStyle w:val="Hyperlink"/>
                <w:noProof/>
              </w:rPr>
              <w:t>Stakeholder consultation</w:t>
            </w:r>
            <w:r w:rsidR="00417AC4">
              <w:rPr>
                <w:noProof/>
                <w:webHidden/>
              </w:rPr>
              <w:tab/>
            </w:r>
            <w:r w:rsidR="00417AC4">
              <w:rPr>
                <w:noProof/>
                <w:webHidden/>
              </w:rPr>
              <w:fldChar w:fldCharType="begin"/>
            </w:r>
            <w:r w:rsidR="00417AC4">
              <w:rPr>
                <w:noProof/>
                <w:webHidden/>
              </w:rPr>
              <w:instrText xml:space="preserve"> PAGEREF _Toc150500798 \h </w:instrText>
            </w:r>
            <w:r w:rsidR="00417AC4">
              <w:rPr>
                <w:noProof/>
                <w:webHidden/>
              </w:rPr>
            </w:r>
            <w:r w:rsidR="00417AC4">
              <w:rPr>
                <w:noProof/>
                <w:webHidden/>
              </w:rPr>
              <w:fldChar w:fldCharType="separate"/>
            </w:r>
            <w:r w:rsidR="00417AC4">
              <w:rPr>
                <w:noProof/>
                <w:webHidden/>
              </w:rPr>
              <w:t>6</w:t>
            </w:r>
            <w:r w:rsidR="00417AC4">
              <w:rPr>
                <w:noProof/>
                <w:webHidden/>
              </w:rPr>
              <w:fldChar w:fldCharType="end"/>
            </w:r>
          </w:hyperlink>
        </w:p>
        <w:p w14:paraId="622FACA3" w14:textId="79885030"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799" w:history="1">
            <w:r w:rsidR="00417AC4" w:rsidRPr="009577C4">
              <w:rPr>
                <w:rStyle w:val="Hyperlink"/>
                <w:noProof/>
              </w:rPr>
              <w:t>Key recommendations</w:t>
            </w:r>
            <w:r w:rsidR="00417AC4">
              <w:rPr>
                <w:noProof/>
                <w:webHidden/>
              </w:rPr>
              <w:tab/>
            </w:r>
            <w:r w:rsidR="00417AC4">
              <w:rPr>
                <w:noProof/>
                <w:webHidden/>
              </w:rPr>
              <w:fldChar w:fldCharType="begin"/>
            </w:r>
            <w:r w:rsidR="00417AC4">
              <w:rPr>
                <w:noProof/>
                <w:webHidden/>
              </w:rPr>
              <w:instrText xml:space="preserve"> PAGEREF _Toc150500799 \h </w:instrText>
            </w:r>
            <w:r w:rsidR="00417AC4">
              <w:rPr>
                <w:noProof/>
                <w:webHidden/>
              </w:rPr>
            </w:r>
            <w:r w:rsidR="00417AC4">
              <w:rPr>
                <w:noProof/>
                <w:webHidden/>
              </w:rPr>
              <w:fldChar w:fldCharType="separate"/>
            </w:r>
            <w:r w:rsidR="00417AC4">
              <w:rPr>
                <w:noProof/>
                <w:webHidden/>
              </w:rPr>
              <w:t>7</w:t>
            </w:r>
            <w:r w:rsidR="00417AC4">
              <w:rPr>
                <w:noProof/>
                <w:webHidden/>
              </w:rPr>
              <w:fldChar w:fldCharType="end"/>
            </w:r>
          </w:hyperlink>
        </w:p>
        <w:p w14:paraId="59FEDBC7" w14:textId="57ECA299" w:rsidR="00417AC4" w:rsidRDefault="00000000">
          <w:pPr>
            <w:pStyle w:val="TOC1"/>
            <w:tabs>
              <w:tab w:val="right" w:leader="dot" w:pos="9060"/>
            </w:tabs>
            <w:rPr>
              <w:rFonts w:asciiTheme="minorHAnsi" w:eastAsiaTheme="minorEastAsia" w:hAnsiTheme="minorHAnsi" w:cstheme="minorBidi"/>
              <w:noProof/>
              <w:color w:val="auto"/>
              <w:szCs w:val="22"/>
              <w:lang w:eastAsia="en-AU"/>
            </w:rPr>
          </w:pPr>
          <w:hyperlink w:anchor="_Toc150500800" w:history="1">
            <w:r w:rsidR="00417AC4" w:rsidRPr="009577C4">
              <w:rPr>
                <w:rStyle w:val="Hyperlink"/>
                <w:noProof/>
              </w:rPr>
              <w:t>Conclusion and outcome of the review</w:t>
            </w:r>
            <w:r w:rsidR="00417AC4">
              <w:rPr>
                <w:noProof/>
                <w:webHidden/>
              </w:rPr>
              <w:tab/>
            </w:r>
            <w:r w:rsidR="00417AC4">
              <w:rPr>
                <w:noProof/>
                <w:webHidden/>
              </w:rPr>
              <w:fldChar w:fldCharType="begin"/>
            </w:r>
            <w:r w:rsidR="00417AC4">
              <w:rPr>
                <w:noProof/>
                <w:webHidden/>
              </w:rPr>
              <w:instrText xml:space="preserve"> PAGEREF _Toc150500800 \h </w:instrText>
            </w:r>
            <w:r w:rsidR="00417AC4">
              <w:rPr>
                <w:noProof/>
                <w:webHidden/>
              </w:rPr>
            </w:r>
            <w:r w:rsidR="00417AC4">
              <w:rPr>
                <w:noProof/>
                <w:webHidden/>
              </w:rPr>
              <w:fldChar w:fldCharType="separate"/>
            </w:r>
            <w:r w:rsidR="00417AC4">
              <w:rPr>
                <w:noProof/>
                <w:webHidden/>
              </w:rPr>
              <w:t>8</w:t>
            </w:r>
            <w:r w:rsidR="00417AC4">
              <w:rPr>
                <w:noProof/>
                <w:webHidden/>
              </w:rPr>
              <w:fldChar w:fldCharType="end"/>
            </w:r>
          </w:hyperlink>
        </w:p>
        <w:p w14:paraId="14C90CC4" w14:textId="091388CA" w:rsidR="006034D1" w:rsidRPr="004414C7" w:rsidRDefault="006034D1" w:rsidP="004414C7">
          <w:r>
            <w:rPr>
              <w:b/>
              <w:bCs/>
              <w:noProof/>
            </w:rPr>
            <w:fldChar w:fldCharType="end"/>
          </w:r>
        </w:p>
      </w:sdtContent>
    </w:sdt>
    <w:p w14:paraId="7FFB786A" w14:textId="77777777" w:rsidR="000677CF" w:rsidRDefault="00E51C4B" w:rsidP="000677CF">
      <w:pPr>
        <w:pStyle w:val="Heading1"/>
      </w:pPr>
      <w:bookmarkStart w:id="0" w:name="_Toc150500786"/>
      <w:r>
        <w:t>A</w:t>
      </w:r>
      <w:r w:rsidR="000677CF">
        <w:t>bbreviations</w:t>
      </w:r>
      <w:bookmarkEnd w:id="0"/>
    </w:p>
    <w:p w14:paraId="1F9A3374" w14:textId="10CB5C13" w:rsidR="000221B8" w:rsidRPr="004414C7" w:rsidRDefault="000221B8" w:rsidP="004414C7">
      <w:r w:rsidRPr="004414C7">
        <w:t>AR-DRG</w:t>
      </w:r>
      <w:r w:rsidRPr="004414C7">
        <w:tab/>
        <w:t>Australian Refined Diagnosis Related Groups</w:t>
      </w:r>
    </w:p>
    <w:p w14:paraId="6D478A11" w14:textId="4563C570" w:rsidR="000677CF" w:rsidRPr="004414C7" w:rsidRDefault="000677CF" w:rsidP="004414C7">
      <w:r w:rsidRPr="004414C7">
        <w:t>ARTG</w:t>
      </w:r>
      <w:r w:rsidRPr="004414C7">
        <w:tab/>
      </w:r>
      <w:r w:rsidR="00F80807" w:rsidRPr="004414C7">
        <w:tab/>
      </w:r>
      <w:r w:rsidRPr="004414C7">
        <w:t>Australian Register of Therapeutic Goods</w:t>
      </w:r>
    </w:p>
    <w:p w14:paraId="6C88AF46" w14:textId="0D3DC95F" w:rsidR="000677CF" w:rsidRPr="004414C7" w:rsidRDefault="000677CF" w:rsidP="004414C7">
      <w:r w:rsidRPr="004414C7">
        <w:t>TGA</w:t>
      </w:r>
      <w:r w:rsidRPr="004414C7">
        <w:tab/>
      </w:r>
      <w:r w:rsidR="00F80807" w:rsidRPr="004414C7">
        <w:tab/>
      </w:r>
      <w:r w:rsidRPr="004414C7">
        <w:t>Therapeutics Good Administration</w:t>
      </w:r>
    </w:p>
    <w:p w14:paraId="52B90F6F" w14:textId="6B3F134A" w:rsidR="00E51C4B" w:rsidRPr="004414C7" w:rsidRDefault="00E51C4B" w:rsidP="004414C7">
      <w:r w:rsidRPr="004414C7">
        <w:t>HTA</w:t>
      </w:r>
      <w:r w:rsidRPr="004414C7">
        <w:tab/>
      </w:r>
      <w:r w:rsidR="00F80807" w:rsidRPr="004414C7">
        <w:tab/>
      </w:r>
      <w:r w:rsidRPr="004414C7">
        <w:t>Health Technology Assessment</w:t>
      </w:r>
    </w:p>
    <w:p w14:paraId="2091EAAB" w14:textId="6099C15F" w:rsidR="00E51C4B" w:rsidRPr="004414C7" w:rsidRDefault="000677CF" w:rsidP="004414C7">
      <w:r w:rsidRPr="004414C7">
        <w:t>PL</w:t>
      </w:r>
      <w:r w:rsidRPr="004414C7">
        <w:tab/>
      </w:r>
      <w:r w:rsidR="00F80807" w:rsidRPr="004414C7">
        <w:tab/>
      </w:r>
      <w:r w:rsidRPr="004414C7">
        <w:t>Prescribed List</w:t>
      </w:r>
    </w:p>
    <w:p w14:paraId="18E477B1" w14:textId="181E7317" w:rsidR="000677CF" w:rsidRPr="004414C7" w:rsidRDefault="000677CF" w:rsidP="004414C7">
      <w:r w:rsidRPr="004414C7">
        <w:t>PLAC</w:t>
      </w:r>
      <w:r w:rsidRPr="004414C7">
        <w:tab/>
      </w:r>
      <w:r w:rsidR="00F80807" w:rsidRPr="004414C7">
        <w:tab/>
      </w:r>
      <w:r w:rsidRPr="004414C7">
        <w:t>Prostheses List Advisory Committee</w:t>
      </w:r>
    </w:p>
    <w:p w14:paraId="0FD0856A" w14:textId="4C94AEE2" w:rsidR="000677CF" w:rsidRPr="004414C7" w:rsidRDefault="000677CF" w:rsidP="004414C7">
      <w:r w:rsidRPr="004414C7">
        <w:t>POP</w:t>
      </w:r>
      <w:r w:rsidRPr="004414C7">
        <w:tab/>
      </w:r>
      <w:r w:rsidR="00F80807" w:rsidRPr="004414C7">
        <w:tab/>
      </w:r>
      <w:r w:rsidRPr="004414C7">
        <w:t>Pelvic Organ Prolapse</w:t>
      </w:r>
    </w:p>
    <w:p w14:paraId="4D9AEB41" w14:textId="4B1B499E" w:rsidR="000677CF" w:rsidRPr="004414C7" w:rsidRDefault="000677CF" w:rsidP="004414C7">
      <w:r w:rsidRPr="004414C7">
        <w:t>MSAC</w:t>
      </w:r>
      <w:r w:rsidRPr="004414C7">
        <w:tab/>
      </w:r>
      <w:r w:rsidR="00F80807" w:rsidRPr="004414C7">
        <w:tab/>
      </w:r>
      <w:r w:rsidRPr="004414C7">
        <w:t>Medical Services Advisory Committee</w:t>
      </w:r>
    </w:p>
    <w:p w14:paraId="4B3FFBD9" w14:textId="4F3F9EBC" w:rsidR="000677CF" w:rsidRPr="004414C7" w:rsidRDefault="000677CF" w:rsidP="004414C7">
      <w:r w:rsidRPr="004414C7">
        <w:t>MUS</w:t>
      </w:r>
      <w:r w:rsidRPr="004414C7">
        <w:tab/>
      </w:r>
      <w:bookmarkStart w:id="1" w:name="_Hlk164264603"/>
      <w:r w:rsidR="00F80807" w:rsidRPr="004414C7">
        <w:tab/>
      </w:r>
      <w:r w:rsidRPr="004414C7">
        <w:t>mid-urethral slings</w:t>
      </w:r>
      <w:bookmarkEnd w:id="1"/>
    </w:p>
    <w:p w14:paraId="70AD8880" w14:textId="1EFC6E57" w:rsidR="00E51C4B" w:rsidRPr="004414C7" w:rsidRDefault="00E51C4B" w:rsidP="004414C7">
      <w:r w:rsidRPr="004414C7">
        <w:t>NICE</w:t>
      </w:r>
      <w:r w:rsidR="00083759" w:rsidRPr="004414C7">
        <w:tab/>
      </w:r>
      <w:r w:rsidR="00F80807" w:rsidRPr="004414C7">
        <w:tab/>
      </w:r>
      <w:r w:rsidR="00083759" w:rsidRPr="004414C7">
        <w:t>The National Institute for Health and Care Excellence (UK)</w:t>
      </w:r>
    </w:p>
    <w:p w14:paraId="4C5A7A14" w14:textId="77777777" w:rsidR="00E51C4B" w:rsidRPr="004414C7" w:rsidRDefault="00E51C4B" w:rsidP="004414C7">
      <w:r w:rsidRPr="004414C7">
        <w:t>MDHTAC</w:t>
      </w:r>
      <w:r w:rsidRPr="004414C7">
        <w:tab/>
        <w:t>Medical Devices and Human Tissue Advisory Committee</w:t>
      </w:r>
    </w:p>
    <w:p w14:paraId="460A3A8A" w14:textId="3A3F9720" w:rsidR="000677CF" w:rsidRPr="004414C7" w:rsidRDefault="000677CF" w:rsidP="004414C7">
      <w:r w:rsidRPr="004414C7">
        <w:t>RP-MUS</w:t>
      </w:r>
      <w:r w:rsidRPr="004414C7">
        <w:tab/>
        <w:t>Retropubic</w:t>
      </w:r>
      <w:r w:rsidR="00083759" w:rsidRPr="004414C7">
        <w:t xml:space="preserve"> mid-urethral slings</w:t>
      </w:r>
    </w:p>
    <w:p w14:paraId="1174A1D8" w14:textId="558AF888" w:rsidR="000677CF" w:rsidRPr="004414C7" w:rsidRDefault="000677CF" w:rsidP="004414C7">
      <w:r w:rsidRPr="004414C7">
        <w:t>SUI</w:t>
      </w:r>
      <w:r w:rsidRPr="004414C7">
        <w:tab/>
      </w:r>
      <w:r w:rsidR="00F80807" w:rsidRPr="004414C7">
        <w:tab/>
      </w:r>
      <w:r w:rsidRPr="004414C7">
        <w:t>stress urinary incontinence</w:t>
      </w:r>
    </w:p>
    <w:p w14:paraId="4271898D" w14:textId="04969596" w:rsidR="000677CF" w:rsidRPr="004414C7" w:rsidRDefault="000677CF" w:rsidP="004414C7">
      <w:r w:rsidRPr="004414C7">
        <w:t>TO-MUS</w:t>
      </w:r>
      <w:r w:rsidRPr="004414C7">
        <w:tab/>
        <w:t xml:space="preserve">Transobturator </w:t>
      </w:r>
      <w:r w:rsidR="00083759" w:rsidRPr="004414C7">
        <w:t>mid-urethral slings</w:t>
      </w:r>
    </w:p>
    <w:p w14:paraId="18B6B4E6" w14:textId="21037614" w:rsidR="00E51C4B" w:rsidRPr="004414C7" w:rsidRDefault="00E51C4B" w:rsidP="004414C7">
      <w:r w:rsidRPr="004414C7">
        <w:t>TOR</w:t>
      </w:r>
      <w:r w:rsidRPr="004414C7">
        <w:tab/>
      </w:r>
      <w:r w:rsidR="00F80807" w:rsidRPr="004414C7">
        <w:tab/>
      </w:r>
      <w:r w:rsidRPr="004414C7">
        <w:t>Terms of Reference</w:t>
      </w:r>
    </w:p>
    <w:p w14:paraId="161187BB" w14:textId="77777777" w:rsidR="00CA4BE3" w:rsidRPr="00CA4BE3" w:rsidRDefault="00D4205D" w:rsidP="00CA4BE3">
      <w:pPr>
        <w:pStyle w:val="Heading1"/>
      </w:pPr>
      <w:bookmarkStart w:id="2" w:name="_Toc150500787"/>
      <w:r>
        <w:lastRenderedPageBreak/>
        <w:t>Overview</w:t>
      </w:r>
      <w:bookmarkEnd w:id="2"/>
    </w:p>
    <w:p w14:paraId="3990CDB3" w14:textId="219E295D" w:rsidR="00D4205D" w:rsidRDefault="00D4205D" w:rsidP="00D4205D">
      <w:r>
        <w:t xml:space="preserve">Urogynaecological mesh devices have been the subject of regulatory review and safety monitoring in Australia due to concerns about adverse events related to their use. In November 2017, the Therapeutic Goods Administration (TGA) removed </w:t>
      </w:r>
      <w:r w:rsidR="00F80807">
        <w:t xml:space="preserve">2 </w:t>
      </w:r>
      <w:r>
        <w:t>types of urogynaecological mesh from the Australian Register of Therapeutic Goods (ARTG):</w:t>
      </w:r>
    </w:p>
    <w:p w14:paraId="033031C9" w14:textId="77777777" w:rsidR="00D4205D" w:rsidRDefault="00D4205D" w:rsidP="00D4205D">
      <w:pPr>
        <w:pStyle w:val="ListNumber"/>
      </w:pPr>
      <w:r>
        <w:t>Urogynaecological mesh inserted through the vagina for pelvic organ prolapse (POP)</w:t>
      </w:r>
    </w:p>
    <w:p w14:paraId="6AF292C1" w14:textId="77777777" w:rsidR="00D4205D" w:rsidRDefault="00D4205D" w:rsidP="00D4205D">
      <w:pPr>
        <w:pStyle w:val="ListNumber"/>
      </w:pPr>
      <w:r>
        <w:t>Single incision mini-slings for stress urinary incontinence.</w:t>
      </w:r>
    </w:p>
    <w:p w14:paraId="76F4F2CB" w14:textId="77777777" w:rsidR="00D4205D" w:rsidRDefault="00D4205D" w:rsidP="00D4205D">
      <w:r>
        <w:t>Mid-urethral slings (MUS) for the treatment of</w:t>
      </w:r>
      <w:r w:rsidR="00636C58">
        <w:t xml:space="preserve"> stress urinary incontinence (</w:t>
      </w:r>
      <w:r>
        <w:t>SUI</w:t>
      </w:r>
      <w:r w:rsidR="00636C58">
        <w:t>)</w:t>
      </w:r>
      <w:r>
        <w:t xml:space="preserve"> continue to be approved for supply in Australia and are included in the Prescribed List (PL).</w:t>
      </w:r>
    </w:p>
    <w:p w14:paraId="2E135041" w14:textId="3086DE4A" w:rsidR="00D4205D" w:rsidRDefault="00D4205D" w:rsidP="00D4205D">
      <w:r>
        <w:t xml:space="preserve">As these devices </w:t>
      </w:r>
      <w:r w:rsidR="002A7BFC">
        <w:t>ha</w:t>
      </w:r>
      <w:r w:rsidR="00F80807">
        <w:t>d</w:t>
      </w:r>
      <w:r w:rsidR="002A7BFC">
        <w:t xml:space="preserve"> not been subject to </w:t>
      </w:r>
      <w:r w:rsidR="00F80807">
        <w:t xml:space="preserve">a </w:t>
      </w:r>
      <w:r w:rsidR="002A7BFC">
        <w:t>Health Technology Assessment (HTA) through</w:t>
      </w:r>
      <w:r w:rsidR="00F80807" w:rsidRPr="00F80807">
        <w:t xml:space="preserve"> </w:t>
      </w:r>
      <w:r w:rsidR="00F80807">
        <w:t xml:space="preserve">the Medical Services Advisory Committee (MSAC) or </w:t>
      </w:r>
      <w:r>
        <w:t>the former Prostheses List Advisory Committee (PLAC)</w:t>
      </w:r>
      <w:r w:rsidR="00784865">
        <w:t xml:space="preserve"> (</w:t>
      </w:r>
      <w:r>
        <w:t>no</w:t>
      </w:r>
      <w:r w:rsidR="00F80807">
        <w:t>w called the Medical Devices and Human Tissue Advisory Committee,</w:t>
      </w:r>
      <w:r>
        <w:t xml:space="preserve"> </w:t>
      </w:r>
      <w:r w:rsidR="00784865">
        <w:t xml:space="preserve">MDHTAC), </w:t>
      </w:r>
      <w:r w:rsidR="00636C58">
        <w:t xml:space="preserve">a </w:t>
      </w:r>
      <w:r>
        <w:t xml:space="preserve">post-listing review of urogynaecological mesh devices </w:t>
      </w:r>
      <w:r w:rsidR="00F80807">
        <w:t xml:space="preserve">was recommended by PLAC </w:t>
      </w:r>
      <w:r>
        <w:t>at its meeting on 12 May 2022.</w:t>
      </w:r>
    </w:p>
    <w:p w14:paraId="35FAA6DB" w14:textId="77777777" w:rsidR="00D4205D" w:rsidRDefault="00D4205D" w:rsidP="00D4205D">
      <w:r>
        <w:t>The purpose of the review was to assess the comparative clinical effectiveness and cost-effectiveness of MUS for the treatment of SUI, and to inform decisions regarding the associated listings on the PL.</w:t>
      </w:r>
    </w:p>
    <w:p w14:paraId="6BDFDFD8" w14:textId="614025BF" w:rsidR="00CA4BE3" w:rsidRDefault="00D4205D" w:rsidP="00D4205D">
      <w:r>
        <w:t xml:space="preserve">The </w:t>
      </w:r>
      <w:r w:rsidR="00636C58">
        <w:t>de</w:t>
      </w:r>
      <w:r>
        <w:t xml:space="preserve">partment published information about the PL Post-Listing Review Framework and the </w:t>
      </w:r>
      <w:r w:rsidR="00F80807">
        <w:t xml:space="preserve">4 </w:t>
      </w:r>
      <w:r>
        <w:t xml:space="preserve">initial review topics PLAC agreed to, including urogynaecological mesh devices, on the PL </w:t>
      </w:r>
      <w:r w:rsidRPr="00EE7A18">
        <w:t>Reforms website in</w:t>
      </w:r>
      <w:r>
        <w:t xml:space="preserve"> July 2022.</w:t>
      </w:r>
    </w:p>
    <w:p w14:paraId="069B5BD5" w14:textId="77777777" w:rsidR="00D4205D" w:rsidRPr="00934368" w:rsidRDefault="00D4205D" w:rsidP="00D4205D">
      <w:pPr>
        <w:pStyle w:val="Heading1"/>
      </w:pPr>
      <w:bookmarkStart w:id="3" w:name="_Toc150500788"/>
      <w:r>
        <w:t>Items in scope for the review</w:t>
      </w:r>
      <w:bookmarkEnd w:id="3"/>
    </w:p>
    <w:p w14:paraId="111E9F52" w14:textId="77777777" w:rsidR="00D4205D" w:rsidRPr="00BB77C8" w:rsidRDefault="00BB77C8" w:rsidP="00BB77C8">
      <w:r>
        <w:t xml:space="preserve">Retropubic (RP-MUS) and Transobturator (TO-MUS) were in scope for this review. </w:t>
      </w:r>
      <w:r w:rsidR="00D4205D" w:rsidRPr="00D4205D">
        <w:t xml:space="preserve">The relevant PL billing codes </w:t>
      </w:r>
      <w:r>
        <w:t>are shown in Table 1.</w:t>
      </w:r>
    </w:p>
    <w:p w14:paraId="5ED2D551" w14:textId="77777777" w:rsidR="000C0957" w:rsidRDefault="000C0957" w:rsidP="004C754E">
      <w:r w:rsidRPr="000C0957">
        <w:t>Single-incision mini-slings are not currently approved for use in Australia and are not in scope for this review.</w:t>
      </w:r>
    </w:p>
    <w:p w14:paraId="594E7E08" w14:textId="77777777" w:rsidR="00BB77C8" w:rsidRDefault="00BB77C8" w:rsidP="00BB77C8">
      <w:pPr>
        <w:pStyle w:val="TableTitle"/>
      </w:pPr>
      <w:bookmarkStart w:id="4" w:name="_Hlk164782865"/>
      <w:r>
        <w:t>Table 1</w:t>
      </w:r>
      <w:r w:rsidR="00636C58">
        <w:t>. Devices in scope</w:t>
      </w:r>
    </w:p>
    <w:tbl>
      <w:tblPr>
        <w:tblStyle w:val="DepartmentofHealthtable"/>
        <w:tblW w:w="0" w:type="auto"/>
        <w:tblLook w:val="04A0" w:firstRow="1" w:lastRow="0" w:firstColumn="1" w:lastColumn="0" w:noHBand="0" w:noVBand="1"/>
      </w:tblPr>
      <w:tblGrid>
        <w:gridCol w:w="2552"/>
        <w:gridCol w:w="1231"/>
        <w:gridCol w:w="2696"/>
        <w:gridCol w:w="1478"/>
        <w:gridCol w:w="1113"/>
      </w:tblGrid>
      <w:tr w:rsidR="00D2552F" w14:paraId="14C3BE61" w14:textId="77777777" w:rsidTr="00EE7A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52" w:type="dxa"/>
          </w:tcPr>
          <w:p w14:paraId="3345F18B" w14:textId="77777777" w:rsidR="00D2552F" w:rsidRPr="004414C7" w:rsidRDefault="00D2552F" w:rsidP="004414C7">
            <w:pPr>
              <w:pStyle w:val="TableHeader"/>
            </w:pPr>
            <w:r w:rsidRPr="004414C7">
              <w:t>Device</w:t>
            </w:r>
          </w:p>
        </w:tc>
        <w:tc>
          <w:tcPr>
            <w:tcW w:w="1231" w:type="dxa"/>
          </w:tcPr>
          <w:p w14:paraId="1D5025E8" w14:textId="77777777" w:rsidR="00D2552F" w:rsidRDefault="00D2552F" w:rsidP="00A45D68">
            <w:pPr>
              <w:pStyle w:val="TableHeader"/>
              <w:cnfStyle w:val="100000000000" w:firstRow="1" w:lastRow="0" w:firstColumn="0" w:lastColumn="0" w:oddVBand="0" w:evenVBand="0" w:oddHBand="0" w:evenHBand="0" w:firstRowFirstColumn="0" w:firstRowLastColumn="0" w:lastRowFirstColumn="0" w:lastRowLastColumn="0"/>
            </w:pPr>
            <w:r>
              <w:t>Type</w:t>
            </w:r>
          </w:p>
        </w:tc>
        <w:tc>
          <w:tcPr>
            <w:tcW w:w="2696" w:type="dxa"/>
          </w:tcPr>
          <w:p w14:paraId="26CB08E7" w14:textId="77777777" w:rsidR="00D2552F" w:rsidRDefault="00D2552F" w:rsidP="00A45D68">
            <w:pPr>
              <w:pStyle w:val="TableHeader"/>
              <w:cnfStyle w:val="100000000000" w:firstRow="1" w:lastRow="0" w:firstColumn="0" w:lastColumn="0" w:oddVBand="0" w:evenVBand="0" w:oddHBand="0" w:evenHBand="0" w:firstRowFirstColumn="0" w:firstRowLastColumn="0" w:lastRowFirstColumn="0" w:lastRowLastColumn="0"/>
            </w:pPr>
            <w:r>
              <w:t>Sponsor</w:t>
            </w:r>
          </w:p>
        </w:tc>
        <w:tc>
          <w:tcPr>
            <w:tcW w:w="1478" w:type="dxa"/>
          </w:tcPr>
          <w:p w14:paraId="562154AB" w14:textId="07AA1207" w:rsidR="00D2552F" w:rsidRPr="004414C7" w:rsidRDefault="00D2552F" w:rsidP="004414C7">
            <w:pPr>
              <w:pStyle w:val="TableHeader"/>
              <w:cnfStyle w:val="100000000000" w:firstRow="1" w:lastRow="0" w:firstColumn="0" w:lastColumn="0" w:oddVBand="0" w:evenVBand="0" w:oddHBand="0" w:evenHBand="0" w:firstRowFirstColumn="0" w:firstRowLastColumn="0" w:lastRowFirstColumn="0" w:lastRowLastColumn="0"/>
            </w:pPr>
            <w:r w:rsidRPr="004414C7">
              <w:t>Billing Code</w:t>
            </w:r>
          </w:p>
        </w:tc>
        <w:tc>
          <w:tcPr>
            <w:tcW w:w="1113" w:type="dxa"/>
          </w:tcPr>
          <w:p w14:paraId="57B9FA4A" w14:textId="77777777" w:rsidR="00D2552F" w:rsidRDefault="00D2552F" w:rsidP="00A45D68">
            <w:pPr>
              <w:pStyle w:val="TableHeader"/>
              <w:cnfStyle w:val="100000000000" w:firstRow="1" w:lastRow="0" w:firstColumn="0" w:lastColumn="0" w:oddVBand="0" w:evenVBand="0" w:oddHBand="0" w:evenHBand="0" w:firstRowFirstColumn="0" w:firstRowLastColumn="0" w:lastRowFirstColumn="0" w:lastRowLastColumn="0"/>
            </w:pPr>
            <w:r>
              <w:t>Benefit</w:t>
            </w:r>
          </w:p>
        </w:tc>
      </w:tr>
      <w:tr w:rsidR="00D2552F" w14:paraId="7490D35A" w14:textId="77777777" w:rsidTr="00EE7A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346B4C61" w14:textId="77777777" w:rsidR="00D2552F" w:rsidRDefault="00D2552F" w:rsidP="00A45D68">
            <w:pPr>
              <w:pStyle w:val="Tabletextleft"/>
            </w:pPr>
            <w:r w:rsidRPr="00D2552F">
              <w:t>Advantage</w:t>
            </w:r>
          </w:p>
        </w:tc>
        <w:tc>
          <w:tcPr>
            <w:tcW w:w="1231" w:type="dxa"/>
          </w:tcPr>
          <w:p w14:paraId="135E0779" w14:textId="77777777" w:rsidR="00D2552F" w:rsidRPr="009127BC" w:rsidRDefault="00D2552F" w:rsidP="00A45D68">
            <w:pPr>
              <w:pStyle w:val="Tabletextcentre"/>
              <w:cnfStyle w:val="000000100000" w:firstRow="0" w:lastRow="0" w:firstColumn="0" w:lastColumn="0" w:oddVBand="0" w:evenVBand="0" w:oddHBand="1" w:evenHBand="0" w:firstRowFirstColumn="0" w:firstRowLastColumn="0" w:lastRowFirstColumn="0" w:lastRowLastColumn="0"/>
            </w:pPr>
            <w:r>
              <w:t>RP</w:t>
            </w:r>
          </w:p>
        </w:tc>
        <w:tc>
          <w:tcPr>
            <w:tcW w:w="2696" w:type="dxa"/>
          </w:tcPr>
          <w:p w14:paraId="19516575" w14:textId="77777777" w:rsidR="00D2552F" w:rsidRDefault="00D2552F" w:rsidP="00A45D68">
            <w:pPr>
              <w:pStyle w:val="Tabletextright0"/>
              <w:cnfStyle w:val="000000100000" w:firstRow="0" w:lastRow="0" w:firstColumn="0" w:lastColumn="0" w:oddVBand="0" w:evenVBand="0" w:oddHBand="1" w:evenHBand="0" w:firstRowFirstColumn="0" w:firstRowLastColumn="0" w:lastRowFirstColumn="0" w:lastRowLastColumn="0"/>
            </w:pPr>
            <w:r>
              <w:t>Boston Scientific Australia Pty. Ltd.</w:t>
            </w:r>
          </w:p>
        </w:tc>
        <w:tc>
          <w:tcPr>
            <w:tcW w:w="1478" w:type="dxa"/>
          </w:tcPr>
          <w:p w14:paraId="62ADEB54" w14:textId="77777777" w:rsidR="00D2552F" w:rsidRPr="004414C7" w:rsidRDefault="00D2552F" w:rsidP="004414C7">
            <w:pPr>
              <w:pStyle w:val="Tabletextright0"/>
              <w:cnfStyle w:val="000000100000" w:firstRow="0" w:lastRow="0" w:firstColumn="0" w:lastColumn="0" w:oddVBand="0" w:evenVBand="0" w:oddHBand="1" w:evenHBand="0" w:firstRowFirstColumn="0" w:firstRowLastColumn="0" w:lastRowFirstColumn="0" w:lastRowLastColumn="0"/>
            </w:pPr>
            <w:r w:rsidRPr="004414C7">
              <w:t>BS402</w:t>
            </w:r>
          </w:p>
        </w:tc>
        <w:tc>
          <w:tcPr>
            <w:tcW w:w="1113" w:type="dxa"/>
          </w:tcPr>
          <w:p w14:paraId="4529EDB3" w14:textId="77777777" w:rsidR="00D2552F" w:rsidRDefault="00BB77C8" w:rsidP="00A45D68">
            <w:pPr>
              <w:pStyle w:val="Tabletextright0"/>
              <w:cnfStyle w:val="000000100000" w:firstRow="0" w:lastRow="0" w:firstColumn="0" w:lastColumn="0" w:oddVBand="0" w:evenVBand="0" w:oddHBand="1" w:evenHBand="0" w:firstRowFirstColumn="0" w:firstRowLastColumn="0" w:lastRowFirstColumn="0" w:lastRowLastColumn="0"/>
            </w:pPr>
            <w:r>
              <w:t>$822</w:t>
            </w:r>
          </w:p>
        </w:tc>
      </w:tr>
      <w:tr w:rsidR="00D2552F" w14:paraId="7E35D5AA" w14:textId="77777777" w:rsidTr="00EE7A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7309100A" w14:textId="77777777" w:rsidR="00D2552F" w:rsidRDefault="00D2552F" w:rsidP="00A45D68">
            <w:pPr>
              <w:pStyle w:val="Tabletextleft"/>
            </w:pPr>
            <w:r>
              <w:t>Obtryx II</w:t>
            </w:r>
          </w:p>
        </w:tc>
        <w:tc>
          <w:tcPr>
            <w:tcW w:w="1231" w:type="dxa"/>
          </w:tcPr>
          <w:p w14:paraId="3DB942A6" w14:textId="77777777" w:rsidR="00D2552F" w:rsidRPr="009127BC" w:rsidRDefault="00D2552F" w:rsidP="00A45D68">
            <w:pPr>
              <w:pStyle w:val="Tabletextcentre"/>
              <w:cnfStyle w:val="000000010000" w:firstRow="0" w:lastRow="0" w:firstColumn="0" w:lastColumn="0" w:oddVBand="0" w:evenVBand="0" w:oddHBand="0" w:evenHBand="1" w:firstRowFirstColumn="0" w:firstRowLastColumn="0" w:lastRowFirstColumn="0" w:lastRowLastColumn="0"/>
            </w:pPr>
            <w:r>
              <w:t>TO</w:t>
            </w:r>
          </w:p>
        </w:tc>
        <w:tc>
          <w:tcPr>
            <w:tcW w:w="2696" w:type="dxa"/>
          </w:tcPr>
          <w:p w14:paraId="073EAD41" w14:textId="77777777" w:rsidR="00D2552F" w:rsidRDefault="00D2552F" w:rsidP="00A45D68">
            <w:pPr>
              <w:pStyle w:val="Tabletextright0"/>
              <w:cnfStyle w:val="000000010000" w:firstRow="0" w:lastRow="0" w:firstColumn="0" w:lastColumn="0" w:oddVBand="0" w:evenVBand="0" w:oddHBand="0" w:evenHBand="1" w:firstRowFirstColumn="0" w:firstRowLastColumn="0" w:lastRowFirstColumn="0" w:lastRowLastColumn="0"/>
            </w:pPr>
            <w:r>
              <w:t>Boston Scientific Australia Pty. Ltd.</w:t>
            </w:r>
          </w:p>
        </w:tc>
        <w:tc>
          <w:tcPr>
            <w:tcW w:w="1478" w:type="dxa"/>
          </w:tcPr>
          <w:p w14:paraId="0A894D04" w14:textId="77777777" w:rsidR="00D2552F" w:rsidRPr="004414C7" w:rsidRDefault="00D2552F" w:rsidP="004414C7">
            <w:pPr>
              <w:pStyle w:val="Tabletextright0"/>
              <w:cnfStyle w:val="000000010000" w:firstRow="0" w:lastRow="0" w:firstColumn="0" w:lastColumn="0" w:oddVBand="0" w:evenVBand="0" w:oddHBand="0" w:evenHBand="1" w:firstRowFirstColumn="0" w:firstRowLastColumn="0" w:lastRowFirstColumn="0" w:lastRowLastColumn="0"/>
            </w:pPr>
            <w:r w:rsidRPr="004414C7">
              <w:t>BS403</w:t>
            </w:r>
          </w:p>
        </w:tc>
        <w:tc>
          <w:tcPr>
            <w:tcW w:w="1113" w:type="dxa"/>
          </w:tcPr>
          <w:p w14:paraId="505C40FC" w14:textId="77777777" w:rsidR="00D2552F" w:rsidRDefault="00BB77C8" w:rsidP="00A45D68">
            <w:pPr>
              <w:pStyle w:val="Tabletextright0"/>
              <w:cnfStyle w:val="000000010000" w:firstRow="0" w:lastRow="0" w:firstColumn="0" w:lastColumn="0" w:oddVBand="0" w:evenVBand="0" w:oddHBand="0" w:evenHBand="1" w:firstRowFirstColumn="0" w:firstRowLastColumn="0" w:lastRowFirstColumn="0" w:lastRowLastColumn="0"/>
            </w:pPr>
            <w:r>
              <w:t>$822</w:t>
            </w:r>
          </w:p>
        </w:tc>
      </w:tr>
      <w:tr w:rsidR="00D2552F" w14:paraId="1E3F5878" w14:textId="77777777" w:rsidTr="00EE7A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7252DDF4" w14:textId="77777777" w:rsidR="00D2552F" w:rsidRDefault="00D2552F" w:rsidP="00A45D68">
            <w:pPr>
              <w:pStyle w:val="Tabletextleft"/>
            </w:pPr>
            <w:r w:rsidRPr="00D2552F">
              <w:t>Advantage Fit</w:t>
            </w:r>
          </w:p>
        </w:tc>
        <w:tc>
          <w:tcPr>
            <w:tcW w:w="1231" w:type="dxa"/>
          </w:tcPr>
          <w:p w14:paraId="7019DBF0" w14:textId="77777777" w:rsidR="00D2552F" w:rsidRPr="009127BC" w:rsidRDefault="00D2552F" w:rsidP="00A45D68">
            <w:pPr>
              <w:pStyle w:val="Tabletextcentre"/>
              <w:cnfStyle w:val="000000100000" w:firstRow="0" w:lastRow="0" w:firstColumn="0" w:lastColumn="0" w:oddVBand="0" w:evenVBand="0" w:oddHBand="1" w:evenHBand="0" w:firstRowFirstColumn="0" w:firstRowLastColumn="0" w:lastRowFirstColumn="0" w:lastRowLastColumn="0"/>
            </w:pPr>
            <w:r>
              <w:t>RP</w:t>
            </w:r>
          </w:p>
        </w:tc>
        <w:tc>
          <w:tcPr>
            <w:tcW w:w="2696" w:type="dxa"/>
          </w:tcPr>
          <w:p w14:paraId="2B178199" w14:textId="77777777" w:rsidR="00D2552F" w:rsidRDefault="00D2552F" w:rsidP="00A45D68">
            <w:pPr>
              <w:pStyle w:val="Tabletextright0"/>
              <w:cnfStyle w:val="000000100000" w:firstRow="0" w:lastRow="0" w:firstColumn="0" w:lastColumn="0" w:oddVBand="0" w:evenVBand="0" w:oddHBand="1" w:evenHBand="0" w:firstRowFirstColumn="0" w:firstRowLastColumn="0" w:lastRowFirstColumn="0" w:lastRowLastColumn="0"/>
            </w:pPr>
            <w:r>
              <w:t>Boston Scientific Australia Pty. Ltd.</w:t>
            </w:r>
          </w:p>
        </w:tc>
        <w:tc>
          <w:tcPr>
            <w:tcW w:w="1478" w:type="dxa"/>
          </w:tcPr>
          <w:p w14:paraId="3FD3845A" w14:textId="77777777" w:rsidR="00D2552F" w:rsidRPr="004414C7" w:rsidRDefault="00D2552F" w:rsidP="004414C7">
            <w:pPr>
              <w:pStyle w:val="Tabletextright0"/>
              <w:cnfStyle w:val="000000100000" w:firstRow="0" w:lastRow="0" w:firstColumn="0" w:lastColumn="0" w:oddVBand="0" w:evenVBand="0" w:oddHBand="1" w:evenHBand="0" w:firstRowFirstColumn="0" w:firstRowLastColumn="0" w:lastRowFirstColumn="0" w:lastRowLastColumn="0"/>
            </w:pPr>
            <w:r w:rsidRPr="004414C7">
              <w:t>BS404</w:t>
            </w:r>
          </w:p>
        </w:tc>
        <w:tc>
          <w:tcPr>
            <w:tcW w:w="1113" w:type="dxa"/>
          </w:tcPr>
          <w:p w14:paraId="30894C42" w14:textId="77777777" w:rsidR="00D2552F" w:rsidRDefault="00BB77C8" w:rsidP="00A45D68">
            <w:pPr>
              <w:pStyle w:val="Tabletextright0"/>
              <w:cnfStyle w:val="000000100000" w:firstRow="0" w:lastRow="0" w:firstColumn="0" w:lastColumn="0" w:oddVBand="0" w:evenVBand="0" w:oddHBand="1" w:evenHBand="0" w:firstRowFirstColumn="0" w:firstRowLastColumn="0" w:lastRowFirstColumn="0" w:lastRowLastColumn="0"/>
            </w:pPr>
            <w:r>
              <w:t>$822</w:t>
            </w:r>
          </w:p>
        </w:tc>
      </w:tr>
      <w:tr w:rsidR="00D2552F" w14:paraId="2A686B14" w14:textId="77777777" w:rsidTr="00EE7A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7F31BAEC" w14:textId="77777777" w:rsidR="00D2552F" w:rsidRDefault="00D2552F" w:rsidP="00A45D68">
            <w:pPr>
              <w:pStyle w:val="Tabletextleft"/>
            </w:pPr>
            <w:r w:rsidRPr="00D2552F">
              <w:t>GYNECARE TVT™: Device Tension Free Vaginal Tape / EXACT™ Continence System</w:t>
            </w:r>
          </w:p>
        </w:tc>
        <w:tc>
          <w:tcPr>
            <w:tcW w:w="1231" w:type="dxa"/>
          </w:tcPr>
          <w:p w14:paraId="31DCECF1" w14:textId="77777777" w:rsidR="00D2552F" w:rsidRPr="009127BC" w:rsidRDefault="00D2552F" w:rsidP="00A45D68">
            <w:pPr>
              <w:pStyle w:val="Tabletextcentre"/>
              <w:cnfStyle w:val="000000010000" w:firstRow="0" w:lastRow="0" w:firstColumn="0" w:lastColumn="0" w:oddVBand="0" w:evenVBand="0" w:oddHBand="0" w:evenHBand="1" w:firstRowFirstColumn="0" w:firstRowLastColumn="0" w:lastRowFirstColumn="0" w:lastRowLastColumn="0"/>
            </w:pPr>
            <w:r>
              <w:t>RP</w:t>
            </w:r>
          </w:p>
        </w:tc>
        <w:tc>
          <w:tcPr>
            <w:tcW w:w="2696" w:type="dxa"/>
          </w:tcPr>
          <w:p w14:paraId="037AA11C" w14:textId="77777777" w:rsidR="00D2552F" w:rsidRDefault="00D2552F" w:rsidP="004414C7">
            <w:pPr>
              <w:pStyle w:val="Tabletextleft"/>
              <w:cnfStyle w:val="000000010000" w:firstRow="0" w:lastRow="0" w:firstColumn="0" w:lastColumn="0" w:oddVBand="0" w:evenVBand="0" w:oddHBand="0" w:evenHBand="1" w:firstRowFirstColumn="0" w:firstRowLastColumn="0" w:lastRowFirstColumn="0" w:lastRowLastColumn="0"/>
            </w:pPr>
            <w:r w:rsidRPr="00D2552F">
              <w:t>Johnson &amp; Johnson Medical Pty. Ltd.</w:t>
            </w:r>
          </w:p>
        </w:tc>
        <w:tc>
          <w:tcPr>
            <w:tcW w:w="1478" w:type="dxa"/>
          </w:tcPr>
          <w:p w14:paraId="1283748F" w14:textId="77777777" w:rsidR="00D2552F" w:rsidRPr="004414C7" w:rsidRDefault="00D2552F" w:rsidP="004414C7">
            <w:pPr>
              <w:pStyle w:val="Tabletextright0"/>
              <w:cnfStyle w:val="000000010000" w:firstRow="0" w:lastRow="0" w:firstColumn="0" w:lastColumn="0" w:oddVBand="0" w:evenVBand="0" w:oddHBand="0" w:evenHBand="1" w:firstRowFirstColumn="0" w:firstRowLastColumn="0" w:lastRowFirstColumn="0" w:lastRowLastColumn="0"/>
            </w:pPr>
            <w:r w:rsidRPr="004414C7">
              <w:t>JJ070</w:t>
            </w:r>
          </w:p>
        </w:tc>
        <w:tc>
          <w:tcPr>
            <w:tcW w:w="1113" w:type="dxa"/>
          </w:tcPr>
          <w:p w14:paraId="581B4D11" w14:textId="77777777" w:rsidR="00D2552F" w:rsidRDefault="00BB77C8" w:rsidP="00A45D68">
            <w:pPr>
              <w:pStyle w:val="Tabletextright0"/>
              <w:cnfStyle w:val="000000010000" w:firstRow="0" w:lastRow="0" w:firstColumn="0" w:lastColumn="0" w:oddVBand="0" w:evenVBand="0" w:oddHBand="0" w:evenHBand="1" w:firstRowFirstColumn="0" w:firstRowLastColumn="0" w:lastRowFirstColumn="0" w:lastRowLastColumn="0"/>
            </w:pPr>
            <w:r>
              <w:t>$822</w:t>
            </w:r>
          </w:p>
        </w:tc>
      </w:tr>
      <w:tr w:rsidR="00D2552F" w14:paraId="49E47458" w14:textId="77777777" w:rsidTr="00EE7A1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02E0B94F" w14:textId="77777777" w:rsidR="00D2552F" w:rsidRDefault="00D2552F" w:rsidP="00A45D68">
            <w:pPr>
              <w:pStyle w:val="Tabletextleft"/>
            </w:pPr>
            <w:r w:rsidRPr="00D2552F">
              <w:t>GYNECARE TVT™ Obturator System</w:t>
            </w:r>
          </w:p>
        </w:tc>
        <w:tc>
          <w:tcPr>
            <w:tcW w:w="1231" w:type="dxa"/>
          </w:tcPr>
          <w:p w14:paraId="0231B36A" w14:textId="77777777" w:rsidR="00D2552F" w:rsidRPr="009127BC" w:rsidRDefault="00D2552F" w:rsidP="00A45D68">
            <w:pPr>
              <w:pStyle w:val="Tabletextcentre"/>
              <w:cnfStyle w:val="000000100000" w:firstRow="0" w:lastRow="0" w:firstColumn="0" w:lastColumn="0" w:oddVBand="0" w:evenVBand="0" w:oddHBand="1" w:evenHBand="0" w:firstRowFirstColumn="0" w:firstRowLastColumn="0" w:lastRowFirstColumn="0" w:lastRowLastColumn="0"/>
            </w:pPr>
            <w:r>
              <w:t>TO (inside-out)</w:t>
            </w:r>
          </w:p>
        </w:tc>
        <w:tc>
          <w:tcPr>
            <w:tcW w:w="2696" w:type="dxa"/>
          </w:tcPr>
          <w:p w14:paraId="47BCA753" w14:textId="77777777" w:rsidR="00D2552F" w:rsidRDefault="00D2552F" w:rsidP="004414C7">
            <w:pPr>
              <w:pStyle w:val="Tabletextleft"/>
              <w:cnfStyle w:val="000000100000" w:firstRow="0" w:lastRow="0" w:firstColumn="0" w:lastColumn="0" w:oddVBand="0" w:evenVBand="0" w:oddHBand="1" w:evenHBand="0" w:firstRowFirstColumn="0" w:firstRowLastColumn="0" w:lastRowFirstColumn="0" w:lastRowLastColumn="0"/>
            </w:pPr>
            <w:r w:rsidRPr="00D2552F">
              <w:t>Johnson &amp; Johnson Medical Pty. Ltd.</w:t>
            </w:r>
          </w:p>
        </w:tc>
        <w:tc>
          <w:tcPr>
            <w:tcW w:w="1478" w:type="dxa"/>
          </w:tcPr>
          <w:p w14:paraId="2B6C065F" w14:textId="54809AB9" w:rsidR="00D2552F" w:rsidRDefault="00F80807" w:rsidP="004414C7">
            <w:pPr>
              <w:pStyle w:val="Tabletextleft"/>
              <w:cnfStyle w:val="000000100000" w:firstRow="0" w:lastRow="0" w:firstColumn="0" w:lastColumn="0" w:oddVBand="0" w:evenVBand="0" w:oddHBand="1" w:evenHBand="0" w:firstRowFirstColumn="0" w:firstRowLastColumn="0" w:lastRowFirstColumn="0" w:lastRowLastColumn="0"/>
            </w:pPr>
            <w:r>
              <w:t xml:space="preserve">    </w:t>
            </w:r>
            <w:r w:rsidR="00D2552F">
              <w:t>JJ442</w:t>
            </w:r>
          </w:p>
        </w:tc>
        <w:tc>
          <w:tcPr>
            <w:tcW w:w="1113" w:type="dxa"/>
          </w:tcPr>
          <w:p w14:paraId="6A3D39EF" w14:textId="77777777" w:rsidR="00D2552F" w:rsidRDefault="00BB77C8" w:rsidP="00A45D68">
            <w:pPr>
              <w:pStyle w:val="Tabletextright0"/>
              <w:cnfStyle w:val="000000100000" w:firstRow="0" w:lastRow="0" w:firstColumn="0" w:lastColumn="0" w:oddVBand="0" w:evenVBand="0" w:oddHBand="1" w:evenHBand="0" w:firstRowFirstColumn="0" w:firstRowLastColumn="0" w:lastRowFirstColumn="0" w:lastRowLastColumn="0"/>
            </w:pPr>
            <w:r>
              <w:t>$822</w:t>
            </w:r>
          </w:p>
        </w:tc>
      </w:tr>
      <w:tr w:rsidR="00D2552F" w14:paraId="4E8BAA7A" w14:textId="77777777" w:rsidTr="00EE7A1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2" w:type="dxa"/>
          </w:tcPr>
          <w:p w14:paraId="5C502ABC" w14:textId="77777777" w:rsidR="00D2552F" w:rsidRPr="00D2552F" w:rsidRDefault="00D2552F" w:rsidP="00A45D68">
            <w:pPr>
              <w:pStyle w:val="Tabletextleft"/>
            </w:pPr>
            <w:r w:rsidRPr="00D2552F">
              <w:lastRenderedPageBreak/>
              <w:t>GYNECARE TVT™ ABBREVO™ Continence System</w:t>
            </w:r>
          </w:p>
        </w:tc>
        <w:tc>
          <w:tcPr>
            <w:tcW w:w="1231" w:type="dxa"/>
          </w:tcPr>
          <w:p w14:paraId="0A84552D" w14:textId="77777777" w:rsidR="00D2552F" w:rsidRPr="009127BC" w:rsidRDefault="00D2552F" w:rsidP="00A45D68">
            <w:pPr>
              <w:pStyle w:val="Tabletextcentre"/>
              <w:cnfStyle w:val="000000010000" w:firstRow="0" w:lastRow="0" w:firstColumn="0" w:lastColumn="0" w:oddVBand="0" w:evenVBand="0" w:oddHBand="0" w:evenHBand="1" w:firstRowFirstColumn="0" w:firstRowLastColumn="0" w:lastRowFirstColumn="0" w:lastRowLastColumn="0"/>
            </w:pPr>
            <w:r>
              <w:t>TO (inside-out)</w:t>
            </w:r>
          </w:p>
        </w:tc>
        <w:tc>
          <w:tcPr>
            <w:tcW w:w="2696" w:type="dxa"/>
          </w:tcPr>
          <w:p w14:paraId="11C461E3" w14:textId="77777777" w:rsidR="00D2552F" w:rsidRDefault="00D2552F" w:rsidP="004414C7">
            <w:pPr>
              <w:pStyle w:val="Tabletextleft"/>
              <w:cnfStyle w:val="000000010000" w:firstRow="0" w:lastRow="0" w:firstColumn="0" w:lastColumn="0" w:oddVBand="0" w:evenVBand="0" w:oddHBand="0" w:evenHBand="1" w:firstRowFirstColumn="0" w:firstRowLastColumn="0" w:lastRowFirstColumn="0" w:lastRowLastColumn="0"/>
            </w:pPr>
            <w:r w:rsidRPr="00D2552F">
              <w:t>Johnson &amp; Johnson Medical Pty. Ltd.</w:t>
            </w:r>
          </w:p>
        </w:tc>
        <w:tc>
          <w:tcPr>
            <w:tcW w:w="1478" w:type="dxa"/>
          </w:tcPr>
          <w:p w14:paraId="35EC0055" w14:textId="416737D7" w:rsidR="00D2552F" w:rsidRDefault="00F80807" w:rsidP="004414C7">
            <w:pPr>
              <w:pStyle w:val="Tabletextleft"/>
              <w:cnfStyle w:val="000000010000" w:firstRow="0" w:lastRow="0" w:firstColumn="0" w:lastColumn="0" w:oddVBand="0" w:evenVBand="0" w:oddHBand="0" w:evenHBand="1" w:firstRowFirstColumn="0" w:firstRowLastColumn="0" w:lastRowFirstColumn="0" w:lastRowLastColumn="0"/>
            </w:pPr>
            <w:r>
              <w:t xml:space="preserve">   </w:t>
            </w:r>
            <w:r w:rsidR="00D2552F">
              <w:t>MN039</w:t>
            </w:r>
          </w:p>
        </w:tc>
        <w:tc>
          <w:tcPr>
            <w:tcW w:w="1113" w:type="dxa"/>
          </w:tcPr>
          <w:p w14:paraId="39D57F91" w14:textId="77777777" w:rsidR="00D2552F" w:rsidRDefault="00BB77C8" w:rsidP="00A45D68">
            <w:pPr>
              <w:pStyle w:val="Tabletextright0"/>
              <w:cnfStyle w:val="000000010000" w:firstRow="0" w:lastRow="0" w:firstColumn="0" w:lastColumn="0" w:oddVBand="0" w:evenVBand="0" w:oddHBand="0" w:evenHBand="1" w:firstRowFirstColumn="0" w:firstRowLastColumn="0" w:lastRowFirstColumn="0" w:lastRowLastColumn="0"/>
            </w:pPr>
            <w:r>
              <w:t>$822</w:t>
            </w:r>
          </w:p>
        </w:tc>
      </w:tr>
    </w:tbl>
    <w:p w14:paraId="5F17EB20" w14:textId="77777777" w:rsidR="000C0957" w:rsidRDefault="000C0957" w:rsidP="000C0957">
      <w:pPr>
        <w:pStyle w:val="Heading1"/>
      </w:pPr>
      <w:bookmarkStart w:id="5" w:name="_Toc150500789"/>
      <w:bookmarkEnd w:id="4"/>
      <w:r>
        <w:t>Review process</w:t>
      </w:r>
      <w:bookmarkEnd w:id="5"/>
    </w:p>
    <w:p w14:paraId="33A41E8A" w14:textId="77777777" w:rsidR="00D4205D" w:rsidRPr="00D4205D" w:rsidRDefault="00D4205D" w:rsidP="006034D1">
      <w:r w:rsidRPr="00D4205D">
        <w:t>The department engaged a Health Technology Assessment (HTA) group to undertake this focused HTA review in February 2023. The Terms of Reference (ToR) for the review were:</w:t>
      </w:r>
    </w:p>
    <w:p w14:paraId="3A346DE6" w14:textId="77777777" w:rsidR="00D4205D" w:rsidRPr="00D4205D" w:rsidRDefault="00D4205D" w:rsidP="00603D6D">
      <w:pPr>
        <w:pStyle w:val="ListNumber"/>
        <w:numPr>
          <w:ilvl w:val="0"/>
          <w:numId w:val="27"/>
        </w:numPr>
      </w:pPr>
      <w:r w:rsidRPr="00D4205D">
        <w:t>Review the evidence base for the comparative clinical-effectiveness and cost-effectiveness of mid-urethral slings for the treatment of stress urinary incontinence (SUI).</w:t>
      </w:r>
    </w:p>
    <w:p w14:paraId="0868DB43" w14:textId="77777777" w:rsidR="00D4205D" w:rsidRPr="00D4205D" w:rsidRDefault="00D4205D" w:rsidP="00227194">
      <w:pPr>
        <w:pStyle w:val="ListNumber"/>
      </w:pPr>
      <w:r w:rsidRPr="00D4205D">
        <w:t>Review current clinical practice guidelines, HTA and advice from international regulators on the comparative clinical effectiveness and long-term safety of mid-urethral slings for SUI.</w:t>
      </w:r>
    </w:p>
    <w:p w14:paraId="39B0507D" w14:textId="77777777" w:rsidR="00D4205D" w:rsidRPr="00D4205D" w:rsidRDefault="00D4205D" w:rsidP="00227194">
      <w:pPr>
        <w:pStyle w:val="ListNumber"/>
      </w:pPr>
      <w:r w:rsidRPr="00D4205D">
        <w:t>Based on the findings of ToR 1 and 2, provide a report to support the department’s assessment of actions or policy initiatives for mid-urethral sling devices listed on the PL that are used for treatment of SUI.</w:t>
      </w:r>
    </w:p>
    <w:p w14:paraId="3C0C9943" w14:textId="77777777" w:rsidR="00D4205D" w:rsidRPr="00D4205D" w:rsidRDefault="00D4205D" w:rsidP="00D4205D">
      <w:r w:rsidRPr="00D4205D">
        <w:t>The department consulted with affected sponsors and key stakeholders (Attachment A) at various intervals throughout the review process, including eliciting feedback on the draft review recommendations to inform the final report (refer ‘Consultation with stakeholders’ below).</w:t>
      </w:r>
    </w:p>
    <w:p w14:paraId="4A606E9D" w14:textId="77777777" w:rsidR="00D4205D" w:rsidRDefault="00D4205D" w:rsidP="00D4205D">
      <w:r w:rsidRPr="00D4205D">
        <w:t>The final report was provided to the department by the contracted HTA group in July 2023.</w:t>
      </w:r>
    </w:p>
    <w:p w14:paraId="70805D9D" w14:textId="77777777" w:rsidR="00E51C4B" w:rsidRDefault="00E51C4B" w:rsidP="00D4205D">
      <w:r>
        <w:t>The recommendations of the final report were presented to the Medical Devices and Human Tissue Advisory Committee (MDHTAC) for consideration and advice.</w:t>
      </w:r>
    </w:p>
    <w:p w14:paraId="07945569" w14:textId="77777777" w:rsidR="00227194" w:rsidRDefault="00227194" w:rsidP="00227194">
      <w:pPr>
        <w:pStyle w:val="Heading1"/>
      </w:pPr>
      <w:bookmarkStart w:id="6" w:name="_Toc150500790"/>
      <w:r>
        <w:t>Methodology</w:t>
      </w:r>
      <w:bookmarkEnd w:id="6"/>
    </w:p>
    <w:p w14:paraId="609D5CE8" w14:textId="77777777" w:rsidR="000C0957" w:rsidRPr="000C0957" w:rsidRDefault="000C0957" w:rsidP="000C0957">
      <w:pPr>
        <w:pStyle w:val="Heading2"/>
      </w:pPr>
      <w:bookmarkStart w:id="7" w:name="_Toc150500791"/>
      <w:r>
        <w:t>Comparative clinical effectiveness</w:t>
      </w:r>
      <w:bookmarkEnd w:id="7"/>
    </w:p>
    <w:p w14:paraId="1002203A" w14:textId="77777777" w:rsidR="00227194" w:rsidRDefault="00603D6D" w:rsidP="00227194">
      <w:r>
        <w:t xml:space="preserve">The research questions to focus the review of comparative clinical effectiveness </w:t>
      </w:r>
      <w:r w:rsidR="004C754E">
        <w:t>were</w:t>
      </w:r>
      <w:r>
        <w:t>:</w:t>
      </w:r>
    </w:p>
    <w:p w14:paraId="3C9B12C8" w14:textId="77777777" w:rsidR="00603D6D" w:rsidRDefault="00603D6D" w:rsidP="00603D6D">
      <w:pPr>
        <w:pStyle w:val="VisionBox"/>
      </w:pPr>
      <w:r>
        <w:t>1. What is the comparative clinical effectiveness of mid-urethral slings compared to the use of colposuspension,</w:t>
      </w:r>
      <w:r w:rsidR="004C754E">
        <w:t xml:space="preserve"> </w:t>
      </w:r>
      <w:r>
        <w:t>pubovaginal sling</w:t>
      </w:r>
      <w:r w:rsidR="00636C58">
        <w:t xml:space="preserve"> </w:t>
      </w:r>
      <w:r>
        <w:t>(native tissue) or bulking agents for women with stress urinary incontinence?</w:t>
      </w:r>
    </w:p>
    <w:p w14:paraId="242C67F6" w14:textId="77777777" w:rsidR="00790A34" w:rsidRDefault="00603D6D" w:rsidP="00603D6D">
      <w:pPr>
        <w:pStyle w:val="VisionBox"/>
      </w:pPr>
      <w:r>
        <w:t>2. What is the comparative clinical effectiveness of retropubic mid-rethral slings compared to transobturator mid-urethral slings for women with stress urinary incontinence?</w:t>
      </w:r>
    </w:p>
    <w:p w14:paraId="569D1205" w14:textId="77777777" w:rsidR="00790A34" w:rsidRDefault="00790A34" w:rsidP="00790A34">
      <w:r>
        <w:t>These questions were assessed using a rapid review methodology. The approach to evidence identifications consisted of:</w:t>
      </w:r>
    </w:p>
    <w:p w14:paraId="62C938DC" w14:textId="77777777" w:rsidR="00790A34" w:rsidRDefault="00790A34" w:rsidP="00790A34">
      <w:pPr>
        <w:pStyle w:val="ListBullet"/>
      </w:pPr>
      <w:r>
        <w:t>search of HTA agency websites</w:t>
      </w:r>
    </w:p>
    <w:p w14:paraId="5C97311A" w14:textId="77777777" w:rsidR="00790A34" w:rsidRDefault="00790A34" w:rsidP="00790A34">
      <w:pPr>
        <w:pStyle w:val="ListBullet"/>
      </w:pPr>
      <w:r>
        <w:t>search for clinical practice guidelines</w:t>
      </w:r>
    </w:p>
    <w:p w14:paraId="2F43A2D7" w14:textId="11EA47B4" w:rsidR="00790A34" w:rsidRDefault="00790A34" w:rsidP="00790A34">
      <w:pPr>
        <w:pStyle w:val="ListBullet"/>
      </w:pPr>
      <w:r>
        <w:lastRenderedPageBreak/>
        <w:t xml:space="preserve">targeted </w:t>
      </w:r>
      <w:r w:rsidR="00B075D9">
        <w:t xml:space="preserve">clinical </w:t>
      </w:r>
      <w:r>
        <w:t>evidence scan</w:t>
      </w:r>
    </w:p>
    <w:p w14:paraId="50CAD743" w14:textId="77777777" w:rsidR="00790A34" w:rsidRDefault="00790A34" w:rsidP="00790A34">
      <w:pPr>
        <w:pStyle w:val="ListBullet"/>
      </w:pPr>
      <w:r>
        <w:t>review of key documents supplied by the department</w:t>
      </w:r>
    </w:p>
    <w:p w14:paraId="10B11848" w14:textId="77777777" w:rsidR="00790A34" w:rsidRDefault="00790A34" w:rsidP="00790A34">
      <w:pPr>
        <w:pStyle w:val="ListBullet"/>
      </w:pPr>
      <w:r>
        <w:t>review of responses from sponsors and stakeholders.</w:t>
      </w:r>
    </w:p>
    <w:p w14:paraId="74FD4E0E" w14:textId="77777777" w:rsidR="00790A34" w:rsidRDefault="00790A34" w:rsidP="00790A34">
      <w:r>
        <w:t>The comparators selected for this review were:</w:t>
      </w:r>
    </w:p>
    <w:p w14:paraId="34A86F5D" w14:textId="77777777" w:rsidR="00790A34" w:rsidRPr="00790A34" w:rsidRDefault="00790A34" w:rsidP="00790A34">
      <w:pPr>
        <w:pStyle w:val="ListBullet"/>
      </w:pPr>
      <w:r w:rsidRPr="00790A34">
        <w:t>Colposuspension (native tissue) – a surgical procedure whereby the neck of the bladder is lifted and suspended in position using synthetic stitches.</w:t>
      </w:r>
    </w:p>
    <w:p w14:paraId="3CC51B6D" w14:textId="77777777" w:rsidR="00790A34" w:rsidRPr="00790A34" w:rsidRDefault="00790A34" w:rsidP="00790A34">
      <w:pPr>
        <w:pStyle w:val="ListBullet"/>
      </w:pPr>
      <w:r w:rsidRPr="00790A34">
        <w:t>Pubovaginal sling (native tissue) - an abdomino-vaginal surgery using the patient’s own tissue to support the urethra, with an abdominal wall fixation site</w:t>
      </w:r>
      <w:r w:rsidR="00636C58">
        <w:t>.</w:t>
      </w:r>
      <w:r w:rsidRPr="00790A34">
        <w:t xml:space="preserve"> This procedure may also be referred to as an autologous fascial sling, or (autologous) rectus fascial sling</w:t>
      </w:r>
      <w:r w:rsidR="00636C58">
        <w:t>.</w:t>
      </w:r>
    </w:p>
    <w:p w14:paraId="70B9F9DD" w14:textId="77777777" w:rsidR="00790A34" w:rsidRPr="00790A34" w:rsidRDefault="00790A34" w:rsidP="00790A34">
      <w:pPr>
        <w:pStyle w:val="ListBullet"/>
      </w:pPr>
      <w:r w:rsidRPr="00790A34">
        <w:t>Bulking agents- Urethral bulking refers to the injection of a substance into the urethral submucosa at the bladder neck</w:t>
      </w:r>
      <w:r w:rsidR="00636C58">
        <w:t>.</w:t>
      </w:r>
    </w:p>
    <w:p w14:paraId="29B38840" w14:textId="77777777" w:rsidR="004730AA" w:rsidRDefault="004730AA" w:rsidP="000C0957">
      <w:pPr>
        <w:pStyle w:val="Heading2"/>
      </w:pPr>
      <w:bookmarkStart w:id="8" w:name="_Toc150500792"/>
      <w:r>
        <w:t>Clinical practice guidelines and regulatory advice</w:t>
      </w:r>
      <w:bookmarkEnd w:id="8"/>
    </w:p>
    <w:p w14:paraId="677EC78E" w14:textId="3E1250DD" w:rsidR="004730AA" w:rsidRPr="004730AA" w:rsidRDefault="004730AA" w:rsidP="004730AA">
      <w:r w:rsidRPr="004730AA">
        <w:t>Clinical practices guidelines, HTAs and regulatory advice w</w:t>
      </w:r>
      <w:r w:rsidR="00EE7A18">
        <w:t>ere</w:t>
      </w:r>
      <w:r w:rsidRPr="004730AA">
        <w:t xml:space="preserve"> identified from the evidence search</w:t>
      </w:r>
      <w:r>
        <w:t xml:space="preserve">, </w:t>
      </w:r>
      <w:r w:rsidRPr="004730AA">
        <w:t xml:space="preserve">including information provided by sponsors and stakeholders. </w:t>
      </w:r>
      <w:r>
        <w:t>O</w:t>
      </w:r>
      <w:r w:rsidRPr="004730AA">
        <w:t>nly those that are recent, comprehensive and/or from Australian jurisdictions were considered.</w:t>
      </w:r>
    </w:p>
    <w:p w14:paraId="05BA774B" w14:textId="77777777" w:rsidR="00790A34" w:rsidRDefault="000C0957" w:rsidP="000C0957">
      <w:pPr>
        <w:pStyle w:val="Heading2"/>
      </w:pPr>
      <w:bookmarkStart w:id="9" w:name="_Toc150500793"/>
      <w:r>
        <w:t>Comparative cost effectiveness</w:t>
      </w:r>
      <w:bookmarkEnd w:id="9"/>
    </w:p>
    <w:p w14:paraId="5D7F3084" w14:textId="77777777" w:rsidR="000C0957" w:rsidRDefault="001D607A" w:rsidP="000C0957">
      <w:r>
        <w:t xml:space="preserve">The research questions </w:t>
      </w:r>
      <w:r w:rsidR="004730AA">
        <w:t>of the review</w:t>
      </w:r>
      <w:r>
        <w:t xml:space="preserve"> were:</w:t>
      </w:r>
    </w:p>
    <w:p w14:paraId="73752199" w14:textId="77777777" w:rsidR="001D607A" w:rsidRDefault="001D607A" w:rsidP="001D607A">
      <w:pPr>
        <w:pStyle w:val="VisionBox"/>
      </w:pPr>
      <w:r>
        <w:t>1. What evidence is available on the cost-effectiveness of mid-urethral sling compared to the use of bulking agents, colposuspension or pubovaginal sling (native tissue) for women with stress urinary incontinence?</w:t>
      </w:r>
    </w:p>
    <w:p w14:paraId="6F96EF21" w14:textId="77777777" w:rsidR="001D607A" w:rsidRDefault="001D607A" w:rsidP="001D607A">
      <w:pPr>
        <w:pStyle w:val="VisionBox"/>
      </w:pPr>
      <w:r>
        <w:t>2. What evidence is available on the cost-effectiveness of retropubic mid-urethral sling compared to a transobturator mid-urethral sling for women with stress urinary incontinence?</w:t>
      </w:r>
    </w:p>
    <w:p w14:paraId="0C60AB45" w14:textId="77777777" w:rsidR="001D607A" w:rsidRPr="000C0957" w:rsidRDefault="001D607A" w:rsidP="001D607A">
      <w:pPr>
        <w:pStyle w:val="VisionBox"/>
      </w:pPr>
      <w:r>
        <w:t>Can any conclusions be drawn from the evidence base for these questions?</w:t>
      </w:r>
    </w:p>
    <w:p w14:paraId="7397274B" w14:textId="0606B0CA" w:rsidR="001D607A" w:rsidRDefault="001D607A" w:rsidP="001D607A">
      <w:r>
        <w:t xml:space="preserve">The evidence base was assessed following a literature review of existing comparative cost-effectiveness studies and </w:t>
      </w:r>
      <w:r w:rsidR="00EE7A18">
        <w:t>an assessment of</w:t>
      </w:r>
      <w:r w:rsidR="0000524A">
        <w:t xml:space="preserve"> </w:t>
      </w:r>
      <w:r>
        <w:t xml:space="preserve">additional evidence provided by the department, </w:t>
      </w:r>
      <w:r w:rsidR="00592A8D">
        <w:t>sponsors</w:t>
      </w:r>
      <w:r>
        <w:t xml:space="preserve"> </w:t>
      </w:r>
      <w:r w:rsidR="00B46AE6">
        <w:t>and</w:t>
      </w:r>
      <w:r>
        <w:t xml:space="preserve"> stakeholders.</w:t>
      </w:r>
    </w:p>
    <w:p w14:paraId="08CB4F0D" w14:textId="77777777" w:rsidR="001D607A" w:rsidRDefault="001D607A" w:rsidP="001D607A">
      <w:r>
        <w:t>A literature search was undertaken to identify published comparative economic evaluations that focus on surgical interventions for SUI including MUS. The economic evaluations included for assessment were cost-effectiveness analyses, cost-utility analyses, and cost-benefit analyses. Studies that included only comparative cost analyses were not included.</w:t>
      </w:r>
    </w:p>
    <w:p w14:paraId="7AA4614A" w14:textId="77777777" w:rsidR="001D607A" w:rsidRDefault="001D607A" w:rsidP="00227194">
      <w:pPr>
        <w:pStyle w:val="Heading2"/>
      </w:pPr>
      <w:bookmarkStart w:id="10" w:name="_Toc150500794"/>
      <w:r>
        <w:t>Cost analysis</w:t>
      </w:r>
      <w:bookmarkEnd w:id="10"/>
    </w:p>
    <w:p w14:paraId="0F353D3C" w14:textId="77777777" w:rsidR="001D607A" w:rsidRPr="001D607A" w:rsidRDefault="001D607A" w:rsidP="001D607A">
      <w:r w:rsidRPr="001D607A">
        <w:t>The scope of this review included an analysis of the total cost of MUS implantation for SUI in the Australian health care setting, including the cost of the device, implantation procedure and associated resource use.</w:t>
      </w:r>
    </w:p>
    <w:p w14:paraId="087AE943" w14:textId="1AC4E935" w:rsidR="00227194" w:rsidRDefault="00B146F2" w:rsidP="00227194">
      <w:pPr>
        <w:pStyle w:val="Heading1"/>
      </w:pPr>
      <w:bookmarkStart w:id="11" w:name="_Toc150500795"/>
      <w:r>
        <w:lastRenderedPageBreak/>
        <w:t>F</w:t>
      </w:r>
      <w:r w:rsidR="00227194">
        <w:t>indings</w:t>
      </w:r>
      <w:bookmarkEnd w:id="11"/>
    </w:p>
    <w:p w14:paraId="6E53673C" w14:textId="77777777" w:rsidR="004C754E" w:rsidRPr="004C754E" w:rsidRDefault="004C754E" w:rsidP="001D607A">
      <w:pPr>
        <w:pStyle w:val="Heading2"/>
      </w:pPr>
      <w:bookmarkStart w:id="12" w:name="_Toc150500796"/>
      <w:r>
        <w:t>Comparative clinical effectiveness</w:t>
      </w:r>
      <w:r w:rsidR="004730AA">
        <w:t xml:space="preserve"> and clinical practice guidelines</w:t>
      </w:r>
      <w:bookmarkEnd w:id="12"/>
    </w:p>
    <w:p w14:paraId="10AC55F8" w14:textId="52222F4B" w:rsidR="00227194" w:rsidRDefault="00227194" w:rsidP="00592A8D">
      <w:r>
        <w:t>The findings relating to the comparative clinical effectiveness of MUS are based predominately on the 2019 NICE Guideline Urinary incontinence and pelvic organ prolapse in women: management (NICE 2019).</w:t>
      </w:r>
    </w:p>
    <w:p w14:paraId="3E6AD799" w14:textId="77777777" w:rsidR="00227194" w:rsidRDefault="00227194" w:rsidP="00592A8D">
      <w:r>
        <w:t>The evidence base supports the place of MUS in the treatment of SUI, demonstrating comparable effectiveness to alternative surgical interventions. In international analyses, MUS is cost-effective based on lower procedure costs than alternative surgical interventions.</w:t>
      </w:r>
    </w:p>
    <w:p w14:paraId="23DDCD85" w14:textId="047D41C4" w:rsidR="00227194" w:rsidRDefault="00227194" w:rsidP="00592A8D">
      <w:r>
        <w:t xml:space="preserve">Of the </w:t>
      </w:r>
      <w:r w:rsidR="00EE7A18">
        <w:t xml:space="preserve">2 </w:t>
      </w:r>
      <w:r>
        <w:t>types of MUS devices listed on the PL, the evidence base appears to favour RP-MUS over TO-MUS and this is consistently recommended in clinical practice guidelines. However, a role for TO-MUS appears to remain in limited clinical circumstances.</w:t>
      </w:r>
    </w:p>
    <w:p w14:paraId="0F221EFE" w14:textId="77777777" w:rsidR="00227194" w:rsidRDefault="00227194" w:rsidP="00592A8D">
      <w:r>
        <w:t>Therefore, the comparative clinical effectiveness, long-term outcomes and clinical practice guidelines are all consistent with the care pathway as specified by the Australian Commission for Safety and Quality in Health Care.</w:t>
      </w:r>
    </w:p>
    <w:p w14:paraId="51C8FF54" w14:textId="3B026F42" w:rsidR="00B46AE6" w:rsidRDefault="00B46AE6" w:rsidP="00592A8D">
      <w:r>
        <w:t>Analysis of departmental Casemix data for PL billings indicated that RP-MUS were used predominantly, with TO-MUS used in lower volumes. This was noted to be broadly consistent with the clinical evidence base and clinical practice guidelines.</w:t>
      </w:r>
    </w:p>
    <w:p w14:paraId="2B0BA82D" w14:textId="77777777" w:rsidR="001D607A" w:rsidRDefault="001D607A" w:rsidP="001D607A">
      <w:pPr>
        <w:pStyle w:val="Heading2"/>
      </w:pPr>
      <w:bookmarkStart w:id="13" w:name="_Toc150500797"/>
      <w:r>
        <w:t>Comparative cost effectiveness</w:t>
      </w:r>
      <w:r w:rsidR="00987101">
        <w:t xml:space="preserve"> and cost analysis</w:t>
      </w:r>
      <w:bookmarkEnd w:id="13"/>
    </w:p>
    <w:p w14:paraId="793F9F22" w14:textId="5450B6CC" w:rsidR="00227194" w:rsidRDefault="00227194" w:rsidP="00592A8D">
      <w:r>
        <w:t>Although cost-effectiveness analyses from other jurisdictions may have limited applicability to</w:t>
      </w:r>
      <w:r w:rsidR="00592A8D">
        <w:t xml:space="preserve"> </w:t>
      </w:r>
      <w:r>
        <w:t xml:space="preserve">the Australian setting, </w:t>
      </w:r>
      <w:r w:rsidR="00EE7A18">
        <w:t xml:space="preserve">4 </w:t>
      </w:r>
      <w:r>
        <w:t xml:space="preserve">modelled economic studies that compared MUS to alternative surgical interventions all found MUS to be cost-effective. Most of the included economic studies found that cost-effectiveness was driven by the cost of the device itself or the device </w:t>
      </w:r>
      <w:r w:rsidR="00592A8D">
        <w:t>procedure and</w:t>
      </w:r>
      <w:r>
        <w:t xml:space="preserve"> were limited by the extrapolation of effectiveness and complication rates over the long-term.</w:t>
      </w:r>
    </w:p>
    <w:p w14:paraId="18C8E4EC" w14:textId="37C38C49" w:rsidR="00227194" w:rsidRDefault="00227194" w:rsidP="00592A8D">
      <w:r>
        <w:t>In considering the cost of the MUS procedure in the Australian setting, the main costs are for the device ($822 PL benefit) and the procedure, which has a total MBS cost of $1,287. Additional costs may include pre-surgical tests such as urodynamic analysis and post-surgical pharmaceutical costs. Estimates of hospital costs are uncertain as there is</w:t>
      </w:r>
      <w:r w:rsidR="0000524A">
        <w:t xml:space="preserve"> no specific Australian Refined Diagnosis Related Groups (AR-DRG) </w:t>
      </w:r>
      <w:r>
        <w:t>for the procedure.</w:t>
      </w:r>
    </w:p>
    <w:p w14:paraId="6E02F817" w14:textId="77777777" w:rsidR="00636C58" w:rsidRDefault="00636C58" w:rsidP="00636C58">
      <w:pPr>
        <w:pStyle w:val="Heading2"/>
      </w:pPr>
      <w:bookmarkStart w:id="14" w:name="_Toc150500798"/>
      <w:r>
        <w:t>Stakeholder consultation</w:t>
      </w:r>
      <w:bookmarkEnd w:id="14"/>
    </w:p>
    <w:p w14:paraId="02F479B4" w14:textId="77777777" w:rsidR="00636C58" w:rsidRDefault="00636C58" w:rsidP="00636C58">
      <w:r>
        <w:t>The draft report outlining the proposed recommendations of the review was circulated for consultation with affected sponsors and key stakeholders between 2 June 2023 and 7 July 2023.</w:t>
      </w:r>
    </w:p>
    <w:p w14:paraId="77ED9EDE" w14:textId="77777777" w:rsidR="00636C58" w:rsidRDefault="00636C58" w:rsidP="00636C58">
      <w:r>
        <w:t>Noting that the recommendations suggested no change to existing listings and benefits, no major concerns were raised by stakeholders with the draft report. Two issues of note were identified during consultation:</w:t>
      </w:r>
    </w:p>
    <w:p w14:paraId="4F8B15A1" w14:textId="3BB07B2E" w:rsidR="00636C58" w:rsidRDefault="00636C58" w:rsidP="00520B0B">
      <w:pPr>
        <w:pStyle w:val="ListNumber"/>
        <w:numPr>
          <w:ilvl w:val="0"/>
          <w:numId w:val="29"/>
        </w:numPr>
      </w:pPr>
      <w:r>
        <w:t xml:space="preserve">There was a suggestion to consider listing RP-MUS and TO-MUS separately due to the variance in surgical technique for insertion of the </w:t>
      </w:r>
      <w:r w:rsidR="00EE7A18">
        <w:t xml:space="preserve">2 </w:t>
      </w:r>
      <w:r>
        <w:t>devices that require specific training.</w:t>
      </w:r>
      <w:r w:rsidR="00520B0B">
        <w:t xml:space="preserve"> </w:t>
      </w:r>
      <w:r>
        <w:lastRenderedPageBreak/>
        <w:t>As the purpose of the PL is benefit setting, and RP-MUS and TO-MUS perform similar clinical functions, the recommendation that these items continue to be listed in a single group has been maintained. There was no evidence to support differential benefits, and it is considered that simplicity of the PL is a primary consideration during reform and as such, it is preferred to group like products together where possible.</w:t>
      </w:r>
    </w:p>
    <w:p w14:paraId="43CE6660" w14:textId="6D3558C4" w:rsidR="00636C58" w:rsidRDefault="00636C58" w:rsidP="007717FC">
      <w:pPr>
        <w:pStyle w:val="ListNumber"/>
      </w:pPr>
      <w:r>
        <w:t>Although evidence suggests there is a clinical preference for RP-MUS, there is a need to retain TO-MUS for some patients for whom this is the most suitable (or only) option. It was noted that a formal post market surveillance tool or registry would be a useful tool to monitor the</w:t>
      </w:r>
      <w:r w:rsidR="007717FC">
        <w:t>se devices</w:t>
      </w:r>
      <w:r>
        <w:t>.</w:t>
      </w:r>
    </w:p>
    <w:p w14:paraId="603A4B9D" w14:textId="0A0FBB21" w:rsidR="00636C58" w:rsidRDefault="007717FC" w:rsidP="00520B0B">
      <w:r>
        <w:t xml:space="preserve">The </w:t>
      </w:r>
      <w:r w:rsidR="00C044C1" w:rsidRPr="006034D1">
        <w:t>Australasian Pelvic Floor Procedure Registry</w:t>
      </w:r>
      <w:r w:rsidR="00C044C1">
        <w:t xml:space="preserve"> </w:t>
      </w:r>
      <w:r>
        <w:t>provides data related to mid-urethral slings and this was considered in the HTA group’s report</w:t>
      </w:r>
      <w:r w:rsidR="00C044C1">
        <w:t>, though sample sizes remain small</w:t>
      </w:r>
      <w:r>
        <w:t>.  Ongoing</w:t>
      </w:r>
      <w:r w:rsidR="00636C58">
        <w:t xml:space="preserve"> post market surveillance </w:t>
      </w:r>
      <w:r>
        <w:t xml:space="preserve">applies to these devices and </w:t>
      </w:r>
      <w:r w:rsidR="00636C58">
        <w:t>fall</w:t>
      </w:r>
      <w:r>
        <w:t>s</w:t>
      </w:r>
      <w:r w:rsidR="00636C58">
        <w:t xml:space="preserve"> under the remit of the </w:t>
      </w:r>
      <w:r w:rsidR="00E51C4B">
        <w:t>TGA</w:t>
      </w:r>
      <w:r w:rsidR="00636C58">
        <w:t xml:space="preserve"> as the regulator of medical devices</w:t>
      </w:r>
      <w:r>
        <w:t>,</w:t>
      </w:r>
      <w:r w:rsidR="00636C58">
        <w:t xml:space="preserve"> and</w:t>
      </w:r>
      <w:r w:rsidR="00EE7A18">
        <w:t>,</w:t>
      </w:r>
      <w:r w:rsidR="00636C58">
        <w:t xml:space="preserve"> is therefore out of scope for the purposes of this review.</w:t>
      </w:r>
    </w:p>
    <w:p w14:paraId="37739E9A" w14:textId="57888223" w:rsidR="00227194" w:rsidRPr="004414C7" w:rsidRDefault="00AC645E" w:rsidP="00927C4D">
      <w:pPr>
        <w:pStyle w:val="Heading1"/>
        <w:rPr>
          <w:rStyle w:val="Strong"/>
        </w:rPr>
      </w:pPr>
      <w:bookmarkStart w:id="15" w:name="_Toc150500799"/>
      <w:r w:rsidRPr="004414C7">
        <w:rPr>
          <w:rStyle w:val="Strong"/>
        </w:rPr>
        <w:t>R</w:t>
      </w:r>
      <w:r w:rsidR="00227194" w:rsidRPr="004414C7">
        <w:rPr>
          <w:rStyle w:val="Strong"/>
        </w:rPr>
        <w:t>ecommendation</w:t>
      </w:r>
      <w:r w:rsidR="002B1ADA" w:rsidRPr="004414C7">
        <w:rPr>
          <w:rStyle w:val="Strong"/>
        </w:rPr>
        <w:t>s</w:t>
      </w:r>
      <w:bookmarkEnd w:id="15"/>
    </w:p>
    <w:p w14:paraId="6998483E" w14:textId="77777777" w:rsidR="00227194" w:rsidRPr="006034D1" w:rsidRDefault="00227194" w:rsidP="006034D1">
      <w:pPr>
        <w:pStyle w:val="ListBullet"/>
      </w:pPr>
      <w:r w:rsidRPr="006034D1">
        <w:t>Continue to list both RP-MUS and TO-MUS devices on the PL.</w:t>
      </w:r>
    </w:p>
    <w:p w14:paraId="12186B9C" w14:textId="77777777" w:rsidR="00227194" w:rsidRPr="006034D1" w:rsidRDefault="00227194" w:rsidP="006034D1">
      <w:pPr>
        <w:pStyle w:val="ListBullet2"/>
      </w:pPr>
      <w:r w:rsidRPr="006034D1">
        <w:t>As both approaches are for similar clinical indications and both types of devices have similar technical characteristics there is no justification for listing them in separate groups.</w:t>
      </w:r>
    </w:p>
    <w:p w14:paraId="4DE50787" w14:textId="2CF9C334" w:rsidR="00987101" w:rsidRPr="006034D1" w:rsidRDefault="00227194" w:rsidP="006034D1">
      <w:pPr>
        <w:pStyle w:val="ListBullet2"/>
      </w:pPr>
      <w:r w:rsidRPr="006034D1">
        <w:t>MUS is likely to be cost-effective at the current benefit based on a lower expected procedure</w:t>
      </w:r>
      <w:r w:rsidR="006034D1">
        <w:t xml:space="preserve"> </w:t>
      </w:r>
      <w:r w:rsidRPr="006034D1">
        <w:t>cost than the comparators, with similar effectiveness. The annual cost to the PL in 2021-22 was $8</w:t>
      </w:r>
      <w:r w:rsidR="00F50BCE">
        <w:t>33</w:t>
      </w:r>
      <w:r w:rsidRPr="006034D1">
        <w:t xml:space="preserve">,000. No evidence was </w:t>
      </w:r>
      <w:r w:rsidR="0000524A">
        <w:t>identified</w:t>
      </w:r>
      <w:r w:rsidRPr="006034D1">
        <w:t xml:space="preserve"> to support a change to the current benefit.</w:t>
      </w:r>
    </w:p>
    <w:p w14:paraId="6B02E27E" w14:textId="4B0A8201" w:rsidR="00987101" w:rsidRPr="006034D1" w:rsidRDefault="00C044C1" w:rsidP="00EE7A18">
      <w:pPr>
        <w:pStyle w:val="ListBullet"/>
      </w:pPr>
      <w:r>
        <w:t xml:space="preserve">Monitor and respond appropriately to any changes in regulatory advice from </w:t>
      </w:r>
      <w:r w:rsidR="00987101" w:rsidRPr="006034D1">
        <w:t>the TGA</w:t>
      </w:r>
      <w:r>
        <w:t xml:space="preserve"> regarding the safety and performance of MUS devices</w:t>
      </w:r>
      <w:r w:rsidR="00987101" w:rsidRPr="006034D1">
        <w:t xml:space="preserve"> </w:t>
      </w:r>
    </w:p>
    <w:p w14:paraId="68B7EF16" w14:textId="4B8B2638" w:rsidR="00227194" w:rsidRPr="006034D1" w:rsidRDefault="00593BC4" w:rsidP="006034D1">
      <w:pPr>
        <w:pStyle w:val="ListBullet"/>
      </w:pPr>
      <w:r>
        <w:t>C</w:t>
      </w:r>
      <w:r w:rsidR="00987101" w:rsidRPr="006034D1">
        <w:t>ontinue to monitor utilisation data for RP</w:t>
      </w:r>
      <w:r w:rsidR="00EE7A18">
        <w:t>-MUS</w:t>
      </w:r>
      <w:r w:rsidR="00987101" w:rsidRPr="006034D1">
        <w:t xml:space="preserve"> and TO</w:t>
      </w:r>
      <w:r w:rsidR="006034D1">
        <w:t>-</w:t>
      </w:r>
      <w:r w:rsidR="00987101" w:rsidRPr="006034D1">
        <w:t>MUS devices to ensure use aligns with clinical recommendations in favour of a RP-MUS approach.</w:t>
      </w:r>
    </w:p>
    <w:p w14:paraId="735C0DCF" w14:textId="7348FF27" w:rsidR="00DC7910" w:rsidRDefault="000B0135" w:rsidP="00B25DEE">
      <w:pPr>
        <w:pStyle w:val="Heading1"/>
      </w:pPr>
      <w:bookmarkStart w:id="16" w:name="_Toc150500800"/>
      <w:r>
        <w:t>Conclusion and outcome</w:t>
      </w:r>
      <w:r w:rsidR="004618D5">
        <w:t xml:space="preserve"> of the review</w:t>
      </w:r>
      <w:bookmarkEnd w:id="16"/>
    </w:p>
    <w:p w14:paraId="2D8AB0D7" w14:textId="12E015DF" w:rsidR="00165092" w:rsidRDefault="00165092" w:rsidP="00165092">
      <w:r>
        <w:t xml:space="preserve">The </w:t>
      </w:r>
      <w:r w:rsidR="00AD769B">
        <w:t>HTA</w:t>
      </w:r>
      <w:r>
        <w:t xml:space="preserve"> final report w</w:t>
      </w:r>
      <w:r w:rsidR="007049BA">
        <w:t>as</w:t>
      </w:r>
      <w:r>
        <w:t xml:space="preserve"> considered by the MDHTAC at its September 2023 meeting. MDHTAC support</w:t>
      </w:r>
      <w:r w:rsidR="00EE7A18">
        <w:t>ed</w:t>
      </w:r>
      <w:r>
        <w:t xml:space="preserve"> the recommendations </w:t>
      </w:r>
      <w:r w:rsidR="007049BA">
        <w:t>made in the HTA report</w:t>
      </w:r>
      <w:r>
        <w:t>, with no concerns raised.</w:t>
      </w:r>
    </w:p>
    <w:p w14:paraId="3CAEFEA6" w14:textId="39B3BD9D" w:rsidR="00165092" w:rsidRDefault="00165092" w:rsidP="00165092">
      <w:r>
        <w:t xml:space="preserve">Following MDHTAC’s consideration, the Delegate confirmed support for the reviews’ key </w:t>
      </w:r>
      <w:r w:rsidR="00AD769B">
        <w:t>findings and</w:t>
      </w:r>
      <w:r w:rsidR="007049BA">
        <w:t xml:space="preserve"> MDHTAC’s advice </w:t>
      </w:r>
      <w:r>
        <w:t>to retain existing listings and associated benefits for all urogynaecological mesh devices currently listed on the PL.</w:t>
      </w:r>
    </w:p>
    <w:p w14:paraId="206BF847" w14:textId="62B7D7C0" w:rsidR="00165092" w:rsidRDefault="00165092" w:rsidP="00165092">
      <w:r>
        <w:t>It was further agreed that the department w</w:t>
      </w:r>
      <w:r w:rsidR="004730AA">
        <w:t>ill</w:t>
      </w:r>
      <w:r>
        <w:t xml:space="preserve"> consider how it may progress the </w:t>
      </w:r>
      <w:r w:rsidR="00EE7A18">
        <w:t xml:space="preserve">2 </w:t>
      </w:r>
      <w:r>
        <w:t xml:space="preserve">additional policy </w:t>
      </w:r>
      <w:r w:rsidR="006034D1">
        <w:t xml:space="preserve">recommendations </w:t>
      </w:r>
      <w:r w:rsidR="005D5A2A">
        <w:t>raised</w:t>
      </w:r>
      <w:r>
        <w:t xml:space="preserve"> by the HTA Group as part of the review in the future, namely:</w:t>
      </w:r>
      <w:r w:rsidR="005D5A2A">
        <w:t xml:space="preserve"> monitoring and responding to relevant regulatory advice from</w:t>
      </w:r>
      <w:r w:rsidR="00EE7A18">
        <w:t xml:space="preserve"> the</w:t>
      </w:r>
      <w:r w:rsidR="005D5A2A">
        <w:t xml:space="preserve"> TGA; and monitoring PL utilisation data.</w:t>
      </w:r>
    </w:p>
    <w:p w14:paraId="69208AB1" w14:textId="77777777" w:rsidR="00165092" w:rsidRPr="00165092" w:rsidRDefault="00165092" w:rsidP="00165092">
      <w:r>
        <w:t>No further action was required to finalise the outcome of this review, which formally concluded in October 2023.</w:t>
      </w:r>
    </w:p>
    <w:p w14:paraId="20758C68" w14:textId="77777777" w:rsidR="00636C58" w:rsidRPr="00636C58" w:rsidRDefault="00636C58" w:rsidP="00934368">
      <w:pPr>
        <w:pStyle w:val="PolicyStatement"/>
        <w:rPr>
          <w:rStyle w:val="IntenseEmphasis"/>
        </w:rPr>
      </w:pPr>
      <w:r w:rsidRPr="00636C58">
        <w:rPr>
          <w:rStyle w:val="IntenseEmphasis"/>
        </w:rPr>
        <w:t>Outcome</w:t>
      </w:r>
      <w:r>
        <w:rPr>
          <w:rStyle w:val="IntenseEmphasis"/>
        </w:rPr>
        <w:t xml:space="preserve"> of the post-listing review</w:t>
      </w:r>
    </w:p>
    <w:p w14:paraId="63B6FA29" w14:textId="413ABF80" w:rsidR="00603D6D" w:rsidRPr="004414C7" w:rsidRDefault="00636C58" w:rsidP="004414C7">
      <w:pPr>
        <w:pStyle w:val="PolicyStatement"/>
      </w:pPr>
      <w:r>
        <w:lastRenderedPageBreak/>
        <w:t>To r</w:t>
      </w:r>
      <w:r w:rsidR="004730AA" w:rsidRPr="004730AA">
        <w:t xml:space="preserve">etain existing listings and associated benefits for all urogynaecological </w:t>
      </w:r>
      <w:r w:rsidR="00161A2F">
        <w:t>mid-urethral sling</w:t>
      </w:r>
      <w:r w:rsidR="004730AA" w:rsidRPr="004730AA">
        <w:t xml:space="preserve"> devices currently listed on the P</w:t>
      </w:r>
      <w:r>
        <w:t xml:space="preserve">rescribed </w:t>
      </w:r>
      <w:r w:rsidR="004730AA" w:rsidRPr="004730AA">
        <w:t>L</w:t>
      </w:r>
      <w:r>
        <w:t>ist</w:t>
      </w:r>
      <w:r w:rsidR="004730AA">
        <w:t>.</w:t>
      </w:r>
    </w:p>
    <w:sectPr w:rsidR="00603D6D" w:rsidRPr="004414C7" w:rsidSect="00A74345">
      <w:headerReference w:type="default" r:id="rId13"/>
      <w:footerReference w:type="default" r:id="rId1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9B0A" w14:textId="77777777" w:rsidR="0002262B" w:rsidRDefault="0002262B" w:rsidP="00934368">
      <w:r>
        <w:separator/>
      </w:r>
    </w:p>
    <w:p w14:paraId="0BA381AA" w14:textId="77777777" w:rsidR="0002262B" w:rsidRDefault="0002262B" w:rsidP="00934368"/>
  </w:endnote>
  <w:endnote w:type="continuationSeparator" w:id="0">
    <w:p w14:paraId="3981E584" w14:textId="77777777" w:rsidR="0002262B" w:rsidRDefault="0002262B" w:rsidP="00934368">
      <w:r>
        <w:continuationSeparator/>
      </w:r>
    </w:p>
    <w:p w14:paraId="474EC4EE" w14:textId="77777777" w:rsidR="0002262B" w:rsidRDefault="0002262B" w:rsidP="00934368"/>
  </w:endnote>
  <w:endnote w:type="continuationNotice" w:id="1">
    <w:p w14:paraId="0FEA677E" w14:textId="77777777" w:rsidR="0002262B" w:rsidRDefault="0002262B"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15F" w14:textId="47D0A2B1" w:rsidR="00751A23" w:rsidRPr="00751A23" w:rsidRDefault="00B25DEE" w:rsidP="00B25DEE">
    <w:pPr>
      <w:pStyle w:val="Footer"/>
      <w:jc w:val="left"/>
    </w:pPr>
    <w:r>
      <w:t>Urogynaecological mesh devices (mid-urethral slings)</w:t>
    </w:r>
    <w:r w:rsidR="00394CBA">
      <w:t xml:space="preserve">: </w:t>
    </w:r>
    <w:r w:rsidR="00AC645E">
      <w:t>p</w:t>
    </w:r>
    <w:r w:rsidR="00394CBA">
      <w:t>ost-listing review report</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D65B" w14:textId="77777777" w:rsidR="0002262B" w:rsidRDefault="0002262B" w:rsidP="00934368">
      <w:r>
        <w:separator/>
      </w:r>
    </w:p>
    <w:p w14:paraId="760626AA" w14:textId="77777777" w:rsidR="0002262B" w:rsidRDefault="0002262B" w:rsidP="00934368"/>
  </w:footnote>
  <w:footnote w:type="continuationSeparator" w:id="0">
    <w:p w14:paraId="3B8AEAFB" w14:textId="77777777" w:rsidR="0002262B" w:rsidRDefault="0002262B" w:rsidP="00934368">
      <w:r>
        <w:continuationSeparator/>
      </w:r>
    </w:p>
    <w:p w14:paraId="5B657B58" w14:textId="77777777" w:rsidR="0002262B" w:rsidRDefault="0002262B" w:rsidP="00934368"/>
  </w:footnote>
  <w:footnote w:type="continuationNotice" w:id="1">
    <w:p w14:paraId="46DAD332" w14:textId="77777777" w:rsidR="0002262B" w:rsidRDefault="0002262B"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A5D4"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52B0EC14" wp14:editId="685D9926">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C2D4"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D2C77B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3E3898"/>
    <w:multiLevelType w:val="hybridMultilevel"/>
    <w:tmpl w:val="91C007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16543465">
    <w:abstractNumId w:val="7"/>
  </w:num>
  <w:num w:numId="2" w16cid:durableId="1615943357">
    <w:abstractNumId w:val="15"/>
  </w:num>
  <w:num w:numId="3" w16cid:durableId="973632849">
    <w:abstractNumId w:val="18"/>
  </w:num>
  <w:num w:numId="4" w16cid:durableId="258178766">
    <w:abstractNumId w:val="8"/>
  </w:num>
  <w:num w:numId="5" w16cid:durableId="465009928">
    <w:abstractNumId w:val="8"/>
    <w:lvlOverride w:ilvl="0">
      <w:startOverride w:val="1"/>
    </w:lvlOverride>
  </w:num>
  <w:num w:numId="6" w16cid:durableId="1134560847">
    <w:abstractNumId w:val="9"/>
  </w:num>
  <w:num w:numId="7" w16cid:durableId="430132044">
    <w:abstractNumId w:val="13"/>
  </w:num>
  <w:num w:numId="8" w16cid:durableId="868759120">
    <w:abstractNumId w:val="17"/>
  </w:num>
  <w:num w:numId="9" w16cid:durableId="1681082361">
    <w:abstractNumId w:val="5"/>
  </w:num>
  <w:num w:numId="10" w16cid:durableId="1221671000">
    <w:abstractNumId w:val="4"/>
  </w:num>
  <w:num w:numId="11" w16cid:durableId="1620725505">
    <w:abstractNumId w:val="3"/>
  </w:num>
  <w:num w:numId="12" w16cid:durableId="360280111">
    <w:abstractNumId w:val="2"/>
  </w:num>
  <w:num w:numId="13" w16cid:durableId="959267880">
    <w:abstractNumId w:val="6"/>
  </w:num>
  <w:num w:numId="14" w16cid:durableId="1085540483">
    <w:abstractNumId w:val="1"/>
  </w:num>
  <w:num w:numId="15" w16cid:durableId="1535773654">
    <w:abstractNumId w:val="0"/>
  </w:num>
  <w:num w:numId="16" w16cid:durableId="2138142923">
    <w:abstractNumId w:val="19"/>
  </w:num>
  <w:num w:numId="17" w16cid:durableId="2058432228">
    <w:abstractNumId w:val="10"/>
  </w:num>
  <w:num w:numId="18" w16cid:durableId="1139614092">
    <w:abstractNumId w:val="11"/>
  </w:num>
  <w:num w:numId="19" w16cid:durableId="1184903814">
    <w:abstractNumId w:val="12"/>
  </w:num>
  <w:num w:numId="20" w16cid:durableId="238906111">
    <w:abstractNumId w:val="10"/>
  </w:num>
  <w:num w:numId="21" w16cid:durableId="326910068">
    <w:abstractNumId w:val="12"/>
  </w:num>
  <w:num w:numId="22" w16cid:durableId="627204322">
    <w:abstractNumId w:val="19"/>
  </w:num>
  <w:num w:numId="23" w16cid:durableId="1546288447">
    <w:abstractNumId w:val="15"/>
  </w:num>
  <w:num w:numId="24" w16cid:durableId="1243949835">
    <w:abstractNumId w:val="18"/>
  </w:num>
  <w:num w:numId="25" w16cid:durableId="333923212">
    <w:abstractNumId w:val="8"/>
  </w:num>
  <w:num w:numId="26" w16cid:durableId="1648972715">
    <w:abstractNumId w:val="14"/>
  </w:num>
  <w:num w:numId="27" w16cid:durableId="75906408">
    <w:abstractNumId w:val="6"/>
    <w:lvlOverride w:ilvl="0">
      <w:startOverride w:val="1"/>
    </w:lvlOverride>
  </w:num>
  <w:num w:numId="28" w16cid:durableId="905070741">
    <w:abstractNumId w:val="16"/>
  </w:num>
  <w:num w:numId="29" w16cid:durableId="131394547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B1"/>
    <w:rsid w:val="00001F41"/>
    <w:rsid w:val="00003743"/>
    <w:rsid w:val="000047B4"/>
    <w:rsid w:val="0000524A"/>
    <w:rsid w:val="00005712"/>
    <w:rsid w:val="00007FD8"/>
    <w:rsid w:val="000117F8"/>
    <w:rsid w:val="000221B8"/>
    <w:rsid w:val="0002262B"/>
    <w:rsid w:val="00026139"/>
    <w:rsid w:val="00027071"/>
    <w:rsid w:val="00027601"/>
    <w:rsid w:val="00033321"/>
    <w:rsid w:val="000338E5"/>
    <w:rsid w:val="00033ECC"/>
    <w:rsid w:val="0003422F"/>
    <w:rsid w:val="00036BE3"/>
    <w:rsid w:val="00046FF0"/>
    <w:rsid w:val="00050176"/>
    <w:rsid w:val="00062B65"/>
    <w:rsid w:val="00067456"/>
    <w:rsid w:val="000677CF"/>
    <w:rsid w:val="00071506"/>
    <w:rsid w:val="0007154F"/>
    <w:rsid w:val="00081AB1"/>
    <w:rsid w:val="00083759"/>
    <w:rsid w:val="00083ECB"/>
    <w:rsid w:val="00090316"/>
    <w:rsid w:val="00093981"/>
    <w:rsid w:val="00093CD9"/>
    <w:rsid w:val="000B0135"/>
    <w:rsid w:val="000B067A"/>
    <w:rsid w:val="000B1540"/>
    <w:rsid w:val="000B33FD"/>
    <w:rsid w:val="000B4ABA"/>
    <w:rsid w:val="000C0957"/>
    <w:rsid w:val="000C4B16"/>
    <w:rsid w:val="000C50C3"/>
    <w:rsid w:val="000D21F6"/>
    <w:rsid w:val="000D42C3"/>
    <w:rsid w:val="000D4500"/>
    <w:rsid w:val="000D7AEA"/>
    <w:rsid w:val="000E01A9"/>
    <w:rsid w:val="000E2C66"/>
    <w:rsid w:val="000E6E7D"/>
    <w:rsid w:val="000F123C"/>
    <w:rsid w:val="000F2FED"/>
    <w:rsid w:val="0010616D"/>
    <w:rsid w:val="00110478"/>
    <w:rsid w:val="0011157F"/>
    <w:rsid w:val="0011711B"/>
    <w:rsid w:val="00117F8A"/>
    <w:rsid w:val="00121B9B"/>
    <w:rsid w:val="00122ADC"/>
    <w:rsid w:val="00130F59"/>
    <w:rsid w:val="00133EC0"/>
    <w:rsid w:val="00137957"/>
    <w:rsid w:val="00141CE5"/>
    <w:rsid w:val="00144908"/>
    <w:rsid w:val="001571C7"/>
    <w:rsid w:val="00161094"/>
    <w:rsid w:val="00161A2F"/>
    <w:rsid w:val="00165092"/>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607A"/>
    <w:rsid w:val="001D7869"/>
    <w:rsid w:val="001F2F78"/>
    <w:rsid w:val="002026CD"/>
    <w:rsid w:val="002033FC"/>
    <w:rsid w:val="002044BB"/>
    <w:rsid w:val="00207D3E"/>
    <w:rsid w:val="00210B09"/>
    <w:rsid w:val="00210C9E"/>
    <w:rsid w:val="00211840"/>
    <w:rsid w:val="00220E5F"/>
    <w:rsid w:val="002212B5"/>
    <w:rsid w:val="00226668"/>
    <w:rsid w:val="00227194"/>
    <w:rsid w:val="00233809"/>
    <w:rsid w:val="00240046"/>
    <w:rsid w:val="0024797F"/>
    <w:rsid w:val="0025088C"/>
    <w:rsid w:val="0025119E"/>
    <w:rsid w:val="00251269"/>
    <w:rsid w:val="002535C0"/>
    <w:rsid w:val="002579FE"/>
    <w:rsid w:val="0026311C"/>
    <w:rsid w:val="0026668C"/>
    <w:rsid w:val="00266AC1"/>
    <w:rsid w:val="0027178C"/>
    <w:rsid w:val="002719FA"/>
    <w:rsid w:val="00272668"/>
    <w:rsid w:val="0027330B"/>
    <w:rsid w:val="002803AD"/>
    <w:rsid w:val="00281732"/>
    <w:rsid w:val="00282052"/>
    <w:rsid w:val="0028519E"/>
    <w:rsid w:val="002856A5"/>
    <w:rsid w:val="002872ED"/>
    <w:rsid w:val="002905C2"/>
    <w:rsid w:val="00295AF2"/>
    <w:rsid w:val="00295C91"/>
    <w:rsid w:val="00297151"/>
    <w:rsid w:val="002A0910"/>
    <w:rsid w:val="002A7BFC"/>
    <w:rsid w:val="002B1ADA"/>
    <w:rsid w:val="002B20E6"/>
    <w:rsid w:val="002B42A3"/>
    <w:rsid w:val="002C0CDD"/>
    <w:rsid w:val="002C6E7F"/>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4CBA"/>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17AC4"/>
    <w:rsid w:val="00432378"/>
    <w:rsid w:val="00440D65"/>
    <w:rsid w:val="004414C7"/>
    <w:rsid w:val="004435E6"/>
    <w:rsid w:val="00447E31"/>
    <w:rsid w:val="00453923"/>
    <w:rsid w:val="00454B9B"/>
    <w:rsid w:val="00457858"/>
    <w:rsid w:val="00460B0B"/>
    <w:rsid w:val="00461023"/>
    <w:rsid w:val="004618D5"/>
    <w:rsid w:val="00462FAC"/>
    <w:rsid w:val="00464631"/>
    <w:rsid w:val="00464B79"/>
    <w:rsid w:val="00467BBF"/>
    <w:rsid w:val="004730AA"/>
    <w:rsid w:val="004867E2"/>
    <w:rsid w:val="004929A9"/>
    <w:rsid w:val="004C2FEC"/>
    <w:rsid w:val="004C6BCF"/>
    <w:rsid w:val="004C754E"/>
    <w:rsid w:val="004C758D"/>
    <w:rsid w:val="004D58BF"/>
    <w:rsid w:val="004E4335"/>
    <w:rsid w:val="004E5ACF"/>
    <w:rsid w:val="004F13EE"/>
    <w:rsid w:val="004F2022"/>
    <w:rsid w:val="004F7C05"/>
    <w:rsid w:val="00501C94"/>
    <w:rsid w:val="00506432"/>
    <w:rsid w:val="0051242B"/>
    <w:rsid w:val="0052051D"/>
    <w:rsid w:val="00520B0B"/>
    <w:rsid w:val="00545EE6"/>
    <w:rsid w:val="005550E7"/>
    <w:rsid w:val="005564FB"/>
    <w:rsid w:val="005572C7"/>
    <w:rsid w:val="005650ED"/>
    <w:rsid w:val="00575754"/>
    <w:rsid w:val="00591E20"/>
    <w:rsid w:val="00592A8D"/>
    <w:rsid w:val="00593BC4"/>
    <w:rsid w:val="00595408"/>
    <w:rsid w:val="00595E84"/>
    <w:rsid w:val="00597D79"/>
    <w:rsid w:val="005A0C59"/>
    <w:rsid w:val="005A48EB"/>
    <w:rsid w:val="005A6CFB"/>
    <w:rsid w:val="005C5AEB"/>
    <w:rsid w:val="005D5A2A"/>
    <w:rsid w:val="005E0A3F"/>
    <w:rsid w:val="005E6883"/>
    <w:rsid w:val="005E772F"/>
    <w:rsid w:val="005F4ECA"/>
    <w:rsid w:val="006034D1"/>
    <w:rsid w:val="00603D6D"/>
    <w:rsid w:val="006041BE"/>
    <w:rsid w:val="006043C7"/>
    <w:rsid w:val="006159B0"/>
    <w:rsid w:val="00624B52"/>
    <w:rsid w:val="00631DF4"/>
    <w:rsid w:val="00634175"/>
    <w:rsid w:val="00636C58"/>
    <w:rsid w:val="006408AC"/>
    <w:rsid w:val="006511B6"/>
    <w:rsid w:val="00652742"/>
    <w:rsid w:val="00657FF8"/>
    <w:rsid w:val="00670D99"/>
    <w:rsid w:val="00670E2B"/>
    <w:rsid w:val="00672743"/>
    <w:rsid w:val="00672F6B"/>
    <w:rsid w:val="006734BB"/>
    <w:rsid w:val="00681A34"/>
    <w:rsid w:val="006821EB"/>
    <w:rsid w:val="006A11B2"/>
    <w:rsid w:val="006B2286"/>
    <w:rsid w:val="006B56BB"/>
    <w:rsid w:val="006C77A8"/>
    <w:rsid w:val="006D4098"/>
    <w:rsid w:val="006D7681"/>
    <w:rsid w:val="006D7B2E"/>
    <w:rsid w:val="006E02EA"/>
    <w:rsid w:val="006E0968"/>
    <w:rsid w:val="006E2AF6"/>
    <w:rsid w:val="00701275"/>
    <w:rsid w:val="007049BA"/>
    <w:rsid w:val="00707F56"/>
    <w:rsid w:val="00713558"/>
    <w:rsid w:val="00720D08"/>
    <w:rsid w:val="007263B9"/>
    <w:rsid w:val="007334F8"/>
    <w:rsid w:val="007339CD"/>
    <w:rsid w:val="007359D8"/>
    <w:rsid w:val="007362D4"/>
    <w:rsid w:val="00751A23"/>
    <w:rsid w:val="0076672A"/>
    <w:rsid w:val="007717FC"/>
    <w:rsid w:val="00775E45"/>
    <w:rsid w:val="00776E74"/>
    <w:rsid w:val="00784865"/>
    <w:rsid w:val="00785169"/>
    <w:rsid w:val="00790610"/>
    <w:rsid w:val="00790A34"/>
    <w:rsid w:val="007954AB"/>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69C"/>
    <w:rsid w:val="00884C63"/>
    <w:rsid w:val="00885908"/>
    <w:rsid w:val="008864B7"/>
    <w:rsid w:val="0089445D"/>
    <w:rsid w:val="0089677E"/>
    <w:rsid w:val="00896E8C"/>
    <w:rsid w:val="008A7438"/>
    <w:rsid w:val="008B1334"/>
    <w:rsid w:val="008C0278"/>
    <w:rsid w:val="008C24E9"/>
    <w:rsid w:val="008D0533"/>
    <w:rsid w:val="008D2411"/>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27C4D"/>
    <w:rsid w:val="00934368"/>
    <w:rsid w:val="00945E7F"/>
    <w:rsid w:val="009557C1"/>
    <w:rsid w:val="00960D6E"/>
    <w:rsid w:val="00972BC1"/>
    <w:rsid w:val="00974B59"/>
    <w:rsid w:val="0098340B"/>
    <w:rsid w:val="00986830"/>
    <w:rsid w:val="00987101"/>
    <w:rsid w:val="009924C3"/>
    <w:rsid w:val="00993102"/>
    <w:rsid w:val="00997B86"/>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45E"/>
    <w:rsid w:val="00AC6BF9"/>
    <w:rsid w:val="00AD05E6"/>
    <w:rsid w:val="00AD0D3F"/>
    <w:rsid w:val="00AD1C5A"/>
    <w:rsid w:val="00AD3B0B"/>
    <w:rsid w:val="00AD430E"/>
    <w:rsid w:val="00AD769B"/>
    <w:rsid w:val="00AE1D7D"/>
    <w:rsid w:val="00AE2A8B"/>
    <w:rsid w:val="00AE3F64"/>
    <w:rsid w:val="00AF7386"/>
    <w:rsid w:val="00AF7934"/>
    <w:rsid w:val="00B00B81"/>
    <w:rsid w:val="00B04580"/>
    <w:rsid w:val="00B04B09"/>
    <w:rsid w:val="00B075D9"/>
    <w:rsid w:val="00B146F2"/>
    <w:rsid w:val="00B16A51"/>
    <w:rsid w:val="00B25440"/>
    <w:rsid w:val="00B25DEE"/>
    <w:rsid w:val="00B32222"/>
    <w:rsid w:val="00B3618D"/>
    <w:rsid w:val="00B36233"/>
    <w:rsid w:val="00B42851"/>
    <w:rsid w:val="00B45AC7"/>
    <w:rsid w:val="00B46AE6"/>
    <w:rsid w:val="00B509B1"/>
    <w:rsid w:val="00B5372F"/>
    <w:rsid w:val="00B5547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B77C8"/>
    <w:rsid w:val="00BC4A19"/>
    <w:rsid w:val="00BC4E6D"/>
    <w:rsid w:val="00BD0617"/>
    <w:rsid w:val="00BD2E9B"/>
    <w:rsid w:val="00BF526A"/>
    <w:rsid w:val="00BF7AD7"/>
    <w:rsid w:val="00C00930"/>
    <w:rsid w:val="00C044C1"/>
    <w:rsid w:val="00C060AD"/>
    <w:rsid w:val="00C0670D"/>
    <w:rsid w:val="00C113BF"/>
    <w:rsid w:val="00C15D27"/>
    <w:rsid w:val="00C2176E"/>
    <w:rsid w:val="00C23430"/>
    <w:rsid w:val="00C27D67"/>
    <w:rsid w:val="00C4631F"/>
    <w:rsid w:val="00C50E16"/>
    <w:rsid w:val="00C55258"/>
    <w:rsid w:val="00C82EEB"/>
    <w:rsid w:val="00C971DC"/>
    <w:rsid w:val="00CA16B7"/>
    <w:rsid w:val="00CA4BE3"/>
    <w:rsid w:val="00CA62AE"/>
    <w:rsid w:val="00CB5B1A"/>
    <w:rsid w:val="00CC1663"/>
    <w:rsid w:val="00CC220B"/>
    <w:rsid w:val="00CC5C43"/>
    <w:rsid w:val="00CD02AE"/>
    <w:rsid w:val="00CD2A4F"/>
    <w:rsid w:val="00CE03CA"/>
    <w:rsid w:val="00CE22F1"/>
    <w:rsid w:val="00CE50F2"/>
    <w:rsid w:val="00CE6502"/>
    <w:rsid w:val="00CF7D3C"/>
    <w:rsid w:val="00D03933"/>
    <w:rsid w:val="00D147EB"/>
    <w:rsid w:val="00D2552F"/>
    <w:rsid w:val="00D34667"/>
    <w:rsid w:val="00D401E1"/>
    <w:rsid w:val="00D408B4"/>
    <w:rsid w:val="00D4205D"/>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1C4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E7A18"/>
    <w:rsid w:val="00EF6ECA"/>
    <w:rsid w:val="00F024E1"/>
    <w:rsid w:val="00F049F6"/>
    <w:rsid w:val="00F060E9"/>
    <w:rsid w:val="00F06C10"/>
    <w:rsid w:val="00F1096F"/>
    <w:rsid w:val="00F12589"/>
    <w:rsid w:val="00F12595"/>
    <w:rsid w:val="00F134D9"/>
    <w:rsid w:val="00F1403D"/>
    <w:rsid w:val="00F1463F"/>
    <w:rsid w:val="00F21302"/>
    <w:rsid w:val="00F321DE"/>
    <w:rsid w:val="00F33777"/>
    <w:rsid w:val="00F40648"/>
    <w:rsid w:val="00F47DA2"/>
    <w:rsid w:val="00F50BCE"/>
    <w:rsid w:val="00F519FC"/>
    <w:rsid w:val="00F6239D"/>
    <w:rsid w:val="00F635D1"/>
    <w:rsid w:val="00F715D2"/>
    <w:rsid w:val="00F7274F"/>
    <w:rsid w:val="00F76FA8"/>
    <w:rsid w:val="00F80807"/>
    <w:rsid w:val="00F93F08"/>
    <w:rsid w:val="00F94CED"/>
    <w:rsid w:val="00FA2CEE"/>
    <w:rsid w:val="00FA318C"/>
    <w:rsid w:val="00FB6F92"/>
    <w:rsid w:val="00FC026E"/>
    <w:rsid w:val="00FC5124"/>
    <w:rsid w:val="00FD4731"/>
    <w:rsid w:val="00FE6BE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2E42B"/>
  <w15:docId w15:val="{61ABE937-1D8F-4372-BE8E-E333EF67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14C7"/>
    <w:pPr>
      <w:spacing w:before="120" w:after="120" w:line="264"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ListNumber">
    <w:name w:val="List Number"/>
    <w:basedOn w:val="Normal"/>
    <w:rsid w:val="00D4205D"/>
    <w:pPr>
      <w:numPr>
        <w:numId w:val="13"/>
      </w:numPr>
      <w:contextualSpacing/>
    </w:pPr>
  </w:style>
  <w:style w:type="paragraph" w:styleId="TOCHeading">
    <w:name w:val="TOC Heading"/>
    <w:basedOn w:val="Heading1"/>
    <w:next w:val="Normal"/>
    <w:uiPriority w:val="39"/>
    <w:unhideWhenUsed/>
    <w:qFormat/>
    <w:rsid w:val="006034D1"/>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6034D1"/>
    <w:pPr>
      <w:spacing w:after="100"/>
    </w:pPr>
  </w:style>
  <w:style w:type="paragraph" w:styleId="TOC2">
    <w:name w:val="toc 2"/>
    <w:basedOn w:val="Normal"/>
    <w:next w:val="Normal"/>
    <w:autoRedefine/>
    <w:uiPriority w:val="39"/>
    <w:unhideWhenUsed/>
    <w:rsid w:val="006034D1"/>
    <w:pPr>
      <w:spacing w:after="100"/>
      <w:ind w:left="220"/>
    </w:pPr>
  </w:style>
  <w:style w:type="paragraph" w:styleId="Revision">
    <w:name w:val="Revision"/>
    <w:hidden/>
    <w:uiPriority w:val="99"/>
    <w:semiHidden/>
    <w:rsid w:val="00083759"/>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060E9"/>
    <w:rPr>
      <w:sz w:val="16"/>
      <w:szCs w:val="16"/>
    </w:rPr>
  </w:style>
  <w:style w:type="paragraph" w:styleId="CommentText">
    <w:name w:val="annotation text"/>
    <w:basedOn w:val="Normal"/>
    <w:link w:val="CommentTextChar"/>
    <w:unhideWhenUsed/>
    <w:rsid w:val="00F060E9"/>
    <w:pPr>
      <w:spacing w:line="240" w:lineRule="auto"/>
    </w:pPr>
    <w:rPr>
      <w:sz w:val="20"/>
      <w:szCs w:val="20"/>
    </w:rPr>
  </w:style>
  <w:style w:type="character" w:customStyle="1" w:styleId="CommentTextChar">
    <w:name w:val="Comment Text Char"/>
    <w:basedOn w:val="DefaultParagraphFont"/>
    <w:link w:val="CommentText"/>
    <w:rsid w:val="00F060E9"/>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060E9"/>
    <w:rPr>
      <w:b/>
      <w:bCs/>
    </w:rPr>
  </w:style>
  <w:style w:type="character" w:customStyle="1" w:styleId="CommentSubjectChar">
    <w:name w:val="Comment Subject Char"/>
    <w:basedOn w:val="CommentTextChar"/>
    <w:link w:val="CommentSubject"/>
    <w:semiHidden/>
    <w:rsid w:val="00F060E9"/>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CL\OneDrive%20-%20Department%20of%20Health\Documents\Taskforce\PL%20reviews\Urogynaecological%20mesh%20devices%20-%20Departmental%20report.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2023-05-10T14:00:00+00:00</Last_x0020_reviewed>
    <_dlc_DocId xmlns="d29d5f7a-be03-4e9c-abe5-c85ece0a2186">INTCOMMS-1466148216-15</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3BFC2FE-C012-486A-B412-44F4D9DD1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190E0-9EF0-4634-8784-85A6655428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Urogynaecological mesh devices - Departmental report.dotx</Template>
  <TotalTime>3</TotalTime>
  <Pages>8</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Urogynaecological mesh devices (mid-urethral slings)</dc:title>
  <dc:subject>Medical devices</dc:subject>
  <dc:creator>Australian Government Department of Health and Aged Care</dc:creator>
  <cp:lastModifiedBy>Australian Government Department of Health and Aged </cp:lastModifiedBy>
  <cp:revision>3</cp:revision>
  <cp:lastPrinted>2022-06-22T22:44:00Z</cp:lastPrinted>
  <dcterms:created xsi:type="dcterms:W3CDTF">2024-05-21T22:54:00Z</dcterms:created>
  <dcterms:modified xsi:type="dcterms:W3CDTF">2024-05-21T22:56:00Z</dcterms:modified>
</cp:coreProperties>
</file>